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F04D" w14:textId="12BC270A" w:rsidR="007B3672" w:rsidRPr="00BA14E9" w:rsidRDefault="00902247" w:rsidP="00FA2184">
      <w:r w:rsidRPr="00BA14E9">
        <w:rPr>
          <w:noProof/>
          <w:sz w:val="144"/>
          <w:szCs w:val="144"/>
        </w:rPr>
        <w:drawing>
          <wp:inline distT="0" distB="0" distL="0" distR="0" wp14:anchorId="4D8694AE" wp14:editId="5684CFBD">
            <wp:extent cx="3488139" cy="1638300"/>
            <wp:effectExtent l="0" t="0" r="0" b="0"/>
            <wp:docPr id="463825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25230" name="Picture 4638252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7025" cy="1642474"/>
                    </a:xfrm>
                    <a:prstGeom prst="rect">
                      <a:avLst/>
                    </a:prstGeom>
                  </pic:spPr>
                </pic:pic>
              </a:graphicData>
            </a:graphic>
          </wp:inline>
        </w:drawing>
      </w:r>
      <w:r w:rsidRPr="00BA14E9">
        <w:t xml:space="preserve">       </w:t>
      </w:r>
    </w:p>
    <w:p w14:paraId="54ABDD68" w14:textId="7A0BCB53" w:rsidR="00114043" w:rsidRPr="00BA14E9" w:rsidRDefault="00864C6F" w:rsidP="00FA2184">
      <w:pPr>
        <w:rPr>
          <w:sz w:val="96"/>
          <w:szCs w:val="96"/>
        </w:rPr>
      </w:pPr>
      <w:r w:rsidRPr="00BA14E9">
        <w:rPr>
          <w:sz w:val="96"/>
          <w:szCs w:val="96"/>
        </w:rPr>
        <w:t xml:space="preserve">National Hydrogen Regulatory Guidebook: </w:t>
      </w:r>
      <w:bookmarkStart w:id="0" w:name="_Hlk221284256"/>
      <w:r w:rsidR="006F5523" w:rsidRPr="006F5523">
        <w:rPr>
          <w:sz w:val="72"/>
          <w:szCs w:val="72"/>
        </w:rPr>
        <w:t>Pipeline</w:t>
      </w:r>
      <w:r w:rsidR="00BF75FA">
        <w:rPr>
          <w:sz w:val="72"/>
          <w:szCs w:val="72"/>
        </w:rPr>
        <w:t>s</w:t>
      </w:r>
    </w:p>
    <w:bookmarkEnd w:id="0"/>
    <w:p w14:paraId="79C04D6D" w14:textId="77777777" w:rsidR="007C7F76" w:rsidRPr="00BA14E9" w:rsidRDefault="007C7F76" w:rsidP="007C7F76"/>
    <w:p w14:paraId="76EA9603" w14:textId="3C5118C8" w:rsidR="00A1643A" w:rsidRPr="00BA14E9" w:rsidRDefault="007C7F76">
      <w:pPr>
        <w:rPr>
          <w:rFonts w:eastAsiaTheme="majorEastAsia" w:cstheme="majorBidi"/>
          <w:color w:val="0F4761" w:themeColor="accent1" w:themeShade="BF"/>
          <w:sz w:val="28"/>
          <w:szCs w:val="28"/>
        </w:rPr>
      </w:pPr>
      <w:r w:rsidRPr="00BA14E9">
        <w:rPr>
          <w:noProof/>
          <w:sz w:val="96"/>
          <w:szCs w:val="96"/>
        </w:rPr>
        <w:drawing>
          <wp:inline distT="0" distB="0" distL="0" distR="0" wp14:anchorId="0E308C72" wp14:editId="7788B871">
            <wp:extent cx="2700528" cy="1051560"/>
            <wp:effectExtent l="0" t="0" r="5080" b="0"/>
            <wp:docPr id="106895355"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5355" name="Picture 4" descr="A close 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0528" cy="1051560"/>
                    </a:xfrm>
                    <a:prstGeom prst="rect">
                      <a:avLst/>
                    </a:prstGeom>
                  </pic:spPr>
                </pic:pic>
              </a:graphicData>
            </a:graphic>
          </wp:inline>
        </w:drawing>
      </w:r>
      <w:r w:rsidR="00A1643A" w:rsidRPr="00BA14E9">
        <w:rPr>
          <w:sz w:val="28"/>
          <w:szCs w:val="28"/>
        </w:rPr>
        <w:br w:type="page"/>
      </w:r>
    </w:p>
    <w:p w14:paraId="47C6641B" w14:textId="514C4B1E" w:rsidR="00864C6F" w:rsidRPr="00F634FE" w:rsidRDefault="00864C6F" w:rsidP="00F634FE">
      <w:pPr>
        <w:pStyle w:val="Heading1"/>
        <w:numPr>
          <w:ilvl w:val="0"/>
          <w:numId w:val="0"/>
        </w:numPr>
        <w:ind w:left="432" w:hanging="432"/>
        <w:rPr>
          <w:sz w:val="28"/>
          <w:szCs w:val="28"/>
        </w:rPr>
      </w:pPr>
      <w:bookmarkStart w:id="1" w:name="_Toc222925468"/>
      <w:r w:rsidRPr="00F634FE">
        <w:rPr>
          <w:sz w:val="28"/>
          <w:szCs w:val="28"/>
        </w:rPr>
        <w:lastRenderedPageBreak/>
        <w:t>Acknowledgement</w:t>
      </w:r>
      <w:bookmarkEnd w:id="1"/>
    </w:p>
    <w:p w14:paraId="55CD559E" w14:textId="3474E99C" w:rsidR="00864C6F" w:rsidRPr="00BA14E9" w:rsidRDefault="00864C6F" w:rsidP="00864C6F">
      <w:pPr>
        <w:rPr>
          <w:sz w:val="23"/>
          <w:szCs w:val="23"/>
        </w:rPr>
      </w:pPr>
      <w:r w:rsidRPr="00BA14E9">
        <w:rPr>
          <w:sz w:val="23"/>
          <w:szCs w:val="23"/>
        </w:rPr>
        <w:t>The</w:t>
      </w:r>
      <w:r w:rsidR="4F748937" w:rsidRPr="00BA14E9">
        <w:rPr>
          <w:sz w:val="23"/>
          <w:szCs w:val="23"/>
        </w:rPr>
        <w:t xml:space="preserve"> </w:t>
      </w:r>
      <w:r w:rsidRPr="00BA14E9">
        <w:rPr>
          <w:sz w:val="23"/>
          <w:szCs w:val="23"/>
        </w:rPr>
        <w:t>Australian Government acknowledges the Traditional Owners of Country throughout Australia and their continuing connection to land, skies, waters and community. We pay our respects to their cultures and their Elders past and present. First Nations knowledge is critical to living sustainably in Australia. The knowledge that Aboriginal and Torres Strait Islander peoples hold as Custodians of Australia’s land and natural resources can and should underpin a fair and just clean energy transition.</w:t>
      </w:r>
    </w:p>
    <w:p w14:paraId="53799B23" w14:textId="584A973F" w:rsidR="00864C6F" w:rsidRPr="00BA14E9" w:rsidRDefault="00864C6F" w:rsidP="0A71F701">
      <w:pPr>
        <w:pStyle w:val="Heading1"/>
        <w:numPr>
          <w:ilvl w:val="0"/>
          <w:numId w:val="0"/>
        </w:numPr>
        <w:rPr>
          <w:sz w:val="28"/>
          <w:szCs w:val="28"/>
        </w:rPr>
      </w:pPr>
      <w:bookmarkStart w:id="2" w:name="_Toc222925469"/>
      <w:r w:rsidRPr="2AEB64BA">
        <w:rPr>
          <w:sz w:val="28"/>
          <w:szCs w:val="28"/>
        </w:rPr>
        <w:t>Disclaimer</w:t>
      </w:r>
      <w:bookmarkEnd w:id="2"/>
    </w:p>
    <w:p w14:paraId="00C21170" w14:textId="33487486" w:rsidR="00A77548" w:rsidRPr="00BA14E9" w:rsidRDefault="3ABC6F35" w:rsidP="2AEB64BA">
      <w:pPr>
        <w:rPr>
          <w:rFonts w:eastAsia="Calibri" w:cs="Calibri"/>
          <w:szCs w:val="24"/>
        </w:rPr>
      </w:pPr>
      <w:r w:rsidRPr="2AEB64BA">
        <w:rPr>
          <w:rFonts w:eastAsia="Calibri" w:cs="Calibri"/>
          <w:szCs w:val="24"/>
        </w:rPr>
        <w:t xml:space="preserve">The draft National Hydrogen Regulatory Guidebook: </w:t>
      </w:r>
      <w:r w:rsidR="581BCDA2" w:rsidRPr="2AEB64BA">
        <w:rPr>
          <w:rFonts w:eastAsia="Calibri" w:cs="Calibri"/>
          <w:szCs w:val="24"/>
        </w:rPr>
        <w:t>Distribution of Hydrogen by Pipelines,</w:t>
      </w:r>
      <w:r w:rsidRPr="2AEB64BA">
        <w:rPr>
          <w:rFonts w:eastAsia="Calibri" w:cs="Calibri"/>
          <w:szCs w:val="24"/>
        </w:rPr>
        <w:t xml:space="preserve"> including its Annexures are part of the National Hydrogen Regulatory Review, which is an initiative of the Energy and Climate Change Ministerial Council. </w:t>
      </w:r>
    </w:p>
    <w:p w14:paraId="476E3BFF" w14:textId="68250733" w:rsidR="00A77548" w:rsidRPr="00BA14E9" w:rsidRDefault="3ABC6F35" w:rsidP="2AEB64BA">
      <w:pPr>
        <w:rPr>
          <w:rFonts w:eastAsiaTheme="minorEastAsia"/>
        </w:rPr>
      </w:pPr>
      <w:r w:rsidRPr="2AEB64BA">
        <w:rPr>
          <w:rFonts w:eastAsia="Calibri" w:cs="Calibri"/>
          <w:szCs w:val="24"/>
        </w:rPr>
        <w:t>The draft Guidebook and the views within it are based upon information available to the Department of Climate Change, Energy, the Environment and Water (Department) to the current date and are subject to further review and change. The Department is under no obligation to update or supplement any information or to issue a final version of the Guidebook.</w:t>
      </w:r>
    </w:p>
    <w:p w14:paraId="6AAFCD4D" w14:textId="30D0FA2A" w:rsidR="00A508DD" w:rsidRPr="00BA14E9" w:rsidRDefault="00A508DD" w:rsidP="2AEB64BA">
      <w:pPr>
        <w:rPr>
          <w:rFonts w:eastAsiaTheme="minorEastAsia"/>
        </w:rPr>
      </w:pPr>
      <w:r>
        <w:rPr>
          <w:rFonts w:eastAsia="Calibri" w:cs="Calibri"/>
          <w:szCs w:val="24"/>
        </w:rPr>
        <w:t xml:space="preserve">The Department </w:t>
      </w:r>
      <w:r w:rsidR="008A74F0">
        <w:rPr>
          <w:rFonts w:eastAsia="Calibri" w:cs="Calibri"/>
          <w:szCs w:val="24"/>
        </w:rPr>
        <w:t>is not the regulator for guidance contained in this Guidebook</w:t>
      </w:r>
      <w:r w:rsidR="001C7AD4">
        <w:rPr>
          <w:rFonts w:eastAsia="Calibri" w:cs="Calibri"/>
          <w:szCs w:val="24"/>
        </w:rPr>
        <w:t xml:space="preserve"> and accordingly, this Guidance does not represent a statement of specific requirements of jurisdictional regulators</w:t>
      </w:r>
      <w:r w:rsidR="008A74F0">
        <w:rPr>
          <w:rFonts w:eastAsia="Calibri" w:cs="Calibri"/>
          <w:szCs w:val="24"/>
        </w:rPr>
        <w:t xml:space="preserve">. </w:t>
      </w:r>
      <w:r w:rsidR="006C1368">
        <w:rPr>
          <w:rFonts w:eastAsia="Calibri" w:cs="Calibri"/>
          <w:szCs w:val="24"/>
        </w:rPr>
        <w:t>Proponents intending to engage in hydrogen operations should consult with relevant Commonwealth, state and territory regulators</w:t>
      </w:r>
      <w:r w:rsidR="003229BC">
        <w:rPr>
          <w:rFonts w:eastAsia="Calibri" w:cs="Calibri"/>
          <w:szCs w:val="24"/>
        </w:rPr>
        <w:t xml:space="preserve"> before </w:t>
      </w:r>
      <w:r w:rsidR="00DA5E5E">
        <w:rPr>
          <w:rFonts w:eastAsia="Calibri" w:cs="Calibri"/>
          <w:szCs w:val="24"/>
        </w:rPr>
        <w:t>commencing any activity</w:t>
      </w:r>
      <w:r w:rsidR="001C7AD4">
        <w:rPr>
          <w:rFonts w:eastAsia="Calibri" w:cs="Calibri"/>
          <w:szCs w:val="24"/>
        </w:rPr>
        <w:t xml:space="preserve">. </w:t>
      </w:r>
    </w:p>
    <w:p w14:paraId="528EBBD5" w14:textId="58A61C3E" w:rsidR="00A77548" w:rsidRPr="00BA14E9" w:rsidRDefault="3ABC6F35" w:rsidP="2AEB64BA">
      <w:pPr>
        <w:rPr>
          <w:rFonts w:eastAsiaTheme="minorEastAsia"/>
        </w:rPr>
      </w:pPr>
      <w:r w:rsidRPr="2AEB64BA">
        <w:rPr>
          <w:rFonts w:eastAsia="Calibri" w:cs="Calibri"/>
          <w:szCs w:val="24"/>
        </w:rPr>
        <w:t xml:space="preserve">The draft Guidebook is shared with </w:t>
      </w:r>
      <w:r w:rsidR="4E6BFC48" w:rsidRPr="2AEB64BA">
        <w:rPr>
          <w:rFonts w:eastAsia="Calibri" w:cs="Calibri"/>
          <w:szCs w:val="24"/>
        </w:rPr>
        <w:t xml:space="preserve">Commonwealth, state and territory regulators </w:t>
      </w:r>
      <w:r w:rsidRPr="2AEB64BA">
        <w:rPr>
          <w:rFonts w:eastAsia="Calibri" w:cs="Calibri"/>
          <w:szCs w:val="24"/>
        </w:rPr>
        <w:t xml:space="preserve">for the sole purpose of allowing the Department to receive feedback on this consultation draft from interested stakeholders. The draft Guidebook has been prepared and made available to the public for consultation on the understanding that it is not intended to constitute legal advice, and the Department recommends that any users of any final Guidebook exercise their own judgement, skill and care with respect to their use of the Guidebook. This draft and any final Guidebook </w:t>
      </w:r>
      <w:proofErr w:type="gramStart"/>
      <w:r w:rsidRPr="2AEB64BA">
        <w:rPr>
          <w:rFonts w:eastAsia="Calibri" w:cs="Calibri"/>
          <w:szCs w:val="24"/>
        </w:rPr>
        <w:t>is</w:t>
      </w:r>
      <w:proofErr w:type="gramEnd"/>
      <w:r w:rsidRPr="2AEB64BA">
        <w:rPr>
          <w:rFonts w:eastAsia="Calibri" w:cs="Calibri"/>
          <w:szCs w:val="24"/>
        </w:rPr>
        <w:t xml:space="preserve"> not intended to represent a comprehensive statement of the law as it applies to </w:t>
      </w:r>
      <w:proofErr w:type="gramStart"/>
      <w:r w:rsidRPr="2AEB64BA">
        <w:rPr>
          <w:rFonts w:eastAsia="Calibri" w:cs="Calibri"/>
          <w:szCs w:val="24"/>
        </w:rPr>
        <w:t>particular issues</w:t>
      </w:r>
      <w:proofErr w:type="gramEnd"/>
      <w:r w:rsidRPr="2AEB64BA">
        <w:rPr>
          <w:rFonts w:eastAsia="Calibri" w:cs="Calibri"/>
          <w:szCs w:val="24"/>
        </w:rPr>
        <w:t xml:space="preserve"> nor is it intended to replace any statutory requirements under any relevant Commonwealth, state, or territory legislation. It is not intended to be relied upon as a substitute for obtaining separate independent professional advice including legal advice. </w:t>
      </w:r>
    </w:p>
    <w:p w14:paraId="59BB227A" w14:textId="150757F8" w:rsidR="00A77548" w:rsidRPr="00BA14E9" w:rsidRDefault="3ABC6F35">
      <w:pPr>
        <w:rPr>
          <w:rFonts w:eastAsiaTheme="minorEastAsia"/>
        </w:rPr>
      </w:pPr>
      <w:r w:rsidRPr="2AEB64BA">
        <w:rPr>
          <w:rFonts w:eastAsia="Calibri" w:cs="Calibri"/>
          <w:szCs w:val="24"/>
        </w:rPr>
        <w:t xml:space="preserve">The National Hydrogen Review, acting through the Department </w:t>
      </w:r>
      <w:r w:rsidR="00CD2701" w:rsidRPr="2AEB64BA">
        <w:rPr>
          <w:rFonts w:eastAsia="Calibri" w:cs="Calibri"/>
          <w:szCs w:val="24"/>
        </w:rPr>
        <w:t xml:space="preserve">has exercised due care and skill in preparing and compiling the information and data in this </w:t>
      </w:r>
      <w:r w:rsidRPr="2AEB64BA">
        <w:rPr>
          <w:rFonts w:eastAsia="Calibri" w:cs="Calibri"/>
          <w:szCs w:val="24"/>
        </w:rPr>
        <w:t xml:space="preserve">draft </w:t>
      </w:r>
      <w:r w:rsidR="00CD2701" w:rsidRPr="2AEB64BA">
        <w:rPr>
          <w:rFonts w:eastAsia="Calibri" w:cs="Calibri"/>
          <w:szCs w:val="24"/>
        </w:rPr>
        <w:t>Guidebook. Notwithstanding</w:t>
      </w:r>
      <w:r w:rsidRPr="2AEB64BA">
        <w:rPr>
          <w:rFonts w:eastAsia="Calibri" w:cs="Calibri"/>
          <w:szCs w:val="24"/>
        </w:rPr>
        <w:t xml:space="preserve"> and to the maximum extent permitted by law</w:t>
      </w:r>
      <w:r w:rsidR="00CD2701" w:rsidRPr="2AEB64BA">
        <w:rPr>
          <w:rFonts w:eastAsia="Calibri" w:cs="Calibri"/>
          <w:szCs w:val="24"/>
        </w:rPr>
        <w:t>, the Department, its employees and advisers disclaim all liability</w:t>
      </w:r>
      <w:r w:rsidRPr="2AEB64BA">
        <w:rPr>
          <w:rFonts w:eastAsia="Calibri" w:cs="Calibri"/>
          <w:szCs w:val="24"/>
        </w:rPr>
        <w:t xml:space="preserve"> whatsoever and howsoever occurring</w:t>
      </w:r>
      <w:r w:rsidR="00CD2701" w:rsidRPr="2AEB64BA">
        <w:rPr>
          <w:rFonts w:eastAsia="Calibri" w:cs="Calibri"/>
          <w:szCs w:val="24"/>
        </w:rPr>
        <w:t xml:space="preserve">, including liability </w:t>
      </w:r>
      <w:r w:rsidRPr="2AEB64BA">
        <w:rPr>
          <w:rFonts w:eastAsia="Calibri" w:cs="Calibri"/>
          <w:szCs w:val="24"/>
        </w:rPr>
        <w:t xml:space="preserve">in tort, </w:t>
      </w:r>
      <w:r w:rsidR="00CD2701" w:rsidRPr="2AEB64BA">
        <w:rPr>
          <w:rFonts w:eastAsia="Calibri" w:cs="Calibri"/>
          <w:szCs w:val="24"/>
        </w:rPr>
        <w:t>negligence</w:t>
      </w:r>
      <w:r w:rsidRPr="2AEB64BA">
        <w:rPr>
          <w:rFonts w:eastAsia="Calibri" w:cs="Calibri"/>
          <w:szCs w:val="24"/>
        </w:rPr>
        <w:t>, contract or statute</w:t>
      </w:r>
      <w:r w:rsidR="00CD2701" w:rsidRPr="2AEB64BA">
        <w:rPr>
          <w:rFonts w:eastAsia="Calibri" w:cs="Calibri"/>
          <w:szCs w:val="24"/>
        </w:rPr>
        <w:t xml:space="preserve"> and for any loss, damage, injury, expense or cost incurred by any person as a result of accessing, using or relying on any of the information or data in this </w:t>
      </w:r>
      <w:r w:rsidRPr="2AEB64BA">
        <w:rPr>
          <w:rFonts w:eastAsia="Calibri" w:cs="Calibri"/>
          <w:szCs w:val="24"/>
        </w:rPr>
        <w:t xml:space="preserve">draft Guidebook. </w:t>
      </w:r>
      <w:r w:rsidR="00CD2701" w:rsidRPr="2AEB64BA">
        <w:rPr>
          <w:rFonts w:eastAsia="Calibri" w:cs="Calibri"/>
          <w:szCs w:val="24"/>
        </w:rPr>
        <w:t xml:space="preserve">The Department does not warrant or represent that the </w:t>
      </w:r>
      <w:r w:rsidRPr="2AEB64BA">
        <w:rPr>
          <w:rFonts w:eastAsia="Calibri" w:cs="Calibri"/>
          <w:szCs w:val="24"/>
        </w:rPr>
        <w:t xml:space="preserve">information contained in the draft Guidebook </w:t>
      </w:r>
      <w:r w:rsidR="00CD2701" w:rsidRPr="2AEB64BA">
        <w:rPr>
          <w:rFonts w:eastAsia="Calibri" w:cs="Calibri"/>
          <w:szCs w:val="24"/>
        </w:rPr>
        <w:t>is free from errors or omissions, or that it is exhaustive</w:t>
      </w:r>
      <w:r w:rsidRPr="2AEB64BA">
        <w:rPr>
          <w:rFonts w:eastAsia="Calibri" w:cs="Calibri"/>
          <w:szCs w:val="24"/>
        </w:rPr>
        <w:t xml:space="preserve"> as to the issues addressed within it.</w:t>
      </w:r>
      <w:r w:rsidR="00A77548" w:rsidRPr="00BA14E9">
        <w:rPr>
          <w:rFonts w:eastAsiaTheme="minorEastAsia"/>
        </w:rPr>
        <w:br w:type="page"/>
      </w:r>
    </w:p>
    <w:bookmarkStart w:id="3" w:name="_Toc222925470" w:displacedByCustomXml="next"/>
    <w:sdt>
      <w:sdtPr>
        <w:rPr>
          <w:rFonts w:asciiTheme="minorHAnsi" w:eastAsiaTheme="minorEastAsia" w:hAnsiTheme="minorHAnsi" w:cstheme="minorBidi"/>
          <w:b/>
          <w:bCs/>
          <w:color w:val="auto"/>
          <w:sz w:val="22"/>
          <w:szCs w:val="22"/>
        </w:rPr>
        <w:id w:val="215932407"/>
        <w:docPartObj>
          <w:docPartGallery w:val="Table of Contents"/>
          <w:docPartUnique/>
        </w:docPartObj>
      </w:sdtPr>
      <w:sdtEndPr>
        <w:rPr>
          <w:rFonts w:eastAsiaTheme="minorHAnsi"/>
          <w:b w:val="0"/>
          <w:bCs w:val="0"/>
          <w:sz w:val="24"/>
          <w:szCs w:val="24"/>
        </w:rPr>
      </w:sdtEndPr>
      <w:sdtContent>
        <w:p w14:paraId="69867D5E" w14:textId="77777777" w:rsidR="00864C6F" w:rsidRPr="00BA14E9" w:rsidRDefault="00864C6F" w:rsidP="00F74A0A">
          <w:pPr>
            <w:pStyle w:val="Heading1"/>
            <w:numPr>
              <w:ilvl w:val="0"/>
              <w:numId w:val="0"/>
            </w:numPr>
            <w:ind w:left="432" w:hanging="432"/>
            <w:rPr>
              <w:rStyle w:val="Heading1Char"/>
            </w:rPr>
          </w:pPr>
          <w:r w:rsidRPr="00BA14E9">
            <w:rPr>
              <w:rStyle w:val="Heading1Char"/>
            </w:rPr>
            <w:t>Contents</w:t>
          </w:r>
          <w:bookmarkEnd w:id="3"/>
          <w:r w:rsidRPr="00BA14E9">
            <w:rPr>
              <w:rStyle w:val="Heading1Char"/>
            </w:rPr>
            <w:tab/>
          </w:r>
        </w:p>
        <w:p w14:paraId="2ECA4936" w14:textId="7BCD152F" w:rsidR="00F57798" w:rsidRDefault="00864C6F">
          <w:pPr>
            <w:pStyle w:val="TOC1"/>
            <w:rPr>
              <w:rFonts w:asciiTheme="minorHAnsi" w:eastAsiaTheme="minorEastAsia" w:hAnsiTheme="minorHAnsi" w:cstheme="minorBidi"/>
              <w:kern w:val="2"/>
              <w:szCs w:val="24"/>
              <w:lang w:val="en-AU" w:eastAsia="en-AU"/>
              <w14:ligatures w14:val="standardContextual"/>
            </w:rPr>
          </w:pPr>
          <w:r w:rsidRPr="00BA14E9">
            <w:rPr>
              <w:noProof w:val="0"/>
              <w:sz w:val="22"/>
              <w:lang w:val="en-AU"/>
            </w:rPr>
            <w:fldChar w:fldCharType="begin"/>
          </w:r>
          <w:r w:rsidRPr="00BA14E9">
            <w:rPr>
              <w:noProof w:val="0"/>
              <w:sz w:val="22"/>
              <w:lang w:val="en-AU"/>
            </w:rPr>
            <w:instrText xml:space="preserve"> TOC \o "1-3" \h \z \u </w:instrText>
          </w:r>
          <w:r w:rsidRPr="00BA14E9">
            <w:rPr>
              <w:noProof w:val="0"/>
              <w:sz w:val="22"/>
              <w:lang w:val="en-AU"/>
            </w:rPr>
            <w:fldChar w:fldCharType="separate"/>
          </w:r>
          <w:hyperlink w:anchor="_Toc222925468" w:history="1">
            <w:r w:rsidR="00F57798" w:rsidRPr="007A37AB">
              <w:rPr>
                <w:rStyle w:val="Hyperlink"/>
              </w:rPr>
              <w:t>Acknowledgement</w:t>
            </w:r>
            <w:r w:rsidR="00F57798">
              <w:rPr>
                <w:webHidden/>
              </w:rPr>
              <w:tab/>
            </w:r>
            <w:r w:rsidR="00F57798">
              <w:rPr>
                <w:webHidden/>
              </w:rPr>
              <w:fldChar w:fldCharType="begin"/>
            </w:r>
            <w:r w:rsidR="00F57798">
              <w:rPr>
                <w:webHidden/>
              </w:rPr>
              <w:instrText xml:space="preserve"> PAGEREF _Toc222925468 \h </w:instrText>
            </w:r>
            <w:r w:rsidR="00F57798">
              <w:rPr>
                <w:webHidden/>
              </w:rPr>
            </w:r>
            <w:r w:rsidR="00F57798">
              <w:rPr>
                <w:webHidden/>
              </w:rPr>
              <w:fldChar w:fldCharType="separate"/>
            </w:r>
            <w:r w:rsidR="00D35DDC">
              <w:rPr>
                <w:webHidden/>
              </w:rPr>
              <w:t>2</w:t>
            </w:r>
            <w:r w:rsidR="00F57798">
              <w:rPr>
                <w:webHidden/>
              </w:rPr>
              <w:fldChar w:fldCharType="end"/>
            </w:r>
          </w:hyperlink>
        </w:p>
        <w:p w14:paraId="21676DC4" w14:textId="6157D9CA" w:rsidR="00F57798" w:rsidRDefault="00F57798">
          <w:pPr>
            <w:pStyle w:val="TOC1"/>
            <w:rPr>
              <w:rFonts w:asciiTheme="minorHAnsi" w:eastAsiaTheme="minorEastAsia" w:hAnsiTheme="minorHAnsi" w:cstheme="minorBidi"/>
              <w:kern w:val="2"/>
              <w:szCs w:val="24"/>
              <w:lang w:val="en-AU" w:eastAsia="en-AU"/>
              <w14:ligatures w14:val="standardContextual"/>
            </w:rPr>
          </w:pPr>
          <w:hyperlink w:anchor="_Toc222925469" w:history="1">
            <w:r w:rsidRPr="007A37AB">
              <w:rPr>
                <w:rStyle w:val="Hyperlink"/>
              </w:rPr>
              <w:t>Disclaimer</w:t>
            </w:r>
            <w:r>
              <w:rPr>
                <w:webHidden/>
              </w:rPr>
              <w:tab/>
            </w:r>
            <w:r>
              <w:rPr>
                <w:webHidden/>
              </w:rPr>
              <w:fldChar w:fldCharType="begin"/>
            </w:r>
            <w:r>
              <w:rPr>
                <w:webHidden/>
              </w:rPr>
              <w:instrText xml:space="preserve"> PAGEREF _Toc222925469 \h </w:instrText>
            </w:r>
            <w:r>
              <w:rPr>
                <w:webHidden/>
              </w:rPr>
            </w:r>
            <w:r>
              <w:rPr>
                <w:webHidden/>
              </w:rPr>
              <w:fldChar w:fldCharType="separate"/>
            </w:r>
            <w:r w:rsidR="00D35DDC">
              <w:rPr>
                <w:webHidden/>
              </w:rPr>
              <w:t>2</w:t>
            </w:r>
            <w:r>
              <w:rPr>
                <w:webHidden/>
              </w:rPr>
              <w:fldChar w:fldCharType="end"/>
            </w:r>
          </w:hyperlink>
        </w:p>
        <w:p w14:paraId="17EAC72E" w14:textId="1583EAF3" w:rsidR="00F57798" w:rsidRDefault="00F57798">
          <w:pPr>
            <w:pStyle w:val="TOC1"/>
            <w:rPr>
              <w:rFonts w:asciiTheme="minorHAnsi" w:eastAsiaTheme="minorEastAsia" w:hAnsiTheme="minorHAnsi" w:cstheme="minorBidi"/>
              <w:kern w:val="2"/>
              <w:szCs w:val="24"/>
              <w:lang w:val="en-AU" w:eastAsia="en-AU"/>
              <w14:ligatures w14:val="standardContextual"/>
            </w:rPr>
          </w:pPr>
          <w:hyperlink w:anchor="_Toc222925470" w:history="1">
            <w:r w:rsidRPr="007A37AB">
              <w:rPr>
                <w:rStyle w:val="Hyperlink"/>
              </w:rPr>
              <w:t>Contents</w:t>
            </w:r>
            <w:r>
              <w:rPr>
                <w:webHidden/>
              </w:rPr>
              <w:tab/>
            </w:r>
            <w:r>
              <w:rPr>
                <w:webHidden/>
              </w:rPr>
              <w:fldChar w:fldCharType="begin"/>
            </w:r>
            <w:r>
              <w:rPr>
                <w:webHidden/>
              </w:rPr>
              <w:instrText xml:space="preserve"> PAGEREF _Toc222925470 \h </w:instrText>
            </w:r>
            <w:r>
              <w:rPr>
                <w:webHidden/>
              </w:rPr>
            </w:r>
            <w:r>
              <w:rPr>
                <w:webHidden/>
              </w:rPr>
              <w:fldChar w:fldCharType="separate"/>
            </w:r>
            <w:r w:rsidR="00D35DDC">
              <w:rPr>
                <w:webHidden/>
              </w:rPr>
              <w:t>3</w:t>
            </w:r>
            <w:r>
              <w:rPr>
                <w:webHidden/>
              </w:rPr>
              <w:fldChar w:fldCharType="end"/>
            </w:r>
          </w:hyperlink>
        </w:p>
        <w:p w14:paraId="24E7F46C" w14:textId="2602C803" w:rsidR="00F57798" w:rsidRDefault="00F57798">
          <w:pPr>
            <w:pStyle w:val="TOC1"/>
            <w:rPr>
              <w:rFonts w:asciiTheme="minorHAnsi" w:eastAsiaTheme="minorEastAsia" w:hAnsiTheme="minorHAnsi" w:cstheme="minorBidi"/>
              <w:kern w:val="2"/>
              <w:szCs w:val="24"/>
              <w:lang w:val="en-AU" w:eastAsia="en-AU"/>
              <w14:ligatures w14:val="standardContextual"/>
            </w:rPr>
          </w:pPr>
          <w:hyperlink w:anchor="_Toc222925471" w:history="1">
            <w:r w:rsidRPr="007A37AB">
              <w:rPr>
                <w:rStyle w:val="Hyperlink"/>
              </w:rPr>
              <w:t>Executive Summary</w:t>
            </w:r>
            <w:r>
              <w:rPr>
                <w:webHidden/>
              </w:rPr>
              <w:tab/>
            </w:r>
            <w:r>
              <w:rPr>
                <w:webHidden/>
              </w:rPr>
              <w:fldChar w:fldCharType="begin"/>
            </w:r>
            <w:r>
              <w:rPr>
                <w:webHidden/>
              </w:rPr>
              <w:instrText xml:space="preserve"> PAGEREF _Toc222925471 \h </w:instrText>
            </w:r>
            <w:r>
              <w:rPr>
                <w:webHidden/>
              </w:rPr>
            </w:r>
            <w:r>
              <w:rPr>
                <w:webHidden/>
              </w:rPr>
              <w:fldChar w:fldCharType="separate"/>
            </w:r>
            <w:r w:rsidR="00D35DDC">
              <w:rPr>
                <w:webHidden/>
              </w:rPr>
              <w:t>5</w:t>
            </w:r>
            <w:r>
              <w:rPr>
                <w:webHidden/>
              </w:rPr>
              <w:fldChar w:fldCharType="end"/>
            </w:r>
          </w:hyperlink>
        </w:p>
        <w:p w14:paraId="71989C5D" w14:textId="041BE30C"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472" w:history="1">
            <w:r w:rsidRPr="007A37AB">
              <w:rPr>
                <w:rStyle w:val="Hyperlink"/>
              </w:rPr>
              <w:t>1.</w:t>
            </w:r>
            <w:r>
              <w:rPr>
                <w:rFonts w:asciiTheme="minorHAnsi" w:eastAsiaTheme="minorEastAsia" w:hAnsiTheme="minorHAnsi" w:cstheme="minorBidi"/>
                <w:kern w:val="2"/>
                <w:szCs w:val="24"/>
                <w:lang w:val="en-AU" w:eastAsia="en-AU"/>
                <w14:ligatures w14:val="standardContextual"/>
              </w:rPr>
              <w:tab/>
            </w:r>
            <w:r w:rsidRPr="007A37AB">
              <w:rPr>
                <w:rStyle w:val="Hyperlink"/>
              </w:rPr>
              <w:t>Chapter 1 - Introductory</w:t>
            </w:r>
            <w:r>
              <w:rPr>
                <w:webHidden/>
              </w:rPr>
              <w:tab/>
            </w:r>
            <w:r>
              <w:rPr>
                <w:webHidden/>
              </w:rPr>
              <w:fldChar w:fldCharType="begin"/>
            </w:r>
            <w:r>
              <w:rPr>
                <w:webHidden/>
              </w:rPr>
              <w:instrText xml:space="preserve"> PAGEREF _Toc222925472 \h </w:instrText>
            </w:r>
            <w:r>
              <w:rPr>
                <w:webHidden/>
              </w:rPr>
            </w:r>
            <w:r>
              <w:rPr>
                <w:webHidden/>
              </w:rPr>
              <w:fldChar w:fldCharType="separate"/>
            </w:r>
            <w:r w:rsidR="00D35DDC">
              <w:rPr>
                <w:webHidden/>
              </w:rPr>
              <w:t>8</w:t>
            </w:r>
            <w:r>
              <w:rPr>
                <w:webHidden/>
              </w:rPr>
              <w:fldChar w:fldCharType="end"/>
            </w:r>
          </w:hyperlink>
        </w:p>
        <w:p w14:paraId="06B3806B" w14:textId="42B62DB3"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3" w:history="1">
            <w:r w:rsidRPr="007A37AB">
              <w:rPr>
                <w:rStyle w:val="Hyperlink"/>
                <w:noProof/>
              </w:rPr>
              <w:t>1.1</w:t>
            </w:r>
            <w:r>
              <w:rPr>
                <w:rFonts w:asciiTheme="minorHAnsi" w:eastAsiaTheme="minorEastAsia" w:hAnsiTheme="minorHAnsi"/>
                <w:noProof/>
                <w:szCs w:val="24"/>
                <w:lang w:eastAsia="en-AU"/>
              </w:rPr>
              <w:tab/>
            </w:r>
            <w:r w:rsidRPr="007A37AB">
              <w:rPr>
                <w:rStyle w:val="Hyperlink"/>
                <w:noProof/>
              </w:rPr>
              <w:t>Purpose of this Guidebook</w:t>
            </w:r>
            <w:r>
              <w:rPr>
                <w:noProof/>
                <w:webHidden/>
              </w:rPr>
              <w:tab/>
            </w:r>
            <w:r>
              <w:rPr>
                <w:noProof/>
                <w:webHidden/>
              </w:rPr>
              <w:fldChar w:fldCharType="begin"/>
            </w:r>
            <w:r>
              <w:rPr>
                <w:noProof/>
                <w:webHidden/>
              </w:rPr>
              <w:instrText xml:space="preserve"> PAGEREF _Toc222925473 \h </w:instrText>
            </w:r>
            <w:r>
              <w:rPr>
                <w:noProof/>
                <w:webHidden/>
              </w:rPr>
            </w:r>
            <w:r>
              <w:rPr>
                <w:noProof/>
                <w:webHidden/>
              </w:rPr>
              <w:fldChar w:fldCharType="separate"/>
            </w:r>
            <w:r w:rsidR="00D35DDC">
              <w:rPr>
                <w:noProof/>
                <w:webHidden/>
              </w:rPr>
              <w:t>8</w:t>
            </w:r>
            <w:r>
              <w:rPr>
                <w:noProof/>
                <w:webHidden/>
              </w:rPr>
              <w:fldChar w:fldCharType="end"/>
            </w:r>
          </w:hyperlink>
        </w:p>
        <w:p w14:paraId="2F523A40" w14:textId="507E7A8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4" w:history="1">
            <w:r w:rsidRPr="007A37AB">
              <w:rPr>
                <w:rStyle w:val="Hyperlink"/>
                <w:noProof/>
              </w:rPr>
              <w:t>1.2</w:t>
            </w:r>
            <w:r>
              <w:rPr>
                <w:rFonts w:asciiTheme="minorHAnsi" w:eastAsiaTheme="minorEastAsia" w:hAnsiTheme="minorHAnsi"/>
                <w:noProof/>
                <w:szCs w:val="24"/>
                <w:lang w:eastAsia="en-AU"/>
              </w:rPr>
              <w:tab/>
            </w:r>
            <w:r w:rsidRPr="007A37AB">
              <w:rPr>
                <w:rStyle w:val="Hyperlink"/>
                <w:noProof/>
              </w:rPr>
              <w:t>Value of this Guidebook to different stakeholders</w:t>
            </w:r>
            <w:r>
              <w:rPr>
                <w:noProof/>
                <w:webHidden/>
              </w:rPr>
              <w:tab/>
            </w:r>
            <w:r>
              <w:rPr>
                <w:noProof/>
                <w:webHidden/>
              </w:rPr>
              <w:fldChar w:fldCharType="begin"/>
            </w:r>
            <w:r>
              <w:rPr>
                <w:noProof/>
                <w:webHidden/>
              </w:rPr>
              <w:instrText xml:space="preserve"> PAGEREF _Toc222925474 \h </w:instrText>
            </w:r>
            <w:r>
              <w:rPr>
                <w:noProof/>
                <w:webHidden/>
              </w:rPr>
            </w:r>
            <w:r>
              <w:rPr>
                <w:noProof/>
                <w:webHidden/>
              </w:rPr>
              <w:fldChar w:fldCharType="separate"/>
            </w:r>
            <w:r w:rsidR="00D35DDC">
              <w:rPr>
                <w:noProof/>
                <w:webHidden/>
              </w:rPr>
              <w:t>8</w:t>
            </w:r>
            <w:r>
              <w:rPr>
                <w:noProof/>
                <w:webHidden/>
              </w:rPr>
              <w:fldChar w:fldCharType="end"/>
            </w:r>
          </w:hyperlink>
        </w:p>
        <w:p w14:paraId="009177A1" w14:textId="6953CD02"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5" w:history="1">
            <w:r w:rsidRPr="007A37AB">
              <w:rPr>
                <w:rStyle w:val="Hyperlink"/>
                <w:noProof/>
              </w:rPr>
              <w:t>1.3</w:t>
            </w:r>
            <w:r>
              <w:rPr>
                <w:rFonts w:asciiTheme="minorHAnsi" w:eastAsiaTheme="minorEastAsia" w:hAnsiTheme="minorHAnsi"/>
                <w:noProof/>
                <w:szCs w:val="24"/>
                <w:lang w:eastAsia="en-AU"/>
              </w:rPr>
              <w:tab/>
            </w:r>
            <w:r w:rsidRPr="007A37AB">
              <w:rPr>
                <w:rStyle w:val="Hyperlink"/>
                <w:noProof/>
              </w:rPr>
              <w:t>Pipelines covered by this Guidebook</w:t>
            </w:r>
            <w:r>
              <w:rPr>
                <w:noProof/>
                <w:webHidden/>
              </w:rPr>
              <w:tab/>
            </w:r>
            <w:r>
              <w:rPr>
                <w:noProof/>
                <w:webHidden/>
              </w:rPr>
              <w:fldChar w:fldCharType="begin"/>
            </w:r>
            <w:r>
              <w:rPr>
                <w:noProof/>
                <w:webHidden/>
              </w:rPr>
              <w:instrText xml:space="preserve"> PAGEREF _Toc222925475 \h </w:instrText>
            </w:r>
            <w:r>
              <w:rPr>
                <w:noProof/>
                <w:webHidden/>
              </w:rPr>
            </w:r>
            <w:r>
              <w:rPr>
                <w:noProof/>
                <w:webHidden/>
              </w:rPr>
              <w:fldChar w:fldCharType="separate"/>
            </w:r>
            <w:r w:rsidR="00D35DDC">
              <w:rPr>
                <w:noProof/>
                <w:webHidden/>
              </w:rPr>
              <w:t>9</w:t>
            </w:r>
            <w:r>
              <w:rPr>
                <w:noProof/>
                <w:webHidden/>
              </w:rPr>
              <w:fldChar w:fldCharType="end"/>
            </w:r>
          </w:hyperlink>
        </w:p>
        <w:p w14:paraId="67A70ED0" w14:textId="69D44B43"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6" w:history="1">
            <w:r w:rsidRPr="007A37AB">
              <w:rPr>
                <w:rStyle w:val="Hyperlink"/>
                <w:noProof/>
              </w:rPr>
              <w:t>1.4</w:t>
            </w:r>
            <w:r>
              <w:rPr>
                <w:rFonts w:asciiTheme="minorHAnsi" w:eastAsiaTheme="minorEastAsia" w:hAnsiTheme="minorHAnsi"/>
                <w:noProof/>
                <w:szCs w:val="24"/>
                <w:lang w:eastAsia="en-AU"/>
              </w:rPr>
              <w:tab/>
            </w:r>
            <w:r w:rsidRPr="007A37AB">
              <w:rPr>
                <w:rStyle w:val="Hyperlink"/>
                <w:noProof/>
              </w:rPr>
              <w:t>Relevance of hydrogen properties to regulatory compliance</w:t>
            </w:r>
            <w:r>
              <w:rPr>
                <w:noProof/>
                <w:webHidden/>
              </w:rPr>
              <w:tab/>
            </w:r>
            <w:r>
              <w:rPr>
                <w:noProof/>
                <w:webHidden/>
              </w:rPr>
              <w:fldChar w:fldCharType="begin"/>
            </w:r>
            <w:r>
              <w:rPr>
                <w:noProof/>
                <w:webHidden/>
              </w:rPr>
              <w:instrText xml:space="preserve"> PAGEREF _Toc222925476 \h </w:instrText>
            </w:r>
            <w:r>
              <w:rPr>
                <w:noProof/>
                <w:webHidden/>
              </w:rPr>
            </w:r>
            <w:r>
              <w:rPr>
                <w:noProof/>
                <w:webHidden/>
              </w:rPr>
              <w:fldChar w:fldCharType="separate"/>
            </w:r>
            <w:r w:rsidR="00D35DDC">
              <w:rPr>
                <w:noProof/>
                <w:webHidden/>
              </w:rPr>
              <w:t>10</w:t>
            </w:r>
            <w:r>
              <w:rPr>
                <w:noProof/>
                <w:webHidden/>
              </w:rPr>
              <w:fldChar w:fldCharType="end"/>
            </w:r>
          </w:hyperlink>
        </w:p>
        <w:p w14:paraId="0EF02BAA" w14:textId="26240A02"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7" w:history="1">
            <w:r w:rsidRPr="007A37AB">
              <w:rPr>
                <w:rStyle w:val="Hyperlink"/>
                <w:noProof/>
              </w:rPr>
              <w:t>1.5</w:t>
            </w:r>
            <w:r>
              <w:rPr>
                <w:rFonts w:asciiTheme="minorHAnsi" w:eastAsiaTheme="minorEastAsia" w:hAnsiTheme="minorHAnsi"/>
                <w:noProof/>
                <w:szCs w:val="24"/>
                <w:lang w:eastAsia="en-AU"/>
              </w:rPr>
              <w:tab/>
            </w:r>
            <w:r w:rsidRPr="007A37AB">
              <w:rPr>
                <w:rStyle w:val="Hyperlink"/>
                <w:noProof/>
              </w:rPr>
              <w:t>First Nations</w:t>
            </w:r>
            <w:r>
              <w:rPr>
                <w:noProof/>
                <w:webHidden/>
              </w:rPr>
              <w:tab/>
            </w:r>
            <w:r>
              <w:rPr>
                <w:noProof/>
                <w:webHidden/>
              </w:rPr>
              <w:fldChar w:fldCharType="begin"/>
            </w:r>
            <w:r>
              <w:rPr>
                <w:noProof/>
                <w:webHidden/>
              </w:rPr>
              <w:instrText xml:space="preserve"> PAGEREF _Toc222925477 \h </w:instrText>
            </w:r>
            <w:r>
              <w:rPr>
                <w:noProof/>
                <w:webHidden/>
              </w:rPr>
            </w:r>
            <w:r>
              <w:rPr>
                <w:noProof/>
                <w:webHidden/>
              </w:rPr>
              <w:fldChar w:fldCharType="separate"/>
            </w:r>
            <w:r w:rsidR="00D35DDC">
              <w:rPr>
                <w:noProof/>
                <w:webHidden/>
              </w:rPr>
              <w:t>12</w:t>
            </w:r>
            <w:r>
              <w:rPr>
                <w:noProof/>
                <w:webHidden/>
              </w:rPr>
              <w:fldChar w:fldCharType="end"/>
            </w:r>
          </w:hyperlink>
        </w:p>
        <w:p w14:paraId="2EC7DF7E" w14:textId="609B1523"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478" w:history="1">
            <w:r w:rsidRPr="007A37AB">
              <w:rPr>
                <w:rStyle w:val="Hyperlink"/>
              </w:rPr>
              <w:t>2</w:t>
            </w:r>
            <w:r>
              <w:rPr>
                <w:rFonts w:asciiTheme="minorHAnsi" w:eastAsiaTheme="minorEastAsia" w:hAnsiTheme="minorHAnsi" w:cstheme="minorBidi"/>
                <w:kern w:val="2"/>
                <w:szCs w:val="24"/>
                <w:lang w:val="en-AU" w:eastAsia="en-AU"/>
                <w14:ligatures w14:val="standardContextual"/>
              </w:rPr>
              <w:tab/>
            </w:r>
            <w:r w:rsidRPr="007A37AB">
              <w:rPr>
                <w:rStyle w:val="Hyperlink"/>
              </w:rPr>
              <w:t>Chapter 2 – Existing technical guidance relevant to hydrogen pipelines</w:t>
            </w:r>
            <w:r>
              <w:rPr>
                <w:webHidden/>
              </w:rPr>
              <w:tab/>
            </w:r>
            <w:r>
              <w:rPr>
                <w:webHidden/>
              </w:rPr>
              <w:fldChar w:fldCharType="begin"/>
            </w:r>
            <w:r>
              <w:rPr>
                <w:webHidden/>
              </w:rPr>
              <w:instrText xml:space="preserve"> PAGEREF _Toc222925478 \h </w:instrText>
            </w:r>
            <w:r>
              <w:rPr>
                <w:webHidden/>
              </w:rPr>
            </w:r>
            <w:r>
              <w:rPr>
                <w:webHidden/>
              </w:rPr>
              <w:fldChar w:fldCharType="separate"/>
            </w:r>
            <w:r w:rsidR="00D35DDC">
              <w:rPr>
                <w:webHidden/>
              </w:rPr>
              <w:t>14</w:t>
            </w:r>
            <w:r>
              <w:rPr>
                <w:webHidden/>
              </w:rPr>
              <w:fldChar w:fldCharType="end"/>
            </w:r>
          </w:hyperlink>
        </w:p>
        <w:p w14:paraId="44D5AA3B" w14:textId="282C78D9"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79" w:history="1">
            <w:r w:rsidRPr="007A37AB">
              <w:rPr>
                <w:rStyle w:val="Hyperlink"/>
                <w:noProof/>
              </w:rPr>
              <w:t>2.1</w:t>
            </w:r>
            <w:r>
              <w:rPr>
                <w:rFonts w:asciiTheme="minorHAnsi" w:eastAsiaTheme="minorEastAsia" w:hAnsiTheme="minorHAnsi"/>
                <w:noProof/>
                <w:szCs w:val="24"/>
                <w:lang w:eastAsia="en-AU"/>
              </w:rPr>
              <w:tab/>
            </w:r>
            <w:r w:rsidRPr="007A37AB">
              <w:rPr>
                <w:rStyle w:val="Hyperlink"/>
                <w:noProof/>
              </w:rPr>
              <w:t>Outline of hydrogen properties</w:t>
            </w:r>
            <w:r>
              <w:rPr>
                <w:noProof/>
                <w:webHidden/>
              </w:rPr>
              <w:tab/>
            </w:r>
            <w:r>
              <w:rPr>
                <w:noProof/>
                <w:webHidden/>
              </w:rPr>
              <w:fldChar w:fldCharType="begin"/>
            </w:r>
            <w:r>
              <w:rPr>
                <w:noProof/>
                <w:webHidden/>
              </w:rPr>
              <w:instrText xml:space="preserve"> PAGEREF _Toc222925479 \h </w:instrText>
            </w:r>
            <w:r>
              <w:rPr>
                <w:noProof/>
                <w:webHidden/>
              </w:rPr>
            </w:r>
            <w:r>
              <w:rPr>
                <w:noProof/>
                <w:webHidden/>
              </w:rPr>
              <w:fldChar w:fldCharType="separate"/>
            </w:r>
            <w:r w:rsidR="00D35DDC">
              <w:rPr>
                <w:noProof/>
                <w:webHidden/>
              </w:rPr>
              <w:t>14</w:t>
            </w:r>
            <w:r>
              <w:rPr>
                <w:noProof/>
                <w:webHidden/>
              </w:rPr>
              <w:fldChar w:fldCharType="end"/>
            </w:r>
          </w:hyperlink>
        </w:p>
        <w:p w14:paraId="53F081E2" w14:textId="1BED2F1E"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0" w:history="1">
            <w:r w:rsidRPr="007A37AB">
              <w:rPr>
                <w:rStyle w:val="Hyperlink"/>
                <w:noProof/>
              </w:rPr>
              <w:t>2.2</w:t>
            </w:r>
            <w:r>
              <w:rPr>
                <w:rFonts w:asciiTheme="minorHAnsi" w:eastAsiaTheme="minorEastAsia" w:hAnsiTheme="minorHAnsi"/>
                <w:noProof/>
                <w:szCs w:val="24"/>
                <w:lang w:eastAsia="en-AU"/>
              </w:rPr>
              <w:tab/>
            </w:r>
            <w:r w:rsidRPr="007A37AB">
              <w:rPr>
                <w:rStyle w:val="Hyperlink"/>
                <w:noProof/>
              </w:rPr>
              <w:t>Hydrogen standards</w:t>
            </w:r>
            <w:r>
              <w:rPr>
                <w:noProof/>
                <w:webHidden/>
              </w:rPr>
              <w:tab/>
            </w:r>
            <w:r>
              <w:rPr>
                <w:noProof/>
                <w:webHidden/>
              </w:rPr>
              <w:fldChar w:fldCharType="begin"/>
            </w:r>
            <w:r>
              <w:rPr>
                <w:noProof/>
                <w:webHidden/>
              </w:rPr>
              <w:instrText xml:space="preserve"> PAGEREF _Toc222925480 \h </w:instrText>
            </w:r>
            <w:r>
              <w:rPr>
                <w:noProof/>
                <w:webHidden/>
              </w:rPr>
            </w:r>
            <w:r>
              <w:rPr>
                <w:noProof/>
                <w:webHidden/>
              </w:rPr>
              <w:fldChar w:fldCharType="separate"/>
            </w:r>
            <w:r w:rsidR="00D35DDC">
              <w:rPr>
                <w:noProof/>
                <w:webHidden/>
              </w:rPr>
              <w:t>14</w:t>
            </w:r>
            <w:r>
              <w:rPr>
                <w:noProof/>
                <w:webHidden/>
              </w:rPr>
              <w:fldChar w:fldCharType="end"/>
            </w:r>
          </w:hyperlink>
        </w:p>
        <w:p w14:paraId="4CB39CE2" w14:textId="1BD7F5D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1" w:history="1">
            <w:r w:rsidRPr="007A37AB">
              <w:rPr>
                <w:rStyle w:val="Hyperlink"/>
                <w:noProof/>
              </w:rPr>
              <w:t>2.3</w:t>
            </w:r>
            <w:r>
              <w:rPr>
                <w:rFonts w:asciiTheme="minorHAnsi" w:eastAsiaTheme="minorEastAsia" w:hAnsiTheme="minorHAnsi"/>
                <w:noProof/>
                <w:szCs w:val="24"/>
                <w:lang w:eastAsia="en-AU"/>
              </w:rPr>
              <w:tab/>
            </w:r>
            <w:r w:rsidRPr="007A37AB">
              <w:rPr>
                <w:rStyle w:val="Hyperlink"/>
                <w:noProof/>
              </w:rPr>
              <w:t>APGA Code of Practice</w:t>
            </w:r>
            <w:r>
              <w:rPr>
                <w:noProof/>
                <w:webHidden/>
              </w:rPr>
              <w:tab/>
            </w:r>
            <w:r>
              <w:rPr>
                <w:noProof/>
                <w:webHidden/>
              </w:rPr>
              <w:fldChar w:fldCharType="begin"/>
            </w:r>
            <w:r>
              <w:rPr>
                <w:noProof/>
                <w:webHidden/>
              </w:rPr>
              <w:instrText xml:space="preserve"> PAGEREF _Toc222925481 \h </w:instrText>
            </w:r>
            <w:r>
              <w:rPr>
                <w:noProof/>
                <w:webHidden/>
              </w:rPr>
            </w:r>
            <w:r>
              <w:rPr>
                <w:noProof/>
                <w:webHidden/>
              </w:rPr>
              <w:fldChar w:fldCharType="separate"/>
            </w:r>
            <w:r w:rsidR="00D35DDC">
              <w:rPr>
                <w:noProof/>
                <w:webHidden/>
              </w:rPr>
              <w:t>16</w:t>
            </w:r>
            <w:r>
              <w:rPr>
                <w:noProof/>
                <w:webHidden/>
              </w:rPr>
              <w:fldChar w:fldCharType="end"/>
            </w:r>
          </w:hyperlink>
        </w:p>
        <w:p w14:paraId="21966584" w14:textId="2D8D112B"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2" w:history="1">
            <w:r w:rsidRPr="007A37AB">
              <w:rPr>
                <w:rStyle w:val="Hyperlink"/>
                <w:noProof/>
              </w:rPr>
              <w:t>2.4</w:t>
            </w:r>
            <w:r>
              <w:rPr>
                <w:rFonts w:asciiTheme="minorHAnsi" w:eastAsiaTheme="minorEastAsia" w:hAnsiTheme="minorHAnsi"/>
                <w:noProof/>
                <w:szCs w:val="24"/>
                <w:lang w:eastAsia="en-AU"/>
              </w:rPr>
              <w:tab/>
            </w:r>
            <w:r w:rsidRPr="007A37AB">
              <w:rPr>
                <w:rStyle w:val="Hyperlink"/>
                <w:noProof/>
              </w:rPr>
              <w:t>Hazardous Area Classification for hydrogen pipelines</w:t>
            </w:r>
            <w:r>
              <w:rPr>
                <w:noProof/>
                <w:webHidden/>
              </w:rPr>
              <w:tab/>
            </w:r>
            <w:r>
              <w:rPr>
                <w:noProof/>
                <w:webHidden/>
              </w:rPr>
              <w:fldChar w:fldCharType="begin"/>
            </w:r>
            <w:r>
              <w:rPr>
                <w:noProof/>
                <w:webHidden/>
              </w:rPr>
              <w:instrText xml:space="preserve"> PAGEREF _Toc222925482 \h </w:instrText>
            </w:r>
            <w:r>
              <w:rPr>
                <w:noProof/>
                <w:webHidden/>
              </w:rPr>
            </w:r>
            <w:r>
              <w:rPr>
                <w:noProof/>
                <w:webHidden/>
              </w:rPr>
              <w:fldChar w:fldCharType="separate"/>
            </w:r>
            <w:r w:rsidR="00D35DDC">
              <w:rPr>
                <w:noProof/>
                <w:webHidden/>
              </w:rPr>
              <w:t>16</w:t>
            </w:r>
            <w:r>
              <w:rPr>
                <w:noProof/>
                <w:webHidden/>
              </w:rPr>
              <w:fldChar w:fldCharType="end"/>
            </w:r>
          </w:hyperlink>
        </w:p>
        <w:p w14:paraId="21C14382" w14:textId="64926F8F"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483" w:history="1">
            <w:r w:rsidRPr="007A37AB">
              <w:rPr>
                <w:rStyle w:val="Hyperlink"/>
              </w:rPr>
              <w:t>3</w:t>
            </w:r>
            <w:r>
              <w:rPr>
                <w:rFonts w:asciiTheme="minorHAnsi" w:eastAsiaTheme="minorEastAsia" w:hAnsiTheme="minorHAnsi" w:cstheme="minorBidi"/>
                <w:kern w:val="2"/>
                <w:szCs w:val="24"/>
                <w:lang w:val="en-AU" w:eastAsia="en-AU"/>
                <w14:ligatures w14:val="standardContextual"/>
              </w:rPr>
              <w:tab/>
            </w:r>
            <w:r w:rsidRPr="007A37AB">
              <w:rPr>
                <w:rStyle w:val="Hyperlink"/>
              </w:rPr>
              <w:t>Chapter 3 – Regulation of new vs repurposing existing pipelines</w:t>
            </w:r>
            <w:r>
              <w:rPr>
                <w:webHidden/>
              </w:rPr>
              <w:tab/>
            </w:r>
            <w:r>
              <w:rPr>
                <w:webHidden/>
              </w:rPr>
              <w:fldChar w:fldCharType="begin"/>
            </w:r>
            <w:r>
              <w:rPr>
                <w:webHidden/>
              </w:rPr>
              <w:instrText xml:space="preserve"> PAGEREF _Toc222925483 \h </w:instrText>
            </w:r>
            <w:r>
              <w:rPr>
                <w:webHidden/>
              </w:rPr>
            </w:r>
            <w:r>
              <w:rPr>
                <w:webHidden/>
              </w:rPr>
              <w:fldChar w:fldCharType="separate"/>
            </w:r>
            <w:r w:rsidR="00D35DDC">
              <w:rPr>
                <w:webHidden/>
              </w:rPr>
              <w:t>18</w:t>
            </w:r>
            <w:r>
              <w:rPr>
                <w:webHidden/>
              </w:rPr>
              <w:fldChar w:fldCharType="end"/>
            </w:r>
          </w:hyperlink>
        </w:p>
        <w:p w14:paraId="0E47A1CE" w14:textId="71B601CF"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4" w:history="1">
            <w:r w:rsidRPr="007A37AB">
              <w:rPr>
                <w:rStyle w:val="Hyperlink"/>
                <w:noProof/>
              </w:rPr>
              <w:t>3.1</w:t>
            </w:r>
            <w:r>
              <w:rPr>
                <w:rFonts w:asciiTheme="minorHAnsi" w:eastAsiaTheme="minorEastAsia" w:hAnsiTheme="minorHAnsi"/>
                <w:noProof/>
                <w:szCs w:val="24"/>
                <w:lang w:eastAsia="en-AU"/>
              </w:rPr>
              <w:tab/>
            </w:r>
            <w:r w:rsidRPr="007A37AB">
              <w:rPr>
                <w:rStyle w:val="Hyperlink"/>
                <w:noProof/>
              </w:rPr>
              <w:t>National regulation of access, competition and security</w:t>
            </w:r>
            <w:r>
              <w:rPr>
                <w:noProof/>
                <w:webHidden/>
              </w:rPr>
              <w:tab/>
            </w:r>
            <w:r>
              <w:rPr>
                <w:noProof/>
                <w:webHidden/>
              </w:rPr>
              <w:fldChar w:fldCharType="begin"/>
            </w:r>
            <w:r>
              <w:rPr>
                <w:noProof/>
                <w:webHidden/>
              </w:rPr>
              <w:instrText xml:space="preserve"> PAGEREF _Toc222925484 \h </w:instrText>
            </w:r>
            <w:r>
              <w:rPr>
                <w:noProof/>
                <w:webHidden/>
              </w:rPr>
            </w:r>
            <w:r>
              <w:rPr>
                <w:noProof/>
                <w:webHidden/>
              </w:rPr>
              <w:fldChar w:fldCharType="separate"/>
            </w:r>
            <w:r w:rsidR="00D35DDC">
              <w:rPr>
                <w:noProof/>
                <w:webHidden/>
              </w:rPr>
              <w:t>19</w:t>
            </w:r>
            <w:r>
              <w:rPr>
                <w:noProof/>
                <w:webHidden/>
              </w:rPr>
              <w:fldChar w:fldCharType="end"/>
            </w:r>
          </w:hyperlink>
        </w:p>
        <w:p w14:paraId="6D170B90" w14:textId="68539CF9"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5" w:history="1">
            <w:r w:rsidRPr="007A37AB">
              <w:rPr>
                <w:rStyle w:val="Hyperlink"/>
                <w:noProof/>
              </w:rPr>
              <w:t>3.2</w:t>
            </w:r>
            <w:r>
              <w:rPr>
                <w:rFonts w:asciiTheme="minorHAnsi" w:eastAsiaTheme="minorEastAsia" w:hAnsiTheme="minorHAnsi"/>
                <w:noProof/>
                <w:szCs w:val="24"/>
                <w:lang w:eastAsia="en-AU"/>
              </w:rPr>
              <w:tab/>
            </w:r>
            <w:r w:rsidRPr="007A37AB">
              <w:rPr>
                <w:rStyle w:val="Hyperlink"/>
                <w:noProof/>
              </w:rPr>
              <w:t>Work Health and Safety</w:t>
            </w:r>
            <w:r>
              <w:rPr>
                <w:noProof/>
                <w:webHidden/>
              </w:rPr>
              <w:tab/>
            </w:r>
            <w:r>
              <w:rPr>
                <w:noProof/>
                <w:webHidden/>
              </w:rPr>
              <w:fldChar w:fldCharType="begin"/>
            </w:r>
            <w:r>
              <w:rPr>
                <w:noProof/>
                <w:webHidden/>
              </w:rPr>
              <w:instrText xml:space="preserve"> PAGEREF _Toc222925485 \h </w:instrText>
            </w:r>
            <w:r>
              <w:rPr>
                <w:noProof/>
                <w:webHidden/>
              </w:rPr>
            </w:r>
            <w:r>
              <w:rPr>
                <w:noProof/>
                <w:webHidden/>
              </w:rPr>
              <w:fldChar w:fldCharType="separate"/>
            </w:r>
            <w:r w:rsidR="00D35DDC">
              <w:rPr>
                <w:noProof/>
                <w:webHidden/>
              </w:rPr>
              <w:t>19</w:t>
            </w:r>
            <w:r>
              <w:rPr>
                <w:noProof/>
                <w:webHidden/>
              </w:rPr>
              <w:fldChar w:fldCharType="end"/>
            </w:r>
          </w:hyperlink>
        </w:p>
        <w:p w14:paraId="28238834" w14:textId="7A418688"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6" w:history="1">
            <w:r w:rsidRPr="007A37AB">
              <w:rPr>
                <w:rStyle w:val="Hyperlink"/>
                <w:noProof/>
              </w:rPr>
              <w:t>3.3</w:t>
            </w:r>
            <w:r>
              <w:rPr>
                <w:rFonts w:asciiTheme="minorHAnsi" w:eastAsiaTheme="minorEastAsia" w:hAnsiTheme="minorHAnsi"/>
                <w:noProof/>
                <w:szCs w:val="24"/>
                <w:lang w:eastAsia="en-AU"/>
              </w:rPr>
              <w:tab/>
            </w:r>
            <w:r w:rsidRPr="007A37AB">
              <w:rPr>
                <w:rStyle w:val="Hyperlink"/>
                <w:noProof/>
              </w:rPr>
              <w:t>Planning, environment, native title and cultural heritage obligations for repurposing pipelines</w:t>
            </w:r>
            <w:r>
              <w:rPr>
                <w:noProof/>
                <w:webHidden/>
              </w:rPr>
              <w:tab/>
            </w:r>
            <w:r>
              <w:rPr>
                <w:noProof/>
                <w:webHidden/>
              </w:rPr>
              <w:fldChar w:fldCharType="begin"/>
            </w:r>
            <w:r>
              <w:rPr>
                <w:noProof/>
                <w:webHidden/>
              </w:rPr>
              <w:instrText xml:space="preserve"> PAGEREF _Toc222925486 \h </w:instrText>
            </w:r>
            <w:r>
              <w:rPr>
                <w:noProof/>
                <w:webHidden/>
              </w:rPr>
            </w:r>
            <w:r>
              <w:rPr>
                <w:noProof/>
                <w:webHidden/>
              </w:rPr>
              <w:fldChar w:fldCharType="separate"/>
            </w:r>
            <w:r w:rsidR="00D35DDC">
              <w:rPr>
                <w:noProof/>
                <w:webHidden/>
              </w:rPr>
              <w:t>20</w:t>
            </w:r>
            <w:r>
              <w:rPr>
                <w:noProof/>
                <w:webHidden/>
              </w:rPr>
              <w:fldChar w:fldCharType="end"/>
            </w:r>
          </w:hyperlink>
        </w:p>
        <w:p w14:paraId="762CF426" w14:textId="41023151"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7" w:history="1">
            <w:r w:rsidRPr="007A37AB">
              <w:rPr>
                <w:rStyle w:val="Hyperlink"/>
                <w:noProof/>
              </w:rPr>
              <w:t>3.4</w:t>
            </w:r>
            <w:r>
              <w:rPr>
                <w:rFonts w:asciiTheme="minorHAnsi" w:eastAsiaTheme="minorEastAsia" w:hAnsiTheme="minorHAnsi"/>
                <w:noProof/>
                <w:szCs w:val="24"/>
                <w:lang w:eastAsia="en-AU"/>
              </w:rPr>
              <w:tab/>
            </w:r>
            <w:r w:rsidRPr="007A37AB">
              <w:rPr>
                <w:rStyle w:val="Hyperlink"/>
                <w:noProof/>
              </w:rPr>
              <w:t>Codes and standards relating to repurposing</w:t>
            </w:r>
            <w:r>
              <w:rPr>
                <w:noProof/>
                <w:webHidden/>
              </w:rPr>
              <w:tab/>
            </w:r>
            <w:r>
              <w:rPr>
                <w:noProof/>
                <w:webHidden/>
              </w:rPr>
              <w:fldChar w:fldCharType="begin"/>
            </w:r>
            <w:r>
              <w:rPr>
                <w:noProof/>
                <w:webHidden/>
              </w:rPr>
              <w:instrText xml:space="preserve"> PAGEREF _Toc222925487 \h </w:instrText>
            </w:r>
            <w:r>
              <w:rPr>
                <w:noProof/>
                <w:webHidden/>
              </w:rPr>
            </w:r>
            <w:r>
              <w:rPr>
                <w:noProof/>
                <w:webHidden/>
              </w:rPr>
              <w:fldChar w:fldCharType="separate"/>
            </w:r>
            <w:r w:rsidR="00D35DDC">
              <w:rPr>
                <w:noProof/>
                <w:webHidden/>
              </w:rPr>
              <w:t>21</w:t>
            </w:r>
            <w:r>
              <w:rPr>
                <w:noProof/>
                <w:webHidden/>
              </w:rPr>
              <w:fldChar w:fldCharType="end"/>
            </w:r>
          </w:hyperlink>
        </w:p>
        <w:p w14:paraId="359F5E06" w14:textId="60EC00E2"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88" w:history="1">
            <w:r w:rsidRPr="007A37AB">
              <w:rPr>
                <w:rStyle w:val="Hyperlink"/>
                <w:noProof/>
              </w:rPr>
              <w:t>3.5</w:t>
            </w:r>
            <w:r>
              <w:rPr>
                <w:rFonts w:asciiTheme="minorHAnsi" w:eastAsiaTheme="minorEastAsia" w:hAnsiTheme="minorHAnsi"/>
                <w:noProof/>
                <w:szCs w:val="24"/>
                <w:lang w:eastAsia="en-AU"/>
              </w:rPr>
              <w:tab/>
            </w:r>
            <w:r w:rsidRPr="007A37AB">
              <w:rPr>
                <w:rStyle w:val="Hyperlink"/>
                <w:noProof/>
              </w:rPr>
              <w:t>Requalification process</w:t>
            </w:r>
            <w:r>
              <w:rPr>
                <w:noProof/>
                <w:webHidden/>
              </w:rPr>
              <w:tab/>
            </w:r>
            <w:r>
              <w:rPr>
                <w:noProof/>
                <w:webHidden/>
              </w:rPr>
              <w:fldChar w:fldCharType="begin"/>
            </w:r>
            <w:r>
              <w:rPr>
                <w:noProof/>
                <w:webHidden/>
              </w:rPr>
              <w:instrText xml:space="preserve"> PAGEREF _Toc222925488 \h </w:instrText>
            </w:r>
            <w:r>
              <w:rPr>
                <w:noProof/>
                <w:webHidden/>
              </w:rPr>
            </w:r>
            <w:r>
              <w:rPr>
                <w:noProof/>
                <w:webHidden/>
              </w:rPr>
              <w:fldChar w:fldCharType="separate"/>
            </w:r>
            <w:r w:rsidR="00D35DDC">
              <w:rPr>
                <w:noProof/>
                <w:webHidden/>
              </w:rPr>
              <w:t>22</w:t>
            </w:r>
            <w:r>
              <w:rPr>
                <w:noProof/>
                <w:webHidden/>
              </w:rPr>
              <w:fldChar w:fldCharType="end"/>
            </w:r>
          </w:hyperlink>
        </w:p>
        <w:p w14:paraId="3DE6EEB6" w14:textId="4020C467"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489" w:history="1">
            <w:r w:rsidRPr="007A37AB">
              <w:rPr>
                <w:rStyle w:val="Hyperlink"/>
              </w:rPr>
              <w:t>4</w:t>
            </w:r>
            <w:r>
              <w:rPr>
                <w:rFonts w:asciiTheme="minorHAnsi" w:eastAsiaTheme="minorEastAsia" w:hAnsiTheme="minorHAnsi" w:cstheme="minorBidi"/>
                <w:kern w:val="2"/>
                <w:szCs w:val="24"/>
                <w:lang w:val="en-AU" w:eastAsia="en-AU"/>
                <w14:ligatures w14:val="standardContextual"/>
              </w:rPr>
              <w:tab/>
            </w:r>
            <w:r w:rsidRPr="007A37AB">
              <w:rPr>
                <w:rStyle w:val="Hyperlink"/>
              </w:rPr>
              <w:t>Chapter 4 – National regulation of access, competition and security</w:t>
            </w:r>
            <w:r>
              <w:rPr>
                <w:webHidden/>
              </w:rPr>
              <w:tab/>
            </w:r>
            <w:r>
              <w:rPr>
                <w:webHidden/>
              </w:rPr>
              <w:fldChar w:fldCharType="begin"/>
            </w:r>
            <w:r>
              <w:rPr>
                <w:webHidden/>
              </w:rPr>
              <w:instrText xml:space="preserve"> PAGEREF _Toc222925489 \h </w:instrText>
            </w:r>
            <w:r>
              <w:rPr>
                <w:webHidden/>
              </w:rPr>
            </w:r>
            <w:r>
              <w:rPr>
                <w:webHidden/>
              </w:rPr>
              <w:fldChar w:fldCharType="separate"/>
            </w:r>
            <w:r w:rsidR="00D35DDC">
              <w:rPr>
                <w:webHidden/>
              </w:rPr>
              <w:t>24</w:t>
            </w:r>
            <w:r>
              <w:rPr>
                <w:webHidden/>
              </w:rPr>
              <w:fldChar w:fldCharType="end"/>
            </w:r>
          </w:hyperlink>
        </w:p>
        <w:p w14:paraId="5F60907C" w14:textId="6E84346E"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0" w:history="1">
            <w:r w:rsidRPr="007A37AB">
              <w:rPr>
                <w:rStyle w:val="Hyperlink"/>
                <w:noProof/>
              </w:rPr>
              <w:t>4.1</w:t>
            </w:r>
            <w:r>
              <w:rPr>
                <w:rFonts w:asciiTheme="minorHAnsi" w:eastAsiaTheme="minorEastAsia" w:hAnsiTheme="minorHAnsi"/>
                <w:noProof/>
                <w:szCs w:val="24"/>
                <w:lang w:eastAsia="en-AU"/>
              </w:rPr>
              <w:tab/>
            </w:r>
            <w:r w:rsidRPr="007A37AB">
              <w:rPr>
                <w:rStyle w:val="Hyperlink"/>
                <w:noProof/>
              </w:rPr>
              <w:t>Overview of the National Gas Law and National Energy Retail Law</w:t>
            </w:r>
            <w:r>
              <w:rPr>
                <w:noProof/>
                <w:webHidden/>
              </w:rPr>
              <w:tab/>
            </w:r>
            <w:r>
              <w:rPr>
                <w:noProof/>
                <w:webHidden/>
              </w:rPr>
              <w:fldChar w:fldCharType="begin"/>
            </w:r>
            <w:r>
              <w:rPr>
                <w:noProof/>
                <w:webHidden/>
              </w:rPr>
              <w:instrText xml:space="preserve"> PAGEREF _Toc222925490 \h </w:instrText>
            </w:r>
            <w:r>
              <w:rPr>
                <w:noProof/>
                <w:webHidden/>
              </w:rPr>
            </w:r>
            <w:r>
              <w:rPr>
                <w:noProof/>
                <w:webHidden/>
              </w:rPr>
              <w:fldChar w:fldCharType="separate"/>
            </w:r>
            <w:r w:rsidR="00D35DDC">
              <w:rPr>
                <w:noProof/>
                <w:webHidden/>
              </w:rPr>
              <w:t>24</w:t>
            </w:r>
            <w:r>
              <w:rPr>
                <w:noProof/>
                <w:webHidden/>
              </w:rPr>
              <w:fldChar w:fldCharType="end"/>
            </w:r>
          </w:hyperlink>
        </w:p>
        <w:p w14:paraId="1693D31F" w14:textId="7E84FDE7"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1" w:history="1">
            <w:r w:rsidRPr="007A37AB">
              <w:rPr>
                <w:rStyle w:val="Hyperlink"/>
                <w:noProof/>
              </w:rPr>
              <w:t>4.2</w:t>
            </w:r>
            <w:r>
              <w:rPr>
                <w:rFonts w:asciiTheme="minorHAnsi" w:eastAsiaTheme="minorEastAsia" w:hAnsiTheme="minorHAnsi"/>
                <w:noProof/>
                <w:szCs w:val="24"/>
                <w:lang w:eastAsia="en-AU"/>
              </w:rPr>
              <w:tab/>
            </w:r>
            <w:r w:rsidRPr="007A37AB">
              <w:rPr>
                <w:rStyle w:val="Hyperlink"/>
                <w:noProof/>
              </w:rPr>
              <w:t>National energy institutions</w:t>
            </w:r>
            <w:r>
              <w:rPr>
                <w:noProof/>
                <w:webHidden/>
              </w:rPr>
              <w:tab/>
            </w:r>
            <w:r>
              <w:rPr>
                <w:noProof/>
                <w:webHidden/>
              </w:rPr>
              <w:fldChar w:fldCharType="begin"/>
            </w:r>
            <w:r>
              <w:rPr>
                <w:noProof/>
                <w:webHidden/>
              </w:rPr>
              <w:instrText xml:space="preserve"> PAGEREF _Toc222925491 \h </w:instrText>
            </w:r>
            <w:r>
              <w:rPr>
                <w:noProof/>
                <w:webHidden/>
              </w:rPr>
            </w:r>
            <w:r>
              <w:rPr>
                <w:noProof/>
                <w:webHidden/>
              </w:rPr>
              <w:fldChar w:fldCharType="separate"/>
            </w:r>
            <w:r w:rsidR="00D35DDC">
              <w:rPr>
                <w:noProof/>
                <w:webHidden/>
              </w:rPr>
              <w:t>25</w:t>
            </w:r>
            <w:r>
              <w:rPr>
                <w:noProof/>
                <w:webHidden/>
              </w:rPr>
              <w:fldChar w:fldCharType="end"/>
            </w:r>
          </w:hyperlink>
        </w:p>
        <w:p w14:paraId="4016F938" w14:textId="573608DD"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2" w:history="1">
            <w:r w:rsidRPr="007A37AB">
              <w:rPr>
                <w:rStyle w:val="Hyperlink"/>
                <w:noProof/>
              </w:rPr>
              <w:t>4.3</w:t>
            </w:r>
            <w:r>
              <w:rPr>
                <w:rFonts w:asciiTheme="minorHAnsi" w:eastAsiaTheme="minorEastAsia" w:hAnsiTheme="minorHAnsi"/>
                <w:noProof/>
                <w:szCs w:val="24"/>
                <w:lang w:eastAsia="en-AU"/>
              </w:rPr>
              <w:tab/>
            </w:r>
            <w:r w:rsidRPr="007A37AB">
              <w:rPr>
                <w:rStyle w:val="Hyperlink"/>
                <w:noProof/>
              </w:rPr>
              <w:t>Application of the NGL and NGR to hydrogen pipelines</w:t>
            </w:r>
            <w:r>
              <w:rPr>
                <w:noProof/>
                <w:webHidden/>
              </w:rPr>
              <w:tab/>
            </w:r>
            <w:r>
              <w:rPr>
                <w:noProof/>
                <w:webHidden/>
              </w:rPr>
              <w:fldChar w:fldCharType="begin"/>
            </w:r>
            <w:r>
              <w:rPr>
                <w:noProof/>
                <w:webHidden/>
              </w:rPr>
              <w:instrText xml:space="preserve"> PAGEREF _Toc222925492 \h </w:instrText>
            </w:r>
            <w:r>
              <w:rPr>
                <w:noProof/>
                <w:webHidden/>
              </w:rPr>
            </w:r>
            <w:r>
              <w:rPr>
                <w:noProof/>
                <w:webHidden/>
              </w:rPr>
              <w:fldChar w:fldCharType="separate"/>
            </w:r>
            <w:r w:rsidR="00D35DDC">
              <w:rPr>
                <w:noProof/>
                <w:webHidden/>
              </w:rPr>
              <w:t>26</w:t>
            </w:r>
            <w:r>
              <w:rPr>
                <w:noProof/>
                <w:webHidden/>
              </w:rPr>
              <w:fldChar w:fldCharType="end"/>
            </w:r>
          </w:hyperlink>
        </w:p>
        <w:p w14:paraId="4C63B295" w14:textId="253C0287"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3" w:history="1">
            <w:r w:rsidRPr="007A37AB">
              <w:rPr>
                <w:rStyle w:val="Hyperlink"/>
                <w:noProof/>
              </w:rPr>
              <w:t>4.4</w:t>
            </w:r>
            <w:r>
              <w:rPr>
                <w:rFonts w:asciiTheme="minorHAnsi" w:eastAsiaTheme="minorEastAsia" w:hAnsiTheme="minorHAnsi"/>
                <w:noProof/>
                <w:szCs w:val="24"/>
                <w:lang w:eastAsia="en-AU"/>
              </w:rPr>
              <w:tab/>
            </w:r>
            <w:r w:rsidRPr="007A37AB">
              <w:rPr>
                <w:rStyle w:val="Hyperlink"/>
                <w:i/>
                <w:noProof/>
              </w:rPr>
              <w:t>Competition and Consumer Act 2010</w:t>
            </w:r>
            <w:r w:rsidRPr="007A37AB">
              <w:rPr>
                <w:rStyle w:val="Hyperlink"/>
                <w:noProof/>
              </w:rPr>
              <w:t xml:space="preserve"> (Cth) and the Australian Competition and Consumer Commission (ACCC)</w:t>
            </w:r>
            <w:r>
              <w:rPr>
                <w:noProof/>
                <w:webHidden/>
              </w:rPr>
              <w:tab/>
            </w:r>
            <w:r>
              <w:rPr>
                <w:noProof/>
                <w:webHidden/>
              </w:rPr>
              <w:fldChar w:fldCharType="begin"/>
            </w:r>
            <w:r>
              <w:rPr>
                <w:noProof/>
                <w:webHidden/>
              </w:rPr>
              <w:instrText xml:space="preserve"> PAGEREF _Toc222925493 \h </w:instrText>
            </w:r>
            <w:r>
              <w:rPr>
                <w:noProof/>
                <w:webHidden/>
              </w:rPr>
            </w:r>
            <w:r>
              <w:rPr>
                <w:noProof/>
                <w:webHidden/>
              </w:rPr>
              <w:fldChar w:fldCharType="separate"/>
            </w:r>
            <w:r w:rsidR="00D35DDC">
              <w:rPr>
                <w:noProof/>
                <w:webHidden/>
              </w:rPr>
              <w:t>29</w:t>
            </w:r>
            <w:r>
              <w:rPr>
                <w:noProof/>
                <w:webHidden/>
              </w:rPr>
              <w:fldChar w:fldCharType="end"/>
            </w:r>
          </w:hyperlink>
        </w:p>
        <w:p w14:paraId="27C6E4C8" w14:textId="65557632"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4" w:history="1">
            <w:r w:rsidRPr="007A37AB">
              <w:rPr>
                <w:rStyle w:val="Hyperlink"/>
                <w:noProof/>
              </w:rPr>
              <w:t>4.5</w:t>
            </w:r>
            <w:r>
              <w:rPr>
                <w:rFonts w:asciiTheme="minorHAnsi" w:eastAsiaTheme="minorEastAsia" w:hAnsiTheme="minorHAnsi"/>
                <w:noProof/>
                <w:szCs w:val="24"/>
                <w:lang w:eastAsia="en-AU"/>
              </w:rPr>
              <w:tab/>
            </w:r>
            <w:r w:rsidRPr="007A37AB">
              <w:rPr>
                <w:rStyle w:val="Hyperlink"/>
                <w:noProof/>
              </w:rPr>
              <w:t xml:space="preserve">Protection of critical infrastructure </w:t>
            </w:r>
            <w:r w:rsidRPr="007A37AB">
              <w:rPr>
                <w:rStyle w:val="Hyperlink"/>
                <w:i/>
                <w:noProof/>
              </w:rPr>
              <w:t xml:space="preserve">Security of Critical Infrastructure Act 2018 </w:t>
            </w:r>
            <w:r w:rsidRPr="007A37AB">
              <w:rPr>
                <w:rStyle w:val="Hyperlink"/>
                <w:noProof/>
              </w:rPr>
              <w:t>(Cth)(SOCI Act) and the Critical Infrastructure Security Centre (CISC).</w:t>
            </w:r>
            <w:r>
              <w:rPr>
                <w:noProof/>
                <w:webHidden/>
              </w:rPr>
              <w:tab/>
            </w:r>
            <w:r>
              <w:rPr>
                <w:noProof/>
                <w:webHidden/>
              </w:rPr>
              <w:fldChar w:fldCharType="begin"/>
            </w:r>
            <w:r>
              <w:rPr>
                <w:noProof/>
                <w:webHidden/>
              </w:rPr>
              <w:instrText xml:space="preserve"> PAGEREF _Toc222925494 \h </w:instrText>
            </w:r>
            <w:r>
              <w:rPr>
                <w:noProof/>
                <w:webHidden/>
              </w:rPr>
            </w:r>
            <w:r>
              <w:rPr>
                <w:noProof/>
                <w:webHidden/>
              </w:rPr>
              <w:fldChar w:fldCharType="separate"/>
            </w:r>
            <w:r w:rsidR="00D35DDC">
              <w:rPr>
                <w:noProof/>
                <w:webHidden/>
              </w:rPr>
              <w:t>30</w:t>
            </w:r>
            <w:r>
              <w:rPr>
                <w:noProof/>
                <w:webHidden/>
              </w:rPr>
              <w:fldChar w:fldCharType="end"/>
            </w:r>
          </w:hyperlink>
        </w:p>
        <w:p w14:paraId="1443A0A7" w14:textId="2C590C44"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495" w:history="1">
            <w:r w:rsidRPr="007A37AB">
              <w:rPr>
                <w:rStyle w:val="Hyperlink"/>
              </w:rPr>
              <w:t>5</w:t>
            </w:r>
            <w:r>
              <w:rPr>
                <w:rFonts w:asciiTheme="minorHAnsi" w:eastAsiaTheme="minorEastAsia" w:hAnsiTheme="minorHAnsi" w:cstheme="minorBidi"/>
                <w:kern w:val="2"/>
                <w:szCs w:val="24"/>
                <w:lang w:val="en-AU" w:eastAsia="en-AU"/>
                <w14:ligatures w14:val="standardContextual"/>
              </w:rPr>
              <w:tab/>
            </w:r>
            <w:r w:rsidRPr="007A37AB">
              <w:rPr>
                <w:rStyle w:val="Hyperlink"/>
              </w:rPr>
              <w:t>Chapter 5 - Requirements for pipeline licensing</w:t>
            </w:r>
            <w:r>
              <w:rPr>
                <w:webHidden/>
              </w:rPr>
              <w:tab/>
            </w:r>
            <w:r>
              <w:rPr>
                <w:webHidden/>
              </w:rPr>
              <w:fldChar w:fldCharType="begin"/>
            </w:r>
            <w:r>
              <w:rPr>
                <w:webHidden/>
              </w:rPr>
              <w:instrText xml:space="preserve"> PAGEREF _Toc222925495 \h </w:instrText>
            </w:r>
            <w:r>
              <w:rPr>
                <w:webHidden/>
              </w:rPr>
            </w:r>
            <w:r>
              <w:rPr>
                <w:webHidden/>
              </w:rPr>
              <w:fldChar w:fldCharType="separate"/>
            </w:r>
            <w:r w:rsidR="00D35DDC">
              <w:rPr>
                <w:webHidden/>
              </w:rPr>
              <w:t>31</w:t>
            </w:r>
            <w:r>
              <w:rPr>
                <w:webHidden/>
              </w:rPr>
              <w:fldChar w:fldCharType="end"/>
            </w:r>
          </w:hyperlink>
        </w:p>
        <w:p w14:paraId="0176F1E6" w14:textId="5DAF431D"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6" w:history="1">
            <w:r w:rsidRPr="007A37AB">
              <w:rPr>
                <w:rStyle w:val="Hyperlink"/>
                <w:noProof/>
                <w:lang w:eastAsia="en-AU"/>
              </w:rPr>
              <w:t>5.1</w:t>
            </w:r>
            <w:r>
              <w:rPr>
                <w:rFonts w:asciiTheme="minorHAnsi" w:eastAsiaTheme="minorEastAsia" w:hAnsiTheme="minorHAnsi"/>
                <w:noProof/>
                <w:szCs w:val="24"/>
                <w:lang w:eastAsia="en-AU"/>
              </w:rPr>
              <w:tab/>
            </w:r>
            <w:r w:rsidRPr="007A37AB">
              <w:rPr>
                <w:rStyle w:val="Hyperlink"/>
                <w:noProof/>
              </w:rPr>
              <w:t>Regulation</w:t>
            </w:r>
            <w:r w:rsidRPr="007A37AB">
              <w:rPr>
                <w:rStyle w:val="Hyperlink"/>
                <w:noProof/>
                <w:lang w:eastAsia="en-AU"/>
              </w:rPr>
              <w:t xml:space="preserve"> and definition of pipelines</w:t>
            </w:r>
            <w:r>
              <w:rPr>
                <w:noProof/>
                <w:webHidden/>
              </w:rPr>
              <w:tab/>
            </w:r>
            <w:r>
              <w:rPr>
                <w:noProof/>
                <w:webHidden/>
              </w:rPr>
              <w:fldChar w:fldCharType="begin"/>
            </w:r>
            <w:r>
              <w:rPr>
                <w:noProof/>
                <w:webHidden/>
              </w:rPr>
              <w:instrText xml:space="preserve"> PAGEREF _Toc222925496 \h </w:instrText>
            </w:r>
            <w:r>
              <w:rPr>
                <w:noProof/>
                <w:webHidden/>
              </w:rPr>
            </w:r>
            <w:r>
              <w:rPr>
                <w:noProof/>
                <w:webHidden/>
              </w:rPr>
              <w:fldChar w:fldCharType="separate"/>
            </w:r>
            <w:r w:rsidR="00D35DDC">
              <w:rPr>
                <w:noProof/>
                <w:webHidden/>
              </w:rPr>
              <w:t>31</w:t>
            </w:r>
            <w:r>
              <w:rPr>
                <w:noProof/>
                <w:webHidden/>
              </w:rPr>
              <w:fldChar w:fldCharType="end"/>
            </w:r>
          </w:hyperlink>
        </w:p>
        <w:p w14:paraId="4B2AC61E" w14:textId="6DC1FA9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7" w:history="1">
            <w:r w:rsidRPr="007A37AB">
              <w:rPr>
                <w:rStyle w:val="Hyperlink"/>
                <w:noProof/>
                <w:lang w:eastAsia="en-AU"/>
              </w:rPr>
              <w:t>5.2</w:t>
            </w:r>
            <w:r>
              <w:rPr>
                <w:rFonts w:asciiTheme="minorHAnsi" w:eastAsiaTheme="minorEastAsia" w:hAnsiTheme="minorHAnsi"/>
                <w:noProof/>
                <w:szCs w:val="24"/>
                <w:lang w:eastAsia="en-AU"/>
              </w:rPr>
              <w:tab/>
            </w:r>
            <w:r w:rsidRPr="007A37AB">
              <w:rPr>
                <w:rStyle w:val="Hyperlink"/>
                <w:noProof/>
              </w:rPr>
              <w:t>Interaction</w:t>
            </w:r>
            <w:r w:rsidRPr="007A37AB">
              <w:rPr>
                <w:rStyle w:val="Hyperlink"/>
                <w:noProof/>
                <w:lang w:eastAsia="en-AU"/>
              </w:rPr>
              <w:t xml:space="preserve"> of pipeline licensing with other laws</w:t>
            </w:r>
            <w:r>
              <w:rPr>
                <w:noProof/>
                <w:webHidden/>
              </w:rPr>
              <w:tab/>
            </w:r>
            <w:r>
              <w:rPr>
                <w:noProof/>
                <w:webHidden/>
              </w:rPr>
              <w:fldChar w:fldCharType="begin"/>
            </w:r>
            <w:r>
              <w:rPr>
                <w:noProof/>
                <w:webHidden/>
              </w:rPr>
              <w:instrText xml:space="preserve"> PAGEREF _Toc222925497 \h </w:instrText>
            </w:r>
            <w:r>
              <w:rPr>
                <w:noProof/>
                <w:webHidden/>
              </w:rPr>
            </w:r>
            <w:r>
              <w:rPr>
                <w:noProof/>
                <w:webHidden/>
              </w:rPr>
              <w:fldChar w:fldCharType="separate"/>
            </w:r>
            <w:r w:rsidR="00D35DDC">
              <w:rPr>
                <w:noProof/>
                <w:webHidden/>
              </w:rPr>
              <w:t>32</w:t>
            </w:r>
            <w:r>
              <w:rPr>
                <w:noProof/>
                <w:webHidden/>
              </w:rPr>
              <w:fldChar w:fldCharType="end"/>
            </w:r>
          </w:hyperlink>
        </w:p>
        <w:p w14:paraId="42FF4444" w14:textId="17A668EE"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8" w:history="1">
            <w:r w:rsidRPr="007A37AB">
              <w:rPr>
                <w:rStyle w:val="Hyperlink"/>
                <w:noProof/>
                <w:lang w:eastAsia="en-AU"/>
              </w:rPr>
              <w:t>5.3</w:t>
            </w:r>
            <w:r>
              <w:rPr>
                <w:rFonts w:asciiTheme="minorHAnsi" w:eastAsiaTheme="minorEastAsia" w:hAnsiTheme="minorHAnsi"/>
                <w:noProof/>
                <w:szCs w:val="24"/>
                <w:lang w:eastAsia="en-AU"/>
              </w:rPr>
              <w:tab/>
            </w:r>
            <w:r w:rsidRPr="007A37AB">
              <w:rPr>
                <w:rStyle w:val="Hyperlink"/>
                <w:noProof/>
              </w:rPr>
              <w:t>Definitions</w:t>
            </w:r>
            <w:r w:rsidRPr="007A37AB">
              <w:rPr>
                <w:rStyle w:val="Hyperlink"/>
                <w:noProof/>
                <w:lang w:eastAsia="en-AU"/>
              </w:rPr>
              <w:t xml:space="preserve"> of “pipeline”</w:t>
            </w:r>
            <w:r>
              <w:rPr>
                <w:noProof/>
                <w:webHidden/>
              </w:rPr>
              <w:tab/>
            </w:r>
            <w:r>
              <w:rPr>
                <w:noProof/>
                <w:webHidden/>
              </w:rPr>
              <w:fldChar w:fldCharType="begin"/>
            </w:r>
            <w:r>
              <w:rPr>
                <w:noProof/>
                <w:webHidden/>
              </w:rPr>
              <w:instrText xml:space="preserve"> PAGEREF _Toc222925498 \h </w:instrText>
            </w:r>
            <w:r>
              <w:rPr>
                <w:noProof/>
                <w:webHidden/>
              </w:rPr>
            </w:r>
            <w:r>
              <w:rPr>
                <w:noProof/>
                <w:webHidden/>
              </w:rPr>
              <w:fldChar w:fldCharType="separate"/>
            </w:r>
            <w:r w:rsidR="00D35DDC">
              <w:rPr>
                <w:noProof/>
                <w:webHidden/>
              </w:rPr>
              <w:t>32</w:t>
            </w:r>
            <w:r>
              <w:rPr>
                <w:noProof/>
                <w:webHidden/>
              </w:rPr>
              <w:fldChar w:fldCharType="end"/>
            </w:r>
          </w:hyperlink>
        </w:p>
        <w:p w14:paraId="55EAC210" w14:textId="3127F585"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499" w:history="1">
            <w:r w:rsidRPr="007A37AB">
              <w:rPr>
                <w:rStyle w:val="Hyperlink"/>
                <w:noProof/>
              </w:rPr>
              <w:t>5.4</w:t>
            </w:r>
            <w:r>
              <w:rPr>
                <w:rFonts w:asciiTheme="minorHAnsi" w:eastAsiaTheme="minorEastAsia" w:hAnsiTheme="minorHAnsi"/>
                <w:noProof/>
                <w:szCs w:val="24"/>
                <w:lang w:eastAsia="en-AU"/>
              </w:rPr>
              <w:tab/>
            </w:r>
            <w:r w:rsidRPr="007A37AB">
              <w:rPr>
                <w:rStyle w:val="Hyperlink"/>
                <w:noProof/>
              </w:rPr>
              <w:t>Australian Capital Territory: Utilities (Technical Regulation) Act 2000</w:t>
            </w:r>
            <w:r>
              <w:rPr>
                <w:noProof/>
                <w:webHidden/>
              </w:rPr>
              <w:tab/>
            </w:r>
            <w:r>
              <w:rPr>
                <w:noProof/>
                <w:webHidden/>
              </w:rPr>
              <w:fldChar w:fldCharType="begin"/>
            </w:r>
            <w:r>
              <w:rPr>
                <w:noProof/>
                <w:webHidden/>
              </w:rPr>
              <w:instrText xml:space="preserve"> PAGEREF _Toc222925499 \h </w:instrText>
            </w:r>
            <w:r>
              <w:rPr>
                <w:noProof/>
                <w:webHidden/>
              </w:rPr>
            </w:r>
            <w:r>
              <w:rPr>
                <w:noProof/>
                <w:webHidden/>
              </w:rPr>
              <w:fldChar w:fldCharType="separate"/>
            </w:r>
            <w:r w:rsidR="00D35DDC">
              <w:rPr>
                <w:noProof/>
                <w:webHidden/>
              </w:rPr>
              <w:t>34</w:t>
            </w:r>
            <w:r>
              <w:rPr>
                <w:noProof/>
                <w:webHidden/>
              </w:rPr>
              <w:fldChar w:fldCharType="end"/>
            </w:r>
          </w:hyperlink>
        </w:p>
        <w:p w14:paraId="2A23C617" w14:textId="35C9824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0" w:history="1">
            <w:r w:rsidRPr="007A37AB">
              <w:rPr>
                <w:rStyle w:val="Hyperlink"/>
                <w:noProof/>
              </w:rPr>
              <w:t>5.5</w:t>
            </w:r>
            <w:r>
              <w:rPr>
                <w:rFonts w:asciiTheme="minorHAnsi" w:eastAsiaTheme="minorEastAsia" w:hAnsiTheme="minorHAnsi"/>
                <w:noProof/>
                <w:szCs w:val="24"/>
                <w:lang w:eastAsia="en-AU"/>
              </w:rPr>
              <w:tab/>
            </w:r>
            <w:r w:rsidRPr="007A37AB">
              <w:rPr>
                <w:rStyle w:val="Hyperlink"/>
                <w:noProof/>
              </w:rPr>
              <w:t xml:space="preserve">New South Wales: </w:t>
            </w:r>
            <w:r w:rsidRPr="007A37AB">
              <w:rPr>
                <w:rStyle w:val="Hyperlink"/>
                <w:i/>
                <w:iCs/>
                <w:noProof/>
              </w:rPr>
              <w:t>Pipelines Act 1967</w:t>
            </w:r>
            <w:r w:rsidRPr="007A37AB">
              <w:rPr>
                <w:rStyle w:val="Hyperlink"/>
                <w:noProof/>
              </w:rPr>
              <w:t xml:space="preserve"> (as applied in the ACT)</w:t>
            </w:r>
            <w:r>
              <w:rPr>
                <w:noProof/>
                <w:webHidden/>
              </w:rPr>
              <w:tab/>
            </w:r>
            <w:r>
              <w:rPr>
                <w:noProof/>
                <w:webHidden/>
              </w:rPr>
              <w:fldChar w:fldCharType="begin"/>
            </w:r>
            <w:r>
              <w:rPr>
                <w:noProof/>
                <w:webHidden/>
              </w:rPr>
              <w:instrText xml:space="preserve"> PAGEREF _Toc222925500 \h </w:instrText>
            </w:r>
            <w:r>
              <w:rPr>
                <w:noProof/>
                <w:webHidden/>
              </w:rPr>
            </w:r>
            <w:r>
              <w:rPr>
                <w:noProof/>
                <w:webHidden/>
              </w:rPr>
              <w:fldChar w:fldCharType="separate"/>
            </w:r>
            <w:r w:rsidR="00D35DDC">
              <w:rPr>
                <w:noProof/>
                <w:webHidden/>
              </w:rPr>
              <w:t>35</w:t>
            </w:r>
            <w:r>
              <w:rPr>
                <w:noProof/>
                <w:webHidden/>
              </w:rPr>
              <w:fldChar w:fldCharType="end"/>
            </w:r>
          </w:hyperlink>
        </w:p>
        <w:p w14:paraId="397337DF" w14:textId="5B3EC4E7"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1" w:history="1">
            <w:r w:rsidRPr="007A37AB">
              <w:rPr>
                <w:rStyle w:val="Hyperlink"/>
                <w:noProof/>
                <w:lang w:eastAsia="en-AU"/>
              </w:rPr>
              <w:t>5.6</w:t>
            </w:r>
            <w:r>
              <w:rPr>
                <w:rFonts w:asciiTheme="minorHAnsi" w:eastAsiaTheme="minorEastAsia" w:hAnsiTheme="minorHAnsi"/>
                <w:noProof/>
                <w:szCs w:val="24"/>
                <w:lang w:eastAsia="en-AU"/>
              </w:rPr>
              <w:tab/>
            </w:r>
            <w:r w:rsidRPr="007A37AB">
              <w:rPr>
                <w:rStyle w:val="Hyperlink"/>
                <w:noProof/>
              </w:rPr>
              <w:t>Northern</w:t>
            </w:r>
            <w:r w:rsidRPr="007A37AB">
              <w:rPr>
                <w:rStyle w:val="Hyperlink"/>
                <w:noProof/>
                <w:lang w:eastAsia="en-AU"/>
              </w:rPr>
              <w:t xml:space="preserve"> Territory: </w:t>
            </w:r>
            <w:r w:rsidRPr="007A37AB">
              <w:rPr>
                <w:rStyle w:val="Hyperlink"/>
                <w:i/>
                <w:noProof/>
                <w:lang w:eastAsia="en-AU"/>
              </w:rPr>
              <w:t>Energy Pipelines Act 1981</w:t>
            </w:r>
            <w:r>
              <w:rPr>
                <w:noProof/>
                <w:webHidden/>
              </w:rPr>
              <w:tab/>
            </w:r>
            <w:r>
              <w:rPr>
                <w:noProof/>
                <w:webHidden/>
              </w:rPr>
              <w:fldChar w:fldCharType="begin"/>
            </w:r>
            <w:r>
              <w:rPr>
                <w:noProof/>
                <w:webHidden/>
              </w:rPr>
              <w:instrText xml:space="preserve"> PAGEREF _Toc222925501 \h </w:instrText>
            </w:r>
            <w:r>
              <w:rPr>
                <w:noProof/>
                <w:webHidden/>
              </w:rPr>
            </w:r>
            <w:r>
              <w:rPr>
                <w:noProof/>
                <w:webHidden/>
              </w:rPr>
              <w:fldChar w:fldCharType="separate"/>
            </w:r>
            <w:r w:rsidR="00D35DDC">
              <w:rPr>
                <w:noProof/>
                <w:webHidden/>
              </w:rPr>
              <w:t>36</w:t>
            </w:r>
            <w:r>
              <w:rPr>
                <w:noProof/>
                <w:webHidden/>
              </w:rPr>
              <w:fldChar w:fldCharType="end"/>
            </w:r>
          </w:hyperlink>
        </w:p>
        <w:p w14:paraId="143345D9" w14:textId="3D81297C"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2" w:history="1">
            <w:r w:rsidRPr="007A37AB">
              <w:rPr>
                <w:rStyle w:val="Hyperlink"/>
                <w:noProof/>
                <w:lang w:eastAsia="en-AU"/>
              </w:rPr>
              <w:t>5.7</w:t>
            </w:r>
            <w:r>
              <w:rPr>
                <w:rFonts w:asciiTheme="minorHAnsi" w:eastAsiaTheme="minorEastAsia" w:hAnsiTheme="minorHAnsi"/>
                <w:noProof/>
                <w:szCs w:val="24"/>
                <w:lang w:eastAsia="en-AU"/>
              </w:rPr>
              <w:tab/>
            </w:r>
            <w:r w:rsidRPr="007A37AB">
              <w:rPr>
                <w:rStyle w:val="Hyperlink"/>
                <w:noProof/>
                <w:lang w:eastAsia="en-AU"/>
              </w:rPr>
              <w:t xml:space="preserve">Queensland: </w:t>
            </w:r>
            <w:r w:rsidRPr="007A37AB">
              <w:rPr>
                <w:rStyle w:val="Hyperlink"/>
                <w:i/>
                <w:noProof/>
                <w:lang w:eastAsia="en-AU"/>
              </w:rPr>
              <w:t>Petroleum and Gas (Production and Safety) Act 2004</w:t>
            </w:r>
            <w:r>
              <w:rPr>
                <w:noProof/>
                <w:webHidden/>
              </w:rPr>
              <w:tab/>
            </w:r>
            <w:r>
              <w:rPr>
                <w:noProof/>
                <w:webHidden/>
              </w:rPr>
              <w:fldChar w:fldCharType="begin"/>
            </w:r>
            <w:r>
              <w:rPr>
                <w:noProof/>
                <w:webHidden/>
              </w:rPr>
              <w:instrText xml:space="preserve"> PAGEREF _Toc222925502 \h </w:instrText>
            </w:r>
            <w:r>
              <w:rPr>
                <w:noProof/>
                <w:webHidden/>
              </w:rPr>
            </w:r>
            <w:r>
              <w:rPr>
                <w:noProof/>
                <w:webHidden/>
              </w:rPr>
              <w:fldChar w:fldCharType="separate"/>
            </w:r>
            <w:r w:rsidR="00D35DDC">
              <w:rPr>
                <w:noProof/>
                <w:webHidden/>
              </w:rPr>
              <w:t>37</w:t>
            </w:r>
            <w:r>
              <w:rPr>
                <w:noProof/>
                <w:webHidden/>
              </w:rPr>
              <w:fldChar w:fldCharType="end"/>
            </w:r>
          </w:hyperlink>
        </w:p>
        <w:p w14:paraId="0E0B5586" w14:textId="5E0ECC7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3" w:history="1">
            <w:r w:rsidRPr="007A37AB">
              <w:rPr>
                <w:rStyle w:val="Hyperlink"/>
                <w:noProof/>
                <w:lang w:eastAsia="en-AU"/>
              </w:rPr>
              <w:t>5.8</w:t>
            </w:r>
            <w:r>
              <w:rPr>
                <w:rFonts w:asciiTheme="minorHAnsi" w:eastAsiaTheme="minorEastAsia" w:hAnsiTheme="minorHAnsi"/>
                <w:noProof/>
                <w:szCs w:val="24"/>
                <w:lang w:eastAsia="en-AU"/>
              </w:rPr>
              <w:tab/>
            </w:r>
            <w:r w:rsidRPr="007A37AB">
              <w:rPr>
                <w:rStyle w:val="Hyperlink"/>
                <w:noProof/>
                <w:lang w:eastAsia="en-AU"/>
              </w:rPr>
              <w:t xml:space="preserve">South Australia: </w:t>
            </w:r>
            <w:r w:rsidRPr="007A37AB">
              <w:rPr>
                <w:rStyle w:val="Hyperlink"/>
                <w:i/>
                <w:noProof/>
                <w:lang w:eastAsia="en-AU"/>
              </w:rPr>
              <w:t>Energy Resources Act 2000</w:t>
            </w:r>
            <w:r>
              <w:rPr>
                <w:noProof/>
                <w:webHidden/>
              </w:rPr>
              <w:tab/>
            </w:r>
            <w:r>
              <w:rPr>
                <w:noProof/>
                <w:webHidden/>
              </w:rPr>
              <w:fldChar w:fldCharType="begin"/>
            </w:r>
            <w:r>
              <w:rPr>
                <w:noProof/>
                <w:webHidden/>
              </w:rPr>
              <w:instrText xml:space="preserve"> PAGEREF _Toc222925503 \h </w:instrText>
            </w:r>
            <w:r>
              <w:rPr>
                <w:noProof/>
                <w:webHidden/>
              </w:rPr>
            </w:r>
            <w:r>
              <w:rPr>
                <w:noProof/>
                <w:webHidden/>
              </w:rPr>
              <w:fldChar w:fldCharType="separate"/>
            </w:r>
            <w:r w:rsidR="00D35DDC">
              <w:rPr>
                <w:noProof/>
                <w:webHidden/>
              </w:rPr>
              <w:t>39</w:t>
            </w:r>
            <w:r>
              <w:rPr>
                <w:noProof/>
                <w:webHidden/>
              </w:rPr>
              <w:fldChar w:fldCharType="end"/>
            </w:r>
          </w:hyperlink>
        </w:p>
        <w:p w14:paraId="63DCB84A" w14:textId="6CEAA130"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4" w:history="1">
            <w:r w:rsidRPr="007A37AB">
              <w:rPr>
                <w:rStyle w:val="Hyperlink"/>
                <w:noProof/>
                <w:lang w:eastAsia="en-AU"/>
              </w:rPr>
              <w:t>5.9</w:t>
            </w:r>
            <w:r>
              <w:rPr>
                <w:rFonts w:asciiTheme="minorHAnsi" w:eastAsiaTheme="minorEastAsia" w:hAnsiTheme="minorHAnsi"/>
                <w:noProof/>
                <w:szCs w:val="24"/>
                <w:lang w:eastAsia="en-AU"/>
              </w:rPr>
              <w:tab/>
            </w:r>
            <w:r w:rsidRPr="007A37AB">
              <w:rPr>
                <w:rStyle w:val="Hyperlink"/>
                <w:noProof/>
                <w:lang w:eastAsia="en-AU"/>
              </w:rPr>
              <w:t xml:space="preserve">Tasmania: </w:t>
            </w:r>
            <w:r w:rsidRPr="007A37AB">
              <w:rPr>
                <w:rStyle w:val="Hyperlink"/>
                <w:i/>
                <w:noProof/>
                <w:lang w:eastAsia="en-AU"/>
              </w:rPr>
              <w:t xml:space="preserve">Gas Safety Act </w:t>
            </w:r>
            <w:r w:rsidRPr="007A37AB">
              <w:rPr>
                <w:rStyle w:val="Hyperlink"/>
                <w:i/>
                <w:iCs/>
                <w:noProof/>
                <w:lang w:eastAsia="en-AU"/>
              </w:rPr>
              <w:t>2019</w:t>
            </w:r>
            <w:r w:rsidRPr="007A37AB">
              <w:rPr>
                <w:rStyle w:val="Hyperlink"/>
                <w:noProof/>
                <w:lang w:eastAsia="en-AU"/>
              </w:rPr>
              <w:t xml:space="preserve"> and </w:t>
            </w:r>
            <w:r w:rsidRPr="007A37AB">
              <w:rPr>
                <w:rStyle w:val="Hyperlink"/>
                <w:i/>
                <w:noProof/>
                <w:lang w:eastAsia="en-AU"/>
              </w:rPr>
              <w:t xml:space="preserve">Gas Industry Act </w:t>
            </w:r>
            <w:r w:rsidRPr="007A37AB">
              <w:rPr>
                <w:rStyle w:val="Hyperlink"/>
                <w:i/>
                <w:iCs/>
                <w:noProof/>
                <w:lang w:eastAsia="en-AU"/>
              </w:rPr>
              <w:t>2019</w:t>
            </w:r>
            <w:r>
              <w:rPr>
                <w:noProof/>
                <w:webHidden/>
              </w:rPr>
              <w:tab/>
            </w:r>
            <w:r>
              <w:rPr>
                <w:noProof/>
                <w:webHidden/>
              </w:rPr>
              <w:fldChar w:fldCharType="begin"/>
            </w:r>
            <w:r>
              <w:rPr>
                <w:noProof/>
                <w:webHidden/>
              </w:rPr>
              <w:instrText xml:space="preserve"> PAGEREF _Toc222925504 \h </w:instrText>
            </w:r>
            <w:r>
              <w:rPr>
                <w:noProof/>
                <w:webHidden/>
              </w:rPr>
            </w:r>
            <w:r>
              <w:rPr>
                <w:noProof/>
                <w:webHidden/>
              </w:rPr>
              <w:fldChar w:fldCharType="separate"/>
            </w:r>
            <w:r w:rsidR="00D35DDC">
              <w:rPr>
                <w:noProof/>
                <w:webHidden/>
              </w:rPr>
              <w:t>40</w:t>
            </w:r>
            <w:r>
              <w:rPr>
                <w:noProof/>
                <w:webHidden/>
              </w:rPr>
              <w:fldChar w:fldCharType="end"/>
            </w:r>
          </w:hyperlink>
        </w:p>
        <w:p w14:paraId="2596DB15" w14:textId="4BA5E908"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5" w:history="1">
            <w:r w:rsidRPr="007A37AB">
              <w:rPr>
                <w:rStyle w:val="Hyperlink"/>
                <w:noProof/>
                <w:lang w:eastAsia="en-AU"/>
              </w:rPr>
              <w:t>5.10</w:t>
            </w:r>
            <w:r>
              <w:rPr>
                <w:rFonts w:asciiTheme="minorHAnsi" w:eastAsiaTheme="minorEastAsia" w:hAnsiTheme="minorHAnsi"/>
                <w:noProof/>
                <w:szCs w:val="24"/>
                <w:lang w:eastAsia="en-AU"/>
              </w:rPr>
              <w:tab/>
            </w:r>
            <w:r w:rsidRPr="007A37AB">
              <w:rPr>
                <w:rStyle w:val="Hyperlink"/>
                <w:noProof/>
                <w:lang w:eastAsia="en-AU"/>
              </w:rPr>
              <w:t xml:space="preserve">Victoria: </w:t>
            </w:r>
            <w:r w:rsidRPr="007A37AB">
              <w:rPr>
                <w:rStyle w:val="Hyperlink"/>
                <w:i/>
                <w:noProof/>
                <w:lang w:eastAsia="en-AU"/>
              </w:rPr>
              <w:t>Pipelines Act 2005</w:t>
            </w:r>
            <w:r>
              <w:rPr>
                <w:noProof/>
                <w:webHidden/>
              </w:rPr>
              <w:tab/>
            </w:r>
            <w:r>
              <w:rPr>
                <w:noProof/>
                <w:webHidden/>
              </w:rPr>
              <w:fldChar w:fldCharType="begin"/>
            </w:r>
            <w:r>
              <w:rPr>
                <w:noProof/>
                <w:webHidden/>
              </w:rPr>
              <w:instrText xml:space="preserve"> PAGEREF _Toc222925505 \h </w:instrText>
            </w:r>
            <w:r>
              <w:rPr>
                <w:noProof/>
                <w:webHidden/>
              </w:rPr>
            </w:r>
            <w:r>
              <w:rPr>
                <w:noProof/>
                <w:webHidden/>
              </w:rPr>
              <w:fldChar w:fldCharType="separate"/>
            </w:r>
            <w:r w:rsidR="00D35DDC">
              <w:rPr>
                <w:noProof/>
                <w:webHidden/>
              </w:rPr>
              <w:t>41</w:t>
            </w:r>
            <w:r>
              <w:rPr>
                <w:noProof/>
                <w:webHidden/>
              </w:rPr>
              <w:fldChar w:fldCharType="end"/>
            </w:r>
          </w:hyperlink>
        </w:p>
        <w:p w14:paraId="275F7332" w14:textId="41880796"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6" w:history="1">
            <w:r w:rsidRPr="007A37AB">
              <w:rPr>
                <w:rStyle w:val="Hyperlink"/>
                <w:noProof/>
                <w:lang w:eastAsia="en-AU"/>
              </w:rPr>
              <w:t>5.11</w:t>
            </w:r>
            <w:r>
              <w:rPr>
                <w:rFonts w:asciiTheme="minorHAnsi" w:eastAsiaTheme="minorEastAsia" w:hAnsiTheme="minorHAnsi"/>
                <w:noProof/>
                <w:szCs w:val="24"/>
                <w:lang w:eastAsia="en-AU"/>
              </w:rPr>
              <w:tab/>
            </w:r>
            <w:r w:rsidRPr="007A37AB">
              <w:rPr>
                <w:rStyle w:val="Hyperlink"/>
                <w:noProof/>
                <w:lang w:eastAsia="en-AU"/>
              </w:rPr>
              <w:t xml:space="preserve">Western Australia: </w:t>
            </w:r>
            <w:r w:rsidRPr="007A37AB">
              <w:rPr>
                <w:rStyle w:val="Hyperlink"/>
                <w:rFonts w:eastAsia="Times New Roman"/>
                <w:i/>
                <w:noProof/>
                <w:lang w:eastAsia="en-AU"/>
              </w:rPr>
              <w:t>Gas Standards Act 1972</w:t>
            </w:r>
            <w:r w:rsidRPr="007A37AB">
              <w:rPr>
                <w:rStyle w:val="Hyperlink"/>
                <w:rFonts w:eastAsia="Times New Roman"/>
                <w:noProof/>
                <w:lang w:eastAsia="en-AU"/>
              </w:rPr>
              <w:t xml:space="preserve"> and </w:t>
            </w:r>
            <w:r w:rsidRPr="007A37AB">
              <w:rPr>
                <w:rStyle w:val="Hyperlink"/>
                <w:i/>
                <w:noProof/>
                <w:lang w:eastAsia="en-AU"/>
              </w:rPr>
              <w:t>Dangerous Goods Safety Act 2004</w:t>
            </w:r>
            <w:r>
              <w:rPr>
                <w:noProof/>
                <w:webHidden/>
              </w:rPr>
              <w:tab/>
            </w:r>
            <w:r>
              <w:rPr>
                <w:noProof/>
                <w:webHidden/>
              </w:rPr>
              <w:fldChar w:fldCharType="begin"/>
            </w:r>
            <w:r>
              <w:rPr>
                <w:noProof/>
                <w:webHidden/>
              </w:rPr>
              <w:instrText xml:space="preserve"> PAGEREF _Toc222925506 \h </w:instrText>
            </w:r>
            <w:r>
              <w:rPr>
                <w:noProof/>
                <w:webHidden/>
              </w:rPr>
            </w:r>
            <w:r>
              <w:rPr>
                <w:noProof/>
                <w:webHidden/>
              </w:rPr>
              <w:fldChar w:fldCharType="separate"/>
            </w:r>
            <w:r w:rsidR="00D35DDC">
              <w:rPr>
                <w:noProof/>
                <w:webHidden/>
              </w:rPr>
              <w:t>42</w:t>
            </w:r>
            <w:r>
              <w:rPr>
                <w:noProof/>
                <w:webHidden/>
              </w:rPr>
              <w:fldChar w:fldCharType="end"/>
            </w:r>
          </w:hyperlink>
        </w:p>
        <w:p w14:paraId="13D31258" w14:textId="50CCA120"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507" w:history="1">
            <w:r w:rsidRPr="007A37AB">
              <w:rPr>
                <w:rStyle w:val="Hyperlink"/>
              </w:rPr>
              <w:t>6</w:t>
            </w:r>
            <w:r>
              <w:rPr>
                <w:rFonts w:asciiTheme="minorHAnsi" w:eastAsiaTheme="minorEastAsia" w:hAnsiTheme="minorHAnsi" w:cstheme="minorBidi"/>
                <w:kern w:val="2"/>
                <w:szCs w:val="24"/>
                <w:lang w:val="en-AU" w:eastAsia="en-AU"/>
                <w14:ligatures w14:val="standardContextual"/>
              </w:rPr>
              <w:tab/>
            </w:r>
            <w:r w:rsidRPr="007A37AB">
              <w:rPr>
                <w:rStyle w:val="Hyperlink"/>
              </w:rPr>
              <w:t>Chapter 6 - Work (Occupational) health and safety</w:t>
            </w:r>
            <w:r>
              <w:rPr>
                <w:webHidden/>
              </w:rPr>
              <w:tab/>
            </w:r>
            <w:r>
              <w:rPr>
                <w:webHidden/>
              </w:rPr>
              <w:fldChar w:fldCharType="begin"/>
            </w:r>
            <w:r>
              <w:rPr>
                <w:webHidden/>
              </w:rPr>
              <w:instrText xml:space="preserve"> PAGEREF _Toc222925507 \h </w:instrText>
            </w:r>
            <w:r>
              <w:rPr>
                <w:webHidden/>
              </w:rPr>
            </w:r>
            <w:r>
              <w:rPr>
                <w:webHidden/>
              </w:rPr>
              <w:fldChar w:fldCharType="separate"/>
            </w:r>
            <w:r w:rsidR="00D35DDC">
              <w:rPr>
                <w:webHidden/>
              </w:rPr>
              <w:t>43</w:t>
            </w:r>
            <w:r>
              <w:rPr>
                <w:webHidden/>
              </w:rPr>
              <w:fldChar w:fldCharType="end"/>
            </w:r>
          </w:hyperlink>
        </w:p>
        <w:p w14:paraId="237370E5" w14:textId="3389CA03"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8" w:history="1">
            <w:r w:rsidRPr="007A37AB">
              <w:rPr>
                <w:rStyle w:val="Hyperlink"/>
                <w:noProof/>
              </w:rPr>
              <w:t>6.1</w:t>
            </w:r>
            <w:r>
              <w:rPr>
                <w:rFonts w:asciiTheme="minorHAnsi" w:eastAsiaTheme="minorEastAsia" w:hAnsiTheme="minorHAnsi"/>
                <w:noProof/>
                <w:szCs w:val="24"/>
                <w:lang w:eastAsia="en-AU"/>
              </w:rPr>
              <w:tab/>
            </w:r>
            <w:r w:rsidRPr="007A37AB">
              <w:rPr>
                <w:rStyle w:val="Hyperlink"/>
                <w:noProof/>
              </w:rPr>
              <w:t>Chapter 6 glossary</w:t>
            </w:r>
            <w:r>
              <w:rPr>
                <w:noProof/>
                <w:webHidden/>
              </w:rPr>
              <w:tab/>
            </w:r>
            <w:r>
              <w:rPr>
                <w:noProof/>
                <w:webHidden/>
              </w:rPr>
              <w:fldChar w:fldCharType="begin"/>
            </w:r>
            <w:r>
              <w:rPr>
                <w:noProof/>
                <w:webHidden/>
              </w:rPr>
              <w:instrText xml:space="preserve"> PAGEREF _Toc222925508 \h </w:instrText>
            </w:r>
            <w:r>
              <w:rPr>
                <w:noProof/>
                <w:webHidden/>
              </w:rPr>
            </w:r>
            <w:r>
              <w:rPr>
                <w:noProof/>
                <w:webHidden/>
              </w:rPr>
              <w:fldChar w:fldCharType="separate"/>
            </w:r>
            <w:r w:rsidR="00D35DDC">
              <w:rPr>
                <w:noProof/>
                <w:webHidden/>
              </w:rPr>
              <w:t>43</w:t>
            </w:r>
            <w:r>
              <w:rPr>
                <w:noProof/>
                <w:webHidden/>
              </w:rPr>
              <w:fldChar w:fldCharType="end"/>
            </w:r>
          </w:hyperlink>
        </w:p>
        <w:p w14:paraId="1EBEBA24" w14:textId="4F7953D0"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09" w:history="1">
            <w:r w:rsidRPr="007A37AB">
              <w:rPr>
                <w:rStyle w:val="Hyperlink"/>
                <w:noProof/>
              </w:rPr>
              <w:t>6.2</w:t>
            </w:r>
            <w:r>
              <w:rPr>
                <w:rFonts w:asciiTheme="minorHAnsi" w:eastAsiaTheme="minorEastAsia" w:hAnsiTheme="minorHAnsi"/>
                <w:noProof/>
                <w:szCs w:val="24"/>
                <w:lang w:eastAsia="en-AU"/>
              </w:rPr>
              <w:tab/>
            </w:r>
            <w:r w:rsidRPr="007A37AB">
              <w:rPr>
                <w:rStyle w:val="Hyperlink"/>
                <w:noProof/>
              </w:rPr>
              <w:t>Application of Health &amp; Safety Legislation across Australia</w:t>
            </w:r>
            <w:r>
              <w:rPr>
                <w:noProof/>
                <w:webHidden/>
              </w:rPr>
              <w:tab/>
            </w:r>
            <w:r>
              <w:rPr>
                <w:noProof/>
                <w:webHidden/>
              </w:rPr>
              <w:fldChar w:fldCharType="begin"/>
            </w:r>
            <w:r>
              <w:rPr>
                <w:noProof/>
                <w:webHidden/>
              </w:rPr>
              <w:instrText xml:space="preserve"> PAGEREF _Toc222925509 \h </w:instrText>
            </w:r>
            <w:r>
              <w:rPr>
                <w:noProof/>
                <w:webHidden/>
              </w:rPr>
            </w:r>
            <w:r>
              <w:rPr>
                <w:noProof/>
                <w:webHidden/>
              </w:rPr>
              <w:fldChar w:fldCharType="separate"/>
            </w:r>
            <w:r w:rsidR="00D35DDC">
              <w:rPr>
                <w:noProof/>
                <w:webHidden/>
              </w:rPr>
              <w:t>43</w:t>
            </w:r>
            <w:r>
              <w:rPr>
                <w:noProof/>
                <w:webHidden/>
              </w:rPr>
              <w:fldChar w:fldCharType="end"/>
            </w:r>
          </w:hyperlink>
        </w:p>
        <w:p w14:paraId="15F7AC5B" w14:textId="6A97839C"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0" w:history="1">
            <w:r w:rsidRPr="007A37AB">
              <w:rPr>
                <w:rStyle w:val="Hyperlink"/>
                <w:noProof/>
              </w:rPr>
              <w:t>6.3</w:t>
            </w:r>
            <w:r>
              <w:rPr>
                <w:rFonts w:asciiTheme="minorHAnsi" w:eastAsiaTheme="minorEastAsia" w:hAnsiTheme="minorHAnsi"/>
                <w:noProof/>
                <w:szCs w:val="24"/>
                <w:lang w:eastAsia="en-AU"/>
              </w:rPr>
              <w:tab/>
            </w:r>
            <w:r w:rsidRPr="007A37AB">
              <w:rPr>
                <w:rStyle w:val="Hyperlink"/>
                <w:noProof/>
              </w:rPr>
              <w:t>Interaction between Health &amp; Safety Legislation and subject specific laws</w:t>
            </w:r>
            <w:r>
              <w:rPr>
                <w:noProof/>
                <w:webHidden/>
              </w:rPr>
              <w:tab/>
            </w:r>
            <w:r>
              <w:rPr>
                <w:noProof/>
                <w:webHidden/>
              </w:rPr>
              <w:fldChar w:fldCharType="begin"/>
            </w:r>
            <w:r>
              <w:rPr>
                <w:noProof/>
                <w:webHidden/>
              </w:rPr>
              <w:instrText xml:space="preserve"> PAGEREF _Toc222925510 \h </w:instrText>
            </w:r>
            <w:r>
              <w:rPr>
                <w:noProof/>
                <w:webHidden/>
              </w:rPr>
            </w:r>
            <w:r>
              <w:rPr>
                <w:noProof/>
                <w:webHidden/>
              </w:rPr>
              <w:fldChar w:fldCharType="separate"/>
            </w:r>
            <w:r w:rsidR="00D35DDC">
              <w:rPr>
                <w:noProof/>
                <w:webHidden/>
              </w:rPr>
              <w:t>44</w:t>
            </w:r>
            <w:r>
              <w:rPr>
                <w:noProof/>
                <w:webHidden/>
              </w:rPr>
              <w:fldChar w:fldCharType="end"/>
            </w:r>
          </w:hyperlink>
        </w:p>
        <w:p w14:paraId="599BD827" w14:textId="2655296E"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1" w:history="1">
            <w:r w:rsidRPr="007A37AB">
              <w:rPr>
                <w:rStyle w:val="Hyperlink"/>
                <w:noProof/>
              </w:rPr>
              <w:t>6.4</w:t>
            </w:r>
            <w:r>
              <w:rPr>
                <w:rFonts w:asciiTheme="minorHAnsi" w:eastAsiaTheme="minorEastAsia" w:hAnsiTheme="minorHAnsi"/>
                <w:noProof/>
                <w:szCs w:val="24"/>
                <w:lang w:eastAsia="en-AU"/>
              </w:rPr>
              <w:tab/>
            </w:r>
            <w:r w:rsidRPr="007A37AB">
              <w:rPr>
                <w:rStyle w:val="Hyperlink"/>
                <w:noProof/>
              </w:rPr>
              <w:t>Who is subject to Health &amp; Safety Legislation?</w:t>
            </w:r>
            <w:r>
              <w:rPr>
                <w:noProof/>
                <w:webHidden/>
              </w:rPr>
              <w:tab/>
            </w:r>
            <w:r>
              <w:rPr>
                <w:noProof/>
                <w:webHidden/>
              </w:rPr>
              <w:fldChar w:fldCharType="begin"/>
            </w:r>
            <w:r>
              <w:rPr>
                <w:noProof/>
                <w:webHidden/>
              </w:rPr>
              <w:instrText xml:space="preserve"> PAGEREF _Toc222925511 \h </w:instrText>
            </w:r>
            <w:r>
              <w:rPr>
                <w:noProof/>
                <w:webHidden/>
              </w:rPr>
            </w:r>
            <w:r>
              <w:rPr>
                <w:noProof/>
                <w:webHidden/>
              </w:rPr>
              <w:fldChar w:fldCharType="separate"/>
            </w:r>
            <w:r w:rsidR="00D35DDC">
              <w:rPr>
                <w:noProof/>
                <w:webHidden/>
              </w:rPr>
              <w:t>45</w:t>
            </w:r>
            <w:r>
              <w:rPr>
                <w:noProof/>
                <w:webHidden/>
              </w:rPr>
              <w:fldChar w:fldCharType="end"/>
            </w:r>
          </w:hyperlink>
        </w:p>
        <w:p w14:paraId="4AC039BE" w14:textId="5B5D8121"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2" w:history="1">
            <w:r w:rsidRPr="007A37AB">
              <w:rPr>
                <w:rStyle w:val="Hyperlink"/>
                <w:noProof/>
              </w:rPr>
              <w:t>6.5</w:t>
            </w:r>
            <w:r>
              <w:rPr>
                <w:rFonts w:asciiTheme="minorHAnsi" w:eastAsiaTheme="minorEastAsia" w:hAnsiTheme="minorHAnsi"/>
                <w:noProof/>
                <w:szCs w:val="24"/>
                <w:lang w:eastAsia="en-AU"/>
              </w:rPr>
              <w:tab/>
            </w:r>
            <w:r w:rsidRPr="007A37AB">
              <w:rPr>
                <w:rStyle w:val="Hyperlink"/>
                <w:noProof/>
              </w:rPr>
              <w:t>Summary of Health &amp; Safety Legislation</w:t>
            </w:r>
            <w:r>
              <w:rPr>
                <w:noProof/>
                <w:webHidden/>
              </w:rPr>
              <w:tab/>
            </w:r>
            <w:r>
              <w:rPr>
                <w:noProof/>
                <w:webHidden/>
              </w:rPr>
              <w:fldChar w:fldCharType="begin"/>
            </w:r>
            <w:r>
              <w:rPr>
                <w:noProof/>
                <w:webHidden/>
              </w:rPr>
              <w:instrText xml:space="preserve"> PAGEREF _Toc222925512 \h </w:instrText>
            </w:r>
            <w:r>
              <w:rPr>
                <w:noProof/>
                <w:webHidden/>
              </w:rPr>
            </w:r>
            <w:r>
              <w:rPr>
                <w:noProof/>
                <w:webHidden/>
              </w:rPr>
              <w:fldChar w:fldCharType="separate"/>
            </w:r>
            <w:r w:rsidR="00D35DDC">
              <w:rPr>
                <w:noProof/>
                <w:webHidden/>
              </w:rPr>
              <w:t>45</w:t>
            </w:r>
            <w:r>
              <w:rPr>
                <w:noProof/>
                <w:webHidden/>
              </w:rPr>
              <w:fldChar w:fldCharType="end"/>
            </w:r>
          </w:hyperlink>
        </w:p>
        <w:p w14:paraId="4B74053D" w14:textId="1C82EF9E"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3" w:history="1">
            <w:r w:rsidRPr="007A37AB">
              <w:rPr>
                <w:rStyle w:val="Hyperlink"/>
                <w:noProof/>
              </w:rPr>
              <w:t>6.6</w:t>
            </w:r>
            <w:r>
              <w:rPr>
                <w:rFonts w:asciiTheme="minorHAnsi" w:eastAsiaTheme="minorEastAsia" w:hAnsiTheme="minorHAnsi"/>
                <w:noProof/>
                <w:szCs w:val="24"/>
                <w:lang w:eastAsia="en-AU"/>
              </w:rPr>
              <w:tab/>
            </w:r>
            <w:r w:rsidRPr="007A37AB">
              <w:rPr>
                <w:rStyle w:val="Hyperlink"/>
                <w:noProof/>
              </w:rPr>
              <w:t>Hazardous Chemicals under Health &amp; Safety Legislation</w:t>
            </w:r>
            <w:r>
              <w:rPr>
                <w:noProof/>
                <w:webHidden/>
              </w:rPr>
              <w:tab/>
            </w:r>
            <w:r>
              <w:rPr>
                <w:noProof/>
                <w:webHidden/>
              </w:rPr>
              <w:fldChar w:fldCharType="begin"/>
            </w:r>
            <w:r>
              <w:rPr>
                <w:noProof/>
                <w:webHidden/>
              </w:rPr>
              <w:instrText xml:space="preserve"> PAGEREF _Toc222925513 \h </w:instrText>
            </w:r>
            <w:r>
              <w:rPr>
                <w:noProof/>
                <w:webHidden/>
              </w:rPr>
            </w:r>
            <w:r>
              <w:rPr>
                <w:noProof/>
                <w:webHidden/>
              </w:rPr>
              <w:fldChar w:fldCharType="separate"/>
            </w:r>
            <w:r w:rsidR="00D35DDC">
              <w:rPr>
                <w:noProof/>
                <w:webHidden/>
              </w:rPr>
              <w:t>50</w:t>
            </w:r>
            <w:r>
              <w:rPr>
                <w:noProof/>
                <w:webHidden/>
              </w:rPr>
              <w:fldChar w:fldCharType="end"/>
            </w:r>
          </w:hyperlink>
        </w:p>
        <w:p w14:paraId="3CF9DF7C" w14:textId="3B3F318C"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4" w:history="1">
            <w:r w:rsidRPr="007A37AB">
              <w:rPr>
                <w:rStyle w:val="Hyperlink"/>
                <w:noProof/>
              </w:rPr>
              <w:t>6.7</w:t>
            </w:r>
            <w:r>
              <w:rPr>
                <w:rFonts w:asciiTheme="minorHAnsi" w:eastAsiaTheme="minorEastAsia" w:hAnsiTheme="minorHAnsi"/>
                <w:noProof/>
                <w:szCs w:val="24"/>
                <w:lang w:eastAsia="en-AU"/>
              </w:rPr>
              <w:tab/>
            </w:r>
            <w:r w:rsidRPr="007A37AB">
              <w:rPr>
                <w:rStyle w:val="Hyperlink"/>
                <w:noProof/>
              </w:rPr>
              <w:t>WHS regulation of plant and equipment generally</w:t>
            </w:r>
            <w:r>
              <w:rPr>
                <w:noProof/>
                <w:webHidden/>
              </w:rPr>
              <w:tab/>
            </w:r>
            <w:r>
              <w:rPr>
                <w:noProof/>
                <w:webHidden/>
              </w:rPr>
              <w:fldChar w:fldCharType="begin"/>
            </w:r>
            <w:r>
              <w:rPr>
                <w:noProof/>
                <w:webHidden/>
              </w:rPr>
              <w:instrText xml:space="preserve"> PAGEREF _Toc222925514 \h </w:instrText>
            </w:r>
            <w:r>
              <w:rPr>
                <w:noProof/>
                <w:webHidden/>
              </w:rPr>
            </w:r>
            <w:r>
              <w:rPr>
                <w:noProof/>
                <w:webHidden/>
              </w:rPr>
              <w:fldChar w:fldCharType="separate"/>
            </w:r>
            <w:r w:rsidR="00D35DDC">
              <w:rPr>
                <w:noProof/>
                <w:webHidden/>
              </w:rPr>
              <w:t>53</w:t>
            </w:r>
            <w:r>
              <w:rPr>
                <w:noProof/>
                <w:webHidden/>
              </w:rPr>
              <w:fldChar w:fldCharType="end"/>
            </w:r>
          </w:hyperlink>
        </w:p>
        <w:p w14:paraId="58FF6838" w14:textId="37F61337"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5" w:history="1">
            <w:r w:rsidRPr="007A37AB">
              <w:rPr>
                <w:rStyle w:val="Hyperlink"/>
                <w:noProof/>
              </w:rPr>
              <w:t>6.8</w:t>
            </w:r>
            <w:r>
              <w:rPr>
                <w:rFonts w:asciiTheme="minorHAnsi" w:eastAsiaTheme="minorEastAsia" w:hAnsiTheme="minorHAnsi"/>
                <w:noProof/>
                <w:szCs w:val="24"/>
                <w:lang w:eastAsia="en-AU"/>
              </w:rPr>
              <w:tab/>
            </w:r>
            <w:r w:rsidRPr="007A37AB">
              <w:rPr>
                <w:rStyle w:val="Hyperlink"/>
                <w:noProof/>
              </w:rPr>
              <w:t>Demonstrating compliance with Health &amp; Safety Laws</w:t>
            </w:r>
            <w:r>
              <w:rPr>
                <w:noProof/>
                <w:webHidden/>
              </w:rPr>
              <w:tab/>
            </w:r>
            <w:r>
              <w:rPr>
                <w:noProof/>
                <w:webHidden/>
              </w:rPr>
              <w:fldChar w:fldCharType="begin"/>
            </w:r>
            <w:r>
              <w:rPr>
                <w:noProof/>
                <w:webHidden/>
              </w:rPr>
              <w:instrText xml:space="preserve"> PAGEREF _Toc222925515 \h </w:instrText>
            </w:r>
            <w:r>
              <w:rPr>
                <w:noProof/>
                <w:webHidden/>
              </w:rPr>
            </w:r>
            <w:r>
              <w:rPr>
                <w:noProof/>
                <w:webHidden/>
              </w:rPr>
              <w:fldChar w:fldCharType="separate"/>
            </w:r>
            <w:r w:rsidR="00D35DDC">
              <w:rPr>
                <w:noProof/>
                <w:webHidden/>
              </w:rPr>
              <w:t>58</w:t>
            </w:r>
            <w:r>
              <w:rPr>
                <w:noProof/>
                <w:webHidden/>
              </w:rPr>
              <w:fldChar w:fldCharType="end"/>
            </w:r>
          </w:hyperlink>
        </w:p>
        <w:p w14:paraId="594E13D2" w14:textId="5C3C69CF"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6" w:history="1">
            <w:r w:rsidRPr="007A37AB">
              <w:rPr>
                <w:rStyle w:val="Hyperlink"/>
                <w:noProof/>
              </w:rPr>
              <w:t>6.9</w:t>
            </w:r>
            <w:r>
              <w:rPr>
                <w:rFonts w:asciiTheme="minorHAnsi" w:eastAsiaTheme="minorEastAsia" w:hAnsiTheme="minorHAnsi"/>
                <w:noProof/>
                <w:szCs w:val="24"/>
                <w:lang w:eastAsia="en-AU"/>
              </w:rPr>
              <w:tab/>
            </w:r>
            <w:r w:rsidRPr="007A37AB">
              <w:rPr>
                <w:rStyle w:val="Hyperlink"/>
                <w:noProof/>
              </w:rPr>
              <w:t>Managing and evidencing compliance with WHS laws</w:t>
            </w:r>
            <w:r>
              <w:rPr>
                <w:noProof/>
                <w:webHidden/>
              </w:rPr>
              <w:tab/>
            </w:r>
            <w:r>
              <w:rPr>
                <w:noProof/>
                <w:webHidden/>
              </w:rPr>
              <w:fldChar w:fldCharType="begin"/>
            </w:r>
            <w:r>
              <w:rPr>
                <w:noProof/>
                <w:webHidden/>
              </w:rPr>
              <w:instrText xml:space="preserve"> PAGEREF _Toc222925516 \h </w:instrText>
            </w:r>
            <w:r>
              <w:rPr>
                <w:noProof/>
                <w:webHidden/>
              </w:rPr>
            </w:r>
            <w:r>
              <w:rPr>
                <w:noProof/>
                <w:webHidden/>
              </w:rPr>
              <w:fldChar w:fldCharType="separate"/>
            </w:r>
            <w:r w:rsidR="00D35DDC">
              <w:rPr>
                <w:noProof/>
                <w:webHidden/>
              </w:rPr>
              <w:t>60</w:t>
            </w:r>
            <w:r>
              <w:rPr>
                <w:noProof/>
                <w:webHidden/>
              </w:rPr>
              <w:fldChar w:fldCharType="end"/>
            </w:r>
          </w:hyperlink>
        </w:p>
        <w:p w14:paraId="235B3336" w14:textId="59B83D8B"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7" w:history="1">
            <w:r w:rsidRPr="007A37AB">
              <w:rPr>
                <w:rStyle w:val="Hyperlink"/>
                <w:noProof/>
              </w:rPr>
              <w:t>6.10</w:t>
            </w:r>
            <w:r>
              <w:rPr>
                <w:rFonts w:asciiTheme="minorHAnsi" w:eastAsiaTheme="minorEastAsia" w:hAnsiTheme="minorHAnsi"/>
                <w:noProof/>
                <w:szCs w:val="24"/>
                <w:lang w:eastAsia="en-AU"/>
              </w:rPr>
              <w:tab/>
            </w:r>
            <w:r w:rsidRPr="007A37AB">
              <w:rPr>
                <w:rStyle w:val="Hyperlink"/>
                <w:noProof/>
              </w:rPr>
              <w:t>Major Hazard Facilities (MHF)</w:t>
            </w:r>
            <w:r>
              <w:rPr>
                <w:noProof/>
                <w:webHidden/>
              </w:rPr>
              <w:tab/>
            </w:r>
            <w:r>
              <w:rPr>
                <w:noProof/>
                <w:webHidden/>
              </w:rPr>
              <w:fldChar w:fldCharType="begin"/>
            </w:r>
            <w:r>
              <w:rPr>
                <w:noProof/>
                <w:webHidden/>
              </w:rPr>
              <w:instrText xml:space="preserve"> PAGEREF _Toc222925517 \h </w:instrText>
            </w:r>
            <w:r>
              <w:rPr>
                <w:noProof/>
                <w:webHidden/>
              </w:rPr>
            </w:r>
            <w:r>
              <w:rPr>
                <w:noProof/>
                <w:webHidden/>
              </w:rPr>
              <w:fldChar w:fldCharType="separate"/>
            </w:r>
            <w:r w:rsidR="00D35DDC">
              <w:rPr>
                <w:noProof/>
                <w:webHidden/>
              </w:rPr>
              <w:t>61</w:t>
            </w:r>
            <w:r>
              <w:rPr>
                <w:noProof/>
                <w:webHidden/>
              </w:rPr>
              <w:fldChar w:fldCharType="end"/>
            </w:r>
          </w:hyperlink>
        </w:p>
        <w:p w14:paraId="7CC862E0" w14:textId="72F9EBF5"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518" w:history="1">
            <w:r w:rsidRPr="007A37AB">
              <w:rPr>
                <w:rStyle w:val="Hyperlink"/>
              </w:rPr>
              <w:t>7</w:t>
            </w:r>
            <w:r>
              <w:rPr>
                <w:rFonts w:asciiTheme="minorHAnsi" w:eastAsiaTheme="minorEastAsia" w:hAnsiTheme="minorHAnsi" w:cstheme="minorBidi"/>
                <w:kern w:val="2"/>
                <w:szCs w:val="24"/>
                <w:lang w:val="en-AU" w:eastAsia="en-AU"/>
                <w14:ligatures w14:val="standardContextual"/>
              </w:rPr>
              <w:tab/>
            </w:r>
            <w:r w:rsidRPr="007A37AB">
              <w:rPr>
                <w:rStyle w:val="Hyperlink"/>
              </w:rPr>
              <w:t>Chapter 7 – Other safety laws</w:t>
            </w:r>
            <w:r>
              <w:rPr>
                <w:webHidden/>
              </w:rPr>
              <w:tab/>
            </w:r>
            <w:r>
              <w:rPr>
                <w:webHidden/>
              </w:rPr>
              <w:fldChar w:fldCharType="begin"/>
            </w:r>
            <w:r>
              <w:rPr>
                <w:webHidden/>
              </w:rPr>
              <w:instrText xml:space="preserve"> PAGEREF _Toc222925518 \h </w:instrText>
            </w:r>
            <w:r>
              <w:rPr>
                <w:webHidden/>
              </w:rPr>
            </w:r>
            <w:r>
              <w:rPr>
                <w:webHidden/>
              </w:rPr>
              <w:fldChar w:fldCharType="separate"/>
            </w:r>
            <w:r w:rsidR="00D35DDC">
              <w:rPr>
                <w:webHidden/>
              </w:rPr>
              <w:t>65</w:t>
            </w:r>
            <w:r>
              <w:rPr>
                <w:webHidden/>
              </w:rPr>
              <w:fldChar w:fldCharType="end"/>
            </w:r>
          </w:hyperlink>
        </w:p>
        <w:p w14:paraId="2E86176C" w14:textId="7BBEB8B8"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19" w:history="1">
            <w:r w:rsidRPr="007A37AB">
              <w:rPr>
                <w:rStyle w:val="Hyperlink"/>
                <w:noProof/>
              </w:rPr>
              <w:t>7.1</w:t>
            </w:r>
            <w:r>
              <w:rPr>
                <w:rFonts w:asciiTheme="minorHAnsi" w:eastAsiaTheme="minorEastAsia" w:hAnsiTheme="minorHAnsi"/>
                <w:noProof/>
                <w:szCs w:val="24"/>
                <w:lang w:eastAsia="en-AU"/>
              </w:rPr>
              <w:tab/>
            </w:r>
            <w:r w:rsidRPr="007A37AB">
              <w:rPr>
                <w:rStyle w:val="Hyperlink"/>
                <w:noProof/>
              </w:rPr>
              <w:t>Dangerous Goods and Substances</w:t>
            </w:r>
            <w:r>
              <w:rPr>
                <w:noProof/>
                <w:webHidden/>
              </w:rPr>
              <w:tab/>
            </w:r>
            <w:r>
              <w:rPr>
                <w:noProof/>
                <w:webHidden/>
              </w:rPr>
              <w:fldChar w:fldCharType="begin"/>
            </w:r>
            <w:r>
              <w:rPr>
                <w:noProof/>
                <w:webHidden/>
              </w:rPr>
              <w:instrText xml:space="preserve"> PAGEREF _Toc222925519 \h </w:instrText>
            </w:r>
            <w:r>
              <w:rPr>
                <w:noProof/>
                <w:webHidden/>
              </w:rPr>
            </w:r>
            <w:r>
              <w:rPr>
                <w:noProof/>
                <w:webHidden/>
              </w:rPr>
              <w:fldChar w:fldCharType="separate"/>
            </w:r>
            <w:r w:rsidR="00D35DDC">
              <w:rPr>
                <w:noProof/>
                <w:webHidden/>
              </w:rPr>
              <w:t>65</w:t>
            </w:r>
            <w:r>
              <w:rPr>
                <w:noProof/>
                <w:webHidden/>
              </w:rPr>
              <w:fldChar w:fldCharType="end"/>
            </w:r>
          </w:hyperlink>
        </w:p>
        <w:p w14:paraId="693D6160" w14:textId="3EE96973" w:rsidR="00F57798" w:rsidRDefault="00F57798">
          <w:pPr>
            <w:pStyle w:val="TOC3"/>
            <w:rPr>
              <w:rFonts w:asciiTheme="minorHAnsi" w:eastAsiaTheme="minorEastAsia" w:hAnsiTheme="minorHAnsi"/>
              <w:noProof/>
              <w:szCs w:val="24"/>
              <w:lang w:eastAsia="en-AU"/>
            </w:rPr>
          </w:pPr>
          <w:hyperlink w:anchor="_Toc222925520" w:history="1">
            <w:r w:rsidRPr="007A37AB">
              <w:rPr>
                <w:rStyle w:val="Hyperlink"/>
                <w:rFonts w:cs="Calibri"/>
                <w:noProof/>
                <w:lang w:eastAsia="en-AU"/>
              </w:rPr>
              <w:t>7.1.1</w:t>
            </w:r>
            <w:r>
              <w:rPr>
                <w:rFonts w:asciiTheme="minorHAnsi" w:eastAsiaTheme="minorEastAsia" w:hAnsiTheme="minorHAnsi"/>
                <w:noProof/>
                <w:szCs w:val="24"/>
                <w:lang w:eastAsia="en-AU"/>
              </w:rPr>
              <w:tab/>
            </w:r>
            <w:r w:rsidRPr="007A37AB">
              <w:rPr>
                <w:rStyle w:val="Hyperlink"/>
                <w:noProof/>
                <w:lang w:eastAsia="en-AU"/>
              </w:rPr>
              <w:t>Western Australia: Dangerous Goods Safety Act</w:t>
            </w:r>
            <w:r>
              <w:rPr>
                <w:noProof/>
                <w:webHidden/>
              </w:rPr>
              <w:tab/>
            </w:r>
            <w:r>
              <w:rPr>
                <w:noProof/>
                <w:webHidden/>
              </w:rPr>
              <w:fldChar w:fldCharType="begin"/>
            </w:r>
            <w:r>
              <w:rPr>
                <w:noProof/>
                <w:webHidden/>
              </w:rPr>
              <w:instrText xml:space="preserve"> PAGEREF _Toc222925520 \h </w:instrText>
            </w:r>
            <w:r>
              <w:rPr>
                <w:noProof/>
                <w:webHidden/>
              </w:rPr>
            </w:r>
            <w:r>
              <w:rPr>
                <w:noProof/>
                <w:webHidden/>
              </w:rPr>
              <w:fldChar w:fldCharType="separate"/>
            </w:r>
            <w:r w:rsidR="00D35DDC">
              <w:rPr>
                <w:noProof/>
                <w:webHidden/>
              </w:rPr>
              <w:t>67</w:t>
            </w:r>
            <w:r>
              <w:rPr>
                <w:noProof/>
                <w:webHidden/>
              </w:rPr>
              <w:fldChar w:fldCharType="end"/>
            </w:r>
          </w:hyperlink>
        </w:p>
        <w:p w14:paraId="72CD833A" w14:textId="7A0FBB8B" w:rsidR="00F57798" w:rsidRDefault="00F57798">
          <w:pPr>
            <w:pStyle w:val="TOC3"/>
            <w:rPr>
              <w:rFonts w:asciiTheme="minorHAnsi" w:eastAsiaTheme="minorEastAsia" w:hAnsiTheme="minorHAnsi"/>
              <w:noProof/>
              <w:szCs w:val="24"/>
              <w:lang w:eastAsia="en-AU"/>
            </w:rPr>
          </w:pPr>
          <w:hyperlink w:anchor="_Toc222925521" w:history="1">
            <w:r w:rsidRPr="007A37AB">
              <w:rPr>
                <w:rStyle w:val="Hyperlink"/>
                <w:rFonts w:cs="Calibri"/>
                <w:noProof/>
              </w:rPr>
              <w:t>7.1.2</w:t>
            </w:r>
            <w:r>
              <w:rPr>
                <w:rFonts w:asciiTheme="minorHAnsi" w:eastAsiaTheme="minorEastAsia" w:hAnsiTheme="minorHAnsi"/>
                <w:noProof/>
                <w:szCs w:val="24"/>
                <w:lang w:eastAsia="en-AU"/>
              </w:rPr>
              <w:tab/>
            </w:r>
            <w:r w:rsidRPr="007A37AB">
              <w:rPr>
                <w:rStyle w:val="Hyperlink"/>
                <w:noProof/>
              </w:rPr>
              <w:t>Classification of hazardous chemicals and dangerous goods</w:t>
            </w:r>
            <w:r>
              <w:rPr>
                <w:noProof/>
                <w:webHidden/>
              </w:rPr>
              <w:tab/>
            </w:r>
            <w:r>
              <w:rPr>
                <w:noProof/>
                <w:webHidden/>
              </w:rPr>
              <w:fldChar w:fldCharType="begin"/>
            </w:r>
            <w:r>
              <w:rPr>
                <w:noProof/>
                <w:webHidden/>
              </w:rPr>
              <w:instrText xml:space="preserve"> PAGEREF _Toc222925521 \h </w:instrText>
            </w:r>
            <w:r>
              <w:rPr>
                <w:noProof/>
                <w:webHidden/>
              </w:rPr>
            </w:r>
            <w:r>
              <w:rPr>
                <w:noProof/>
                <w:webHidden/>
              </w:rPr>
              <w:fldChar w:fldCharType="separate"/>
            </w:r>
            <w:r w:rsidR="00D35DDC">
              <w:rPr>
                <w:noProof/>
                <w:webHidden/>
              </w:rPr>
              <w:t>69</w:t>
            </w:r>
            <w:r>
              <w:rPr>
                <w:noProof/>
                <w:webHidden/>
              </w:rPr>
              <w:fldChar w:fldCharType="end"/>
            </w:r>
          </w:hyperlink>
        </w:p>
        <w:p w14:paraId="513042BA" w14:textId="72897042"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2" w:history="1">
            <w:r w:rsidRPr="007A37AB">
              <w:rPr>
                <w:rStyle w:val="Hyperlink"/>
                <w:noProof/>
              </w:rPr>
              <w:t>7.2</w:t>
            </w:r>
            <w:r>
              <w:rPr>
                <w:rFonts w:asciiTheme="minorHAnsi" w:eastAsiaTheme="minorEastAsia" w:hAnsiTheme="minorHAnsi"/>
                <w:noProof/>
                <w:szCs w:val="24"/>
                <w:lang w:eastAsia="en-AU"/>
              </w:rPr>
              <w:tab/>
            </w:r>
            <w:r w:rsidRPr="007A37AB">
              <w:rPr>
                <w:rStyle w:val="Hyperlink"/>
                <w:noProof/>
              </w:rPr>
              <w:t>Electrical equipment and installations</w:t>
            </w:r>
            <w:r>
              <w:rPr>
                <w:noProof/>
                <w:webHidden/>
              </w:rPr>
              <w:tab/>
            </w:r>
            <w:r>
              <w:rPr>
                <w:noProof/>
                <w:webHidden/>
              </w:rPr>
              <w:fldChar w:fldCharType="begin"/>
            </w:r>
            <w:r>
              <w:rPr>
                <w:noProof/>
                <w:webHidden/>
              </w:rPr>
              <w:instrText xml:space="preserve"> PAGEREF _Toc222925522 \h </w:instrText>
            </w:r>
            <w:r>
              <w:rPr>
                <w:noProof/>
                <w:webHidden/>
              </w:rPr>
            </w:r>
            <w:r>
              <w:rPr>
                <w:noProof/>
                <w:webHidden/>
              </w:rPr>
              <w:fldChar w:fldCharType="separate"/>
            </w:r>
            <w:r w:rsidR="00D35DDC">
              <w:rPr>
                <w:noProof/>
                <w:webHidden/>
              </w:rPr>
              <w:t>69</w:t>
            </w:r>
            <w:r>
              <w:rPr>
                <w:noProof/>
                <w:webHidden/>
              </w:rPr>
              <w:fldChar w:fldCharType="end"/>
            </w:r>
          </w:hyperlink>
        </w:p>
        <w:p w14:paraId="437CC0BF" w14:textId="4E3A1601"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3" w:history="1">
            <w:r w:rsidRPr="007A37AB">
              <w:rPr>
                <w:rStyle w:val="Hyperlink"/>
                <w:noProof/>
              </w:rPr>
              <w:t>7.3</w:t>
            </w:r>
            <w:r>
              <w:rPr>
                <w:rFonts w:asciiTheme="minorHAnsi" w:eastAsiaTheme="minorEastAsia" w:hAnsiTheme="minorHAnsi"/>
                <w:noProof/>
                <w:szCs w:val="24"/>
                <w:lang w:eastAsia="en-AU"/>
              </w:rPr>
              <w:tab/>
            </w:r>
            <w:r w:rsidRPr="007A37AB">
              <w:rPr>
                <w:rStyle w:val="Hyperlink"/>
                <w:noProof/>
              </w:rPr>
              <w:t>Gas plant and equipment</w:t>
            </w:r>
            <w:r>
              <w:rPr>
                <w:noProof/>
                <w:webHidden/>
              </w:rPr>
              <w:tab/>
            </w:r>
            <w:r>
              <w:rPr>
                <w:noProof/>
                <w:webHidden/>
              </w:rPr>
              <w:fldChar w:fldCharType="begin"/>
            </w:r>
            <w:r>
              <w:rPr>
                <w:noProof/>
                <w:webHidden/>
              </w:rPr>
              <w:instrText xml:space="preserve"> PAGEREF _Toc222925523 \h </w:instrText>
            </w:r>
            <w:r>
              <w:rPr>
                <w:noProof/>
                <w:webHidden/>
              </w:rPr>
            </w:r>
            <w:r>
              <w:rPr>
                <w:noProof/>
                <w:webHidden/>
              </w:rPr>
              <w:fldChar w:fldCharType="separate"/>
            </w:r>
            <w:r w:rsidR="00D35DDC">
              <w:rPr>
                <w:noProof/>
                <w:webHidden/>
              </w:rPr>
              <w:t>70</w:t>
            </w:r>
            <w:r>
              <w:rPr>
                <w:noProof/>
                <w:webHidden/>
              </w:rPr>
              <w:fldChar w:fldCharType="end"/>
            </w:r>
          </w:hyperlink>
        </w:p>
        <w:p w14:paraId="23FB3DCC" w14:textId="180DDB61"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524" w:history="1">
            <w:r w:rsidRPr="007A37AB">
              <w:rPr>
                <w:rStyle w:val="Hyperlink"/>
              </w:rPr>
              <w:t>8</w:t>
            </w:r>
            <w:r>
              <w:rPr>
                <w:rFonts w:asciiTheme="minorHAnsi" w:eastAsiaTheme="minorEastAsia" w:hAnsiTheme="minorHAnsi" w:cstheme="minorBidi"/>
                <w:kern w:val="2"/>
                <w:szCs w:val="24"/>
                <w:lang w:val="en-AU" w:eastAsia="en-AU"/>
                <w14:ligatures w14:val="standardContextual"/>
              </w:rPr>
              <w:tab/>
            </w:r>
            <w:r w:rsidRPr="007A37AB">
              <w:rPr>
                <w:rStyle w:val="Hyperlink"/>
              </w:rPr>
              <w:t>Chapter 8 – Planning</w:t>
            </w:r>
            <w:r>
              <w:rPr>
                <w:webHidden/>
              </w:rPr>
              <w:tab/>
            </w:r>
            <w:r>
              <w:rPr>
                <w:webHidden/>
              </w:rPr>
              <w:fldChar w:fldCharType="begin"/>
            </w:r>
            <w:r>
              <w:rPr>
                <w:webHidden/>
              </w:rPr>
              <w:instrText xml:space="preserve"> PAGEREF _Toc222925524 \h </w:instrText>
            </w:r>
            <w:r>
              <w:rPr>
                <w:webHidden/>
              </w:rPr>
            </w:r>
            <w:r>
              <w:rPr>
                <w:webHidden/>
              </w:rPr>
              <w:fldChar w:fldCharType="separate"/>
            </w:r>
            <w:r w:rsidR="00D35DDC">
              <w:rPr>
                <w:webHidden/>
              </w:rPr>
              <w:t>72</w:t>
            </w:r>
            <w:r>
              <w:rPr>
                <w:webHidden/>
              </w:rPr>
              <w:fldChar w:fldCharType="end"/>
            </w:r>
          </w:hyperlink>
        </w:p>
        <w:p w14:paraId="787E8FDA" w14:textId="040BC00F"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5" w:history="1">
            <w:r w:rsidRPr="007A37AB">
              <w:rPr>
                <w:rStyle w:val="Hyperlink"/>
                <w:noProof/>
              </w:rPr>
              <w:t>8.1</w:t>
            </w:r>
            <w:r>
              <w:rPr>
                <w:rFonts w:asciiTheme="minorHAnsi" w:eastAsiaTheme="minorEastAsia" w:hAnsiTheme="minorHAnsi"/>
                <w:noProof/>
                <w:szCs w:val="24"/>
                <w:lang w:eastAsia="en-AU"/>
              </w:rPr>
              <w:tab/>
            </w:r>
            <w:r w:rsidRPr="007A37AB">
              <w:rPr>
                <w:rStyle w:val="Hyperlink"/>
                <w:noProof/>
              </w:rPr>
              <w:t>Australian planning frameworks in context</w:t>
            </w:r>
            <w:r>
              <w:rPr>
                <w:noProof/>
                <w:webHidden/>
              </w:rPr>
              <w:tab/>
            </w:r>
            <w:r>
              <w:rPr>
                <w:noProof/>
                <w:webHidden/>
              </w:rPr>
              <w:fldChar w:fldCharType="begin"/>
            </w:r>
            <w:r>
              <w:rPr>
                <w:noProof/>
                <w:webHidden/>
              </w:rPr>
              <w:instrText xml:space="preserve"> PAGEREF _Toc222925525 \h </w:instrText>
            </w:r>
            <w:r>
              <w:rPr>
                <w:noProof/>
                <w:webHidden/>
              </w:rPr>
            </w:r>
            <w:r>
              <w:rPr>
                <w:noProof/>
                <w:webHidden/>
              </w:rPr>
              <w:fldChar w:fldCharType="separate"/>
            </w:r>
            <w:r w:rsidR="00D35DDC">
              <w:rPr>
                <w:noProof/>
                <w:webHidden/>
              </w:rPr>
              <w:t>72</w:t>
            </w:r>
            <w:r>
              <w:rPr>
                <w:noProof/>
                <w:webHidden/>
              </w:rPr>
              <w:fldChar w:fldCharType="end"/>
            </w:r>
          </w:hyperlink>
        </w:p>
        <w:p w14:paraId="2A6188BF" w14:textId="4078ABCC"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6" w:history="1">
            <w:r w:rsidRPr="007A37AB">
              <w:rPr>
                <w:rStyle w:val="Hyperlink"/>
                <w:noProof/>
              </w:rPr>
              <w:t>8.2</w:t>
            </w:r>
            <w:r>
              <w:rPr>
                <w:rFonts w:asciiTheme="minorHAnsi" w:eastAsiaTheme="minorEastAsia" w:hAnsiTheme="minorHAnsi"/>
                <w:noProof/>
                <w:szCs w:val="24"/>
                <w:lang w:eastAsia="en-AU"/>
              </w:rPr>
              <w:tab/>
            </w:r>
            <w:r w:rsidRPr="007A37AB">
              <w:rPr>
                <w:rStyle w:val="Hyperlink"/>
                <w:noProof/>
              </w:rPr>
              <w:t>Assessment of environmental impacts</w:t>
            </w:r>
            <w:r>
              <w:rPr>
                <w:noProof/>
                <w:webHidden/>
              </w:rPr>
              <w:tab/>
            </w:r>
            <w:r>
              <w:rPr>
                <w:noProof/>
                <w:webHidden/>
              </w:rPr>
              <w:fldChar w:fldCharType="begin"/>
            </w:r>
            <w:r>
              <w:rPr>
                <w:noProof/>
                <w:webHidden/>
              </w:rPr>
              <w:instrText xml:space="preserve"> PAGEREF _Toc222925526 \h </w:instrText>
            </w:r>
            <w:r>
              <w:rPr>
                <w:noProof/>
                <w:webHidden/>
              </w:rPr>
            </w:r>
            <w:r>
              <w:rPr>
                <w:noProof/>
                <w:webHidden/>
              </w:rPr>
              <w:fldChar w:fldCharType="separate"/>
            </w:r>
            <w:r w:rsidR="00D35DDC">
              <w:rPr>
                <w:noProof/>
                <w:webHidden/>
              </w:rPr>
              <w:t>76</w:t>
            </w:r>
            <w:r>
              <w:rPr>
                <w:noProof/>
                <w:webHidden/>
              </w:rPr>
              <w:fldChar w:fldCharType="end"/>
            </w:r>
          </w:hyperlink>
        </w:p>
        <w:p w14:paraId="7AC7C640" w14:textId="35B6BF5F"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7" w:history="1">
            <w:r w:rsidRPr="007A37AB">
              <w:rPr>
                <w:rStyle w:val="Hyperlink"/>
                <w:noProof/>
              </w:rPr>
              <w:t>8.3</w:t>
            </w:r>
            <w:r>
              <w:rPr>
                <w:rFonts w:asciiTheme="minorHAnsi" w:eastAsiaTheme="minorEastAsia" w:hAnsiTheme="minorHAnsi"/>
                <w:noProof/>
                <w:szCs w:val="24"/>
                <w:lang w:eastAsia="en-AU"/>
              </w:rPr>
              <w:tab/>
            </w:r>
            <w:r w:rsidRPr="007A37AB">
              <w:rPr>
                <w:rStyle w:val="Hyperlink"/>
                <w:noProof/>
              </w:rPr>
              <w:t>Land use classification</w:t>
            </w:r>
            <w:r>
              <w:rPr>
                <w:noProof/>
                <w:webHidden/>
              </w:rPr>
              <w:tab/>
            </w:r>
            <w:r>
              <w:rPr>
                <w:noProof/>
                <w:webHidden/>
              </w:rPr>
              <w:fldChar w:fldCharType="begin"/>
            </w:r>
            <w:r>
              <w:rPr>
                <w:noProof/>
                <w:webHidden/>
              </w:rPr>
              <w:instrText xml:space="preserve"> PAGEREF _Toc222925527 \h </w:instrText>
            </w:r>
            <w:r>
              <w:rPr>
                <w:noProof/>
                <w:webHidden/>
              </w:rPr>
            </w:r>
            <w:r>
              <w:rPr>
                <w:noProof/>
                <w:webHidden/>
              </w:rPr>
              <w:fldChar w:fldCharType="separate"/>
            </w:r>
            <w:r w:rsidR="00D35DDC">
              <w:rPr>
                <w:noProof/>
                <w:webHidden/>
              </w:rPr>
              <w:t>76</w:t>
            </w:r>
            <w:r>
              <w:rPr>
                <w:noProof/>
                <w:webHidden/>
              </w:rPr>
              <w:fldChar w:fldCharType="end"/>
            </w:r>
          </w:hyperlink>
        </w:p>
        <w:p w14:paraId="5D0D6E4C" w14:textId="12B137FD" w:rsidR="00F57798" w:rsidRDefault="00F57798">
          <w:pPr>
            <w:pStyle w:val="TOC1"/>
            <w:tabs>
              <w:tab w:val="left" w:pos="440"/>
            </w:tabs>
            <w:rPr>
              <w:rFonts w:asciiTheme="minorHAnsi" w:eastAsiaTheme="minorEastAsia" w:hAnsiTheme="minorHAnsi" w:cstheme="minorBidi"/>
              <w:kern w:val="2"/>
              <w:szCs w:val="24"/>
              <w:lang w:val="en-AU" w:eastAsia="en-AU"/>
              <w14:ligatures w14:val="standardContextual"/>
            </w:rPr>
          </w:pPr>
          <w:hyperlink w:anchor="_Toc222925528" w:history="1">
            <w:r w:rsidRPr="007A37AB">
              <w:rPr>
                <w:rStyle w:val="Hyperlink"/>
              </w:rPr>
              <w:t>9</w:t>
            </w:r>
            <w:r>
              <w:rPr>
                <w:rFonts w:asciiTheme="minorHAnsi" w:eastAsiaTheme="minorEastAsia" w:hAnsiTheme="minorHAnsi" w:cstheme="minorBidi"/>
                <w:kern w:val="2"/>
                <w:szCs w:val="24"/>
                <w:lang w:val="en-AU" w:eastAsia="en-AU"/>
                <w14:ligatures w14:val="standardContextual"/>
              </w:rPr>
              <w:tab/>
            </w:r>
            <w:r w:rsidRPr="007A37AB">
              <w:rPr>
                <w:rStyle w:val="Hyperlink"/>
              </w:rPr>
              <w:t>Chapter 9 - Environmental approvals, offences and obligations</w:t>
            </w:r>
            <w:r>
              <w:rPr>
                <w:webHidden/>
              </w:rPr>
              <w:tab/>
            </w:r>
            <w:r>
              <w:rPr>
                <w:webHidden/>
              </w:rPr>
              <w:fldChar w:fldCharType="begin"/>
            </w:r>
            <w:r>
              <w:rPr>
                <w:webHidden/>
              </w:rPr>
              <w:instrText xml:space="preserve"> PAGEREF _Toc222925528 \h </w:instrText>
            </w:r>
            <w:r>
              <w:rPr>
                <w:webHidden/>
              </w:rPr>
            </w:r>
            <w:r>
              <w:rPr>
                <w:webHidden/>
              </w:rPr>
              <w:fldChar w:fldCharType="separate"/>
            </w:r>
            <w:r w:rsidR="00D35DDC">
              <w:rPr>
                <w:webHidden/>
              </w:rPr>
              <w:t>77</w:t>
            </w:r>
            <w:r>
              <w:rPr>
                <w:webHidden/>
              </w:rPr>
              <w:fldChar w:fldCharType="end"/>
            </w:r>
          </w:hyperlink>
        </w:p>
        <w:p w14:paraId="674D4CEC" w14:textId="0E9F7C34"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29" w:history="1">
            <w:r w:rsidRPr="007A37AB">
              <w:rPr>
                <w:rStyle w:val="Hyperlink"/>
                <w:noProof/>
              </w:rPr>
              <w:t>9.1</w:t>
            </w:r>
            <w:r>
              <w:rPr>
                <w:rFonts w:asciiTheme="minorHAnsi" w:eastAsiaTheme="minorEastAsia" w:hAnsiTheme="minorHAnsi"/>
                <w:noProof/>
                <w:szCs w:val="24"/>
                <w:lang w:eastAsia="en-AU"/>
              </w:rPr>
              <w:tab/>
            </w:r>
            <w:r w:rsidRPr="007A37AB">
              <w:rPr>
                <w:rStyle w:val="Hyperlink"/>
                <w:noProof/>
              </w:rPr>
              <w:t>Environmental obligations for hydrogen pipelines</w:t>
            </w:r>
            <w:r>
              <w:rPr>
                <w:noProof/>
                <w:webHidden/>
              </w:rPr>
              <w:tab/>
            </w:r>
            <w:r>
              <w:rPr>
                <w:noProof/>
                <w:webHidden/>
              </w:rPr>
              <w:fldChar w:fldCharType="begin"/>
            </w:r>
            <w:r>
              <w:rPr>
                <w:noProof/>
                <w:webHidden/>
              </w:rPr>
              <w:instrText xml:space="preserve"> PAGEREF _Toc222925529 \h </w:instrText>
            </w:r>
            <w:r>
              <w:rPr>
                <w:noProof/>
                <w:webHidden/>
              </w:rPr>
            </w:r>
            <w:r>
              <w:rPr>
                <w:noProof/>
                <w:webHidden/>
              </w:rPr>
              <w:fldChar w:fldCharType="separate"/>
            </w:r>
            <w:r w:rsidR="00D35DDC">
              <w:rPr>
                <w:noProof/>
                <w:webHidden/>
              </w:rPr>
              <w:t>77</w:t>
            </w:r>
            <w:r>
              <w:rPr>
                <w:noProof/>
                <w:webHidden/>
              </w:rPr>
              <w:fldChar w:fldCharType="end"/>
            </w:r>
          </w:hyperlink>
        </w:p>
        <w:p w14:paraId="1B8CE87B" w14:textId="3D356518" w:rsidR="00F57798" w:rsidRDefault="00F57798">
          <w:pPr>
            <w:pStyle w:val="TOC2"/>
            <w:tabs>
              <w:tab w:val="left" w:pos="960"/>
              <w:tab w:val="right" w:leader="dot" w:pos="9770"/>
            </w:tabs>
            <w:rPr>
              <w:rFonts w:asciiTheme="minorHAnsi" w:eastAsiaTheme="minorEastAsia" w:hAnsiTheme="minorHAnsi"/>
              <w:noProof/>
              <w:szCs w:val="24"/>
              <w:lang w:eastAsia="en-AU"/>
            </w:rPr>
          </w:pPr>
          <w:hyperlink w:anchor="_Toc222925530" w:history="1">
            <w:r w:rsidRPr="007A37AB">
              <w:rPr>
                <w:rStyle w:val="Hyperlink"/>
                <w:noProof/>
              </w:rPr>
              <w:t>9.2</w:t>
            </w:r>
            <w:r>
              <w:rPr>
                <w:rFonts w:asciiTheme="minorHAnsi" w:eastAsiaTheme="minorEastAsia" w:hAnsiTheme="minorHAnsi"/>
                <w:noProof/>
                <w:szCs w:val="24"/>
                <w:lang w:eastAsia="en-AU"/>
              </w:rPr>
              <w:tab/>
            </w:r>
            <w:r w:rsidRPr="007A37AB">
              <w:rPr>
                <w:rStyle w:val="Hyperlink"/>
                <w:noProof/>
              </w:rPr>
              <w:t>Environmental obligations and pipeline licensing regulations</w:t>
            </w:r>
            <w:r>
              <w:rPr>
                <w:noProof/>
                <w:webHidden/>
              </w:rPr>
              <w:tab/>
            </w:r>
            <w:r>
              <w:rPr>
                <w:noProof/>
                <w:webHidden/>
              </w:rPr>
              <w:fldChar w:fldCharType="begin"/>
            </w:r>
            <w:r>
              <w:rPr>
                <w:noProof/>
                <w:webHidden/>
              </w:rPr>
              <w:instrText xml:space="preserve"> PAGEREF _Toc222925530 \h </w:instrText>
            </w:r>
            <w:r>
              <w:rPr>
                <w:noProof/>
                <w:webHidden/>
              </w:rPr>
            </w:r>
            <w:r>
              <w:rPr>
                <w:noProof/>
                <w:webHidden/>
              </w:rPr>
              <w:fldChar w:fldCharType="separate"/>
            </w:r>
            <w:r w:rsidR="00D35DDC">
              <w:rPr>
                <w:noProof/>
                <w:webHidden/>
              </w:rPr>
              <w:t>77</w:t>
            </w:r>
            <w:r>
              <w:rPr>
                <w:noProof/>
                <w:webHidden/>
              </w:rPr>
              <w:fldChar w:fldCharType="end"/>
            </w:r>
          </w:hyperlink>
        </w:p>
        <w:p w14:paraId="193A3DAB" w14:textId="33885906" w:rsidR="00864C6F" w:rsidRPr="00BA14E9" w:rsidRDefault="00F57798" w:rsidP="00351C63">
          <w:pPr>
            <w:pStyle w:val="TOC2"/>
            <w:tabs>
              <w:tab w:val="left" w:pos="960"/>
              <w:tab w:val="right" w:leader="dot" w:pos="9770"/>
            </w:tabs>
            <w:rPr>
              <w:kern w:val="0"/>
              <w14:ligatures w14:val="none"/>
            </w:rPr>
          </w:pPr>
          <w:hyperlink w:anchor="_Toc222925531" w:history="1">
            <w:r w:rsidRPr="007A37AB">
              <w:rPr>
                <w:rStyle w:val="Hyperlink"/>
                <w:noProof/>
              </w:rPr>
              <w:t>9.3</w:t>
            </w:r>
            <w:r>
              <w:rPr>
                <w:rFonts w:asciiTheme="minorHAnsi" w:eastAsiaTheme="minorEastAsia" w:hAnsiTheme="minorHAnsi"/>
                <w:noProof/>
                <w:szCs w:val="24"/>
                <w:lang w:eastAsia="en-AU"/>
              </w:rPr>
              <w:tab/>
            </w:r>
            <w:r w:rsidRPr="007A37AB">
              <w:rPr>
                <w:rStyle w:val="Hyperlink"/>
                <w:noProof/>
              </w:rPr>
              <w:t>Environmental regulations applying to hydrogen projects generally</w:t>
            </w:r>
            <w:r>
              <w:rPr>
                <w:noProof/>
                <w:webHidden/>
              </w:rPr>
              <w:tab/>
            </w:r>
            <w:r>
              <w:rPr>
                <w:noProof/>
                <w:webHidden/>
              </w:rPr>
              <w:fldChar w:fldCharType="begin"/>
            </w:r>
            <w:r>
              <w:rPr>
                <w:noProof/>
                <w:webHidden/>
              </w:rPr>
              <w:instrText xml:space="preserve"> PAGEREF _Toc222925531 \h </w:instrText>
            </w:r>
            <w:r>
              <w:rPr>
                <w:noProof/>
                <w:webHidden/>
              </w:rPr>
            </w:r>
            <w:r>
              <w:rPr>
                <w:noProof/>
                <w:webHidden/>
              </w:rPr>
              <w:fldChar w:fldCharType="separate"/>
            </w:r>
            <w:r w:rsidR="00D35DDC">
              <w:rPr>
                <w:noProof/>
                <w:webHidden/>
              </w:rPr>
              <w:t>79</w:t>
            </w:r>
            <w:r>
              <w:rPr>
                <w:noProof/>
                <w:webHidden/>
              </w:rPr>
              <w:fldChar w:fldCharType="end"/>
            </w:r>
          </w:hyperlink>
          <w:r w:rsidR="00864C6F" w:rsidRPr="00BA14E9">
            <w:rPr>
              <w:b/>
            </w:rPr>
            <w:fldChar w:fldCharType="end"/>
          </w:r>
        </w:p>
      </w:sdtContent>
    </w:sdt>
    <w:p w14:paraId="74BFD7B7" w14:textId="1E0CC230" w:rsidR="00A9648F" w:rsidRPr="00BA14E9" w:rsidRDefault="00BF024D" w:rsidP="00A65EF2">
      <w:pPr>
        <w:pStyle w:val="Heading1"/>
        <w:numPr>
          <w:ilvl w:val="0"/>
          <w:numId w:val="0"/>
        </w:numPr>
        <w:ind w:left="432" w:hanging="432"/>
      </w:pPr>
      <w:bookmarkStart w:id="4" w:name="_Toc222925471"/>
      <w:r w:rsidRPr="00BA14E9">
        <w:lastRenderedPageBreak/>
        <w:t>Executive Summary</w:t>
      </w:r>
      <w:bookmarkEnd w:id="4"/>
    </w:p>
    <w:p w14:paraId="56646FC1" w14:textId="77777777" w:rsidR="00A9648F" w:rsidRPr="00BA14E9" w:rsidRDefault="00A9648F" w:rsidP="00A9648F">
      <w:pPr>
        <w:rPr>
          <w:rFonts w:eastAsia="Aptos" w:cs="Calibri"/>
        </w:rPr>
      </w:pPr>
      <w:r w:rsidRPr="00BA14E9">
        <w:rPr>
          <w:rFonts w:eastAsia="Aptos" w:cs="Calibri"/>
          <w:b/>
          <w:bCs/>
          <w:sz w:val="32"/>
          <w:szCs w:val="32"/>
        </w:rPr>
        <w:t>Guidebook is an ECMC publication</w:t>
      </w:r>
    </w:p>
    <w:p w14:paraId="5C20F242" w14:textId="7ED973AB" w:rsidR="008379CF" w:rsidRDefault="008379CF" w:rsidP="008379CF">
      <w:pPr>
        <w:spacing w:after="120"/>
        <w:rPr>
          <w:rFonts w:cs="Calibri"/>
        </w:rPr>
      </w:pPr>
      <w:r w:rsidRPr="00DC7068">
        <w:rPr>
          <w:rFonts w:cs="Calibri"/>
        </w:rPr>
        <w:t xml:space="preserve">The </w:t>
      </w:r>
      <w:r w:rsidRPr="00DC7068">
        <w:rPr>
          <w:rFonts w:cs="Calibri"/>
          <w:i/>
          <w:iCs/>
        </w:rPr>
        <w:t xml:space="preserve">National Hydrogen Regulatory Guidebook: </w:t>
      </w:r>
      <w:r>
        <w:rPr>
          <w:rFonts w:cs="Calibri"/>
          <w:i/>
          <w:iCs/>
        </w:rPr>
        <w:t>Pipelines</w:t>
      </w:r>
      <w:r>
        <w:rPr>
          <w:rFonts w:cs="Calibri"/>
        </w:rPr>
        <w:t xml:space="preserve"> (Guidebook) is an Energy and Climate Change Ministerial Council (ECMC) publication. ECMC is made up of responsible energy and climate change Ministers from the Commonwealth, and each state and territory.  </w:t>
      </w:r>
    </w:p>
    <w:p w14:paraId="7F933615" w14:textId="77777777" w:rsidR="008752D0" w:rsidRDefault="008379CF" w:rsidP="008379CF">
      <w:pPr>
        <w:rPr>
          <w:rFonts w:cs="Calibri"/>
        </w:rPr>
      </w:pPr>
      <w:r>
        <w:rPr>
          <w:rFonts w:cs="Calibri"/>
        </w:rPr>
        <w:t>This Guidebook was drafted by a team in the Commonwealth Department of Climate Change, Energy, the Environment and Water (DCCEEW) and was developed in conjunction with departments responsible for hydrogen policy in each jurisdiction of Australia</w:t>
      </w:r>
    </w:p>
    <w:p w14:paraId="4109255D" w14:textId="2FE1AC14" w:rsidR="00A9648F" w:rsidRPr="00BA14E9" w:rsidRDefault="00A9648F" w:rsidP="008379CF">
      <w:pPr>
        <w:rPr>
          <w:rFonts w:eastAsia="Aptos" w:cs="Calibri"/>
          <w:b/>
          <w:bCs/>
          <w:sz w:val="32"/>
          <w:szCs w:val="32"/>
        </w:rPr>
      </w:pPr>
      <w:r w:rsidRPr="00BA14E9">
        <w:rPr>
          <w:rFonts w:eastAsia="Aptos" w:cs="Calibri"/>
          <w:b/>
          <w:bCs/>
          <w:sz w:val="32"/>
          <w:szCs w:val="32"/>
        </w:rPr>
        <w:t>Guidebook is Guidance not Mandatory</w:t>
      </w:r>
    </w:p>
    <w:p w14:paraId="037864CF" w14:textId="4D0CB75D" w:rsidR="00781578" w:rsidRPr="00BA14E9" w:rsidRDefault="00A9648F" w:rsidP="00A9648F">
      <w:pPr>
        <w:rPr>
          <w:rFonts w:eastAsia="Aptos" w:cs="Calibri"/>
        </w:rPr>
      </w:pPr>
      <w:r w:rsidRPr="00BA14E9">
        <w:rPr>
          <w:rFonts w:eastAsia="Aptos" w:cs="Calibri"/>
        </w:rPr>
        <w:t>Th</w:t>
      </w:r>
      <w:r w:rsidR="00585937" w:rsidRPr="00BA14E9">
        <w:rPr>
          <w:rFonts w:eastAsia="Aptos" w:cs="Calibri"/>
        </w:rPr>
        <w:t>is</w:t>
      </w:r>
      <w:r w:rsidRPr="00BA14E9">
        <w:rPr>
          <w:rFonts w:eastAsia="Aptos" w:cs="Calibri"/>
        </w:rPr>
        <w:t xml:space="preserve"> Guidebook provides guidance on</w:t>
      </w:r>
      <w:r w:rsidR="00781578" w:rsidRPr="00BA14E9">
        <w:rPr>
          <w:rFonts w:eastAsia="Aptos" w:cs="Calibri"/>
        </w:rPr>
        <w:t>:</w:t>
      </w:r>
    </w:p>
    <w:p w14:paraId="78EC99ED" w14:textId="3ED6B755" w:rsidR="00F748B5" w:rsidRPr="00BA14E9" w:rsidRDefault="00A9648F" w:rsidP="00113929">
      <w:pPr>
        <w:pStyle w:val="ListParagraph"/>
        <w:numPr>
          <w:ilvl w:val="0"/>
          <w:numId w:val="47"/>
        </w:numPr>
        <w:contextualSpacing w:val="0"/>
        <w:rPr>
          <w:rFonts w:eastAsia="Aptos" w:cs="Calibri"/>
        </w:rPr>
      </w:pPr>
      <w:r w:rsidRPr="00BA14E9">
        <w:rPr>
          <w:rFonts w:eastAsia="Aptos" w:cs="Calibri"/>
        </w:rPr>
        <w:t xml:space="preserve">Commonwealth, state and territory laws </w:t>
      </w:r>
      <w:r w:rsidR="003E25C3" w:rsidRPr="00BA14E9">
        <w:rPr>
          <w:rFonts w:eastAsia="Aptos" w:cs="Calibri"/>
        </w:rPr>
        <w:t xml:space="preserve">that </w:t>
      </w:r>
      <w:r w:rsidRPr="00BA14E9">
        <w:rPr>
          <w:rFonts w:eastAsia="Aptos" w:cs="Calibri"/>
        </w:rPr>
        <w:t xml:space="preserve">regulate </w:t>
      </w:r>
      <w:r w:rsidR="00346285" w:rsidRPr="00BA14E9">
        <w:rPr>
          <w:rFonts w:cs="Calibri"/>
        </w:rPr>
        <w:t xml:space="preserve">pipelines </w:t>
      </w:r>
      <w:r w:rsidR="000B4B4C" w:rsidRPr="00BA14E9">
        <w:rPr>
          <w:rFonts w:cs="Calibri"/>
        </w:rPr>
        <w:t xml:space="preserve">transporting gaseous hydrogen or blends of hydrogen and hydrocarbon fluids </w:t>
      </w:r>
      <w:r w:rsidR="00346285" w:rsidRPr="00BA14E9">
        <w:rPr>
          <w:rFonts w:cs="Calibri"/>
        </w:rPr>
        <w:t>(hydrogen pipelines)</w:t>
      </w:r>
      <w:r w:rsidR="00781578" w:rsidRPr="00BA14E9">
        <w:rPr>
          <w:rFonts w:eastAsia="Aptos" w:cs="Calibri"/>
        </w:rPr>
        <w:t xml:space="preserve"> </w:t>
      </w:r>
    </w:p>
    <w:p w14:paraId="38379ED3" w14:textId="42E38CB0" w:rsidR="00BE2A16" w:rsidRPr="00BA14E9" w:rsidRDefault="00BE2A16" w:rsidP="00113929">
      <w:pPr>
        <w:pStyle w:val="ListParagraph"/>
        <w:numPr>
          <w:ilvl w:val="0"/>
          <w:numId w:val="47"/>
        </w:numPr>
        <w:contextualSpacing w:val="0"/>
        <w:rPr>
          <w:rFonts w:eastAsia="Aptos" w:cs="Calibri"/>
        </w:rPr>
      </w:pPr>
      <w:r w:rsidRPr="00BA14E9">
        <w:rPr>
          <w:rFonts w:eastAsia="Aptos" w:cs="Calibri"/>
        </w:rPr>
        <w:t xml:space="preserve">the </w:t>
      </w:r>
      <w:r w:rsidR="00F3625F">
        <w:rPr>
          <w:rFonts w:eastAsia="Aptos" w:cs="Calibri"/>
        </w:rPr>
        <w:t xml:space="preserve">interaction between regulation </w:t>
      </w:r>
      <w:r w:rsidRPr="00BA14E9">
        <w:rPr>
          <w:rFonts w:eastAsia="Aptos" w:cs="Calibri"/>
        </w:rPr>
        <w:t xml:space="preserve">and </w:t>
      </w:r>
      <w:r w:rsidR="00255E7E">
        <w:rPr>
          <w:rFonts w:eastAsia="Aptos" w:cs="Calibri"/>
        </w:rPr>
        <w:t>the core</w:t>
      </w:r>
      <w:r w:rsidR="00117838">
        <w:rPr>
          <w:rFonts w:eastAsia="Aptos" w:cs="Calibri"/>
        </w:rPr>
        <w:t xml:space="preserve"> Australia standard</w:t>
      </w:r>
      <w:r w:rsidR="00907E7B" w:rsidRPr="00907E7B">
        <w:rPr>
          <w:rFonts w:eastAsia="Aptos" w:cs="Calibri"/>
        </w:rPr>
        <w:t xml:space="preserve"> </w:t>
      </w:r>
      <w:r w:rsidR="00907E7B">
        <w:rPr>
          <w:rFonts w:eastAsia="Aptos" w:cs="Calibri"/>
        </w:rPr>
        <w:t>for</w:t>
      </w:r>
      <w:r w:rsidR="00907E7B" w:rsidRPr="00BA14E9">
        <w:rPr>
          <w:rFonts w:eastAsia="Aptos" w:cs="Calibri"/>
        </w:rPr>
        <w:t xml:space="preserve"> the operation of </w:t>
      </w:r>
      <w:proofErr w:type="gramStart"/>
      <w:r w:rsidR="00255E7E">
        <w:rPr>
          <w:rFonts w:eastAsia="Aptos" w:cs="Calibri"/>
        </w:rPr>
        <w:t>high pressure</w:t>
      </w:r>
      <w:proofErr w:type="gramEnd"/>
      <w:r w:rsidR="00255E7E">
        <w:rPr>
          <w:rFonts w:eastAsia="Aptos" w:cs="Calibri"/>
        </w:rPr>
        <w:t xml:space="preserve"> </w:t>
      </w:r>
      <w:r w:rsidR="00907E7B" w:rsidRPr="00BA14E9">
        <w:rPr>
          <w:rFonts w:eastAsia="Aptos" w:cs="Calibri"/>
        </w:rPr>
        <w:t>pipelines</w:t>
      </w:r>
      <w:r w:rsidR="00907E7B">
        <w:rPr>
          <w:rFonts w:eastAsia="Aptos" w:cs="Calibri"/>
        </w:rPr>
        <w:t>--</w:t>
      </w:r>
      <w:r w:rsidR="00C508DB" w:rsidRPr="00BA14E9">
        <w:rPr>
          <w:rFonts w:eastAsia="Aptos" w:cs="Calibri"/>
        </w:rPr>
        <w:t xml:space="preserve">the </w:t>
      </w:r>
      <w:r w:rsidRPr="00BA14E9">
        <w:rPr>
          <w:rFonts w:eastAsia="Aptos" w:cs="Calibri"/>
        </w:rPr>
        <w:t>AS 2885</w:t>
      </w:r>
      <w:r w:rsidR="00C508DB" w:rsidRPr="00BA14E9">
        <w:rPr>
          <w:rFonts w:eastAsia="Aptos" w:cs="Calibri"/>
        </w:rPr>
        <w:t xml:space="preserve"> Series</w:t>
      </w:r>
      <w:r w:rsidR="003E4ABF" w:rsidRPr="00BA14E9">
        <w:rPr>
          <w:rFonts w:eastAsia="Aptos" w:cs="Calibri"/>
        </w:rPr>
        <w:t>,</w:t>
      </w:r>
      <w:r w:rsidRPr="00BA14E9">
        <w:rPr>
          <w:rFonts w:eastAsia="Aptos" w:cs="Calibri"/>
        </w:rPr>
        <w:t xml:space="preserve"> and</w:t>
      </w:r>
    </w:p>
    <w:p w14:paraId="249D0912" w14:textId="181F4A27" w:rsidR="00781578" w:rsidRPr="00BA14E9" w:rsidRDefault="00F748B5" w:rsidP="00113929">
      <w:pPr>
        <w:pStyle w:val="ListParagraph"/>
        <w:numPr>
          <w:ilvl w:val="0"/>
          <w:numId w:val="47"/>
        </w:numPr>
        <w:contextualSpacing w:val="0"/>
        <w:rPr>
          <w:rFonts w:eastAsia="Aptos" w:cs="Calibri"/>
        </w:rPr>
      </w:pPr>
      <w:r w:rsidRPr="00BA14E9">
        <w:rPr>
          <w:rFonts w:eastAsia="Aptos" w:cs="Calibri"/>
        </w:rPr>
        <w:t xml:space="preserve">Australian regulators and industry </w:t>
      </w:r>
      <w:r w:rsidR="003E25C3" w:rsidRPr="00BA14E9">
        <w:rPr>
          <w:rFonts w:eastAsia="Aptos" w:cs="Calibri"/>
        </w:rPr>
        <w:t xml:space="preserve">guidance on </w:t>
      </w:r>
      <w:r w:rsidR="008841E0" w:rsidRPr="00BA14E9">
        <w:rPr>
          <w:rFonts w:eastAsia="Aptos" w:cs="Calibri"/>
        </w:rPr>
        <w:t xml:space="preserve">the </w:t>
      </w:r>
      <w:r w:rsidR="006F6F0D" w:rsidRPr="00BA14E9">
        <w:rPr>
          <w:rFonts w:eastAsia="Aptos" w:cs="Calibri"/>
        </w:rPr>
        <w:t xml:space="preserve">development, management and </w:t>
      </w:r>
      <w:r w:rsidR="008841E0" w:rsidRPr="00BA14E9">
        <w:rPr>
          <w:rFonts w:eastAsia="Aptos" w:cs="Calibri"/>
        </w:rPr>
        <w:t>operation of hydrogen pipelines</w:t>
      </w:r>
      <w:r w:rsidR="00BE2A16" w:rsidRPr="00BA14E9">
        <w:rPr>
          <w:rFonts w:eastAsia="Aptos" w:cs="Calibri"/>
        </w:rPr>
        <w:t>.</w:t>
      </w:r>
    </w:p>
    <w:p w14:paraId="16EB27AC" w14:textId="01FCB306" w:rsidR="00A9648F" w:rsidRPr="00BA14E9" w:rsidRDefault="00A9648F" w:rsidP="00A9648F">
      <w:pPr>
        <w:rPr>
          <w:rFonts w:eastAsia="Aptos" w:cs="Calibri"/>
        </w:rPr>
      </w:pPr>
      <w:r w:rsidRPr="00BA14E9">
        <w:rPr>
          <w:rFonts w:eastAsia="Aptos" w:cs="Calibri"/>
        </w:rPr>
        <w:t xml:space="preserve">This </w:t>
      </w:r>
      <w:r w:rsidR="00CA2BF7" w:rsidRPr="00BA14E9">
        <w:rPr>
          <w:rFonts w:eastAsia="Aptos" w:cs="Calibri"/>
        </w:rPr>
        <w:t xml:space="preserve">Guidebook </w:t>
      </w:r>
      <w:r w:rsidRPr="00BA14E9">
        <w:rPr>
          <w:rFonts w:eastAsia="Aptos" w:cs="Calibri"/>
        </w:rPr>
        <w:t xml:space="preserve">is not legislative in nature and does not create any additional regulatory obligations, nor is it intended to provide a detailed account of how to comply with the law. Additionally, this Guidebook is not a code of practice or a substitute for legal, engineering or other advice. </w:t>
      </w:r>
    </w:p>
    <w:p w14:paraId="60970E29" w14:textId="1A6FE410" w:rsidR="00A9648F" w:rsidRPr="00BA14E9" w:rsidRDefault="00A9648F" w:rsidP="00A9648F">
      <w:pPr>
        <w:rPr>
          <w:rFonts w:eastAsia="Aptos" w:cs="Calibri"/>
        </w:rPr>
      </w:pPr>
      <w:r w:rsidRPr="00BA14E9">
        <w:rPr>
          <w:rFonts w:eastAsia="Aptos" w:cs="Calibri"/>
        </w:rPr>
        <w:t xml:space="preserve">The obligation of the proponent is to comply with the underlying legislative obligations, not this Guidebook. This Guidebook is not intended to replace formal legal advice or regulatory guidance issued by any specific regulator. </w:t>
      </w:r>
    </w:p>
    <w:p w14:paraId="0F1F90E3" w14:textId="29661F08" w:rsidR="00286F04" w:rsidRPr="00BA14E9" w:rsidRDefault="00EE5A11" w:rsidP="00A9648F">
      <w:pPr>
        <w:rPr>
          <w:rFonts w:eastAsia="Aptos" w:cs="Calibri"/>
        </w:rPr>
      </w:pPr>
      <w:r>
        <w:rPr>
          <w:noProof/>
        </w:rPr>
        <w:drawing>
          <wp:anchor distT="0" distB="0" distL="114300" distR="114300" simplePos="0" relativeHeight="251658243" behindDoc="0" locked="0" layoutInCell="1" allowOverlap="1" wp14:anchorId="098C4287" wp14:editId="3C9CFAA0">
            <wp:simplePos x="0" y="0"/>
            <wp:positionH relativeFrom="margin">
              <wp:align>left</wp:align>
            </wp:positionH>
            <wp:positionV relativeFrom="paragraph">
              <wp:posOffset>-4445</wp:posOffset>
            </wp:positionV>
            <wp:extent cx="3176905" cy="3054985"/>
            <wp:effectExtent l="0" t="0" r="4445" b="0"/>
            <wp:wrapTopAndBottom/>
            <wp:docPr id="390355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alphaModFix/>
                      <a:extLst>
                        <a:ext uri="{28A0092B-C50C-407E-A947-70E740481C1C}">
                          <a14:useLocalDpi xmlns:a14="http://schemas.microsoft.com/office/drawing/2010/main" val="0"/>
                        </a:ext>
                      </a:extLst>
                    </a:blip>
                    <a:srcRect/>
                    <a:stretch>
                      <a:fillRect/>
                    </a:stretch>
                  </pic:blipFill>
                  <pic:spPr bwMode="auto">
                    <a:xfrm>
                      <a:off x="0" y="0"/>
                      <a:ext cx="3176905" cy="3054985"/>
                    </a:xfrm>
                    <a:prstGeom prst="rect">
                      <a:avLst/>
                    </a:prstGeom>
                    <a:noFill/>
                  </pic:spPr>
                </pic:pic>
              </a:graphicData>
            </a:graphic>
            <wp14:sizeRelH relativeFrom="margin">
              <wp14:pctWidth>0</wp14:pctWidth>
            </wp14:sizeRelH>
            <wp14:sizeRelV relativeFrom="margin">
              <wp14:pctHeight>0</wp14:pctHeight>
            </wp14:sizeRelV>
          </wp:anchor>
        </w:drawing>
      </w:r>
      <w:r w:rsidR="00286F04" w:rsidRPr="00BA14E9">
        <w:rPr>
          <w:rFonts w:cs="Calibri"/>
          <w:b/>
          <w:bCs/>
          <w:noProof/>
        </w:rPr>
        <mc:AlternateContent>
          <mc:Choice Requires="wps">
            <w:drawing>
              <wp:anchor distT="0" distB="0" distL="114300" distR="114300" simplePos="0" relativeHeight="251658242" behindDoc="0" locked="0" layoutInCell="1" allowOverlap="1" wp14:anchorId="57E5CB5C" wp14:editId="26300849">
                <wp:simplePos x="0" y="0"/>
                <wp:positionH relativeFrom="margin">
                  <wp:align>right</wp:align>
                </wp:positionH>
                <wp:positionV relativeFrom="paragraph">
                  <wp:posOffset>8255</wp:posOffset>
                </wp:positionV>
                <wp:extent cx="3089671" cy="3030367"/>
                <wp:effectExtent l="0" t="0" r="0" b="0"/>
                <wp:wrapNone/>
                <wp:docPr id="16" name="TextBox 15">
                  <a:extLst xmlns:a="http://schemas.openxmlformats.org/drawingml/2006/main">
                    <a:ext uri="{FF2B5EF4-FFF2-40B4-BE49-F238E27FC236}">
                      <a16:creationId xmlns:a16="http://schemas.microsoft.com/office/drawing/2014/main" id="{322E855C-7F3E-14D1-313F-D0777843252F}"/>
                    </a:ext>
                  </a:extLst>
                </wp:docPr>
                <wp:cNvGraphicFramePr/>
                <a:graphic xmlns:a="http://schemas.openxmlformats.org/drawingml/2006/main">
                  <a:graphicData uri="http://schemas.microsoft.com/office/word/2010/wordprocessingShape">
                    <wps:wsp>
                      <wps:cNvSpPr txBox="1"/>
                      <wps:spPr>
                        <a:xfrm>
                          <a:off x="0" y="0"/>
                          <a:ext cx="3089671" cy="3030367"/>
                        </a:xfrm>
                        <a:prstGeom prst="rect">
                          <a:avLst/>
                        </a:prstGeom>
                        <a:noFill/>
                      </wps:spPr>
                      <wps:txbx>
                        <w:txbxContent>
                          <w:p w14:paraId="3794D11C" w14:textId="77777777" w:rsidR="00286F04" w:rsidRPr="00BA14E9" w:rsidRDefault="00286F04" w:rsidP="00286F04">
                            <w:pPr>
                              <w:rPr>
                                <w:rFonts w:hAnsi="Aptos"/>
                                <w:color w:val="000000" w:themeColor="text1"/>
                                <w:kern w:val="24"/>
                              </w:rPr>
                            </w:pPr>
                          </w:p>
                          <w:p w14:paraId="6326EE4B" w14:textId="77777777" w:rsidR="00286F04" w:rsidRPr="00BA14E9" w:rsidRDefault="00286F04" w:rsidP="00286F04">
                            <w:pPr>
                              <w:rPr>
                                <w:rFonts w:hAnsi="Aptos"/>
                                <w:b/>
                                <w:color w:val="000000" w:themeColor="text1"/>
                                <w:kern w:val="24"/>
                              </w:rPr>
                            </w:pPr>
                            <w:r w:rsidRPr="00BA14E9">
                              <w:rPr>
                                <w:rFonts w:hAnsi="Aptos"/>
                                <w:b/>
                                <w:color w:val="000000" w:themeColor="text1"/>
                                <w:kern w:val="24"/>
                              </w:rPr>
                              <w:t>National Hydrogen Regulatory Guidebooks</w:t>
                            </w:r>
                          </w:p>
                          <w:p w14:paraId="6790AC41" w14:textId="77777777" w:rsidR="00286F04" w:rsidRPr="00BA14E9" w:rsidRDefault="00286F04" w:rsidP="00286F04">
                            <w:pPr>
                              <w:rPr>
                                <w:rFonts w:hAnsi="Aptos"/>
                                <w:color w:val="000000" w:themeColor="text1"/>
                                <w:kern w:val="24"/>
                              </w:rPr>
                            </w:pPr>
                            <w:r w:rsidRPr="00BA14E9">
                              <w:rPr>
                                <w:rFonts w:hAnsi="Aptos"/>
                                <w:color w:val="000000" w:themeColor="text1"/>
                                <w:kern w:val="24"/>
                              </w:rPr>
                              <w:t>Guidance on the Acts and Regulations associated with following regulatory regimes</w:t>
                            </w:r>
                          </w:p>
                          <w:p w14:paraId="342D20DE" w14:textId="77777777"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Safety laws</w:t>
                            </w:r>
                          </w:p>
                          <w:p w14:paraId="4252A3AA" w14:textId="6A557D3C"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 xml:space="preserve">First </w:t>
                            </w:r>
                            <w:r w:rsidR="002A0EE0">
                              <w:rPr>
                                <w:rFonts w:hAnsi="Aptos"/>
                                <w:i/>
                                <w:color w:val="000000" w:themeColor="text1"/>
                                <w:kern w:val="24"/>
                              </w:rPr>
                              <w:t>N</w:t>
                            </w:r>
                            <w:r w:rsidRPr="00BA14E9">
                              <w:rPr>
                                <w:rFonts w:hAnsi="Aptos"/>
                                <w:i/>
                                <w:color w:val="000000" w:themeColor="text1"/>
                                <w:kern w:val="24"/>
                              </w:rPr>
                              <w:t>ations</w:t>
                            </w:r>
                          </w:p>
                          <w:p w14:paraId="775D8161" w14:textId="77777777"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Planning</w:t>
                            </w:r>
                          </w:p>
                          <w:p w14:paraId="59395129" w14:textId="77777777" w:rsidR="00286F04" w:rsidRPr="00BA14E9" w:rsidRDefault="00286F04" w:rsidP="00D33BE1">
                            <w:pPr>
                              <w:pStyle w:val="ListParagraph"/>
                              <w:numPr>
                                <w:ilvl w:val="0"/>
                                <w:numId w:val="31"/>
                              </w:numPr>
                              <w:spacing w:line="278" w:lineRule="auto"/>
                              <w:rPr>
                                <w:rFonts w:hAnsi="Aptos"/>
                                <w:i/>
                                <w:color w:val="000000" w:themeColor="text1"/>
                                <w:kern w:val="24"/>
                              </w:rPr>
                            </w:pPr>
                            <w:r w:rsidRPr="00BA14E9">
                              <w:rPr>
                                <w:rFonts w:hAnsi="Aptos"/>
                                <w:i/>
                                <w:color w:val="000000" w:themeColor="text1"/>
                                <w:kern w:val="24"/>
                              </w:rPr>
                              <w:t>Environment</w:t>
                            </w:r>
                          </w:p>
                          <w:p w14:paraId="06EB7388" w14:textId="77777777" w:rsidR="00286F04" w:rsidRPr="00BA14E9" w:rsidRDefault="00286F04" w:rsidP="00286F04">
                            <w:pPr>
                              <w:rPr>
                                <w:rFonts w:hAnsi="Aptos"/>
                                <w:color w:val="000000" w:themeColor="text1"/>
                                <w:kern w:val="24"/>
                              </w:rPr>
                            </w:pPr>
                            <w:r w:rsidRPr="00BA14E9">
                              <w:rPr>
                                <w:rFonts w:hAnsi="Aptos"/>
                                <w:color w:val="000000" w:themeColor="text1"/>
                                <w:kern w:val="24"/>
                              </w:rPr>
                              <w:t>As they apply to hydrogen pipelines.</w:t>
                            </w:r>
                          </w:p>
                          <w:p w14:paraId="11BBCF86" w14:textId="77777777" w:rsidR="00286F04" w:rsidRPr="00BA14E9" w:rsidRDefault="00286F04" w:rsidP="00286F04">
                            <w:pPr>
                              <w:rPr>
                                <w:rFonts w:hAnsi="Aptos"/>
                                <w:color w:val="000000" w:themeColor="text1"/>
                                <w:kern w:val="24"/>
                                <w14:ligatures w14:val="none"/>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E5CB5C" id="_x0000_t202" coordsize="21600,21600" o:spt="202" path="m,l,21600r21600,l21600,xe">
                <v:stroke joinstyle="miter"/>
                <v:path gradientshapeok="t" o:connecttype="rect"/>
              </v:shapetype>
              <v:shape id="TextBox 15" o:spid="_x0000_s1026" type="#_x0000_t202" style="position:absolute;margin-left:192.1pt;margin-top:.65pt;width:243.3pt;height:238.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" filled="f" stroked="f">
                <v:textbox>
                  <w:txbxContent>
                    <w:p w14:paraId="3794D11C" w14:textId="77777777" w:rsidR="00286F04" w:rsidRPr="00BA14E9" w:rsidRDefault="00286F04" w:rsidP="00286F04">
                      <w:pPr>
                        <w:rPr>
                          <w:rFonts w:hAnsi="Aptos"/>
                          <w:color w:val="000000" w:themeColor="text1"/>
                          <w:kern w:val="24"/>
                        </w:rPr>
                      </w:pPr>
                    </w:p>
                    <w:p w14:paraId="6326EE4B" w14:textId="77777777" w:rsidR="00286F04" w:rsidRPr="00BA14E9" w:rsidRDefault="00286F04" w:rsidP="00286F04">
                      <w:pPr>
                        <w:rPr>
                          <w:rFonts w:hAnsi="Aptos"/>
                          <w:b/>
                          <w:color w:val="000000" w:themeColor="text1"/>
                          <w:kern w:val="24"/>
                        </w:rPr>
                      </w:pPr>
                      <w:r w:rsidRPr="00BA14E9">
                        <w:rPr>
                          <w:rFonts w:hAnsi="Aptos"/>
                          <w:b/>
                          <w:color w:val="000000" w:themeColor="text1"/>
                          <w:kern w:val="24"/>
                        </w:rPr>
                        <w:t>National Hydrogen Regulatory Guidebooks</w:t>
                      </w:r>
                    </w:p>
                    <w:p w14:paraId="6790AC41" w14:textId="77777777" w:rsidR="00286F04" w:rsidRPr="00BA14E9" w:rsidRDefault="00286F04" w:rsidP="00286F04">
                      <w:pPr>
                        <w:rPr>
                          <w:rFonts w:hAnsi="Aptos"/>
                          <w:color w:val="000000" w:themeColor="text1"/>
                          <w:kern w:val="24"/>
                        </w:rPr>
                      </w:pPr>
                      <w:r w:rsidRPr="00BA14E9">
                        <w:rPr>
                          <w:rFonts w:hAnsi="Aptos"/>
                          <w:color w:val="000000" w:themeColor="text1"/>
                          <w:kern w:val="24"/>
                        </w:rPr>
                        <w:t>Guidance on the Acts and Regulations associated with following regulatory regimes</w:t>
                      </w:r>
                    </w:p>
                    <w:p w14:paraId="342D20DE" w14:textId="77777777"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Safety laws</w:t>
                      </w:r>
                    </w:p>
                    <w:p w14:paraId="4252A3AA" w14:textId="6A557D3C"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 xml:space="preserve">First </w:t>
                      </w:r>
                      <w:r w:rsidR="002A0EE0">
                        <w:rPr>
                          <w:rFonts w:hAnsi="Aptos"/>
                          <w:i/>
                          <w:color w:val="000000" w:themeColor="text1"/>
                          <w:kern w:val="24"/>
                        </w:rPr>
                        <w:t>N</w:t>
                      </w:r>
                      <w:r w:rsidRPr="00BA14E9">
                        <w:rPr>
                          <w:rFonts w:hAnsi="Aptos"/>
                          <w:i/>
                          <w:color w:val="000000" w:themeColor="text1"/>
                          <w:kern w:val="24"/>
                        </w:rPr>
                        <w:t>ations</w:t>
                      </w:r>
                    </w:p>
                    <w:p w14:paraId="775D8161" w14:textId="77777777" w:rsidR="00286F04" w:rsidRPr="00BA14E9" w:rsidRDefault="00286F04" w:rsidP="00D33BE1">
                      <w:pPr>
                        <w:numPr>
                          <w:ilvl w:val="0"/>
                          <w:numId w:val="31"/>
                        </w:numPr>
                        <w:spacing w:line="278" w:lineRule="auto"/>
                        <w:rPr>
                          <w:rFonts w:hAnsi="Aptos"/>
                          <w:i/>
                          <w:color w:val="000000" w:themeColor="text1"/>
                          <w:kern w:val="24"/>
                        </w:rPr>
                      </w:pPr>
                      <w:r w:rsidRPr="00BA14E9">
                        <w:rPr>
                          <w:rFonts w:hAnsi="Aptos"/>
                          <w:i/>
                          <w:color w:val="000000" w:themeColor="text1"/>
                          <w:kern w:val="24"/>
                        </w:rPr>
                        <w:t>Planning</w:t>
                      </w:r>
                    </w:p>
                    <w:p w14:paraId="59395129" w14:textId="77777777" w:rsidR="00286F04" w:rsidRPr="00BA14E9" w:rsidRDefault="00286F04" w:rsidP="00D33BE1">
                      <w:pPr>
                        <w:pStyle w:val="ListParagraph"/>
                        <w:numPr>
                          <w:ilvl w:val="0"/>
                          <w:numId w:val="31"/>
                        </w:numPr>
                        <w:spacing w:line="278" w:lineRule="auto"/>
                        <w:rPr>
                          <w:rFonts w:hAnsi="Aptos"/>
                          <w:i/>
                          <w:color w:val="000000" w:themeColor="text1"/>
                          <w:kern w:val="24"/>
                        </w:rPr>
                      </w:pPr>
                      <w:r w:rsidRPr="00BA14E9">
                        <w:rPr>
                          <w:rFonts w:hAnsi="Aptos"/>
                          <w:i/>
                          <w:color w:val="000000" w:themeColor="text1"/>
                          <w:kern w:val="24"/>
                        </w:rPr>
                        <w:t>Environment</w:t>
                      </w:r>
                    </w:p>
                    <w:p w14:paraId="06EB7388" w14:textId="77777777" w:rsidR="00286F04" w:rsidRPr="00BA14E9" w:rsidRDefault="00286F04" w:rsidP="00286F04">
                      <w:pPr>
                        <w:rPr>
                          <w:rFonts w:hAnsi="Aptos"/>
                          <w:color w:val="000000" w:themeColor="text1"/>
                          <w:kern w:val="24"/>
                        </w:rPr>
                      </w:pPr>
                      <w:r w:rsidRPr="00BA14E9">
                        <w:rPr>
                          <w:rFonts w:hAnsi="Aptos"/>
                          <w:color w:val="000000" w:themeColor="text1"/>
                          <w:kern w:val="24"/>
                        </w:rPr>
                        <w:t>As they apply to hydrogen pipelines.</w:t>
                      </w:r>
                    </w:p>
                    <w:p w14:paraId="11BBCF86" w14:textId="77777777" w:rsidR="00286F04" w:rsidRPr="00BA14E9" w:rsidRDefault="00286F04" w:rsidP="00286F04">
                      <w:pPr>
                        <w:rPr>
                          <w:rFonts w:hAnsi="Aptos"/>
                          <w:color w:val="000000" w:themeColor="text1"/>
                          <w:kern w:val="24"/>
                          <w14:ligatures w14:val="none"/>
                        </w:rPr>
                      </w:pPr>
                    </w:p>
                  </w:txbxContent>
                </v:textbox>
                <w10:wrap anchorx="margin"/>
              </v:shape>
            </w:pict>
          </mc:Fallback>
        </mc:AlternateContent>
      </w:r>
      <w:r w:rsidR="00286F04" w:rsidRPr="00BA14E9">
        <w:rPr>
          <w:rFonts w:cs="Calibri"/>
          <w:b/>
          <w:bCs/>
        </w:rPr>
        <w:t xml:space="preserve"> </w:t>
      </w:r>
    </w:p>
    <w:p w14:paraId="1E071D6D" w14:textId="77777777" w:rsidR="00A9648F" w:rsidRPr="00BA14E9" w:rsidRDefault="00A9648F" w:rsidP="00A9648F">
      <w:pPr>
        <w:rPr>
          <w:rFonts w:cs="Calibri"/>
          <w:b/>
          <w:bCs/>
          <w:sz w:val="32"/>
          <w:szCs w:val="32"/>
        </w:rPr>
      </w:pPr>
      <w:r w:rsidRPr="00BA14E9">
        <w:rPr>
          <w:rFonts w:cs="Calibri"/>
          <w:b/>
          <w:bCs/>
          <w:sz w:val="32"/>
          <w:szCs w:val="32"/>
        </w:rPr>
        <w:lastRenderedPageBreak/>
        <w:t>Brief overview of this Guidebook</w:t>
      </w:r>
    </w:p>
    <w:p w14:paraId="77DE2190" w14:textId="6C608E38" w:rsidR="002B5651" w:rsidRPr="00BA14E9" w:rsidRDefault="00A9648F" w:rsidP="002B5651">
      <w:pPr>
        <w:rPr>
          <w:rFonts w:cs="Calibri"/>
        </w:rPr>
      </w:pPr>
      <w:r w:rsidRPr="00BA14E9">
        <w:rPr>
          <w:rFonts w:cs="Calibri"/>
        </w:rPr>
        <w:t xml:space="preserve">This Guidebook provides guidance </w:t>
      </w:r>
      <w:r w:rsidR="008E7666" w:rsidRPr="00BA14E9">
        <w:rPr>
          <w:rFonts w:cs="Calibri"/>
        </w:rPr>
        <w:t xml:space="preserve">on </w:t>
      </w:r>
      <w:r w:rsidRPr="00BA14E9">
        <w:rPr>
          <w:rFonts w:cs="Calibri"/>
        </w:rPr>
        <w:t>how Australia</w:t>
      </w:r>
      <w:r w:rsidR="00585937" w:rsidRPr="00BA14E9">
        <w:rPr>
          <w:rFonts w:cs="Calibri"/>
        </w:rPr>
        <w:t>n</w:t>
      </w:r>
      <w:r w:rsidRPr="00BA14E9">
        <w:rPr>
          <w:rFonts w:cs="Calibri"/>
        </w:rPr>
        <w:t xml:space="preserve"> </w:t>
      </w:r>
      <w:r w:rsidR="00B73E6B" w:rsidRPr="00BA14E9">
        <w:rPr>
          <w:rFonts w:cs="Calibri"/>
        </w:rPr>
        <w:t xml:space="preserve">jurisdictions </w:t>
      </w:r>
      <w:r w:rsidRPr="00BA14E9">
        <w:rPr>
          <w:rFonts w:cs="Calibri"/>
        </w:rPr>
        <w:t xml:space="preserve">regulate </w:t>
      </w:r>
      <w:r w:rsidR="0054185E" w:rsidRPr="00BA14E9">
        <w:rPr>
          <w:rFonts w:cs="Calibri"/>
        </w:rPr>
        <w:t xml:space="preserve">hydrogen </w:t>
      </w:r>
      <w:r w:rsidRPr="00BA14E9">
        <w:rPr>
          <w:rFonts w:cs="Calibri"/>
        </w:rPr>
        <w:t>pipelines</w:t>
      </w:r>
      <w:r w:rsidR="00C366E0" w:rsidRPr="00BA14E9">
        <w:rPr>
          <w:rFonts w:cs="Calibri"/>
        </w:rPr>
        <w:t>. Th</w:t>
      </w:r>
      <w:r w:rsidR="00304F69" w:rsidRPr="00BA14E9">
        <w:rPr>
          <w:rFonts w:cs="Calibri"/>
        </w:rPr>
        <w:t>is</w:t>
      </w:r>
      <w:r w:rsidR="00C366E0" w:rsidRPr="00BA14E9">
        <w:rPr>
          <w:rFonts w:cs="Calibri"/>
        </w:rPr>
        <w:t xml:space="preserve"> Guidebook identifies and consolidates </w:t>
      </w:r>
      <w:r w:rsidRPr="00BA14E9">
        <w:rPr>
          <w:rFonts w:cs="Calibri"/>
        </w:rPr>
        <w:t xml:space="preserve">key regulatory </w:t>
      </w:r>
      <w:r w:rsidR="00F31824" w:rsidRPr="00BA14E9">
        <w:rPr>
          <w:rFonts w:cs="Calibri"/>
        </w:rPr>
        <w:t xml:space="preserve">and industry </w:t>
      </w:r>
      <w:r w:rsidRPr="00BA14E9">
        <w:rPr>
          <w:rFonts w:cs="Calibri"/>
        </w:rPr>
        <w:t>frameworks that are of most relevance</w:t>
      </w:r>
      <w:r w:rsidR="00C366E0" w:rsidRPr="00BA14E9">
        <w:rPr>
          <w:rFonts w:cs="Calibri"/>
        </w:rPr>
        <w:t xml:space="preserve"> to the regulation of hydrogen pipelines</w:t>
      </w:r>
      <w:r w:rsidR="002B5651" w:rsidRPr="00BA14E9">
        <w:rPr>
          <w:rFonts w:cs="Calibri"/>
        </w:rPr>
        <w:t xml:space="preserve"> including </w:t>
      </w:r>
      <w:r w:rsidR="00DA1359" w:rsidRPr="00BA14E9">
        <w:rPr>
          <w:rFonts w:cs="Calibri"/>
        </w:rPr>
        <w:t xml:space="preserve">economic, competition, </w:t>
      </w:r>
      <w:r w:rsidR="002B5651" w:rsidRPr="00BA14E9">
        <w:rPr>
          <w:rFonts w:cs="Calibri"/>
        </w:rPr>
        <w:t xml:space="preserve">safety, </w:t>
      </w:r>
      <w:r w:rsidR="00DE7CA3" w:rsidRPr="00BA14E9">
        <w:rPr>
          <w:rFonts w:cs="Calibri"/>
        </w:rPr>
        <w:t xml:space="preserve">licensing, </w:t>
      </w:r>
      <w:r w:rsidR="002B5651" w:rsidRPr="00BA14E9">
        <w:rPr>
          <w:rFonts w:cs="Calibri"/>
        </w:rPr>
        <w:t>First Nations land rights and heritage protection, planning and development</w:t>
      </w:r>
      <w:r w:rsidR="00304F69" w:rsidRPr="00BA14E9">
        <w:rPr>
          <w:rFonts w:cs="Calibri"/>
        </w:rPr>
        <w:t>,</w:t>
      </w:r>
      <w:r w:rsidR="002B5651" w:rsidRPr="00BA14E9">
        <w:rPr>
          <w:rFonts w:cs="Calibri"/>
        </w:rPr>
        <w:t xml:space="preserve"> and environmental</w:t>
      </w:r>
      <w:r w:rsidR="00304F69" w:rsidRPr="00BA14E9">
        <w:rPr>
          <w:rFonts w:cs="Calibri"/>
        </w:rPr>
        <w:t xml:space="preserve"> </w:t>
      </w:r>
      <w:r w:rsidR="002B5651" w:rsidRPr="00BA14E9">
        <w:rPr>
          <w:rFonts w:cs="Calibri"/>
        </w:rPr>
        <w:t>regulation.</w:t>
      </w:r>
    </w:p>
    <w:p w14:paraId="78B9B545" w14:textId="211020A8" w:rsidR="003E320B" w:rsidRPr="00BA14E9" w:rsidRDefault="00E8501E" w:rsidP="606C9B12">
      <w:pPr>
        <w:rPr>
          <w:rFonts w:cs="Calibri"/>
        </w:rPr>
      </w:pPr>
      <w:r w:rsidRPr="00BA14E9">
        <w:rPr>
          <w:rFonts w:cs="Calibri"/>
        </w:rPr>
        <w:t xml:space="preserve">The term "pipeline" is used broadly in this Guidebook in line with legislative definitions across Australian jurisdictions. This includes not only the physical pipe or system of pipes, but also associated or ancillary equipment, apparatus, and works necessary for, or directly associated with, the operation, maintenance, and safety of the pipeline. </w:t>
      </w:r>
      <w:r w:rsidR="00EB674B" w:rsidRPr="00BA14E9">
        <w:rPr>
          <w:rFonts w:cs="Calibri"/>
        </w:rPr>
        <w:t>A broad definition is design</w:t>
      </w:r>
      <w:r w:rsidR="00005E3C" w:rsidRPr="00BA14E9">
        <w:rPr>
          <w:rFonts w:cs="Calibri"/>
        </w:rPr>
        <w:t>ed</w:t>
      </w:r>
      <w:r w:rsidR="00EB674B" w:rsidRPr="00BA14E9">
        <w:rPr>
          <w:rFonts w:cs="Calibri"/>
        </w:rPr>
        <w:t xml:space="preserve"> to avoid</w:t>
      </w:r>
      <w:r w:rsidR="003E320B" w:rsidRPr="00BA14E9">
        <w:rPr>
          <w:rFonts w:cs="Calibri"/>
        </w:rPr>
        <w:t xml:space="preserve"> inadvertently exclud</w:t>
      </w:r>
      <w:r w:rsidR="00EB674B" w:rsidRPr="00BA14E9">
        <w:rPr>
          <w:rFonts w:cs="Calibri"/>
        </w:rPr>
        <w:t>ing</w:t>
      </w:r>
      <w:r w:rsidR="003E320B" w:rsidRPr="00BA14E9">
        <w:rPr>
          <w:rFonts w:cs="Calibri"/>
        </w:rPr>
        <w:t xml:space="preserve"> certain equipment or activities from the intended framework, potentially creating safety, environmental, or operational risks.</w:t>
      </w:r>
    </w:p>
    <w:p w14:paraId="118F6FB9" w14:textId="61BF9D87" w:rsidR="00927DC7" w:rsidRDefault="006067AF" w:rsidP="00927DC7">
      <w:pPr>
        <w:rPr>
          <w:rFonts w:eastAsia="Aptos" w:cs="Calibri"/>
        </w:rPr>
      </w:pPr>
      <w:r w:rsidRPr="00BA14E9">
        <w:rPr>
          <w:rFonts w:cs="Calibri"/>
        </w:rPr>
        <w:t xml:space="preserve">Australia’s existing regulatory landscape for pipelines is well established with regulation at the national level as well as within specific states and territories. </w:t>
      </w:r>
      <w:r w:rsidR="00246D64" w:rsidRPr="00BA14E9">
        <w:rPr>
          <w:rFonts w:cs="Calibri"/>
        </w:rPr>
        <w:t xml:space="preserve">For the regulation of hydrogen pipelines the result is that no matter where a project is located there could be Commonwealth and state or territory laws applying and each project will likely need to work with multiple Commonwealth, state or territory and local government authorities. </w:t>
      </w:r>
      <w:r w:rsidR="00927DC7" w:rsidRPr="00BA14E9">
        <w:rPr>
          <w:rFonts w:cs="Calibri"/>
        </w:rPr>
        <w:t xml:space="preserve">However, regulatory knowledge and industry experience specifically for the regulation of hydrogen pipelines is still developing. </w:t>
      </w:r>
    </w:p>
    <w:p w14:paraId="3971894F" w14:textId="356C4AC6" w:rsidR="00721166" w:rsidRDefault="00504C1A" w:rsidP="00721166">
      <w:pPr>
        <w:rPr>
          <w:rFonts w:eastAsia="Aptos" w:cs="Calibri"/>
        </w:rPr>
      </w:pPr>
      <w:r>
        <w:t>Further, the</w:t>
      </w:r>
      <w:r w:rsidR="007656CC">
        <w:t xml:space="preserve">re is </w:t>
      </w:r>
      <w:r w:rsidR="00B87DAA">
        <w:t xml:space="preserve">not yet any application of design, operation and maintenance of large transmission hydrogen pipelines in Australia whether by </w:t>
      </w:r>
      <w:r>
        <w:t>repurposing existing natural gas pipelines or the scaling up of small hydrogen pipelines</w:t>
      </w:r>
      <w:r w:rsidR="00B87DAA">
        <w:t xml:space="preserve">. </w:t>
      </w:r>
      <w:r w:rsidR="00E10A49">
        <w:t>L</w:t>
      </w:r>
      <w:r w:rsidRPr="002454A8">
        <w:t xml:space="preserve">arge hydrogen pipelines carry significant design, construction, engineering, operational, maintenance, and supply chain risks, which can lead to cost and schedule </w:t>
      </w:r>
      <w:r w:rsidR="00E10A49">
        <w:t>implications</w:t>
      </w:r>
      <w:r w:rsidRPr="002454A8">
        <w:t xml:space="preserve"> and impacts on the business case for safe pipeline development.  </w:t>
      </w:r>
      <w:r w:rsidR="00721166">
        <w:t>R</w:t>
      </w:r>
      <w:r w:rsidRPr="002454A8">
        <w:t>egulators will scrutini</w:t>
      </w:r>
      <w:r w:rsidR="00A6138D">
        <w:t>s</w:t>
      </w:r>
      <w:r w:rsidRPr="002454A8">
        <w:t>e how proponents identify, mitigate, and manage these risks.</w:t>
      </w:r>
      <w:r w:rsidR="00721166">
        <w:t xml:space="preserve"> </w:t>
      </w:r>
      <w:r w:rsidR="00721166" w:rsidRPr="00BA14E9">
        <w:rPr>
          <w:rFonts w:eastAsia="Aptos" w:cs="Calibri"/>
        </w:rPr>
        <w:t xml:space="preserve">In this context early, structured engagement between proponents and regulators </w:t>
      </w:r>
      <w:r w:rsidR="00721166">
        <w:rPr>
          <w:rFonts w:eastAsia="Aptos" w:cs="Calibri"/>
        </w:rPr>
        <w:t>is essential</w:t>
      </w:r>
      <w:r w:rsidR="00721166" w:rsidRPr="00BA14E9">
        <w:rPr>
          <w:rFonts w:eastAsia="Aptos" w:cs="Calibri"/>
        </w:rPr>
        <w:t>.</w:t>
      </w:r>
    </w:p>
    <w:p w14:paraId="68F955C6" w14:textId="77777777" w:rsidR="00B520BA" w:rsidRPr="00BA14E9" w:rsidRDefault="00B520BA" w:rsidP="00B520BA">
      <w:pPr>
        <w:spacing w:line="278" w:lineRule="auto"/>
        <w:rPr>
          <w:rFonts w:cs="Calibri"/>
        </w:rPr>
      </w:pPr>
      <w:r w:rsidRPr="00BA14E9">
        <w:rPr>
          <w:rFonts w:cs="Calibri"/>
        </w:rPr>
        <w:t xml:space="preserve">At the Commonwealth level, hydrogen pipelines are regulated under the National Gas Law (NGL) and National Energy Retail Law (NERL), which now include hydrogen and renewable gases as “covered gases”. The Australian Energy Regulator (AER) oversees economic regulation, ensuring fair access and pricing, while the Australian Competition and Consumer Commission (ACCC) monitors market conduct and competition. The </w:t>
      </w:r>
      <w:r w:rsidRPr="00BA14E9">
        <w:rPr>
          <w:rFonts w:cs="Calibri"/>
          <w:i/>
          <w:iCs/>
        </w:rPr>
        <w:t xml:space="preserve">Security of Critical Infrastructure Act 2018 </w:t>
      </w:r>
      <w:r w:rsidRPr="00BA14E9">
        <w:rPr>
          <w:rFonts w:cs="Calibri"/>
        </w:rPr>
        <w:t>(</w:t>
      </w:r>
      <w:proofErr w:type="spellStart"/>
      <w:r w:rsidRPr="00BA14E9">
        <w:rPr>
          <w:rFonts w:cs="Calibri"/>
        </w:rPr>
        <w:t>Cth</w:t>
      </w:r>
      <w:proofErr w:type="spellEnd"/>
      <w:r w:rsidRPr="00BA14E9">
        <w:rPr>
          <w:rFonts w:cs="Calibri"/>
        </w:rPr>
        <w:t>)</w:t>
      </w:r>
      <w:r w:rsidRPr="00BA14E9">
        <w:rPr>
          <w:rFonts w:cs="Calibri"/>
          <w:i/>
          <w:iCs/>
        </w:rPr>
        <w:t xml:space="preserve"> </w:t>
      </w:r>
      <w:r w:rsidRPr="00BA14E9">
        <w:rPr>
          <w:rFonts w:cs="Calibri"/>
        </w:rPr>
        <w:t>(SOCI) adds national security oversight for hydrogen pipelines infrastructure deemed critical.</w:t>
      </w:r>
    </w:p>
    <w:p w14:paraId="676E454C" w14:textId="77777777" w:rsidR="00F1724A" w:rsidRPr="00BA14E9" w:rsidRDefault="00005E3C" w:rsidP="00F1724A">
      <w:pPr>
        <w:spacing w:line="278" w:lineRule="auto"/>
        <w:rPr>
          <w:rFonts w:cs="Calibri"/>
        </w:rPr>
      </w:pPr>
      <w:r w:rsidRPr="00BA14E9">
        <w:rPr>
          <w:rFonts w:cs="Calibri"/>
        </w:rPr>
        <w:t>Most relevantly for this Guidebook, states and territories have the power to make laws relating to hydrogen pipeline safety, licensing, planning and the environment.</w:t>
      </w:r>
      <w:r w:rsidR="00F1724A" w:rsidRPr="00BA14E9">
        <w:rPr>
          <w:rFonts w:cs="Calibri"/>
        </w:rPr>
        <w:t xml:space="preserve"> For most Australian jurisdictions, a central point of regulation for hydrogen pipelines will be state and territory pipeline specific safety and licensing requirements, commonly set out in pipeline or gas safety legislation. </w:t>
      </w:r>
    </w:p>
    <w:p w14:paraId="7479D719" w14:textId="61669B5F" w:rsidR="00FE47D5" w:rsidRPr="00C92404" w:rsidRDefault="00A24CEE" w:rsidP="00FE47D5">
      <w:pPr>
        <w:spacing w:line="278" w:lineRule="auto"/>
      </w:pPr>
      <w:r w:rsidRPr="00BA14E9">
        <w:rPr>
          <w:rFonts w:cs="Calibri"/>
        </w:rPr>
        <w:t xml:space="preserve">Safety regulation is also governed by the Work Health and Safety (WHS) and Occupational Health and Safety (OHS) (in Victoria) regimes, dangerous goods and gas and electric specific legislation. These establish primary and general duties, requirements for Major Hazard Facilities (MHFs) if </w:t>
      </w:r>
      <w:r w:rsidR="00E76493" w:rsidRPr="00BA14E9">
        <w:rPr>
          <w:rFonts w:cs="Calibri"/>
        </w:rPr>
        <w:t xml:space="preserve">the MHF requirements have </w:t>
      </w:r>
      <w:r w:rsidRPr="00BA14E9">
        <w:rPr>
          <w:rFonts w:cs="Calibri"/>
        </w:rPr>
        <w:t xml:space="preserve">not </w:t>
      </w:r>
      <w:r w:rsidR="006141E9" w:rsidRPr="00BA14E9">
        <w:rPr>
          <w:rFonts w:cs="Calibri"/>
        </w:rPr>
        <w:t xml:space="preserve">been </w:t>
      </w:r>
      <w:r w:rsidRPr="00BA14E9">
        <w:rPr>
          <w:rFonts w:cs="Calibri"/>
        </w:rPr>
        <w:t xml:space="preserve">disapplied by a jurisdiction or subject to exemption, and </w:t>
      </w:r>
      <w:r w:rsidR="009D6B67" w:rsidRPr="00BA14E9">
        <w:rPr>
          <w:rFonts w:cs="Calibri"/>
        </w:rPr>
        <w:t xml:space="preserve">other </w:t>
      </w:r>
      <w:r w:rsidRPr="00BA14E9">
        <w:rPr>
          <w:rFonts w:cs="Calibri"/>
        </w:rPr>
        <w:t xml:space="preserve">obligations such as the legislative mandating of compliance with Australian Standards and regulator </w:t>
      </w:r>
      <w:r w:rsidRPr="00BA14E9">
        <w:rPr>
          <w:rFonts w:cs="Calibri"/>
        </w:rPr>
        <w:lastRenderedPageBreak/>
        <w:t>and industry guidance.</w:t>
      </w:r>
      <w:r w:rsidR="00FE47D5" w:rsidRPr="00BA14E9">
        <w:rPr>
          <w:rFonts w:cs="Calibri"/>
        </w:rPr>
        <w:t xml:space="preserve"> </w:t>
      </w:r>
      <w:r w:rsidR="00FE47D5" w:rsidRPr="00BA14E9">
        <w:t xml:space="preserve">Tables </w:t>
      </w:r>
      <w:r w:rsidR="00116638" w:rsidRPr="00C92404">
        <w:t>2.7</w:t>
      </w:r>
      <w:r w:rsidR="00FE47D5" w:rsidRPr="00C92404">
        <w:t xml:space="preserve"> and </w:t>
      </w:r>
      <w:r w:rsidR="00116638" w:rsidRPr="00C92404">
        <w:t>2.8</w:t>
      </w:r>
      <w:r w:rsidR="00FE47D5" w:rsidRPr="00C92404">
        <w:t xml:space="preserve"> of Annexure </w:t>
      </w:r>
      <w:r w:rsidR="00116638" w:rsidRPr="00C92404">
        <w:t>2</w:t>
      </w:r>
      <w:r w:rsidR="00FE47D5" w:rsidRPr="00C92404">
        <w:t xml:space="preserve"> provides further detail on the application of work health and safety laws to hydrogen pipelines. </w:t>
      </w:r>
    </w:p>
    <w:p w14:paraId="6186C125" w14:textId="36B30906" w:rsidR="00927DC7" w:rsidRPr="00BA14E9" w:rsidRDefault="00927DC7" w:rsidP="00927DC7">
      <w:pPr>
        <w:rPr>
          <w:rFonts w:cs="Calibri"/>
        </w:rPr>
      </w:pPr>
      <w:r w:rsidRPr="00C92404">
        <w:rPr>
          <w:rFonts w:cs="Calibri"/>
        </w:rPr>
        <w:t>There is also emerging hydrogen specific</w:t>
      </w:r>
      <w:r w:rsidR="008B42B5" w:rsidRPr="00C92404">
        <w:rPr>
          <w:rFonts w:cs="Calibri"/>
        </w:rPr>
        <w:t xml:space="preserve"> content being developed in</w:t>
      </w:r>
      <w:r w:rsidRPr="00C92404">
        <w:rPr>
          <w:rFonts w:cs="Calibri"/>
        </w:rPr>
        <w:t xml:space="preserve"> Australian and international standards such as the AS</w:t>
      </w:r>
      <w:r w:rsidR="00F2754D" w:rsidRPr="00C92404">
        <w:rPr>
          <w:rFonts w:cs="Calibri"/>
        </w:rPr>
        <w:t xml:space="preserve"> </w:t>
      </w:r>
      <w:r w:rsidRPr="00C92404">
        <w:rPr>
          <w:rFonts w:cs="Calibri"/>
        </w:rPr>
        <w:t xml:space="preserve">2885 Series </w:t>
      </w:r>
      <w:r w:rsidRPr="00C92404">
        <w:t xml:space="preserve">and industry guidance </w:t>
      </w:r>
      <w:r w:rsidR="004B00D0" w:rsidRPr="00C92404">
        <w:t>including</w:t>
      </w:r>
      <w:r w:rsidRPr="00C92404">
        <w:t xml:space="preserve"> the Australian Pipelines and Gas Association (APG</w:t>
      </w:r>
      <w:r w:rsidR="00E76493" w:rsidRPr="00C92404">
        <w:t>A</w:t>
      </w:r>
      <w:r w:rsidRPr="00C92404">
        <w:t>) Codes of Practice and guidance provided by both regulators and industry for hydrogen pipelines across Australia (see Table 2.</w:t>
      </w:r>
      <w:r w:rsidR="001254A0" w:rsidRPr="00C92404">
        <w:t>1</w:t>
      </w:r>
      <w:r w:rsidRPr="00C92404">
        <w:t xml:space="preserve"> and Table 2.</w:t>
      </w:r>
      <w:r w:rsidR="001254A0" w:rsidRPr="00C92404">
        <w:t>4</w:t>
      </w:r>
      <w:r w:rsidRPr="00C92404">
        <w:t xml:space="preserve"> of Annexure 2).</w:t>
      </w:r>
      <w:r w:rsidRPr="00BA14E9">
        <w:rPr>
          <w:rFonts w:cs="Calibri"/>
        </w:rPr>
        <w:t xml:space="preserve"> </w:t>
      </w:r>
    </w:p>
    <w:p w14:paraId="1E99B39B" w14:textId="4D8FC90C" w:rsidR="00005E3C" w:rsidRPr="00BA14E9" w:rsidRDefault="00005E3C" w:rsidP="00005E3C">
      <w:pPr>
        <w:spacing w:line="278" w:lineRule="auto"/>
      </w:pPr>
      <w:r w:rsidRPr="00BA14E9">
        <w:t>The</w:t>
      </w:r>
      <w:r w:rsidRPr="00BA14E9">
        <w:rPr>
          <w:b/>
          <w:bCs/>
        </w:rPr>
        <w:t xml:space="preserve"> </w:t>
      </w:r>
      <w:r w:rsidRPr="00BA14E9">
        <w:t>AS 2885 Series</w:t>
      </w:r>
      <w:r w:rsidR="00C77300" w:rsidRPr="00BA14E9">
        <w:rPr>
          <w:rFonts w:cs="Calibri"/>
        </w:rPr>
        <w:t xml:space="preserve"> </w:t>
      </w:r>
      <w:r w:rsidRPr="00BA14E9">
        <w:t xml:space="preserve">is the Australian Standard for the design, construction, operation, and maintenance of high-pressure pipelines used to transport gas and liquid petroleum. It </w:t>
      </w:r>
      <w:r w:rsidR="00C77300" w:rsidRPr="00BA14E9">
        <w:rPr>
          <w:rFonts w:cs="Calibri"/>
        </w:rPr>
        <w:t>provides best-practice recommendations and may be used as evidence for meeting regulatory obligations</w:t>
      </w:r>
      <w:r w:rsidRPr="00BA14E9">
        <w:t xml:space="preserve">. </w:t>
      </w:r>
      <w:r w:rsidR="001F3286">
        <w:t>Significantly, S</w:t>
      </w:r>
      <w:r w:rsidR="001F3286" w:rsidRPr="001F3286">
        <w:t>afe Work Australia’s guidance on Australian standards confirms that a court may treat a relevant Australian standard as evidence of “reasonably practicable” measures.</w:t>
      </w:r>
      <w:r w:rsidR="00302200">
        <w:t xml:space="preserve"> </w:t>
      </w:r>
      <w:r w:rsidRPr="00BA14E9">
        <w:t>All Australian states and territories have legislation referencing or incorporating the AS 2885 Series</w:t>
      </w:r>
      <w:r w:rsidR="00C77300" w:rsidRPr="00BA14E9">
        <w:rPr>
          <w:bCs/>
        </w:rPr>
        <w:t>, however i</w:t>
      </w:r>
      <w:r w:rsidR="00C77300" w:rsidRPr="00BA14E9">
        <w:rPr>
          <w:rFonts w:cs="Calibri"/>
        </w:rPr>
        <w:t xml:space="preserve">t is important to note that the AS 2885 Series does not carry legal force unless required by legislation. </w:t>
      </w:r>
      <w:r w:rsidR="00452CA4">
        <w:rPr>
          <w:rFonts w:cs="Calibri"/>
        </w:rPr>
        <w:t xml:space="preserve">While this Guidebook focuses primarily on high pressure pipelines, it is important to note that </w:t>
      </w:r>
      <w:r w:rsidR="00340A49">
        <w:rPr>
          <w:rFonts w:cs="Calibri"/>
        </w:rPr>
        <w:t>the AS/NZS 4645 Series provides guidance for gas distribution systems.</w:t>
      </w:r>
    </w:p>
    <w:p w14:paraId="7F428832" w14:textId="77777777" w:rsidR="00A9648F" w:rsidRPr="00BA14E9" w:rsidRDefault="00A9648F" w:rsidP="606C9B12">
      <w:pPr>
        <w:spacing w:line="278" w:lineRule="auto"/>
        <w:rPr>
          <w:rFonts w:cs="Calibri"/>
          <w:b/>
          <w:sz w:val="32"/>
          <w:szCs w:val="32"/>
        </w:rPr>
      </w:pPr>
      <w:r w:rsidRPr="00BA14E9">
        <w:rPr>
          <w:rFonts w:cs="Calibri"/>
          <w:b/>
          <w:sz w:val="32"/>
          <w:szCs w:val="32"/>
        </w:rPr>
        <w:t xml:space="preserve">Series of National Hydrogen Regulatory Guidebooks </w:t>
      </w:r>
    </w:p>
    <w:p w14:paraId="366FE086" w14:textId="125439EB" w:rsidR="00A9648F" w:rsidRPr="00BA14E9" w:rsidRDefault="00A9648F" w:rsidP="00A9648F">
      <w:pPr>
        <w:rPr>
          <w:rFonts w:cs="Calibri"/>
        </w:rPr>
      </w:pPr>
      <w:r w:rsidRPr="00BA14E9">
        <w:rPr>
          <w:rFonts w:cs="Calibri"/>
        </w:rPr>
        <w:t xml:space="preserve">At the time of publication, this Guidebook is one of </w:t>
      </w:r>
      <w:r w:rsidR="000654C0" w:rsidRPr="00BA14E9">
        <w:rPr>
          <w:rFonts w:cs="Calibri"/>
        </w:rPr>
        <w:t>four</w:t>
      </w:r>
      <w:r w:rsidR="00FE2AF8" w:rsidRPr="00BA14E9">
        <w:rPr>
          <w:rFonts w:cs="Calibri"/>
        </w:rPr>
        <w:t xml:space="preserve"> </w:t>
      </w:r>
      <w:r w:rsidRPr="00BA14E9">
        <w:rPr>
          <w:rFonts w:cs="Calibri"/>
        </w:rPr>
        <w:t xml:space="preserve">Regulatory Guidebooks, which also include: </w:t>
      </w:r>
    </w:p>
    <w:p w14:paraId="3E078138" w14:textId="77777777" w:rsidR="009B6B27" w:rsidRPr="00BA14E9" w:rsidRDefault="009B6B27" w:rsidP="000B44AC">
      <w:pPr>
        <w:numPr>
          <w:ilvl w:val="0"/>
          <w:numId w:val="27"/>
        </w:numPr>
        <w:spacing w:line="278" w:lineRule="auto"/>
        <w:rPr>
          <w:rFonts w:cs="Calibri"/>
        </w:rPr>
      </w:pPr>
      <w:r w:rsidRPr="00BA14E9">
        <w:rPr>
          <w:rFonts w:cs="Calibri"/>
          <w:i/>
          <w:iCs/>
        </w:rPr>
        <w:t>National Hydrogen Regulatory Guidebook:</w:t>
      </w:r>
      <w:r w:rsidRPr="00BA14E9">
        <w:rPr>
          <w:rFonts w:cs="Calibri"/>
          <w:i/>
        </w:rPr>
        <w:t xml:space="preserve"> Production Facilities</w:t>
      </w:r>
      <w:r w:rsidRPr="00BA14E9">
        <w:rPr>
          <w:rFonts w:cs="Calibri"/>
        </w:rPr>
        <w:t xml:space="preserve">  </w:t>
      </w:r>
    </w:p>
    <w:p w14:paraId="7D053FFB" w14:textId="77777777" w:rsidR="00A9648F" w:rsidRPr="00BA14E9" w:rsidRDefault="00A9648F" w:rsidP="000B44AC">
      <w:pPr>
        <w:numPr>
          <w:ilvl w:val="0"/>
          <w:numId w:val="27"/>
        </w:numPr>
        <w:spacing w:line="278" w:lineRule="auto"/>
        <w:rPr>
          <w:rFonts w:cs="Calibri"/>
        </w:rPr>
      </w:pPr>
      <w:r w:rsidRPr="00BA14E9">
        <w:rPr>
          <w:rFonts w:cs="Calibri"/>
          <w:i/>
          <w:iCs/>
        </w:rPr>
        <w:t xml:space="preserve">National Hydrogen Regulatory Guidebook: Refuelling Facilities </w:t>
      </w:r>
      <w:r w:rsidRPr="00BA14E9">
        <w:rPr>
          <w:rFonts w:cs="Calibri"/>
        </w:rPr>
        <w:t xml:space="preserve"> </w:t>
      </w:r>
    </w:p>
    <w:p w14:paraId="06D62584" w14:textId="5B2C07D5" w:rsidR="00A9648F" w:rsidRPr="00BA14E9" w:rsidRDefault="00A9648F" w:rsidP="000B44AC">
      <w:pPr>
        <w:numPr>
          <w:ilvl w:val="0"/>
          <w:numId w:val="27"/>
        </w:numPr>
        <w:spacing w:line="278" w:lineRule="auto"/>
        <w:rPr>
          <w:rFonts w:cs="Calibri"/>
        </w:rPr>
      </w:pPr>
      <w:r w:rsidRPr="00BA14E9">
        <w:rPr>
          <w:rFonts w:cs="Calibri"/>
          <w:i/>
        </w:rPr>
        <w:t xml:space="preserve">National Hydrogen Regulatory Guidebook: Hydrogen </w:t>
      </w:r>
      <w:r w:rsidR="67E390A3" w:rsidRPr="2AEB64BA">
        <w:rPr>
          <w:rFonts w:cs="Calibri"/>
          <w:i/>
          <w:iCs/>
        </w:rPr>
        <w:t>Freight</w:t>
      </w:r>
      <w:r w:rsidRPr="2AEB64BA">
        <w:rPr>
          <w:rFonts w:cs="Calibri"/>
          <w:i/>
          <w:iCs/>
        </w:rPr>
        <w:t xml:space="preserve"> </w:t>
      </w:r>
      <w:r w:rsidRPr="00BA14E9">
        <w:rPr>
          <w:rFonts w:cs="Calibri"/>
          <w:i/>
        </w:rPr>
        <w:t>by Road</w:t>
      </w:r>
      <w:r w:rsidRPr="00BA14E9">
        <w:rPr>
          <w:rFonts w:cs="Calibri"/>
          <w:iCs/>
        </w:rPr>
        <w:t>.</w:t>
      </w:r>
      <w:r w:rsidRPr="00BA14E9">
        <w:rPr>
          <w:rFonts w:cs="Calibri"/>
        </w:rPr>
        <w:t xml:space="preserve">  </w:t>
      </w:r>
    </w:p>
    <w:p w14:paraId="54DDE141" w14:textId="3D8FA7A6" w:rsidR="0072415F" w:rsidRPr="00BA14E9" w:rsidRDefault="00CD235D" w:rsidP="000B44AC">
      <w:pPr>
        <w:spacing w:before="120"/>
        <w:rPr>
          <w:rFonts w:eastAsiaTheme="majorEastAsia" w:cstheme="majorBidi"/>
          <w:color w:val="0F4761" w:themeColor="accent1" w:themeShade="BF"/>
          <w:sz w:val="40"/>
          <w:szCs w:val="40"/>
        </w:rPr>
      </w:pPr>
      <w:r>
        <w:t xml:space="preserve">To enable content for this Guidebook to </w:t>
      </w:r>
      <w:r w:rsidR="009B6B27">
        <w:t>target those regulations specifically applicable to pipelines</w:t>
      </w:r>
      <w:r w:rsidR="00D47ACA">
        <w:t xml:space="preserve"> and minimise duplication</w:t>
      </w:r>
      <w:r w:rsidR="009B6B27">
        <w:t xml:space="preserve">, </w:t>
      </w:r>
      <w:r w:rsidR="00D47ACA">
        <w:t>this Guidebook</w:t>
      </w:r>
      <w:r w:rsidR="009B6B27">
        <w:t xml:space="preserve"> builds on and </w:t>
      </w:r>
      <w:proofErr w:type="gramStart"/>
      <w:r w:rsidR="009B6B27">
        <w:t>refers back</w:t>
      </w:r>
      <w:proofErr w:type="gramEnd"/>
      <w:r w:rsidR="009B6B27">
        <w:t xml:space="preserve"> to the Hydrogen Production Guidebook. </w:t>
      </w:r>
      <w:r w:rsidR="00B277BC">
        <w:t xml:space="preserve">Where the application of regulations to hydrogen pipelines is not materially different to other facilities where hydrogen is present, </w:t>
      </w:r>
      <w:r w:rsidR="000B2FE3">
        <w:t xml:space="preserve">rather than duplicate information, </w:t>
      </w:r>
      <w:r w:rsidR="00D47ACA">
        <w:t xml:space="preserve">this Guidebook </w:t>
      </w:r>
      <w:r w:rsidR="000B2FE3">
        <w:t>provides specific references to the Hydrogen Production Guidebook.</w:t>
      </w:r>
      <w:r w:rsidR="00B06380" w:rsidRPr="00BA14E9">
        <w:br w:type="page"/>
      </w:r>
    </w:p>
    <w:p w14:paraId="0FB8AF31" w14:textId="1F98F506" w:rsidR="00BF024D" w:rsidRPr="00BA14E9" w:rsidRDefault="00BF024D" w:rsidP="00D33BE1">
      <w:pPr>
        <w:pStyle w:val="Heading1"/>
        <w:numPr>
          <w:ilvl w:val="0"/>
          <w:numId w:val="29"/>
        </w:numPr>
      </w:pPr>
      <w:bookmarkStart w:id="5" w:name="_Toc222925472"/>
      <w:r w:rsidRPr="00BA14E9">
        <w:lastRenderedPageBreak/>
        <w:t xml:space="preserve">Chapter 1 </w:t>
      </w:r>
      <w:r w:rsidR="00732D26" w:rsidRPr="00BA14E9">
        <w:t>-</w:t>
      </w:r>
      <w:r w:rsidRPr="00BA14E9">
        <w:t xml:space="preserve"> </w:t>
      </w:r>
      <w:r w:rsidR="00732D26" w:rsidRPr="00BA14E9">
        <w:t>I</w:t>
      </w:r>
      <w:r w:rsidR="00AC78B2" w:rsidRPr="00BA14E9">
        <w:t>ntroductory</w:t>
      </w:r>
      <w:bookmarkEnd w:id="5"/>
    </w:p>
    <w:p w14:paraId="60E6B372" w14:textId="282EB2D3" w:rsidR="00E77580" w:rsidRPr="00BA14E9" w:rsidRDefault="004C6D05" w:rsidP="00EA6EBC">
      <w:pPr>
        <w:pStyle w:val="Heading2"/>
      </w:pPr>
      <w:bookmarkStart w:id="6" w:name="_Toc215654302"/>
      <w:bookmarkStart w:id="7" w:name="_Toc215809986"/>
      <w:bookmarkStart w:id="8" w:name="_Toc222925473"/>
      <w:bookmarkEnd w:id="6"/>
      <w:bookmarkEnd w:id="7"/>
      <w:r w:rsidRPr="00BA14E9">
        <w:t>Purpose of this Guidebook</w:t>
      </w:r>
      <w:bookmarkEnd w:id="8"/>
    </w:p>
    <w:p w14:paraId="7D43B77C" w14:textId="0AB1AE71" w:rsidR="00D20A64" w:rsidRPr="00BA14E9" w:rsidRDefault="00D20A64" w:rsidP="00D20A64">
      <w:pPr>
        <w:rPr>
          <w:rFonts w:cs="Calibri"/>
        </w:rPr>
      </w:pPr>
      <w:r w:rsidRPr="00BA14E9">
        <w:rPr>
          <w:rFonts w:cs="Calibri"/>
        </w:rPr>
        <w:t>This Guidebook identifies and consolidates regulatory obligations</w:t>
      </w:r>
      <w:r w:rsidR="00617F3C" w:rsidRPr="00BA14E9">
        <w:rPr>
          <w:rFonts w:cs="Calibri"/>
        </w:rPr>
        <w:t>, Australian and international standards</w:t>
      </w:r>
      <w:r w:rsidR="00D45B12" w:rsidRPr="00BA14E9">
        <w:rPr>
          <w:rFonts w:cs="Calibri"/>
        </w:rPr>
        <w:t xml:space="preserve"> and regulatory and industry guidance </w:t>
      </w:r>
      <w:r w:rsidRPr="00BA14E9">
        <w:rPr>
          <w:rFonts w:cs="Calibri"/>
        </w:rPr>
        <w:t xml:space="preserve">relevant to </w:t>
      </w:r>
      <w:r w:rsidR="000913EE" w:rsidRPr="00BA14E9">
        <w:rPr>
          <w:rFonts w:cs="Calibri"/>
        </w:rPr>
        <w:t xml:space="preserve">the </w:t>
      </w:r>
      <w:r w:rsidR="002C5176" w:rsidRPr="00BA14E9">
        <w:rPr>
          <w:rFonts w:cs="Calibri"/>
        </w:rPr>
        <w:t xml:space="preserve">design, construction, maintenance and </w:t>
      </w:r>
      <w:r w:rsidR="00194EA9" w:rsidRPr="00BA14E9">
        <w:rPr>
          <w:rFonts w:cs="Calibri"/>
        </w:rPr>
        <w:t>/ or</w:t>
      </w:r>
      <w:r w:rsidR="002C5176" w:rsidRPr="00BA14E9">
        <w:rPr>
          <w:rFonts w:cs="Calibri"/>
        </w:rPr>
        <w:t xml:space="preserve"> </w:t>
      </w:r>
      <w:r w:rsidR="00194EA9" w:rsidRPr="00BA14E9">
        <w:rPr>
          <w:rFonts w:cs="Calibri"/>
        </w:rPr>
        <w:t xml:space="preserve">the </w:t>
      </w:r>
      <w:r w:rsidR="002C5176" w:rsidRPr="00BA14E9">
        <w:rPr>
          <w:rFonts w:cs="Calibri"/>
        </w:rPr>
        <w:t>repurposing of pipelines for</w:t>
      </w:r>
      <w:r w:rsidRPr="00BA14E9">
        <w:rPr>
          <w:rFonts w:cs="Calibri"/>
        </w:rPr>
        <w:t xml:space="preserve"> </w:t>
      </w:r>
      <w:r w:rsidR="00170D54" w:rsidRPr="00BA14E9">
        <w:rPr>
          <w:rFonts w:cs="Calibri"/>
        </w:rPr>
        <w:t>hydrogen</w:t>
      </w:r>
      <w:r w:rsidRPr="00BA14E9">
        <w:rPr>
          <w:rFonts w:cs="Calibri"/>
        </w:rPr>
        <w:t xml:space="preserve">. </w:t>
      </w:r>
      <w:r w:rsidR="00CC121B">
        <w:rPr>
          <w:rFonts w:cs="Calibri"/>
        </w:rPr>
        <w:t>This</w:t>
      </w:r>
      <w:r w:rsidRPr="00BA14E9">
        <w:rPr>
          <w:rFonts w:cs="Calibri"/>
        </w:rPr>
        <w:t xml:space="preserve"> </w:t>
      </w:r>
      <w:r w:rsidR="00D45B12" w:rsidRPr="00BA14E9">
        <w:rPr>
          <w:rFonts w:cs="Calibri"/>
        </w:rPr>
        <w:t>G</w:t>
      </w:r>
      <w:r w:rsidRPr="00BA14E9">
        <w:rPr>
          <w:rFonts w:cs="Calibri"/>
        </w:rPr>
        <w:t xml:space="preserve">uidebook </w:t>
      </w:r>
      <w:r w:rsidR="0029626E" w:rsidRPr="00BA14E9">
        <w:rPr>
          <w:rFonts w:cs="Calibri"/>
        </w:rPr>
        <w:t xml:space="preserve">focuses on those areas of pipeline regulation </w:t>
      </w:r>
      <w:r w:rsidR="00A67976" w:rsidRPr="00BA14E9">
        <w:rPr>
          <w:rFonts w:cs="Calibri"/>
        </w:rPr>
        <w:t xml:space="preserve">with the most </w:t>
      </w:r>
      <w:r w:rsidR="009A5FF1" w:rsidRPr="00BA14E9">
        <w:rPr>
          <w:rFonts w:cs="Calibri"/>
        </w:rPr>
        <w:t xml:space="preserve">relevance </w:t>
      </w:r>
      <w:r w:rsidR="00A67976" w:rsidRPr="00BA14E9">
        <w:rPr>
          <w:rFonts w:cs="Calibri"/>
        </w:rPr>
        <w:t>in application to renewable hydrogen, including</w:t>
      </w:r>
      <w:r w:rsidR="00E91EA9" w:rsidRPr="00BA14E9">
        <w:rPr>
          <w:rFonts w:cs="Calibri"/>
        </w:rPr>
        <w:t xml:space="preserve"> regulatory obligations </w:t>
      </w:r>
      <w:r w:rsidR="00A67976" w:rsidRPr="00BA14E9">
        <w:rPr>
          <w:rFonts w:cs="Calibri"/>
        </w:rPr>
        <w:t>relating to</w:t>
      </w:r>
      <w:r w:rsidRPr="00BA14E9">
        <w:rPr>
          <w:rFonts w:cs="Calibri"/>
        </w:rPr>
        <w:t>:</w:t>
      </w:r>
    </w:p>
    <w:p w14:paraId="63F5B996" w14:textId="066B3292" w:rsidR="0029626E" w:rsidRPr="00BA14E9" w:rsidRDefault="00833EC7" w:rsidP="000B44AC">
      <w:pPr>
        <w:pStyle w:val="ListParagraph"/>
        <w:numPr>
          <w:ilvl w:val="0"/>
          <w:numId w:val="46"/>
        </w:numPr>
        <w:spacing w:line="278" w:lineRule="auto"/>
        <w:contextualSpacing w:val="0"/>
        <w:rPr>
          <w:rFonts w:cs="Calibri"/>
        </w:rPr>
      </w:pPr>
      <w:r w:rsidRPr="00BA14E9">
        <w:rPr>
          <w:rFonts w:cs="Calibri"/>
          <w:b/>
          <w:bCs/>
        </w:rPr>
        <w:t xml:space="preserve">Repurposing existing pipelines for hydrogen: </w:t>
      </w:r>
      <w:r w:rsidR="00DC5F32" w:rsidRPr="00BA14E9">
        <w:rPr>
          <w:rFonts w:cs="Calibri"/>
        </w:rPr>
        <w:t>some laws apply differently for repurposing existing pipelines than for establishing a new pipeline</w:t>
      </w:r>
      <w:r w:rsidR="006F7BDA" w:rsidRPr="00BA14E9">
        <w:rPr>
          <w:rFonts w:cs="Calibri"/>
        </w:rPr>
        <w:t>.</w:t>
      </w:r>
    </w:p>
    <w:p w14:paraId="70644BD6" w14:textId="511A644F" w:rsidR="00DC5F32" w:rsidRPr="00BA14E9" w:rsidRDefault="00DC5F32" w:rsidP="000B44AC">
      <w:pPr>
        <w:pStyle w:val="ListParagraph"/>
        <w:numPr>
          <w:ilvl w:val="0"/>
          <w:numId w:val="46"/>
        </w:numPr>
        <w:spacing w:line="278" w:lineRule="auto"/>
        <w:contextualSpacing w:val="0"/>
        <w:rPr>
          <w:rFonts w:cs="Calibri"/>
        </w:rPr>
      </w:pPr>
      <w:r w:rsidRPr="00BA14E9">
        <w:rPr>
          <w:rFonts w:cs="Calibri"/>
          <w:b/>
          <w:bCs/>
        </w:rPr>
        <w:t>Application of pipeline regulatory obligations to new hydrogen pipelines</w:t>
      </w:r>
      <w:r w:rsidR="00065256" w:rsidRPr="00BA14E9">
        <w:rPr>
          <w:rFonts w:cs="Calibri"/>
          <w:b/>
          <w:bCs/>
        </w:rPr>
        <w:t>.</w:t>
      </w:r>
    </w:p>
    <w:p w14:paraId="21ACA94E" w14:textId="6DC436D5" w:rsidR="00742E77" w:rsidRPr="00BA14E9" w:rsidRDefault="007B2A45" w:rsidP="000B44AC">
      <w:pPr>
        <w:pStyle w:val="ListParagraph"/>
        <w:numPr>
          <w:ilvl w:val="0"/>
          <w:numId w:val="46"/>
        </w:numPr>
        <w:spacing w:line="278" w:lineRule="auto"/>
        <w:contextualSpacing w:val="0"/>
        <w:rPr>
          <w:rFonts w:cs="Calibri"/>
        </w:rPr>
      </w:pPr>
      <w:r w:rsidRPr="00BA14E9">
        <w:rPr>
          <w:rFonts w:cs="Calibri"/>
          <w:b/>
          <w:bCs/>
        </w:rPr>
        <w:t>Distribution of hydrogen blends via pipelines</w:t>
      </w:r>
      <w:r w:rsidRPr="00BA14E9">
        <w:rPr>
          <w:rFonts w:cs="Calibri"/>
        </w:rPr>
        <w:t>: some laws apply specifically to hydrocarbons or named gases and so hydrogen blends can be captured differently to pure hydrogen (hydrogen approaching 100% subject to relevant specification)</w:t>
      </w:r>
      <w:r w:rsidR="006F7BDA" w:rsidRPr="00BA14E9">
        <w:rPr>
          <w:rFonts w:cs="Calibri"/>
        </w:rPr>
        <w:t>.</w:t>
      </w:r>
    </w:p>
    <w:p w14:paraId="477146D2" w14:textId="611DF152" w:rsidR="009178CA" w:rsidRPr="00BA14E9" w:rsidRDefault="003A5373" w:rsidP="00EA6EBC">
      <w:pPr>
        <w:pStyle w:val="Heading2"/>
      </w:pPr>
      <w:bookmarkStart w:id="9" w:name="_Toc222925474"/>
      <w:r w:rsidRPr="00BA14E9">
        <w:t xml:space="preserve">Value of this Guidebook to </w:t>
      </w:r>
      <w:r w:rsidR="00120D83" w:rsidRPr="00BA14E9">
        <w:t>different st</w:t>
      </w:r>
      <w:r w:rsidR="00E059D2" w:rsidRPr="00BA14E9">
        <w:t>akeholders</w:t>
      </w:r>
      <w:bookmarkEnd w:id="9"/>
    </w:p>
    <w:p w14:paraId="29307A7C" w14:textId="4739C626" w:rsidR="004079F7" w:rsidRPr="00BA14E9" w:rsidRDefault="004079F7" w:rsidP="004079F7">
      <w:pPr>
        <w:rPr>
          <w:rFonts w:cs="Calibri"/>
        </w:rPr>
      </w:pPr>
      <w:r w:rsidRPr="00BA14E9">
        <w:rPr>
          <w:rFonts w:cs="Calibri"/>
        </w:rPr>
        <w:t xml:space="preserve">The main stakeholder groups which are the intended audience for this Guidebook, and how those groups are intended to use </w:t>
      </w:r>
      <w:r w:rsidR="00FE5E0F" w:rsidRPr="00BA14E9">
        <w:rPr>
          <w:rFonts w:cs="Calibri"/>
        </w:rPr>
        <w:t xml:space="preserve">this Guidebook </w:t>
      </w:r>
      <w:r w:rsidRPr="00BA14E9">
        <w:rPr>
          <w:rFonts w:cs="Calibri"/>
        </w:rPr>
        <w:t xml:space="preserve">include: </w:t>
      </w:r>
    </w:p>
    <w:p w14:paraId="39EAB4D8" w14:textId="5D7DED81" w:rsidR="004079F7" w:rsidRPr="00BA14E9" w:rsidRDefault="004079F7" w:rsidP="000B44AC">
      <w:pPr>
        <w:pStyle w:val="ListParagraph"/>
        <w:numPr>
          <w:ilvl w:val="0"/>
          <w:numId w:val="28"/>
        </w:numPr>
        <w:spacing w:line="278" w:lineRule="auto"/>
        <w:contextualSpacing w:val="0"/>
        <w:rPr>
          <w:rFonts w:cs="Calibri"/>
        </w:rPr>
      </w:pPr>
      <w:r w:rsidRPr="00BA14E9">
        <w:rPr>
          <w:rFonts w:cs="Calibri"/>
          <w:b/>
          <w:bCs/>
          <w:i/>
          <w:iCs/>
        </w:rPr>
        <w:t>Project Proponents</w:t>
      </w:r>
      <w:r w:rsidRPr="00BA14E9">
        <w:rPr>
          <w:rFonts w:cs="Calibri"/>
        </w:rPr>
        <w:t xml:space="preserve">: are the intended primary audience for </w:t>
      </w:r>
      <w:r w:rsidR="00CC121B">
        <w:rPr>
          <w:rFonts w:cs="Calibri"/>
        </w:rPr>
        <w:t>this</w:t>
      </w:r>
      <w:r w:rsidR="00CC121B" w:rsidRPr="00BA14E9">
        <w:rPr>
          <w:rFonts w:cs="Calibri"/>
        </w:rPr>
        <w:t xml:space="preserve"> </w:t>
      </w:r>
      <w:r w:rsidRPr="00BA14E9">
        <w:rPr>
          <w:rFonts w:cs="Calibri"/>
        </w:rPr>
        <w:t>Guidebook, as it is designed to support them to meet their regulatory obligations when establishing and operating their hydrogen p</w:t>
      </w:r>
      <w:r w:rsidR="00B557B8" w:rsidRPr="00BA14E9">
        <w:rPr>
          <w:rFonts w:cs="Calibri"/>
        </w:rPr>
        <w:t>ipeline</w:t>
      </w:r>
      <w:r w:rsidRPr="00BA14E9">
        <w:rPr>
          <w:rFonts w:cs="Calibri"/>
        </w:rPr>
        <w:t xml:space="preserve">. This Guidebook is intended to supplement legal, engineering or other specialist advice, it is not a replacement for </w:t>
      </w:r>
      <w:r w:rsidR="002E3242" w:rsidRPr="00BA14E9">
        <w:rPr>
          <w:rFonts w:cs="Calibri"/>
        </w:rPr>
        <w:t xml:space="preserve">such </w:t>
      </w:r>
      <w:r w:rsidRPr="00BA14E9">
        <w:rPr>
          <w:rFonts w:cs="Calibri"/>
        </w:rPr>
        <w:t xml:space="preserve">advice. </w:t>
      </w:r>
    </w:p>
    <w:p w14:paraId="43A5BD74" w14:textId="048BCA94" w:rsidR="004079F7" w:rsidRPr="00BA14E9" w:rsidRDefault="004079F7" w:rsidP="000B44AC">
      <w:pPr>
        <w:pStyle w:val="ListParagraph"/>
        <w:numPr>
          <w:ilvl w:val="0"/>
          <w:numId w:val="28"/>
        </w:numPr>
        <w:spacing w:line="278" w:lineRule="auto"/>
        <w:contextualSpacing w:val="0"/>
        <w:rPr>
          <w:rFonts w:cs="Calibri"/>
        </w:rPr>
      </w:pPr>
      <w:r w:rsidRPr="00BA14E9">
        <w:rPr>
          <w:rFonts w:cs="Calibri"/>
          <w:b/>
          <w:bCs/>
          <w:i/>
          <w:iCs/>
        </w:rPr>
        <w:t>Regulators</w:t>
      </w:r>
      <w:r w:rsidRPr="00BA14E9">
        <w:rPr>
          <w:rFonts w:cs="Calibri"/>
        </w:rPr>
        <w:t>: are provided with transparency over the major regulatory obligations which operate in respect of a hydrogen p</w:t>
      </w:r>
      <w:r w:rsidR="00B557B8" w:rsidRPr="00BA14E9">
        <w:rPr>
          <w:rFonts w:cs="Calibri"/>
        </w:rPr>
        <w:t>ipeline</w:t>
      </w:r>
      <w:r w:rsidRPr="00BA14E9">
        <w:rPr>
          <w:rFonts w:cs="Calibri"/>
        </w:rPr>
        <w:t xml:space="preserve"> within their jurisdiction and across other jurisdictions. As such this Guidebook supports regulators in guiding project proponents to meet obligations and provide transparency as to how equivalent regulatory regimes operate and in other jurisdictions in Australia. </w:t>
      </w:r>
    </w:p>
    <w:p w14:paraId="4861D758" w14:textId="7F705337" w:rsidR="004079F7" w:rsidRPr="00BA14E9" w:rsidRDefault="004079F7" w:rsidP="000B44AC">
      <w:pPr>
        <w:pStyle w:val="ListParagraph"/>
        <w:numPr>
          <w:ilvl w:val="0"/>
          <w:numId w:val="28"/>
        </w:numPr>
        <w:spacing w:line="278" w:lineRule="auto"/>
        <w:contextualSpacing w:val="0"/>
        <w:rPr>
          <w:rFonts w:cs="Calibri"/>
        </w:rPr>
      </w:pPr>
      <w:r w:rsidRPr="00BA14E9">
        <w:rPr>
          <w:rFonts w:cs="Calibri"/>
          <w:b/>
          <w:bCs/>
          <w:i/>
          <w:iCs/>
        </w:rPr>
        <w:t>Community groups</w:t>
      </w:r>
      <w:r w:rsidRPr="00BA14E9">
        <w:rPr>
          <w:rFonts w:cs="Calibri"/>
        </w:rPr>
        <w:t>: are provided with transparency over the main regulatory obligations which operate in respect of a hydrogen p</w:t>
      </w:r>
      <w:r w:rsidR="00F37E44" w:rsidRPr="00BA14E9">
        <w:rPr>
          <w:rFonts w:cs="Calibri"/>
        </w:rPr>
        <w:t>ipeline</w:t>
      </w:r>
      <w:r w:rsidRPr="00BA14E9">
        <w:rPr>
          <w:rFonts w:cs="Calibri"/>
        </w:rPr>
        <w:t>. This provides assurances to community groups as to the safety, indigenous, environmental and planning credentials of Australia’s hydrogen p</w:t>
      </w:r>
      <w:r w:rsidR="00F37E44" w:rsidRPr="00BA14E9">
        <w:rPr>
          <w:rFonts w:cs="Calibri"/>
        </w:rPr>
        <w:t>ipeline</w:t>
      </w:r>
      <w:r w:rsidRPr="00BA14E9">
        <w:rPr>
          <w:rFonts w:cs="Calibri"/>
        </w:rPr>
        <w:t xml:space="preserve"> </w:t>
      </w:r>
      <w:r w:rsidR="00316EF5" w:rsidRPr="00BA14E9">
        <w:rPr>
          <w:rFonts w:cs="Calibri"/>
        </w:rPr>
        <w:t>infrastructure</w:t>
      </w:r>
      <w:r w:rsidRPr="00BA14E9">
        <w:rPr>
          <w:rFonts w:cs="Calibri"/>
        </w:rPr>
        <w:t>.</w:t>
      </w:r>
    </w:p>
    <w:p w14:paraId="6C8F1A64" w14:textId="430D6081" w:rsidR="004079F7" w:rsidRPr="00BA14E9" w:rsidRDefault="004079F7" w:rsidP="000B44AC">
      <w:pPr>
        <w:pStyle w:val="ListParagraph"/>
        <w:numPr>
          <w:ilvl w:val="0"/>
          <w:numId w:val="28"/>
        </w:numPr>
        <w:spacing w:line="278" w:lineRule="auto"/>
        <w:contextualSpacing w:val="0"/>
        <w:rPr>
          <w:rFonts w:cs="Calibri"/>
        </w:rPr>
      </w:pPr>
      <w:r w:rsidRPr="00BA14E9">
        <w:rPr>
          <w:rFonts w:cs="Calibri"/>
          <w:b/>
          <w:bCs/>
          <w:i/>
          <w:iCs/>
        </w:rPr>
        <w:t>First Nations</w:t>
      </w:r>
      <w:r w:rsidRPr="00BA14E9">
        <w:rPr>
          <w:rFonts w:cs="Calibri"/>
        </w:rPr>
        <w:t xml:space="preserve">: </w:t>
      </w:r>
      <w:r w:rsidR="00FC1AF8">
        <w:rPr>
          <w:rFonts w:cs="Calibri"/>
        </w:rPr>
        <w:t>this</w:t>
      </w:r>
      <w:r w:rsidR="00FC1AF8" w:rsidRPr="00BA14E9">
        <w:rPr>
          <w:rFonts w:cs="Calibri"/>
        </w:rPr>
        <w:t xml:space="preserve"> </w:t>
      </w:r>
      <w:r w:rsidRPr="00BA14E9">
        <w:rPr>
          <w:rFonts w:cs="Calibri"/>
        </w:rPr>
        <w:t xml:space="preserve">Guidebook emphasises genuine and best practice engagement with </w:t>
      </w:r>
      <w:r w:rsidR="00316EF5" w:rsidRPr="00BA14E9">
        <w:rPr>
          <w:rFonts w:cs="Calibri"/>
        </w:rPr>
        <w:t>First Nations</w:t>
      </w:r>
      <w:r w:rsidRPr="00BA14E9">
        <w:rPr>
          <w:rFonts w:cs="Calibri"/>
        </w:rPr>
        <w:t xml:space="preserve"> peoples and their representative in relation to land rights, and cultural heritage.</w:t>
      </w:r>
    </w:p>
    <w:p w14:paraId="050F6058" w14:textId="3F437122" w:rsidR="00E059D2" w:rsidRPr="00BA14E9" w:rsidRDefault="004079F7" w:rsidP="000B44AC">
      <w:pPr>
        <w:pStyle w:val="ListParagraph"/>
        <w:numPr>
          <w:ilvl w:val="0"/>
          <w:numId w:val="28"/>
        </w:numPr>
        <w:spacing w:line="278" w:lineRule="auto"/>
        <w:contextualSpacing w:val="0"/>
        <w:rPr>
          <w:rFonts w:cs="Calibri"/>
        </w:rPr>
      </w:pPr>
      <w:r w:rsidRPr="00BA14E9">
        <w:rPr>
          <w:rFonts w:cs="Calibri"/>
          <w:b/>
          <w:bCs/>
          <w:i/>
          <w:iCs/>
        </w:rPr>
        <w:t>Investors</w:t>
      </w:r>
      <w:r w:rsidRPr="00BA14E9">
        <w:rPr>
          <w:rFonts w:cs="Calibri"/>
        </w:rPr>
        <w:t>: are provided with a greater understanding of the regulatory regimes relevant to the regulation of a hydrogen p</w:t>
      </w:r>
      <w:r w:rsidR="00F37E44" w:rsidRPr="00BA14E9">
        <w:rPr>
          <w:rFonts w:cs="Calibri"/>
        </w:rPr>
        <w:t>ipeline</w:t>
      </w:r>
      <w:r w:rsidRPr="00BA14E9">
        <w:rPr>
          <w:rFonts w:cs="Calibri"/>
        </w:rPr>
        <w:t xml:space="preserve">, providing clarity as to regulatory risks and supporting informed decision making prior to an investment. </w:t>
      </w:r>
    </w:p>
    <w:p w14:paraId="238C1983" w14:textId="7C284989" w:rsidR="005D3EBC" w:rsidRPr="00BA14E9" w:rsidRDefault="005D3EBC" w:rsidP="005D3EBC">
      <w:r w:rsidRPr="00BA14E9">
        <w:br w:type="page"/>
      </w:r>
    </w:p>
    <w:p w14:paraId="2F85B57E" w14:textId="3FF02086" w:rsidR="006C7F4B" w:rsidRPr="00BA14E9" w:rsidRDefault="00EC48B7" w:rsidP="00EA6EBC">
      <w:pPr>
        <w:pStyle w:val="Heading2"/>
      </w:pPr>
      <w:bookmarkStart w:id="10" w:name="_Toc215480140"/>
      <w:bookmarkStart w:id="11" w:name="_Toc215654312"/>
      <w:bookmarkStart w:id="12" w:name="_Toc215809996"/>
      <w:bookmarkStart w:id="13" w:name="_Toc215480158"/>
      <w:bookmarkStart w:id="14" w:name="_Toc215654330"/>
      <w:bookmarkStart w:id="15" w:name="_Toc215810014"/>
      <w:bookmarkStart w:id="16" w:name="_Toc222925475"/>
      <w:bookmarkEnd w:id="10"/>
      <w:bookmarkEnd w:id="11"/>
      <w:bookmarkEnd w:id="12"/>
      <w:bookmarkEnd w:id="13"/>
      <w:bookmarkEnd w:id="14"/>
      <w:bookmarkEnd w:id="15"/>
      <w:r w:rsidRPr="00BA14E9">
        <w:lastRenderedPageBreak/>
        <w:t>Pipelines covered by</w:t>
      </w:r>
      <w:r w:rsidR="00BF024D" w:rsidRPr="00BA14E9">
        <w:t xml:space="preserve"> </w:t>
      </w:r>
      <w:r w:rsidR="007A0116" w:rsidRPr="00BA14E9">
        <w:t>t</w:t>
      </w:r>
      <w:r w:rsidR="008A68C1" w:rsidRPr="00BA14E9">
        <w:t>his</w:t>
      </w:r>
      <w:r w:rsidR="00BF024D" w:rsidRPr="00BA14E9">
        <w:t xml:space="preserve"> Guidebook</w:t>
      </w:r>
      <w:bookmarkStart w:id="17" w:name="_Toc203492158"/>
      <w:bookmarkStart w:id="18" w:name="_Toc203492179"/>
      <w:bookmarkStart w:id="19" w:name="_Toc203492180"/>
      <w:bookmarkEnd w:id="16"/>
      <w:bookmarkEnd w:id="17"/>
      <w:bookmarkEnd w:id="18"/>
      <w:bookmarkEnd w:id="19"/>
    </w:p>
    <w:p w14:paraId="296429D2" w14:textId="690AA0D5" w:rsidR="00EA3DB3" w:rsidRPr="00BA14E9" w:rsidRDefault="00EA3DB3" w:rsidP="606C9B12">
      <w:pPr>
        <w:rPr>
          <w:rFonts w:eastAsia="Calibri" w:cs="Calibri"/>
        </w:rPr>
      </w:pPr>
      <w:r w:rsidRPr="00BA14E9">
        <w:t xml:space="preserve">For this Guidebook “hydrogen pipelines” are defined as pipeline systems transporting gaseous hydrogen or blends of hydrogen and hydrocarbon fluids. This Guidebook applies to pipelines from the </w:t>
      </w:r>
      <w:r w:rsidR="002D7F6D">
        <w:t xml:space="preserve">connection </w:t>
      </w:r>
      <w:r w:rsidRPr="00BA14E9">
        <w:t xml:space="preserve">point </w:t>
      </w:r>
      <w:r w:rsidR="002D7F6D">
        <w:t>(</w:t>
      </w:r>
      <w:r w:rsidR="008D1F32">
        <w:t>for example</w:t>
      </w:r>
      <w:r w:rsidR="00893E7D">
        <w:t>,</w:t>
      </w:r>
      <w:r w:rsidR="002D7F6D">
        <w:t xml:space="preserve"> </w:t>
      </w:r>
      <w:r w:rsidRPr="00BA14E9">
        <w:t>point of export from a hydrogen production facility</w:t>
      </w:r>
      <w:r w:rsidR="002D7F6D">
        <w:t>)</w:t>
      </w:r>
      <w:r w:rsidRPr="00BA14E9">
        <w:rPr>
          <w:rFonts w:eastAsia="Calibri" w:cs="Calibri"/>
        </w:rPr>
        <w:t xml:space="preserve"> to the connection point of the facility using hydrogen transmission and distribution pipelines</w:t>
      </w:r>
      <w:r w:rsidR="001D397F">
        <w:rPr>
          <w:rStyle w:val="FootnoteReference"/>
          <w:rFonts w:eastAsia="Calibri" w:cs="Calibri"/>
        </w:rPr>
        <w:footnoteReference w:id="2"/>
      </w:r>
      <w:r w:rsidRPr="00BA14E9">
        <w:rPr>
          <w:rFonts w:eastAsia="Calibri" w:cs="Calibri"/>
        </w:rPr>
        <w:t xml:space="preserve">. </w:t>
      </w:r>
      <w:r w:rsidR="00D14686">
        <w:rPr>
          <w:rFonts w:eastAsia="Calibri" w:cs="Calibri"/>
        </w:rPr>
        <w:t xml:space="preserve">Many of the regulations described in this Guidebook will also apply to </w:t>
      </w:r>
      <w:r w:rsidR="007422B5">
        <w:rPr>
          <w:rFonts w:eastAsia="Calibri" w:cs="Calibri"/>
        </w:rPr>
        <w:t>submarine</w:t>
      </w:r>
      <w:r w:rsidR="00D14686">
        <w:rPr>
          <w:rFonts w:eastAsia="Calibri" w:cs="Calibri"/>
        </w:rPr>
        <w:t xml:space="preserve"> pipelines; however, this </w:t>
      </w:r>
      <w:r w:rsidR="007034AE">
        <w:rPr>
          <w:rFonts w:eastAsia="Calibri" w:cs="Calibri"/>
        </w:rPr>
        <w:t xml:space="preserve">Guidebook </w:t>
      </w:r>
      <w:r w:rsidR="006C4D04">
        <w:rPr>
          <w:rFonts w:eastAsia="Calibri" w:cs="Calibri"/>
        </w:rPr>
        <w:t xml:space="preserve">provides </w:t>
      </w:r>
      <w:r w:rsidR="00D14686">
        <w:rPr>
          <w:rFonts w:eastAsia="Calibri" w:cs="Calibri"/>
        </w:rPr>
        <w:t xml:space="preserve">only limited express </w:t>
      </w:r>
      <w:r w:rsidR="006C4D04">
        <w:rPr>
          <w:rFonts w:eastAsia="Calibri" w:cs="Calibri"/>
        </w:rPr>
        <w:t xml:space="preserve">guidance on </w:t>
      </w:r>
      <w:r w:rsidR="007422B5">
        <w:rPr>
          <w:rFonts w:eastAsia="Calibri" w:cs="Calibri"/>
        </w:rPr>
        <w:t>submarine</w:t>
      </w:r>
      <w:r w:rsidR="006C4D04">
        <w:rPr>
          <w:rFonts w:eastAsia="Calibri" w:cs="Calibri"/>
        </w:rPr>
        <w:t xml:space="preserve"> pipeline</w:t>
      </w:r>
      <w:r w:rsidR="00E94F99">
        <w:rPr>
          <w:rFonts w:eastAsia="Calibri" w:cs="Calibri"/>
        </w:rPr>
        <w:t>s.</w:t>
      </w:r>
    </w:p>
    <w:p w14:paraId="1D76E999" w14:textId="053847DC" w:rsidR="00AB1D24" w:rsidRPr="00BA14E9" w:rsidRDefault="00EA3DB3" w:rsidP="653903EE">
      <w:r w:rsidRPr="00BA14E9">
        <w:t xml:space="preserve">Within the scope of this Guidebook are </w:t>
      </w:r>
      <w:r w:rsidR="007E0779" w:rsidRPr="00BA14E9">
        <w:t xml:space="preserve">hydrogen pipelines </w:t>
      </w:r>
      <w:r w:rsidRPr="00BA14E9">
        <w:t xml:space="preserve">which meet the broad </w:t>
      </w:r>
      <w:r w:rsidR="007E0779" w:rsidRPr="00BA14E9">
        <w:t>legislative definition</w:t>
      </w:r>
      <w:r w:rsidRPr="00BA14E9">
        <w:t>s</w:t>
      </w:r>
      <w:r w:rsidR="007E0779" w:rsidRPr="00BA14E9">
        <w:t xml:space="preserve"> regarding the physical pipe or system of pipes, associated or ancillary equipment, apparatus, and works necessary for, or directly associated with, the operation, maintenance, and safety of the pipeline.</w:t>
      </w:r>
      <w:r w:rsidRPr="00BA14E9">
        <w:t xml:space="preserve"> </w:t>
      </w:r>
      <w:r w:rsidR="00D11589" w:rsidRPr="00BA14E9">
        <w:t xml:space="preserve">The legislative definitions of "pipeline" are intentionally broad and are designed to capture equipment, apparatus and works necessary for, or associated with, </w:t>
      </w:r>
      <w:r w:rsidR="007E0779" w:rsidRPr="00BA14E9">
        <w:t xml:space="preserve">the construction, </w:t>
      </w:r>
      <w:r w:rsidR="00D11589" w:rsidRPr="00BA14E9">
        <w:t xml:space="preserve">operation, maintenance and safety of the pipeline. </w:t>
      </w:r>
      <w:r w:rsidR="00AB1D24" w:rsidRPr="00BA14E9">
        <w:t xml:space="preserve">See Table </w:t>
      </w:r>
      <w:r w:rsidR="00B964BF" w:rsidRPr="00BA14E9">
        <w:t>2</w:t>
      </w:r>
      <w:r w:rsidR="001E4295" w:rsidRPr="00BA14E9">
        <w:t>.</w:t>
      </w:r>
      <w:r w:rsidR="00B964BF" w:rsidRPr="00BA14E9">
        <w:t>2</w:t>
      </w:r>
      <w:r w:rsidR="00AB1D24" w:rsidRPr="00BA14E9">
        <w:t xml:space="preserve"> </w:t>
      </w:r>
      <w:r w:rsidR="001E4295" w:rsidRPr="00BA14E9">
        <w:t>in</w:t>
      </w:r>
      <w:r w:rsidR="00AB1D24" w:rsidRPr="00BA14E9">
        <w:t xml:space="preserve"> Annexure </w:t>
      </w:r>
      <w:r w:rsidR="00A5714F" w:rsidRPr="00BA14E9">
        <w:t>2</w:t>
      </w:r>
      <w:r w:rsidR="00790195" w:rsidRPr="00BA14E9">
        <w:t xml:space="preserve"> for definitions of pipelines across Australian </w:t>
      </w:r>
      <w:r w:rsidR="00AD08A9" w:rsidRPr="00BA14E9">
        <w:t>jurisdictions</w:t>
      </w:r>
      <w:r w:rsidR="00790195" w:rsidRPr="00BA14E9">
        <w:t>.</w:t>
      </w:r>
    </w:p>
    <w:p w14:paraId="35DC4252" w14:textId="41AF3152" w:rsidR="005A34F9" w:rsidRPr="00BA14E9" w:rsidRDefault="00737B2D" w:rsidP="005A34F9">
      <w:bookmarkStart w:id="20" w:name="_Toc201238181"/>
      <w:bookmarkStart w:id="21" w:name="_Toc201238425"/>
      <w:bookmarkStart w:id="22" w:name="_Toc201248029"/>
      <w:bookmarkEnd w:id="20"/>
      <w:bookmarkEnd w:id="21"/>
      <w:bookmarkEnd w:id="22"/>
      <w:r w:rsidRPr="00BA14E9">
        <w:t>The a</w:t>
      </w:r>
      <w:r w:rsidR="005A34F9" w:rsidRPr="00BA14E9">
        <w:t xml:space="preserve">pplication of pipeline regulation may also be driven by the definition of the content of the material being transported in the pipeline. </w:t>
      </w:r>
      <w:r w:rsidR="003A0D30" w:rsidRPr="00BA14E9">
        <w:t xml:space="preserve">This Guidebook covers legislation that regulates both pure and blended hydrogen. </w:t>
      </w:r>
      <w:r w:rsidR="005A34F9" w:rsidRPr="00BA14E9">
        <w:t>Table 2.3 in Annexure 2 identifies legislation that brings hydrogen within the relevant definitions.</w:t>
      </w:r>
    </w:p>
    <w:p w14:paraId="7AC5F6A8" w14:textId="733C0B41" w:rsidR="007E0779" w:rsidRPr="00BA14E9" w:rsidRDefault="002E06B0" w:rsidP="007E0779">
      <w:pPr>
        <w:rPr>
          <w:rFonts w:eastAsia="Calibri" w:cs="Calibri"/>
        </w:rPr>
      </w:pPr>
      <w:r w:rsidRPr="00BA14E9">
        <w:rPr>
          <w:rFonts w:eastAsia="Calibri" w:cs="Calibri"/>
        </w:rPr>
        <w:t xml:space="preserve">Outside the scope of </w:t>
      </w:r>
      <w:r w:rsidR="00FC1AF8">
        <w:rPr>
          <w:rFonts w:eastAsia="Calibri" w:cs="Calibri"/>
        </w:rPr>
        <w:t>this</w:t>
      </w:r>
      <w:r w:rsidR="00FC1AF8" w:rsidRPr="00BA14E9">
        <w:rPr>
          <w:rFonts w:eastAsia="Calibri" w:cs="Calibri"/>
        </w:rPr>
        <w:t xml:space="preserve"> </w:t>
      </w:r>
      <w:r w:rsidRPr="00BA14E9">
        <w:rPr>
          <w:rFonts w:eastAsia="Calibri" w:cs="Calibri"/>
        </w:rPr>
        <w:t xml:space="preserve">Guidebook are </w:t>
      </w:r>
      <w:r w:rsidRPr="00BA14E9">
        <w:t>those</w:t>
      </w:r>
      <w:r w:rsidR="00241001" w:rsidRPr="00BA14E9">
        <w:t xml:space="preserve"> pipeline elements</w:t>
      </w:r>
      <w:r w:rsidRPr="00BA14E9">
        <w:t xml:space="preserve"> not directly associated with the operation or safety of the pipeline.</w:t>
      </w:r>
      <w:r w:rsidR="007E0779" w:rsidRPr="00BA14E9">
        <w:t xml:space="preserve"> </w:t>
      </w:r>
      <w:r w:rsidR="007E0779" w:rsidRPr="00BA14E9">
        <w:rPr>
          <w:rFonts w:eastAsia="Calibri" w:cs="Calibri"/>
        </w:rPr>
        <w:t xml:space="preserve">This Guidebook will not cover piping within a facility, or piping used for storage rather than transport. </w:t>
      </w:r>
    </w:p>
    <w:p w14:paraId="32ECF922" w14:textId="77777777" w:rsidR="00CF277B" w:rsidRPr="00BA14E9" w:rsidRDefault="00CF277B" w:rsidP="00CF277B">
      <w:pPr>
        <w:rPr>
          <w:rFonts w:cs="Calibri"/>
        </w:rPr>
      </w:pPr>
      <w:r w:rsidRPr="00BA14E9">
        <w:rPr>
          <w:rFonts w:cs="Calibri"/>
        </w:rPr>
        <w:t xml:space="preserve">For clarity, the following is a non-comprehensive list of regulatory regimes which are outside the scope of this Guidebook: </w:t>
      </w:r>
    </w:p>
    <w:p w14:paraId="60DF4FDF" w14:textId="77777777" w:rsidR="00951A35" w:rsidRDefault="00951A35" w:rsidP="00F27100">
      <w:pPr>
        <w:pStyle w:val="ListParagraph"/>
        <w:numPr>
          <w:ilvl w:val="0"/>
          <w:numId w:val="1"/>
        </w:numPr>
        <w:contextualSpacing w:val="0"/>
      </w:pPr>
      <w:r>
        <w:t>Economic regulation, including pricing</w:t>
      </w:r>
    </w:p>
    <w:p w14:paraId="685FC624" w14:textId="77777777" w:rsidR="00951A35" w:rsidRDefault="00951A35" w:rsidP="00F27100">
      <w:pPr>
        <w:pStyle w:val="ListParagraph"/>
        <w:numPr>
          <w:ilvl w:val="0"/>
          <w:numId w:val="1"/>
        </w:numPr>
        <w:contextualSpacing w:val="0"/>
      </w:pPr>
      <w:r>
        <w:t>Regulation of access to pipelines</w:t>
      </w:r>
    </w:p>
    <w:p w14:paraId="481E5907" w14:textId="49A5AE85" w:rsidR="00CF277B" w:rsidRPr="00BA14E9" w:rsidRDefault="00CF277B" w:rsidP="00F27100">
      <w:pPr>
        <w:pStyle w:val="ListParagraph"/>
        <w:numPr>
          <w:ilvl w:val="0"/>
          <w:numId w:val="1"/>
        </w:numPr>
        <w:contextualSpacing w:val="0"/>
      </w:pPr>
      <w:r w:rsidRPr="00BA14E9">
        <w:t xml:space="preserve">Piping within a hydrogen facility (see </w:t>
      </w:r>
      <w:r w:rsidRPr="00BA14E9">
        <w:rPr>
          <w:rFonts w:eastAsia="Calibri" w:cs="Calibri"/>
        </w:rPr>
        <w:t>National Hydrogen Regulatory Guidebook: Production Facility including its Annexures 1-5)</w:t>
      </w:r>
    </w:p>
    <w:p w14:paraId="4F4A4CEA" w14:textId="442AC5A3" w:rsidR="00CF277B" w:rsidRPr="00BA14E9" w:rsidRDefault="00CF277B" w:rsidP="00F27100">
      <w:pPr>
        <w:pStyle w:val="ListParagraph"/>
        <w:numPr>
          <w:ilvl w:val="0"/>
          <w:numId w:val="1"/>
        </w:numPr>
        <w:contextualSpacing w:val="0"/>
      </w:pPr>
      <w:r w:rsidRPr="00BA14E9">
        <w:rPr>
          <w:rFonts w:eastAsia="Calibri" w:cs="Calibri"/>
        </w:rPr>
        <w:t>Anything that is not a pipeline (standalone facilities not directly connected to the pipeline (</w:t>
      </w:r>
      <w:r w:rsidR="0032339F">
        <w:rPr>
          <w:rFonts w:eastAsia="Calibri" w:cs="Calibri"/>
        </w:rPr>
        <w:t>for example</w:t>
      </w:r>
      <w:r w:rsidRPr="00BA14E9">
        <w:rPr>
          <w:rFonts w:eastAsia="Calibri" w:cs="Calibri"/>
        </w:rPr>
        <w:t xml:space="preserve">, unrelated storage tanks, offices, or unrelated processing plants)) </w:t>
      </w:r>
    </w:p>
    <w:p w14:paraId="70759202" w14:textId="77777777" w:rsidR="00CF277B" w:rsidRPr="00BA14E9" w:rsidRDefault="00CF277B" w:rsidP="00F27100">
      <w:pPr>
        <w:pStyle w:val="ListParagraph"/>
        <w:numPr>
          <w:ilvl w:val="0"/>
          <w:numId w:val="1"/>
        </w:numPr>
        <w:contextualSpacing w:val="0"/>
      </w:pPr>
      <w:r w:rsidRPr="00BA14E9">
        <w:rPr>
          <w:rFonts w:eastAsia="Calibri" w:cs="Calibri"/>
        </w:rPr>
        <w:t>Pipelines used for storage (such as line packing) rather than transport</w:t>
      </w:r>
    </w:p>
    <w:p w14:paraId="696F513B" w14:textId="77777777" w:rsidR="00CF277B" w:rsidRPr="00BA14E9" w:rsidRDefault="00CF277B" w:rsidP="00F27100">
      <w:pPr>
        <w:pStyle w:val="ListParagraph"/>
        <w:numPr>
          <w:ilvl w:val="0"/>
          <w:numId w:val="3"/>
        </w:numPr>
        <w:contextualSpacing w:val="0"/>
      </w:pPr>
      <w:r w:rsidRPr="00BA14E9">
        <w:lastRenderedPageBreak/>
        <w:t>End-use appliances using or consuming hydrogen</w:t>
      </w:r>
    </w:p>
    <w:p w14:paraId="6E8C4409" w14:textId="77777777" w:rsidR="00CF277B" w:rsidRPr="00BA14E9" w:rsidRDefault="00CF277B" w:rsidP="00F27100">
      <w:pPr>
        <w:pStyle w:val="ListParagraph"/>
        <w:numPr>
          <w:ilvl w:val="0"/>
          <w:numId w:val="3"/>
        </w:numPr>
        <w:contextualSpacing w:val="0"/>
      </w:pPr>
      <w:r w:rsidRPr="00BA14E9">
        <w:t>Hydrogen as a fuel for vehicles or vessels</w:t>
      </w:r>
    </w:p>
    <w:p w14:paraId="161AF3ED" w14:textId="77777777" w:rsidR="00CF277B" w:rsidRPr="00BA14E9" w:rsidRDefault="00CF277B" w:rsidP="00F27100">
      <w:pPr>
        <w:pStyle w:val="ListParagraph"/>
        <w:numPr>
          <w:ilvl w:val="0"/>
          <w:numId w:val="3"/>
        </w:numPr>
        <w:contextualSpacing w:val="0"/>
      </w:pPr>
      <w:r w:rsidRPr="00BA14E9">
        <w:t>Regulation of general construction activities</w:t>
      </w:r>
    </w:p>
    <w:p w14:paraId="230C78E2" w14:textId="77777777" w:rsidR="00CF277B" w:rsidRPr="00BA14E9" w:rsidRDefault="00CF277B" w:rsidP="00F27100">
      <w:pPr>
        <w:pStyle w:val="ListParagraph"/>
        <w:numPr>
          <w:ilvl w:val="0"/>
          <w:numId w:val="3"/>
        </w:numPr>
        <w:contextualSpacing w:val="0"/>
      </w:pPr>
      <w:r w:rsidRPr="00BA14E9">
        <w:t>Government incentive schemes</w:t>
      </w:r>
    </w:p>
    <w:p w14:paraId="308628E7" w14:textId="77777777" w:rsidR="00CF277B" w:rsidRPr="00BA14E9" w:rsidRDefault="00CF277B" w:rsidP="00F27100">
      <w:pPr>
        <w:pStyle w:val="ListParagraph"/>
        <w:numPr>
          <w:ilvl w:val="0"/>
          <w:numId w:val="3"/>
        </w:numPr>
        <w:contextualSpacing w:val="0"/>
      </w:pPr>
      <w:r w:rsidRPr="00BA14E9">
        <w:t>Standard business regulation, reporting, corporate governance and tax.</w:t>
      </w:r>
    </w:p>
    <w:p w14:paraId="5F580A94" w14:textId="6D0A7C37" w:rsidR="00F455A2" w:rsidRPr="00BA14E9" w:rsidRDefault="00212F07" w:rsidP="00EA6EBC">
      <w:pPr>
        <w:pStyle w:val="Heading2"/>
      </w:pPr>
      <w:bookmarkStart w:id="23" w:name="_Toc222925476"/>
      <w:r>
        <w:t>Relevance of hydrogen properties to regulatory compliance</w:t>
      </w:r>
      <w:bookmarkEnd w:id="23"/>
    </w:p>
    <w:p w14:paraId="4F9AC9F9" w14:textId="63052389" w:rsidR="00F455A2" w:rsidRPr="00BA14E9" w:rsidRDefault="00F455A2" w:rsidP="00F455A2">
      <w:r w:rsidRPr="00BA14E9">
        <w:t xml:space="preserve">Hydrogen has some unique properties and characteristics that </w:t>
      </w:r>
      <w:r w:rsidR="002D7EC2">
        <w:t>can affect both an assessment of the laws that apply to hydrogen pipelines as well as requirements to comply with such laws</w:t>
      </w:r>
      <w:r w:rsidR="00F30893" w:rsidRPr="00BA14E9">
        <w:t>.</w:t>
      </w:r>
      <w:r w:rsidRPr="00BA14E9">
        <w:t xml:space="preserve"> </w:t>
      </w:r>
      <w:r w:rsidR="002D7EC2">
        <w:t>A non-exhaustive list of key</w:t>
      </w:r>
      <w:r w:rsidR="00B97A22">
        <w:t xml:space="preserve"> properties </w:t>
      </w:r>
      <w:r w:rsidR="002F2E9C">
        <w:t>is</w:t>
      </w:r>
      <w:r w:rsidRPr="00BA14E9">
        <w:t xml:space="preserve"> summarised in </w:t>
      </w:r>
      <w:r w:rsidR="00680A02" w:rsidRPr="00F27100">
        <w:t>Annexure 1, T</w:t>
      </w:r>
      <w:r w:rsidRPr="00F27100">
        <w:t>able 1</w:t>
      </w:r>
      <w:r w:rsidRPr="004F2A71">
        <w:t>.</w:t>
      </w:r>
      <w:r w:rsidR="00613FC0" w:rsidRPr="00F27100">
        <w:t>1</w:t>
      </w:r>
      <w:r w:rsidR="006211F7" w:rsidRPr="00F27100">
        <w:t xml:space="preserve"> </w:t>
      </w:r>
      <w:r w:rsidR="001B578B" w:rsidRPr="00F27100">
        <w:t xml:space="preserve">and Table </w:t>
      </w:r>
      <w:r w:rsidRPr="00F27100" w:rsidDel="00613FC0">
        <w:t>1</w:t>
      </w:r>
      <w:r w:rsidRPr="00F27100">
        <w:t>.</w:t>
      </w:r>
      <w:r w:rsidR="00481E72" w:rsidRPr="00F27100">
        <w:t>2</w:t>
      </w:r>
      <w:r w:rsidRPr="00BA14E9">
        <w:rPr>
          <w:bCs/>
        </w:rPr>
        <w:t xml:space="preserve">. </w:t>
      </w:r>
      <w:r w:rsidRPr="00BA14E9">
        <w:t>Understanding the relevant properties and characteristics is necessary to:</w:t>
      </w:r>
    </w:p>
    <w:p w14:paraId="0043391E" w14:textId="77777777" w:rsidR="00F455A2" w:rsidRPr="00BA14E9" w:rsidRDefault="00F455A2" w:rsidP="00D33BE1">
      <w:pPr>
        <w:pStyle w:val="ListParagraph"/>
        <w:numPr>
          <w:ilvl w:val="0"/>
          <w:numId w:val="48"/>
        </w:numPr>
      </w:pPr>
      <w:r w:rsidRPr="00BA14E9">
        <w:t>determine which laws apply to hydrogen pipelines</w:t>
      </w:r>
    </w:p>
    <w:p w14:paraId="2DF2D757" w14:textId="77777777" w:rsidR="00F455A2" w:rsidRPr="00BA14E9" w:rsidRDefault="00F455A2" w:rsidP="606C9B12">
      <w:pPr>
        <w:ind w:left="720"/>
        <w:rPr>
          <w:i/>
        </w:rPr>
      </w:pPr>
      <w:r w:rsidRPr="00BA14E9">
        <w:rPr>
          <w:i/>
        </w:rPr>
        <w:t>For example, some laws require interpreting relevant definitions where hydrogen is captured by reference to its flammability or other characteristics, or by reference to external documentation such as the Australian Dangerous Goods Code or the Globally Harmonized System of Classification and Labelling of Chemicals (GHS).</w:t>
      </w:r>
    </w:p>
    <w:p w14:paraId="583BFB39" w14:textId="77777777" w:rsidR="00F455A2" w:rsidRPr="00BA14E9" w:rsidRDefault="00F455A2" w:rsidP="00F455A2">
      <w:pPr>
        <w:pStyle w:val="ListParagraph"/>
        <w:ind w:left="771"/>
      </w:pPr>
    </w:p>
    <w:p w14:paraId="1021A109" w14:textId="77777777" w:rsidR="00F455A2" w:rsidRPr="00BA14E9" w:rsidRDefault="00F455A2" w:rsidP="00D33BE1">
      <w:pPr>
        <w:pStyle w:val="ListParagraph"/>
        <w:numPr>
          <w:ilvl w:val="0"/>
          <w:numId w:val="48"/>
        </w:numPr>
      </w:pPr>
      <w:r w:rsidRPr="00BA14E9">
        <w:t xml:space="preserve">assess how hydrogen will behave differently from materials in other existing industries used as an analogy or comparison for determining compliance. With limited operational precedent or case law for hydrogen pipelines, comparisons may be drawn from natural gas or other hazardous chemical industries. </w:t>
      </w:r>
      <w:r w:rsidRPr="00BA14E9">
        <w:rPr>
          <w:rFonts w:cs="Calibri"/>
          <w:szCs w:val="24"/>
        </w:rPr>
        <w:t>Hydrogen behaves differently from other industrial gases, and these differences directly influence how statutory duties are understood and applied.</w:t>
      </w:r>
    </w:p>
    <w:p w14:paraId="752B9C40" w14:textId="77777777" w:rsidR="00F455A2" w:rsidRPr="00BA14E9" w:rsidRDefault="00F455A2" w:rsidP="00F455A2">
      <w:pPr>
        <w:pStyle w:val="ListParagraph"/>
        <w:ind w:left="771"/>
      </w:pPr>
    </w:p>
    <w:p w14:paraId="2516361E" w14:textId="5A8F601A" w:rsidR="00F455A2" w:rsidRPr="00BA14E9" w:rsidRDefault="00F455A2" w:rsidP="606C9B12">
      <w:pPr>
        <w:spacing w:line="278" w:lineRule="auto"/>
        <w:ind w:left="720"/>
        <w:rPr>
          <w:rFonts w:cs="Calibri"/>
          <w:i/>
          <w:iCs/>
          <w:szCs w:val="24"/>
        </w:rPr>
      </w:pPr>
      <w:r w:rsidRPr="00BA14E9">
        <w:rPr>
          <w:rFonts w:cs="Calibri"/>
          <w:i/>
          <w:iCs/>
          <w:szCs w:val="24"/>
        </w:rPr>
        <w:t>For example, hydrogen’s high permeability and low ignition energy challenge conventional containment and ventilation standards. When interpreting what constitutes compliance</w:t>
      </w:r>
      <w:r w:rsidR="00AE7031">
        <w:rPr>
          <w:rFonts w:cs="Calibri"/>
          <w:i/>
          <w:iCs/>
          <w:szCs w:val="24"/>
        </w:rPr>
        <w:t>,</w:t>
      </w:r>
      <w:r w:rsidRPr="00BA14E9">
        <w:rPr>
          <w:rFonts w:cs="Calibri"/>
          <w:i/>
          <w:iCs/>
          <w:szCs w:val="24"/>
        </w:rPr>
        <w:t xml:space="preserve"> regulators and duty holders must account for hydrogen’s specific tendency to leak, its rapid dispersion, and its </w:t>
      </w:r>
      <w:r w:rsidR="001A6255">
        <w:rPr>
          <w:rFonts w:cs="Calibri"/>
          <w:i/>
          <w:iCs/>
          <w:szCs w:val="24"/>
        </w:rPr>
        <w:t xml:space="preserve">potential to impact </w:t>
      </w:r>
      <w:r w:rsidR="009E359C">
        <w:rPr>
          <w:rFonts w:cs="Calibri"/>
          <w:i/>
          <w:iCs/>
          <w:szCs w:val="24"/>
        </w:rPr>
        <w:t>integrity of metal</w:t>
      </w:r>
      <w:r w:rsidRPr="00BA14E9">
        <w:rPr>
          <w:rFonts w:cs="Calibri"/>
          <w:i/>
          <w:iCs/>
          <w:szCs w:val="24"/>
        </w:rPr>
        <w:t xml:space="preserve">. </w:t>
      </w:r>
      <w:r w:rsidRPr="00BA14E9">
        <w:rPr>
          <w:rFonts w:cs="Calibri"/>
          <w:i/>
          <w:iCs/>
        </w:rPr>
        <w:t>These</w:t>
      </w:r>
      <w:r w:rsidRPr="00BA14E9">
        <w:rPr>
          <w:rFonts w:cs="Calibri"/>
          <w:i/>
          <w:iCs/>
          <w:szCs w:val="24"/>
        </w:rPr>
        <w:t xml:space="preserve"> characteristics shape the practical meaning of legal terms and determine what constitutes compliance in context.</w:t>
      </w:r>
    </w:p>
    <w:p w14:paraId="6026E1E8" w14:textId="2B95C5AE" w:rsidR="00F455A2" w:rsidRPr="00BA14E9" w:rsidRDefault="00F455A2" w:rsidP="00F455A2">
      <w:r w:rsidRPr="00BA14E9">
        <w:t xml:space="preserve">Further, many laws are risk or principles based and understanding hydrogen properties and characteristics supports an assessment of the safe, reliable and compliant design, commissioning, operation and maintenance of </w:t>
      </w:r>
      <w:r w:rsidR="00E0300A" w:rsidRPr="00BA14E9">
        <w:t>hydrogen pipelines</w:t>
      </w:r>
      <w:r w:rsidRPr="00BA14E9">
        <w:t xml:space="preserve">. </w:t>
      </w:r>
    </w:p>
    <w:p w14:paraId="4EB56649" w14:textId="3647E78E" w:rsidR="00F455A2" w:rsidRPr="00BA14E9" w:rsidRDefault="00F455A2" w:rsidP="606C9B12">
      <w:pPr>
        <w:spacing w:line="278" w:lineRule="auto"/>
        <w:rPr>
          <w:rFonts w:cs="Calibri"/>
          <w:szCs w:val="24"/>
        </w:rPr>
      </w:pPr>
      <w:r w:rsidRPr="00BA14E9">
        <w:rPr>
          <w:rFonts w:cs="Calibri"/>
          <w:szCs w:val="24"/>
        </w:rPr>
        <w:t xml:space="preserve">In jurisdictions </w:t>
      </w:r>
      <w:r w:rsidRPr="00BA14E9">
        <w:rPr>
          <w:rFonts w:cs="Calibri"/>
        </w:rPr>
        <w:t xml:space="preserve">with </w:t>
      </w:r>
      <w:r w:rsidRPr="00BA14E9">
        <w:rPr>
          <w:rFonts w:cs="Calibri"/>
          <w:szCs w:val="24"/>
        </w:rPr>
        <w:t xml:space="preserve">risk-based or principles-based legislation, statutory interpretation often hinges on understanding the technical realities of the subject matter. When laws use broad terms like “reasonably practicable”, “safe design”, or “hazardous substance”, their meaning cannot be divorced from the physical and chemical context in which they apply. </w:t>
      </w:r>
      <w:r w:rsidRPr="00BA14E9">
        <w:rPr>
          <w:rFonts w:cs="Calibri"/>
        </w:rPr>
        <w:t>For hydrogen</w:t>
      </w:r>
      <w:r w:rsidRPr="00BA14E9">
        <w:rPr>
          <w:rFonts w:cs="Calibri"/>
          <w:szCs w:val="24"/>
        </w:rPr>
        <w:t>, this means that legal obligations must be interpreted through the lens of hydrogen’s unique properties such as its size and mass.</w:t>
      </w:r>
    </w:p>
    <w:p w14:paraId="2021D2AB" w14:textId="39CAD1BF" w:rsidR="00F455A2" w:rsidRPr="00BA14E9" w:rsidRDefault="00F455A2" w:rsidP="4D2AA2B8">
      <w:pPr>
        <w:spacing w:line="278" w:lineRule="auto"/>
        <w:rPr>
          <w:rFonts w:cs="Calibri"/>
        </w:rPr>
      </w:pPr>
      <w:r w:rsidRPr="00BA14E9">
        <w:rPr>
          <w:rFonts w:cs="Calibri"/>
        </w:rPr>
        <w:lastRenderedPageBreak/>
        <w:t xml:space="preserve">Ultimately, statutory interpretation in hydrogen regulation is not a purely legal exercise, it is also a technical one. The law requires that duty holders assess and manage risks based on the nature of the substance involved. Without a clear grasp of hydrogen’s behaviour, interpretations of safety obligations risk being overly simplistic or inadequate. A scientifically informed approach ensures that hydrogen </w:t>
      </w:r>
      <w:r w:rsidR="00337380" w:rsidRPr="00BA14E9">
        <w:rPr>
          <w:rFonts w:cs="Calibri"/>
        </w:rPr>
        <w:t>pipelines</w:t>
      </w:r>
      <w:r w:rsidRPr="00BA14E9">
        <w:rPr>
          <w:rFonts w:cs="Calibri"/>
        </w:rPr>
        <w:t xml:space="preserve"> are not only legally compliant but also aligned with the intent and purpose of the law.</w:t>
      </w:r>
    </w:p>
    <w:p w14:paraId="4C9B9CEC" w14:textId="20D0DB2C" w:rsidR="00EA0AA6" w:rsidRPr="00BA14E9" w:rsidRDefault="00EA0AA6" w:rsidP="00EA0AA6">
      <w:pPr>
        <w:rPr>
          <w:highlight w:val="green"/>
        </w:rPr>
      </w:pPr>
      <w:r w:rsidRPr="00BA14E9">
        <w:t>Further information on hydrogen pipeline technical matters can be found in one or more of the following:</w:t>
      </w:r>
    </w:p>
    <w:p w14:paraId="08DFE96C" w14:textId="77777777" w:rsidR="00EA0AA6" w:rsidRPr="00BA14E9" w:rsidRDefault="00EA0AA6" w:rsidP="00F27100">
      <w:pPr>
        <w:pStyle w:val="ListParagraph"/>
        <w:numPr>
          <w:ilvl w:val="0"/>
          <w:numId w:val="22"/>
        </w:numPr>
        <w:contextualSpacing w:val="0"/>
      </w:pPr>
      <w:r w:rsidRPr="00BA14E9">
        <w:t xml:space="preserve">The Australian Pipelines and Gas Association in the Hydrogen Pipeline Systems Code of Practice (APGA Code of Practice) </w:t>
      </w:r>
    </w:p>
    <w:p w14:paraId="110A85FD" w14:textId="77777777" w:rsidR="00EA0AA6" w:rsidRPr="00BA14E9" w:rsidRDefault="00EA0AA6" w:rsidP="00F27100">
      <w:pPr>
        <w:pStyle w:val="ListParagraph"/>
        <w:numPr>
          <w:ilvl w:val="0"/>
          <w:numId w:val="22"/>
        </w:numPr>
        <w:contextualSpacing w:val="0"/>
      </w:pPr>
      <w:r w:rsidRPr="00BA14E9">
        <w:t xml:space="preserve">Relevant Australian and international standards, in particular the AS 2885 </w:t>
      </w:r>
      <w:r w:rsidRPr="00BA14E9">
        <w:rPr>
          <w:rFonts w:eastAsia="Calibri" w:cs="Calibri"/>
        </w:rPr>
        <w:t>Series</w:t>
      </w:r>
    </w:p>
    <w:p w14:paraId="5BC305C3" w14:textId="2F1F9CFC" w:rsidR="00EA0AA6" w:rsidRPr="00BA14E9" w:rsidRDefault="00EA0AA6" w:rsidP="00F27100">
      <w:pPr>
        <w:pStyle w:val="ListParagraph"/>
        <w:numPr>
          <w:ilvl w:val="0"/>
          <w:numId w:val="22"/>
        </w:numPr>
        <w:contextualSpacing w:val="0"/>
      </w:pPr>
      <w:r w:rsidRPr="00BA14E9">
        <w:rPr>
          <w:rFonts w:eastAsia="Calibri" w:cs="Calibri"/>
        </w:rPr>
        <w:t xml:space="preserve">National Hydrogen Regulatory Guidebook: Hydrogen </w:t>
      </w:r>
      <w:proofErr w:type="gramStart"/>
      <w:r w:rsidRPr="00BA14E9">
        <w:rPr>
          <w:rFonts w:eastAsia="Calibri" w:cs="Calibri"/>
        </w:rPr>
        <w:t>Production</w:t>
      </w:r>
      <w:r w:rsidR="00641FF3">
        <w:rPr>
          <w:rFonts w:eastAsia="Calibri" w:cs="Calibri"/>
        </w:rPr>
        <w:t>(</w:t>
      </w:r>
      <w:proofErr w:type="gramEnd"/>
      <w:r w:rsidR="00641FF3">
        <w:rPr>
          <w:rFonts w:eastAsia="Calibri" w:cs="Calibri"/>
        </w:rPr>
        <w:t>referred to as the Hydrogen Production Guidebook)</w:t>
      </w:r>
    </w:p>
    <w:p w14:paraId="63C0F549" w14:textId="77777777" w:rsidR="00EA0AA6" w:rsidRPr="00BA14E9" w:rsidRDefault="00EA0AA6" w:rsidP="00F27100">
      <w:pPr>
        <w:pStyle w:val="ListParagraph"/>
        <w:numPr>
          <w:ilvl w:val="0"/>
          <w:numId w:val="22"/>
        </w:numPr>
        <w:contextualSpacing w:val="0"/>
      </w:pPr>
      <w:r w:rsidRPr="00BA14E9">
        <w:rPr>
          <w:rFonts w:eastAsia="Calibri" w:cs="Calibri"/>
        </w:rPr>
        <w:t>National Hydrogen Regulatory Guidebook: Refuelling Facilities</w:t>
      </w:r>
    </w:p>
    <w:p w14:paraId="7C8EDD7D" w14:textId="4DF1977C" w:rsidR="00EA0AA6" w:rsidRPr="00BA14E9" w:rsidRDefault="00EA0AA6" w:rsidP="00F27100">
      <w:pPr>
        <w:pStyle w:val="ListParagraph"/>
        <w:numPr>
          <w:ilvl w:val="0"/>
          <w:numId w:val="22"/>
        </w:numPr>
        <w:contextualSpacing w:val="0"/>
        <w:rPr>
          <w:rFonts w:eastAsia="Calibri" w:cs="Calibri"/>
        </w:rPr>
      </w:pPr>
      <w:r w:rsidRPr="00BA14E9">
        <w:rPr>
          <w:rFonts w:eastAsia="Calibri" w:cs="Calibri"/>
        </w:rPr>
        <w:t>Regulator guidance for example</w:t>
      </w:r>
      <w:r w:rsidR="00FF0BEF" w:rsidRPr="00BA14E9">
        <w:rPr>
          <w:rFonts w:eastAsia="Calibri" w:cs="Calibri"/>
        </w:rPr>
        <w:t>,</w:t>
      </w:r>
      <w:r w:rsidRPr="00BA14E9">
        <w:rPr>
          <w:rFonts w:eastAsia="Calibri" w:cs="Calibri"/>
        </w:rPr>
        <w:t xml:space="preserve"> the Queensland Hydrogen Safety Code of Practice, the NSW hydrogen regulatory guide and in WA the Dangerous Goods Safety Guide Storage, handling and production of hydrogen.</w:t>
      </w:r>
    </w:p>
    <w:p w14:paraId="1A8A41D1" w14:textId="2166A38A" w:rsidR="00F455A2" w:rsidRPr="00BA14E9" w:rsidDel="00EA0AA6" w:rsidRDefault="00EA0AA6" w:rsidP="003150E7">
      <w:pPr>
        <w:spacing w:after="80"/>
      </w:pPr>
      <w:r w:rsidRPr="00BA14E9">
        <w:t>Where a Commonwealth, or state or territory entity has published guidance on specific hydrogen matters especially pipelines, proponents should also refer to those guides</w:t>
      </w:r>
      <w:r w:rsidRPr="00BA14E9">
        <w:rPr>
          <w:rStyle w:val="FootnoteReference"/>
        </w:rPr>
        <w:footnoteReference w:id="3"/>
      </w:r>
      <w:r w:rsidRPr="00BA14E9">
        <w:t xml:space="preserve"> (see also Table 2.4 of Annexure 2). </w:t>
      </w:r>
      <w:r w:rsidR="000A3590" w:rsidRPr="00BA14E9">
        <w:t>Some guidance is only available from the relevant jurisdictions pipeline regulator</w:t>
      </w:r>
      <w:r w:rsidR="00D075D4" w:rsidRPr="00BA14E9">
        <w:t xml:space="preserve"> </w:t>
      </w:r>
      <w:r w:rsidR="000A3590" w:rsidRPr="00BA14E9">
        <w:t>and is not necessarily publicly available</w:t>
      </w:r>
      <w:r w:rsidR="003150E7" w:rsidRPr="00BA14E9">
        <w:t xml:space="preserve">. </w:t>
      </w:r>
      <w:bookmarkStart w:id="24" w:name="_Toc215654341"/>
      <w:bookmarkStart w:id="25" w:name="_Toc215810025"/>
      <w:bookmarkEnd w:id="24"/>
      <w:bookmarkEnd w:id="25"/>
    </w:p>
    <w:p w14:paraId="303FDC56" w14:textId="3E37F31D" w:rsidR="000E3427" w:rsidRPr="00BA14E9" w:rsidRDefault="00FF6CE6" w:rsidP="000E3427">
      <w:pPr>
        <w:rPr>
          <w:rFonts w:cs="Calibri"/>
        </w:rPr>
      </w:pPr>
      <w:r w:rsidRPr="00BA14E9">
        <w:rPr>
          <w:rFonts w:cs="Calibri"/>
        </w:rPr>
        <w:t>This</w:t>
      </w:r>
      <w:r w:rsidR="000E3427" w:rsidRPr="00BA14E9">
        <w:rPr>
          <w:rFonts w:cs="Calibri"/>
        </w:rPr>
        <w:t xml:space="preserve"> Guidebook is limited in respect of the geographical area it considers. Specifically, the focus of </w:t>
      </w:r>
      <w:r w:rsidR="00FC1AF8">
        <w:rPr>
          <w:rFonts w:cs="Calibri"/>
        </w:rPr>
        <w:t>this</w:t>
      </w:r>
      <w:r w:rsidR="00FC1AF8" w:rsidRPr="00BA14E9">
        <w:rPr>
          <w:rFonts w:cs="Calibri"/>
        </w:rPr>
        <w:t xml:space="preserve"> </w:t>
      </w:r>
      <w:r w:rsidR="000E3427" w:rsidRPr="00BA14E9">
        <w:rPr>
          <w:rFonts w:cs="Calibri"/>
        </w:rPr>
        <w:t xml:space="preserve">Guidebook is mainland Australia, where both Commonwealth and state or territory regulation applies. </w:t>
      </w:r>
    </w:p>
    <w:p w14:paraId="1CF4911B" w14:textId="72DECC43" w:rsidR="000E3427" w:rsidRPr="00BA14E9" w:rsidRDefault="00FC1AF8" w:rsidP="000E3427">
      <w:r>
        <w:rPr>
          <w:rFonts w:cs="Calibri"/>
        </w:rPr>
        <w:t>This</w:t>
      </w:r>
      <w:r w:rsidR="000E3427" w:rsidRPr="00BA14E9">
        <w:rPr>
          <w:rFonts w:cs="Calibri"/>
        </w:rPr>
        <w:t xml:space="preserve"> Guidebook does not </w:t>
      </w:r>
      <w:r w:rsidR="000E3427" w:rsidRPr="00BA14E9">
        <w:t>consider Commonwealth, state or territory waters, or Australia’s external territories, such as:</w:t>
      </w:r>
    </w:p>
    <w:p w14:paraId="6D6F85AF" w14:textId="77777777" w:rsidR="000E3427" w:rsidRPr="00BA14E9" w:rsidRDefault="000E3427" w:rsidP="00F27100">
      <w:pPr>
        <w:numPr>
          <w:ilvl w:val="0"/>
          <w:numId w:val="32"/>
        </w:numPr>
        <w:spacing w:line="278" w:lineRule="auto"/>
        <w:ind w:left="714" w:hanging="357"/>
        <w:rPr>
          <w:rFonts w:cs="Calibri"/>
        </w:rPr>
      </w:pPr>
      <w:r w:rsidRPr="00BA14E9">
        <w:rPr>
          <w:rFonts w:cs="Calibri"/>
        </w:rPr>
        <w:t>Ashmore and Cartier Islands</w:t>
      </w:r>
    </w:p>
    <w:p w14:paraId="6A687259" w14:textId="77777777" w:rsidR="000E3427" w:rsidRPr="00BA14E9" w:rsidRDefault="000E3427" w:rsidP="00F27100">
      <w:pPr>
        <w:numPr>
          <w:ilvl w:val="0"/>
          <w:numId w:val="32"/>
        </w:numPr>
        <w:spacing w:line="278" w:lineRule="auto"/>
        <w:ind w:left="714" w:hanging="357"/>
        <w:rPr>
          <w:rFonts w:cs="Calibri"/>
        </w:rPr>
      </w:pPr>
      <w:r w:rsidRPr="00BA14E9">
        <w:rPr>
          <w:rFonts w:cs="Calibri"/>
        </w:rPr>
        <w:t>Australian Antarctic Territory</w:t>
      </w:r>
    </w:p>
    <w:p w14:paraId="43F7B033" w14:textId="77777777" w:rsidR="000E3427" w:rsidRPr="00BA14E9" w:rsidRDefault="000E3427" w:rsidP="00F27100">
      <w:pPr>
        <w:numPr>
          <w:ilvl w:val="0"/>
          <w:numId w:val="32"/>
        </w:numPr>
        <w:spacing w:line="278" w:lineRule="auto"/>
        <w:ind w:left="714" w:hanging="357"/>
        <w:rPr>
          <w:rFonts w:cs="Calibri"/>
        </w:rPr>
      </w:pPr>
      <w:r w:rsidRPr="00BA14E9">
        <w:rPr>
          <w:rFonts w:cs="Calibri"/>
        </w:rPr>
        <w:t>Christmas Island</w:t>
      </w:r>
    </w:p>
    <w:p w14:paraId="102F75A3" w14:textId="77777777" w:rsidR="000E3427" w:rsidRPr="00BA14E9" w:rsidRDefault="000E3427" w:rsidP="00F27100">
      <w:pPr>
        <w:numPr>
          <w:ilvl w:val="0"/>
          <w:numId w:val="32"/>
        </w:numPr>
        <w:spacing w:line="278" w:lineRule="auto"/>
        <w:ind w:left="714" w:hanging="357"/>
        <w:rPr>
          <w:rFonts w:cs="Calibri"/>
        </w:rPr>
      </w:pPr>
      <w:r w:rsidRPr="00BA14E9">
        <w:rPr>
          <w:rFonts w:cs="Calibri"/>
        </w:rPr>
        <w:t>Cocos (Keeling) Islands</w:t>
      </w:r>
    </w:p>
    <w:p w14:paraId="07C0B148" w14:textId="77777777" w:rsidR="000E3427" w:rsidRPr="00BA14E9" w:rsidRDefault="000E3427" w:rsidP="00F27100">
      <w:pPr>
        <w:numPr>
          <w:ilvl w:val="0"/>
          <w:numId w:val="32"/>
        </w:numPr>
        <w:spacing w:line="278" w:lineRule="auto"/>
        <w:ind w:left="714" w:hanging="357"/>
        <w:rPr>
          <w:rFonts w:cs="Calibri"/>
        </w:rPr>
      </w:pPr>
      <w:r w:rsidRPr="00BA14E9">
        <w:rPr>
          <w:rFonts w:cs="Calibri"/>
        </w:rPr>
        <w:t>Coral Sea Islands</w:t>
      </w:r>
    </w:p>
    <w:p w14:paraId="065DBA14" w14:textId="77777777" w:rsidR="00762B75" w:rsidRPr="00BA14E9" w:rsidRDefault="000E3427" w:rsidP="00F27100">
      <w:pPr>
        <w:numPr>
          <w:ilvl w:val="0"/>
          <w:numId w:val="32"/>
        </w:numPr>
        <w:spacing w:line="278" w:lineRule="auto"/>
        <w:ind w:left="714" w:hanging="357"/>
        <w:rPr>
          <w:rFonts w:cs="Calibri"/>
        </w:rPr>
      </w:pPr>
      <w:r w:rsidRPr="00BA14E9">
        <w:rPr>
          <w:rFonts w:cs="Calibri"/>
        </w:rPr>
        <w:lastRenderedPageBreak/>
        <w:t>Heard Island &amp; McDonald Islands</w:t>
      </w:r>
    </w:p>
    <w:p w14:paraId="5D35CAA1" w14:textId="7131BBA4" w:rsidR="000E3427" w:rsidRPr="00BA14E9" w:rsidRDefault="000E3427" w:rsidP="00F27100">
      <w:pPr>
        <w:numPr>
          <w:ilvl w:val="0"/>
          <w:numId w:val="32"/>
        </w:numPr>
        <w:spacing w:line="278" w:lineRule="auto"/>
        <w:ind w:left="714" w:hanging="357"/>
      </w:pPr>
      <w:r w:rsidRPr="00BA14E9">
        <w:rPr>
          <w:rFonts w:cs="Calibri"/>
        </w:rPr>
        <w:t>Norfolk Island</w:t>
      </w:r>
      <w:r w:rsidR="00762B75" w:rsidRPr="00BA14E9">
        <w:rPr>
          <w:rFonts w:cs="Calibri"/>
        </w:rPr>
        <w:t>.</w:t>
      </w:r>
    </w:p>
    <w:p w14:paraId="09E359CE" w14:textId="67D2A63C" w:rsidR="007007DD" w:rsidRPr="00BA14E9" w:rsidRDefault="008B1A37" w:rsidP="00C92404">
      <w:pPr>
        <w:pStyle w:val="Heading2"/>
      </w:pPr>
      <w:bookmarkStart w:id="26" w:name="_Toc211250155"/>
      <w:bookmarkStart w:id="27" w:name="_Toc222925477"/>
      <w:r w:rsidRPr="00BA14E9">
        <w:t>First Nations</w:t>
      </w:r>
      <w:bookmarkEnd w:id="26"/>
      <w:bookmarkEnd w:id="27"/>
    </w:p>
    <w:p w14:paraId="792AB302" w14:textId="77777777" w:rsidR="00CE153F" w:rsidRPr="00BA14E9" w:rsidRDefault="00CE153F" w:rsidP="00CE153F">
      <w:pPr>
        <w:rPr>
          <w:rFonts w:cs="Calibri"/>
        </w:rPr>
      </w:pPr>
      <w:r w:rsidRPr="00BA14E9">
        <w:rPr>
          <w:rFonts w:cs="Calibri"/>
        </w:rPr>
        <w:t xml:space="preserve">As the hydrogen industry scales up, it is likely many </w:t>
      </w:r>
      <w:proofErr w:type="gramStart"/>
      <w:r w:rsidRPr="00BA14E9">
        <w:rPr>
          <w:rFonts w:cs="Calibri"/>
        </w:rPr>
        <w:t>hydrogen</w:t>
      </w:r>
      <w:proofErr w:type="gramEnd"/>
      <w:r w:rsidRPr="00BA14E9">
        <w:rPr>
          <w:rFonts w:cs="Calibri"/>
        </w:rPr>
        <w:t xml:space="preserve"> and associated renewable energy projects will need to access First Nations lands and waters for development. First Nations peoples are stewards and custodians of Country, including the land, waters, skies and seas. This connection is ongoing and enduring. Strong, respectful, and genuine partnerships with First Nations people are critical to progressing the renewable energy transition and achieving better outcomes. </w:t>
      </w:r>
    </w:p>
    <w:p w14:paraId="76224803" w14:textId="77777777" w:rsidR="00CE153F" w:rsidRPr="00BA14E9" w:rsidRDefault="00CE153F" w:rsidP="00CE153F">
      <w:pPr>
        <w:rPr>
          <w:rFonts w:cs="Calibri"/>
        </w:rPr>
      </w:pPr>
      <w:r w:rsidRPr="00BA14E9">
        <w:t>Australia's Indigenous Land and Forest Estate (2024)</w:t>
      </w:r>
      <w:r w:rsidRPr="00BA14E9">
        <w:rPr>
          <w:rFonts w:cs="Calibri"/>
        </w:rPr>
        <w:t xml:space="preserve"> (Indigenous Estate) dataset shows that a total of:</w:t>
      </w:r>
    </w:p>
    <w:p w14:paraId="1C3197B3" w14:textId="77777777" w:rsidR="00CE153F" w:rsidRPr="00BA14E9" w:rsidRDefault="00CE153F" w:rsidP="00D33BE1">
      <w:pPr>
        <w:pStyle w:val="ListParagraph"/>
        <w:numPr>
          <w:ilvl w:val="0"/>
          <w:numId w:val="12"/>
        </w:numPr>
        <w:spacing w:after="80"/>
        <w:ind w:left="714" w:hanging="357"/>
        <w:contextualSpacing w:val="0"/>
        <w:rPr>
          <w:rFonts w:cs="Calibri"/>
        </w:rPr>
      </w:pPr>
      <w:r w:rsidRPr="00BA14E9">
        <w:rPr>
          <w:rFonts w:cs="Calibri"/>
        </w:rPr>
        <w:t>154 million hectares of land in Australia (20%) is First Nations owned</w:t>
      </w:r>
    </w:p>
    <w:p w14:paraId="35956434" w14:textId="77777777" w:rsidR="00CE153F" w:rsidRPr="00BA14E9" w:rsidRDefault="00CE153F" w:rsidP="00D33BE1">
      <w:pPr>
        <w:pStyle w:val="ListParagraph"/>
        <w:numPr>
          <w:ilvl w:val="0"/>
          <w:numId w:val="12"/>
        </w:numPr>
        <w:spacing w:after="80"/>
        <w:ind w:left="714" w:hanging="357"/>
        <w:contextualSpacing w:val="0"/>
        <w:rPr>
          <w:rFonts w:cs="Calibri"/>
        </w:rPr>
      </w:pPr>
      <w:r w:rsidRPr="00BA14E9">
        <w:rPr>
          <w:rFonts w:cs="Calibri"/>
        </w:rPr>
        <w:t>192 million hectares of land in Australia (25%) is under some form of First Nations management, comprising 156 million hectares that is First Nations managed and 36 million hectares that is First Nations co-managed, and</w:t>
      </w:r>
    </w:p>
    <w:p w14:paraId="3F31DEE1" w14:textId="77777777" w:rsidR="00CE153F" w:rsidRPr="00BA14E9" w:rsidRDefault="00CE153F" w:rsidP="00D33BE1">
      <w:pPr>
        <w:pStyle w:val="ListParagraph"/>
        <w:numPr>
          <w:ilvl w:val="0"/>
          <w:numId w:val="12"/>
        </w:numPr>
        <w:rPr>
          <w:rFonts w:cs="Calibri"/>
        </w:rPr>
      </w:pPr>
      <w:r w:rsidRPr="00BA14E9">
        <w:rPr>
          <w:rFonts w:cs="Calibri"/>
        </w:rPr>
        <w:t>443 million hectares of land in Australia (58%) is subject to other special rights for First Nations peoples and communities.</w:t>
      </w:r>
    </w:p>
    <w:p w14:paraId="77403C38" w14:textId="496135B2" w:rsidR="00CE153F" w:rsidRPr="00BA14E9" w:rsidRDefault="00CE153F" w:rsidP="00CE153F">
      <w:pPr>
        <w:rPr>
          <w:rFonts w:cs="Calibri"/>
        </w:rPr>
      </w:pPr>
      <w:r w:rsidRPr="00BA14E9">
        <w:rPr>
          <w:rFonts w:cs="Calibri"/>
        </w:rPr>
        <w:t xml:space="preserve">In 2024, all Australian governments endorsed the </w:t>
      </w:r>
      <w:r w:rsidR="007B6AD6">
        <w:rPr>
          <w:rFonts w:cs="Calibri"/>
        </w:rPr>
        <w:t xml:space="preserve">vision, goals and objectives of the </w:t>
      </w:r>
      <w:r w:rsidRPr="00BA14E9">
        <w:rPr>
          <w:rFonts w:cs="Calibri"/>
        </w:rPr>
        <w:t xml:space="preserve">First Nations Clean Energy Strategy </w:t>
      </w:r>
      <w:r w:rsidR="007B6AD6">
        <w:rPr>
          <w:rFonts w:cs="Calibri"/>
        </w:rPr>
        <w:t xml:space="preserve">2024-2030 </w:t>
      </w:r>
      <w:r w:rsidRPr="00BA14E9">
        <w:rPr>
          <w:rFonts w:cs="Calibri"/>
        </w:rPr>
        <w:t xml:space="preserve">(FNCES). This has been developed with extensive input from First Nations peoples. The FNCES provides a national clean energy framework for governments, industries and communities and is relevant to all types of clean energy, including renewable hydrogen. </w:t>
      </w:r>
    </w:p>
    <w:p w14:paraId="3E4596FB" w14:textId="1C2453B3" w:rsidR="00CE153F" w:rsidRPr="00BA14E9" w:rsidRDefault="00CE153F" w:rsidP="00CE153F">
      <w:pPr>
        <w:rPr>
          <w:rFonts w:cs="Calibri"/>
        </w:rPr>
      </w:pPr>
      <w:r w:rsidRPr="00BA14E9">
        <w:rPr>
          <w:rFonts w:cs="Calibri"/>
        </w:rPr>
        <w:t xml:space="preserve">The FNCES underscores the Australian Government’s commitment to providing opportunities for First Nations groups to </w:t>
      </w:r>
      <w:r w:rsidR="00D60B45">
        <w:rPr>
          <w:rFonts w:cs="Calibri"/>
        </w:rPr>
        <w:t xml:space="preserve">lead and </w:t>
      </w:r>
      <w:r w:rsidRPr="00BA14E9">
        <w:rPr>
          <w:rFonts w:cs="Calibri"/>
        </w:rPr>
        <w:t xml:space="preserve">participate in Australia’s clean energy transition and to make a positive difference to the lives of First Nations people and their communities. It reinforces the importance of proponents </w:t>
      </w:r>
      <w:r w:rsidR="00D60B45">
        <w:rPr>
          <w:rFonts w:cs="Calibri"/>
        </w:rPr>
        <w:t>working</w:t>
      </w:r>
      <w:r w:rsidR="00D60B45" w:rsidRPr="00BA14E9">
        <w:rPr>
          <w:rFonts w:cs="Calibri"/>
        </w:rPr>
        <w:t xml:space="preserve"> </w:t>
      </w:r>
      <w:r w:rsidRPr="00BA14E9">
        <w:rPr>
          <w:rFonts w:cs="Calibri"/>
        </w:rPr>
        <w:t>directly with First Nations peoples and communities to determine, and ideally co-design, appropriate engagement protocols</w:t>
      </w:r>
      <w:r w:rsidR="00D60B45">
        <w:rPr>
          <w:rFonts w:cs="Calibri"/>
        </w:rPr>
        <w:t>, benefit-sharing arrangements and economic partnerships</w:t>
      </w:r>
      <w:r w:rsidRPr="00BA14E9">
        <w:rPr>
          <w:rFonts w:cs="Calibri"/>
        </w:rPr>
        <w:t>.</w:t>
      </w:r>
    </w:p>
    <w:p w14:paraId="57DB2349" w14:textId="39A60BDF" w:rsidR="000226EF" w:rsidRPr="00BA14E9" w:rsidRDefault="00A44437" w:rsidP="606C9B12">
      <w:pPr>
        <w:rPr>
          <w:rFonts w:asciiTheme="minorHAnsi" w:hAnsiTheme="minorHAnsi"/>
        </w:rPr>
      </w:pPr>
      <w:r>
        <w:rPr>
          <w:rFonts w:cs="Calibri"/>
        </w:rPr>
        <w:t>P</w:t>
      </w:r>
      <w:r w:rsidRPr="00A44437">
        <w:rPr>
          <w:rFonts w:cs="Calibri"/>
        </w:rPr>
        <w:t>ipelines may cross the native title or cultural heritage interests of several groups of people and more than one state or territory legislative jurisdiction</w:t>
      </w:r>
      <w:r>
        <w:rPr>
          <w:rFonts w:cs="Calibri"/>
        </w:rPr>
        <w:t>.</w:t>
      </w:r>
      <w:r w:rsidRPr="00BA14E9">
        <w:t xml:space="preserve"> </w:t>
      </w:r>
      <w:r w:rsidR="000455F9" w:rsidRPr="00FA624B">
        <w:t>Engagement with First Nations people is required for the development of hydrogen pipelines to comply with legislative requirements regarding access to land (native title and other Aboriginal land rights) and cultural heritage protection.</w:t>
      </w:r>
      <w:r w:rsidR="007E4853">
        <w:t xml:space="preserve"> </w:t>
      </w:r>
      <w:r w:rsidR="00433C1A" w:rsidRPr="00433C1A">
        <w:t xml:space="preserve">Early engagement with Traditional Owners is culturally </w:t>
      </w:r>
      <w:r w:rsidR="007F07D7" w:rsidRPr="00433C1A">
        <w:t>appropriate and</w:t>
      </w:r>
      <w:r w:rsidR="00433C1A" w:rsidRPr="00433C1A">
        <w:t xml:space="preserve"> strongly encouraged in all cases. </w:t>
      </w:r>
      <w:r w:rsidR="007F07D7" w:rsidRPr="00BA14E9">
        <w:t>First Nations land rights</w:t>
      </w:r>
      <w:r w:rsidR="007F07D7">
        <w:t xml:space="preserve"> and cultural heritage</w:t>
      </w:r>
      <w:r w:rsidR="007F07D7" w:rsidRPr="00BA14E9">
        <w:t xml:space="preserve"> are recognised under a range of legislation across Australia.</w:t>
      </w:r>
      <w:r w:rsidR="007F07D7">
        <w:t xml:space="preserve"> </w:t>
      </w:r>
      <w:r w:rsidR="000226EF" w:rsidRPr="00BA14E9">
        <w:t>This includes:</w:t>
      </w:r>
    </w:p>
    <w:p w14:paraId="0CE59C09" w14:textId="77777777" w:rsidR="000226EF" w:rsidRPr="00BA14E9" w:rsidRDefault="000226EF" w:rsidP="000226EF">
      <w:r w:rsidRPr="00BA14E9">
        <w:rPr>
          <w:i/>
          <w:iCs/>
        </w:rPr>
        <w:t>Native Title Act 1993</w:t>
      </w:r>
      <w:r w:rsidRPr="00BA14E9">
        <w:t xml:space="preserve"> (</w:t>
      </w:r>
      <w:proofErr w:type="spellStart"/>
      <w:r w:rsidRPr="00BA14E9">
        <w:t>Cth</w:t>
      </w:r>
      <w:proofErr w:type="spellEnd"/>
      <w:r w:rsidRPr="00BA14E9">
        <w:t xml:space="preserve">): </w:t>
      </w:r>
    </w:p>
    <w:p w14:paraId="6878F588" w14:textId="01644E79" w:rsidR="006E3559" w:rsidRPr="00F27100" w:rsidRDefault="006E3559" w:rsidP="00484094">
      <w:pPr>
        <w:pStyle w:val="ListParagraph"/>
        <w:numPr>
          <w:ilvl w:val="0"/>
          <w:numId w:val="13"/>
        </w:numPr>
        <w:ind w:left="714" w:hanging="357"/>
        <w:contextualSpacing w:val="0"/>
        <w:rPr>
          <w:b/>
          <w:bCs/>
        </w:rPr>
      </w:pPr>
      <w:r w:rsidRPr="00BA14E9">
        <w:t xml:space="preserve">recognises that </w:t>
      </w:r>
      <w:r>
        <w:t xml:space="preserve">some </w:t>
      </w:r>
      <w:r w:rsidRPr="00BA14E9">
        <w:t xml:space="preserve">First Nations people have rights and interests </w:t>
      </w:r>
      <w:r>
        <w:t>to</w:t>
      </w:r>
      <w:r w:rsidRPr="00BA14E9">
        <w:t xml:space="preserve"> lands and waters through their traditional laws and customs</w:t>
      </w:r>
    </w:p>
    <w:p w14:paraId="6B4A7B6F" w14:textId="1A34E82B" w:rsidR="006E3559" w:rsidRPr="00484094" w:rsidRDefault="00484094" w:rsidP="00F27100">
      <w:pPr>
        <w:pStyle w:val="ListParagraph"/>
        <w:numPr>
          <w:ilvl w:val="0"/>
          <w:numId w:val="13"/>
        </w:numPr>
        <w:contextualSpacing w:val="0"/>
      </w:pPr>
      <w:r w:rsidRPr="00BA14E9">
        <w:lastRenderedPageBreak/>
        <w:t xml:space="preserve">establishes </w:t>
      </w:r>
      <w:r>
        <w:t xml:space="preserve">processes </w:t>
      </w:r>
      <w:r w:rsidRPr="00BA14E9">
        <w:t xml:space="preserve">for </w:t>
      </w:r>
      <w:r>
        <w:t xml:space="preserve">activities that might affect existing native title rights to be done validly, </w:t>
      </w:r>
      <w:r w:rsidRPr="009726C3">
        <w:t xml:space="preserve">ensuring fairness by requiring notification, negotiation (like the right to negotiate), or agreement with </w:t>
      </w:r>
      <w:r>
        <w:t>n</w:t>
      </w:r>
      <w:r w:rsidRPr="009726C3">
        <w:t xml:space="preserve">ative </w:t>
      </w:r>
      <w:r>
        <w:t>t</w:t>
      </w:r>
      <w:r w:rsidRPr="009726C3">
        <w:t xml:space="preserve">itle </w:t>
      </w:r>
      <w:r>
        <w:t>parties</w:t>
      </w:r>
      <w:r w:rsidRPr="009726C3">
        <w:t>.</w:t>
      </w:r>
    </w:p>
    <w:p w14:paraId="68AC2A94" w14:textId="77777777" w:rsidR="000226EF" w:rsidRPr="00BA14E9" w:rsidRDefault="000226EF" w:rsidP="000226EF">
      <w:r w:rsidRPr="00BA14E9">
        <w:t>Aboriginal land rights laws:</w:t>
      </w:r>
    </w:p>
    <w:p w14:paraId="2FEA6E2C" w14:textId="75EAC584" w:rsidR="000226EF" w:rsidRDefault="000226EF" w:rsidP="00D33BE1">
      <w:pPr>
        <w:pStyle w:val="ListParagraph"/>
        <w:numPr>
          <w:ilvl w:val="0"/>
          <w:numId w:val="14"/>
        </w:numPr>
      </w:pPr>
      <w:r w:rsidRPr="00BA14E9">
        <w:t xml:space="preserve">provides legal title in land to First Nations </w:t>
      </w:r>
      <w:r w:rsidR="00975F9A">
        <w:t>peoples</w:t>
      </w:r>
    </w:p>
    <w:p w14:paraId="21411026" w14:textId="77777777" w:rsidR="00E94812" w:rsidRPr="00F27100" w:rsidRDefault="00E94812" w:rsidP="00E94812">
      <w:r w:rsidRPr="00F27100">
        <w:t>Commonwealth environmental and heritage protection laws:</w:t>
      </w:r>
    </w:p>
    <w:p w14:paraId="5815525A" w14:textId="2DB6D145" w:rsidR="00E94812" w:rsidRPr="00F27100" w:rsidRDefault="00E94812" w:rsidP="00F27100">
      <w:pPr>
        <w:pStyle w:val="ListParagraph"/>
        <w:numPr>
          <w:ilvl w:val="0"/>
          <w:numId w:val="76"/>
        </w:numPr>
        <w:contextualSpacing w:val="0"/>
      </w:pPr>
      <w:r w:rsidRPr="00F27100">
        <w:rPr>
          <w:i/>
        </w:rPr>
        <w:t>The Environment Protection and Biodiversity Conservation Act 1999</w:t>
      </w:r>
      <w:r>
        <w:t xml:space="preserve"> </w:t>
      </w:r>
      <w:r w:rsidR="008B5E8B">
        <w:t>(</w:t>
      </w:r>
      <w:proofErr w:type="spellStart"/>
      <w:r w:rsidR="008B5E8B">
        <w:t>Cth</w:t>
      </w:r>
      <w:proofErr w:type="spellEnd"/>
      <w:r w:rsidR="008B5E8B">
        <w:t>)</w:t>
      </w:r>
      <w:r w:rsidRPr="00F27100">
        <w:t xml:space="preserve"> </w:t>
      </w:r>
      <w:proofErr w:type="gramStart"/>
      <w:r w:rsidRPr="00F27100">
        <w:t>protects</w:t>
      </w:r>
      <w:proofErr w:type="gramEnd"/>
      <w:r w:rsidRPr="00F27100">
        <w:t xml:space="preserve"> listed World Heritage and National Heritage places, including listed First Nations’ heritage places.</w:t>
      </w:r>
    </w:p>
    <w:p w14:paraId="45052AA6" w14:textId="678CB5E4" w:rsidR="00E94812" w:rsidRPr="00F27100" w:rsidRDefault="00E94812" w:rsidP="00F27100">
      <w:pPr>
        <w:pStyle w:val="ListParagraph"/>
        <w:numPr>
          <w:ilvl w:val="0"/>
          <w:numId w:val="76"/>
        </w:numPr>
        <w:contextualSpacing w:val="0"/>
      </w:pPr>
      <w:r w:rsidRPr="00F27100">
        <w:rPr>
          <w:i/>
        </w:rPr>
        <w:t>The Aboriginal and Torres Strait Islander Heritage Protection Act 1984</w:t>
      </w:r>
      <w:r>
        <w:t xml:space="preserve"> </w:t>
      </w:r>
      <w:r w:rsidR="008B5E8B">
        <w:t>(</w:t>
      </w:r>
      <w:proofErr w:type="spellStart"/>
      <w:r w:rsidR="008B5E8B">
        <w:t>Cth</w:t>
      </w:r>
      <w:proofErr w:type="spellEnd"/>
      <w:r w:rsidR="008B5E8B">
        <w:t>)</w:t>
      </w:r>
      <w:r w:rsidRPr="00F27100">
        <w:t xml:space="preserve"> provides protection for significant Aboriginal places and objects. </w:t>
      </w:r>
    </w:p>
    <w:p w14:paraId="724207FB" w14:textId="77777777" w:rsidR="00E94812" w:rsidRPr="00BA14E9" w:rsidRDefault="00E94812" w:rsidP="00E94812">
      <w:r w:rsidRPr="00F27100">
        <w:t xml:space="preserve">State and territory First Nations </w:t>
      </w:r>
      <w:r>
        <w:t>h</w:t>
      </w:r>
      <w:r w:rsidRPr="00BA14E9">
        <w:t>eritage protection laws</w:t>
      </w:r>
      <w:r>
        <w:t>:</w:t>
      </w:r>
    </w:p>
    <w:p w14:paraId="6A3914AD" w14:textId="77777777" w:rsidR="00E94812" w:rsidRPr="00BA14E9" w:rsidRDefault="00E94812" w:rsidP="00F27100">
      <w:pPr>
        <w:pStyle w:val="ListParagraph"/>
        <w:numPr>
          <w:ilvl w:val="0"/>
          <w:numId w:val="15"/>
        </w:numPr>
        <w:contextualSpacing w:val="0"/>
      </w:pPr>
      <w:r w:rsidRPr="00BA14E9">
        <w:t xml:space="preserve">a range of legislation protects </w:t>
      </w:r>
      <w:r w:rsidRPr="00F27100">
        <w:t xml:space="preserve">First Nations </w:t>
      </w:r>
      <w:r w:rsidRPr="00BA14E9">
        <w:t>cultural heritage</w:t>
      </w:r>
    </w:p>
    <w:p w14:paraId="2ADB31A7" w14:textId="77777777" w:rsidR="00E94812" w:rsidRDefault="00E94812" w:rsidP="00F27100">
      <w:pPr>
        <w:pStyle w:val="ListParagraph"/>
        <w:numPr>
          <w:ilvl w:val="0"/>
          <w:numId w:val="15"/>
        </w:numPr>
        <w:contextualSpacing w:val="0"/>
      </w:pPr>
      <w:r w:rsidRPr="00BA14E9">
        <w:t>legislation establishes offences for damage to</w:t>
      </w:r>
      <w:r>
        <w:t xml:space="preserve"> </w:t>
      </w:r>
      <w:r w:rsidRPr="00F27100">
        <w:t xml:space="preserve">First Nations </w:t>
      </w:r>
      <w:r w:rsidRPr="00BA14E9">
        <w:t>cultural heritage</w:t>
      </w:r>
    </w:p>
    <w:p w14:paraId="360C905C" w14:textId="77777777" w:rsidR="00E94812" w:rsidRPr="00F27100" w:rsidRDefault="00E94812" w:rsidP="00F27100">
      <w:pPr>
        <w:pStyle w:val="ListParagraph"/>
        <w:numPr>
          <w:ilvl w:val="0"/>
          <w:numId w:val="15"/>
        </w:numPr>
        <w:contextualSpacing w:val="0"/>
      </w:pPr>
      <w:r w:rsidRPr="00F27100">
        <w:t>legislative approvals for works that may harm First Nations cultural heritage.</w:t>
      </w:r>
    </w:p>
    <w:p w14:paraId="4F9151DE" w14:textId="1EBA2D9C" w:rsidR="000226EF" w:rsidRPr="00BA14E9" w:rsidRDefault="000226EF" w:rsidP="000226EF">
      <w:r w:rsidRPr="00BA14E9">
        <w:t>Heritage protection laws</w:t>
      </w:r>
      <w:r w:rsidR="00A34E1B">
        <w:t>:</w:t>
      </w:r>
    </w:p>
    <w:p w14:paraId="14FEA138" w14:textId="77777777" w:rsidR="000226EF" w:rsidRPr="00BA14E9" w:rsidRDefault="000226EF" w:rsidP="00F27100">
      <w:pPr>
        <w:pStyle w:val="ListParagraph"/>
        <w:numPr>
          <w:ilvl w:val="0"/>
          <w:numId w:val="15"/>
        </w:numPr>
        <w:contextualSpacing w:val="0"/>
      </w:pPr>
      <w:r w:rsidRPr="00BA14E9">
        <w:t>a range of legislation protects cultural heritage</w:t>
      </w:r>
    </w:p>
    <w:p w14:paraId="077BA695" w14:textId="77777777" w:rsidR="000226EF" w:rsidRPr="00BA14E9" w:rsidRDefault="000226EF" w:rsidP="00F27100">
      <w:pPr>
        <w:pStyle w:val="ListParagraph"/>
        <w:numPr>
          <w:ilvl w:val="0"/>
          <w:numId w:val="15"/>
        </w:numPr>
        <w:contextualSpacing w:val="0"/>
      </w:pPr>
      <w:r w:rsidRPr="00BA14E9">
        <w:t>legislation establishes offences for damage to cultural heritage</w:t>
      </w:r>
    </w:p>
    <w:p w14:paraId="4F51D095" w14:textId="210CA514" w:rsidR="00CE153F" w:rsidRPr="00BA14E9" w:rsidRDefault="003F146B" w:rsidP="606C9B12">
      <w:r w:rsidRPr="00BA14E9">
        <w:t xml:space="preserve">Refer to </w:t>
      </w:r>
      <w:r w:rsidR="006A1DFE" w:rsidRPr="00BA14E9">
        <w:t>C</w:t>
      </w:r>
      <w:r w:rsidRPr="00BA14E9">
        <w:t xml:space="preserve">hapter </w:t>
      </w:r>
      <w:r w:rsidR="006A1DFE" w:rsidRPr="00BA14E9">
        <w:t>4.1 of the Hydrogen Production Guidebook for m</w:t>
      </w:r>
      <w:r w:rsidR="00CE153F" w:rsidRPr="00BA14E9">
        <w:t xml:space="preserve">ore detailed information on First Nations </w:t>
      </w:r>
      <w:r w:rsidRPr="00BA14E9">
        <w:t>regulation for hydrogen projects</w:t>
      </w:r>
      <w:r w:rsidR="00F73EFE">
        <w:t>.</w:t>
      </w:r>
      <w:r w:rsidRPr="00BA14E9">
        <w:t xml:space="preserve"> </w:t>
      </w:r>
    </w:p>
    <w:p w14:paraId="59A2DDE9" w14:textId="77777777" w:rsidR="00F608D4" w:rsidRDefault="00F608D4">
      <w:pPr>
        <w:rPr>
          <w:rFonts w:eastAsiaTheme="majorEastAsia" w:cstheme="majorBidi"/>
          <w:color w:val="0F4761" w:themeColor="accent1" w:themeShade="BF"/>
          <w:sz w:val="40"/>
          <w:szCs w:val="40"/>
        </w:rPr>
      </w:pPr>
      <w:bookmarkStart w:id="28" w:name="_Toc200490170"/>
      <w:r>
        <w:br w:type="page"/>
      </w:r>
    </w:p>
    <w:p w14:paraId="25F880B8" w14:textId="5E756B51" w:rsidR="00270570" w:rsidRPr="00BA14E9" w:rsidRDefault="00270570" w:rsidP="606C9B12">
      <w:pPr>
        <w:pStyle w:val="Heading1"/>
      </w:pPr>
      <w:bookmarkStart w:id="29" w:name="_Toc222925478"/>
      <w:r w:rsidRPr="00BA14E9">
        <w:lastRenderedPageBreak/>
        <w:t>Chapter 2 – Existing technical guidance relevant to hydrogen pipelines</w:t>
      </w:r>
      <w:bookmarkEnd w:id="29"/>
    </w:p>
    <w:p w14:paraId="3C0E0EB1" w14:textId="67EFE164" w:rsidR="00270570" w:rsidRPr="00BA14E9" w:rsidRDefault="00270570" w:rsidP="00EA6EBC">
      <w:pPr>
        <w:pStyle w:val="Heading2"/>
      </w:pPr>
      <w:bookmarkStart w:id="30" w:name="_Toc215654749"/>
      <w:bookmarkStart w:id="31" w:name="_Toc215811280"/>
      <w:bookmarkStart w:id="32" w:name="_Toc216796283"/>
      <w:bookmarkStart w:id="33" w:name="_Toc216798421"/>
      <w:bookmarkStart w:id="34" w:name="_Toc222925479"/>
      <w:bookmarkEnd w:id="30"/>
      <w:bookmarkEnd w:id="31"/>
      <w:bookmarkEnd w:id="32"/>
      <w:bookmarkEnd w:id="33"/>
      <w:r w:rsidRPr="00BA14E9">
        <w:t>Outline of hydrogen properties</w:t>
      </w:r>
      <w:bookmarkEnd w:id="34"/>
    </w:p>
    <w:p w14:paraId="02566CA1" w14:textId="1C88B85C" w:rsidR="00270570" w:rsidRPr="00BA14E9" w:rsidRDefault="00270570" w:rsidP="00270570">
      <w:pPr>
        <w:rPr>
          <w:rFonts w:cs="Calibri"/>
        </w:rPr>
      </w:pPr>
      <w:r w:rsidRPr="00BA14E9">
        <w:rPr>
          <w:rFonts w:cs="Calibri"/>
        </w:rPr>
        <w:t xml:space="preserve">While this Guidebook sets out the key regulatory obligations relating to hydrogen pipeline safety, it </w:t>
      </w:r>
      <w:r w:rsidR="00C34FF3">
        <w:rPr>
          <w:rFonts w:cs="Calibri"/>
        </w:rPr>
        <w:t>does not</w:t>
      </w:r>
      <w:r w:rsidR="00C34FF3" w:rsidRPr="00BA14E9">
        <w:rPr>
          <w:rFonts w:cs="Calibri"/>
        </w:rPr>
        <w:t xml:space="preserve"> </w:t>
      </w:r>
      <w:r w:rsidRPr="00BA14E9">
        <w:rPr>
          <w:rFonts w:cs="Calibri"/>
        </w:rPr>
        <w:t>detail the specific technical requirements for how to comply with these obligations.</w:t>
      </w:r>
    </w:p>
    <w:p w14:paraId="4892052D" w14:textId="77777777" w:rsidR="00270570" w:rsidRPr="00BA14E9" w:rsidRDefault="00270570" w:rsidP="00270570">
      <w:pPr>
        <w:rPr>
          <w:rFonts w:cs="Calibri"/>
        </w:rPr>
      </w:pPr>
      <w:r w:rsidRPr="00BA14E9">
        <w:rPr>
          <w:rFonts w:cs="Calibri"/>
        </w:rPr>
        <w:t>Complying with safety obligations is important for a range of reasons including managing legal liability, corporate and industry reputation and most significantly, ensuring the safety of workers and the public. For the emerging hydrogen industry, it is also critical to building social licence and trust that the hydrogen industry can operate safely.</w:t>
      </w:r>
    </w:p>
    <w:p w14:paraId="24DD5B08" w14:textId="5F210D9A" w:rsidR="00270570" w:rsidRPr="00BA14E9" w:rsidRDefault="005F0057" w:rsidP="00270570">
      <w:r>
        <w:t xml:space="preserve">It is important to </w:t>
      </w:r>
      <w:proofErr w:type="gramStart"/>
      <w:r>
        <w:t xml:space="preserve">have </w:t>
      </w:r>
      <w:r w:rsidR="00823DAD">
        <w:t>a</w:t>
      </w:r>
      <w:r w:rsidR="004642DE">
        <w:t>n understanding</w:t>
      </w:r>
      <w:r w:rsidR="00270570" w:rsidRPr="00BA14E9">
        <w:t xml:space="preserve"> of</w:t>
      </w:r>
      <w:proofErr w:type="gramEnd"/>
      <w:r w:rsidR="00270570" w:rsidRPr="00BA14E9">
        <w:t xml:space="preserve"> </w:t>
      </w:r>
      <w:r w:rsidR="004642DE">
        <w:t xml:space="preserve">the </w:t>
      </w:r>
      <w:r w:rsidR="0027040E">
        <w:t>fundamental</w:t>
      </w:r>
      <w:r w:rsidR="00270570" w:rsidRPr="00BA14E9">
        <w:t xml:space="preserve"> unique properties of hydrogen relevant to the construction, operation, maintenance and safety of hydrogen pipelines to allow proponents to understand and comply with their regulatory obligations. </w:t>
      </w:r>
      <w:r>
        <w:t>For example</w:t>
      </w:r>
      <w:r w:rsidR="00270570" w:rsidRPr="00BA14E9">
        <w:t xml:space="preserve">: </w:t>
      </w:r>
    </w:p>
    <w:p w14:paraId="5AF9F78E" w14:textId="633B86B1" w:rsidR="00270570" w:rsidRPr="00BA14E9" w:rsidRDefault="00270570" w:rsidP="00F27100">
      <w:pPr>
        <w:pStyle w:val="ListParagraph"/>
        <w:numPr>
          <w:ilvl w:val="0"/>
          <w:numId w:val="33"/>
        </w:numPr>
        <w:spacing w:line="278" w:lineRule="auto"/>
        <w:contextualSpacing w:val="0"/>
      </w:pPr>
      <w:r w:rsidRPr="00BA14E9">
        <w:t xml:space="preserve">Hydrogen </w:t>
      </w:r>
      <w:r w:rsidRPr="00BA14E9">
        <w:rPr>
          <w:rFonts w:cs="Calibri"/>
        </w:rPr>
        <w:t>behaves differently from other industrial gases</w:t>
      </w:r>
      <w:r w:rsidR="00271E82">
        <w:rPr>
          <w:rFonts w:cs="Calibri"/>
        </w:rPr>
        <w:t xml:space="preserve"> (refer to Annexure 1, Table </w:t>
      </w:r>
      <w:r w:rsidR="0030122A">
        <w:rPr>
          <w:rFonts w:cs="Calibri"/>
        </w:rPr>
        <w:t>1</w:t>
      </w:r>
      <w:r w:rsidR="00271E82">
        <w:rPr>
          <w:rFonts w:cs="Calibri"/>
        </w:rPr>
        <w:t>.1)</w:t>
      </w:r>
      <w:r w:rsidRPr="00BA14E9">
        <w:rPr>
          <w:rFonts w:cs="Calibri"/>
        </w:rPr>
        <w:t>.</w:t>
      </w:r>
    </w:p>
    <w:p w14:paraId="429ADE86" w14:textId="77777777" w:rsidR="00270570" w:rsidRPr="00BA14E9" w:rsidRDefault="00270570" w:rsidP="00F27100">
      <w:pPr>
        <w:pStyle w:val="ListParagraph"/>
        <w:numPr>
          <w:ilvl w:val="0"/>
          <w:numId w:val="33"/>
        </w:numPr>
        <w:spacing w:line="278" w:lineRule="auto"/>
        <w:contextualSpacing w:val="0"/>
      </w:pPr>
      <w:r w:rsidRPr="00BA14E9">
        <w:t xml:space="preserve">Hydrogen is a small and light compound, with no colour, odour or taste, making it very difficult to contain, identify and manage leaks. It is also highly combustible. </w:t>
      </w:r>
    </w:p>
    <w:p w14:paraId="4A578FA6" w14:textId="77777777" w:rsidR="00270570" w:rsidRPr="00BA14E9" w:rsidRDefault="00270570" w:rsidP="00270570">
      <w:pPr>
        <w:spacing w:line="278" w:lineRule="auto"/>
      </w:pPr>
      <w:r w:rsidRPr="00BA14E9">
        <w:t xml:space="preserve">These characteristics </w:t>
      </w:r>
      <w:r w:rsidRPr="00BA14E9">
        <w:rPr>
          <w:rFonts w:cs="Calibri"/>
        </w:rPr>
        <w:t>directly influence how statutory duties associated with establishing and operating a hydrogen pipeline are met. Given this, consideration should be given as to whether addressing these differences requires a first principles approach to risk assessment and hazard management.</w:t>
      </w:r>
    </w:p>
    <w:p w14:paraId="1C2EAC66" w14:textId="352DEBAA" w:rsidR="00270570" w:rsidRPr="00BA14E9" w:rsidRDefault="00270570" w:rsidP="00EA6EBC">
      <w:pPr>
        <w:pStyle w:val="Heading2"/>
      </w:pPr>
      <w:bookmarkStart w:id="35" w:name="_Toc222925480"/>
      <w:r w:rsidRPr="00BA14E9">
        <w:t>Hydrogen standards</w:t>
      </w:r>
      <w:bookmarkEnd w:id="35"/>
      <w:r w:rsidRPr="00BA14E9">
        <w:t xml:space="preserve"> </w:t>
      </w:r>
    </w:p>
    <w:p w14:paraId="45987768" w14:textId="37A58D71" w:rsidR="00270570" w:rsidRPr="00BA14E9" w:rsidRDefault="00270570" w:rsidP="00270570">
      <w:r w:rsidRPr="00BA14E9">
        <w:rPr>
          <w:rFonts w:cs="Calibri"/>
        </w:rPr>
        <w:t xml:space="preserve">Standards provide agreed technical methods for design, installation, verification and testing, and offer a shared language for risk controls and performance. They may or may not form part of the law. </w:t>
      </w:r>
      <w:r w:rsidRPr="00BA14E9">
        <w:t xml:space="preserve">Key Australian and international standards that may be applicable to hydrogen pipelines are set out in </w:t>
      </w:r>
      <w:r w:rsidRPr="00BA14E9">
        <w:rPr>
          <w:rFonts w:cs="Calibri"/>
        </w:rPr>
        <w:t>Annexure 1</w:t>
      </w:r>
      <w:r w:rsidRPr="00BA14E9">
        <w:t xml:space="preserve">. </w:t>
      </w:r>
      <w:r w:rsidR="00EE15A9">
        <w:rPr>
          <w:rFonts w:cs="Calibri"/>
        </w:rPr>
        <w:t>Importantly</w:t>
      </w:r>
      <w:r w:rsidRPr="00BA14E9">
        <w:rPr>
          <w:rFonts w:cs="Calibri"/>
        </w:rPr>
        <w:t xml:space="preserve">, the information in this guidebook is of an introductory nature only and </w:t>
      </w:r>
      <w:r w:rsidRPr="00BA14E9">
        <w:t xml:space="preserve">proponents should seek legal advice and / or regulator guidance </w:t>
      </w:r>
      <w:r w:rsidRPr="00BA14E9">
        <w:rPr>
          <w:rFonts w:cs="Calibri"/>
        </w:rPr>
        <w:t xml:space="preserve">on </w:t>
      </w:r>
      <w:r w:rsidRPr="00BA14E9">
        <w:t>the application of</w:t>
      </w:r>
      <w:r w:rsidRPr="00BA14E9">
        <w:rPr>
          <w:rFonts w:cs="Calibri"/>
        </w:rPr>
        <w:t xml:space="preserve"> relevant standards</w:t>
      </w:r>
      <w:r w:rsidRPr="00BA14E9">
        <w:t>.</w:t>
      </w:r>
    </w:p>
    <w:p w14:paraId="3A5C9DE8" w14:textId="34D10F35" w:rsidR="00A951EA" w:rsidRPr="00BA14E9" w:rsidRDefault="00B06A61" w:rsidP="00F3341A">
      <w:r w:rsidRPr="00BA14E9">
        <w:rPr>
          <w:rFonts w:cs="Calibri"/>
        </w:rPr>
        <w:t xml:space="preserve">Compliance with relevant Australian or international standards is essential to the safe and reliable design and operation of all hydrogen pipelines. </w:t>
      </w:r>
      <w:r w:rsidR="00F3341A">
        <w:t xml:space="preserve">However, while standards </w:t>
      </w:r>
      <w:r w:rsidR="00A951EA" w:rsidRPr="00BA14E9">
        <w:t xml:space="preserve">can provide guidance on safety measures, they have no legal application unless adopted and applied by legislation. Compliance with </w:t>
      </w:r>
      <w:r w:rsidR="00287334">
        <w:t>a standard</w:t>
      </w:r>
      <w:r w:rsidR="00A951EA" w:rsidRPr="00BA14E9">
        <w:t xml:space="preserve"> does not necessarily discharge a primary or general duties under the WHS and OHS laws. They are something a duty holder knows, or ought to reasonably know about the available means of managing risks associated with pipelines and therefore, as a minimum, must be considered in assessing reasonably practicable measures.</w:t>
      </w:r>
    </w:p>
    <w:p w14:paraId="0E22A1BB" w14:textId="1A41A203" w:rsidR="00A951EA" w:rsidRPr="00BA14E9" w:rsidRDefault="00A951EA" w:rsidP="00A951EA">
      <w:r w:rsidRPr="00BA14E9">
        <w:t>Standards acquire legal force only:</w:t>
      </w:r>
    </w:p>
    <w:p w14:paraId="61A32B3E" w14:textId="01F38C9E" w:rsidR="00A951EA" w:rsidRPr="00BA14E9" w:rsidRDefault="00A951EA" w:rsidP="003F590A">
      <w:pPr>
        <w:pStyle w:val="ListParagraph"/>
        <w:numPr>
          <w:ilvl w:val="0"/>
          <w:numId w:val="33"/>
        </w:numPr>
        <w:spacing w:line="278" w:lineRule="auto"/>
        <w:contextualSpacing w:val="0"/>
      </w:pPr>
      <w:r w:rsidRPr="00BA14E9">
        <w:t xml:space="preserve">if </w:t>
      </w:r>
      <w:r w:rsidR="00287334">
        <w:t>legislation</w:t>
      </w:r>
      <w:r w:rsidRPr="00BA14E9">
        <w:t xml:space="preserve"> directly incorporates them (either in full or by reference); or </w:t>
      </w:r>
    </w:p>
    <w:p w14:paraId="4BBEDF16" w14:textId="45D23403" w:rsidR="00A951EA" w:rsidRPr="00BA14E9" w:rsidRDefault="00A951EA" w:rsidP="003F590A">
      <w:pPr>
        <w:pStyle w:val="ListParagraph"/>
        <w:numPr>
          <w:ilvl w:val="0"/>
          <w:numId w:val="33"/>
        </w:numPr>
        <w:spacing w:line="278" w:lineRule="auto"/>
        <w:contextualSpacing w:val="0"/>
      </w:pPr>
      <w:r w:rsidRPr="00BA14E9">
        <w:lastRenderedPageBreak/>
        <w:t>indirectly, as evidence of what a prudent duty holder ought reasonably to have known and done.</w:t>
      </w:r>
    </w:p>
    <w:p w14:paraId="56F12337" w14:textId="180D2A52" w:rsidR="00270570" w:rsidRPr="00BA14E9" w:rsidRDefault="00270570" w:rsidP="606C9B12">
      <w:pPr>
        <w:rPr>
          <w:rFonts w:eastAsia="Aptos" w:cs="Aptos"/>
          <w:bCs/>
        </w:rPr>
      </w:pPr>
      <w:r w:rsidRPr="00BA14E9">
        <w:rPr>
          <w:rFonts w:cs="Calibri"/>
        </w:rPr>
        <w:t xml:space="preserve">In Australia, </w:t>
      </w:r>
      <w:r w:rsidRPr="00BA14E9">
        <w:rPr>
          <w:rFonts w:eastAsia="Aptos" w:cs="Aptos"/>
          <w:bCs/>
        </w:rPr>
        <w:t xml:space="preserve">the development of hydrogen standards, technical specifications, technical reports and other guidance documentation is managed by the Standards Australia ME-93 Hydrogen Technologies committee including hydrogen use in new and existing pipelines, gas distribution systems and appliances both as 100% hydrogen and blends with other fuels. This committee mirrors the ISO Technical Committee 197 Hydrogen Technologies. </w:t>
      </w:r>
    </w:p>
    <w:p w14:paraId="2428FF9E" w14:textId="27CBABE7" w:rsidR="00AA16A0" w:rsidRPr="00BA14E9" w:rsidRDefault="00CB2E4D" w:rsidP="00AA16A0">
      <w:r w:rsidRPr="00BA14E9">
        <w:rPr>
          <w:rFonts w:eastAsia="Calibri" w:cs="Calibri"/>
        </w:rPr>
        <w:t xml:space="preserve">The </w:t>
      </w:r>
      <w:r w:rsidRPr="003F590A">
        <w:rPr>
          <w:rFonts w:eastAsia="Calibri" w:cs="Calibri"/>
        </w:rPr>
        <w:t>AS 2885 Series</w:t>
      </w:r>
      <w:r w:rsidRPr="00BA14E9">
        <w:rPr>
          <w:rFonts w:eastAsia="Calibri" w:cs="Calibri"/>
        </w:rPr>
        <w:t xml:space="preserve"> is </w:t>
      </w:r>
      <w:r w:rsidR="003877D5">
        <w:rPr>
          <w:rFonts w:eastAsia="Calibri" w:cs="Calibri"/>
        </w:rPr>
        <w:t xml:space="preserve">a key </w:t>
      </w:r>
      <w:r w:rsidR="00A67C94">
        <w:rPr>
          <w:rFonts w:eastAsia="Calibri" w:cs="Calibri"/>
        </w:rPr>
        <w:t xml:space="preserve">series of </w:t>
      </w:r>
      <w:r w:rsidR="003877D5">
        <w:rPr>
          <w:rFonts w:eastAsia="Calibri" w:cs="Calibri"/>
        </w:rPr>
        <w:t>standard</w:t>
      </w:r>
      <w:r w:rsidR="00A67C94">
        <w:rPr>
          <w:rFonts w:eastAsia="Calibri" w:cs="Calibri"/>
        </w:rPr>
        <w:t>s</w:t>
      </w:r>
      <w:r w:rsidRPr="00BA14E9">
        <w:rPr>
          <w:rFonts w:eastAsia="Calibri" w:cs="Calibri"/>
        </w:rPr>
        <w:t xml:space="preserve"> on which the </w:t>
      </w:r>
      <w:r w:rsidR="00321FA2">
        <w:rPr>
          <w:rFonts w:eastAsia="Calibri" w:cs="Calibri"/>
        </w:rPr>
        <w:t xml:space="preserve">existing </w:t>
      </w:r>
      <w:r w:rsidRPr="00BA14E9">
        <w:rPr>
          <w:rFonts w:eastAsia="Calibri" w:cs="Calibri"/>
        </w:rPr>
        <w:t xml:space="preserve">high pressure pipelines sector provides assurance to itself, policy makers, regulators and the wider community that the pipelines that carry hazardous materials at high pressure are safe, environmentally benign and reliable. </w:t>
      </w:r>
      <w:r w:rsidR="00AA16A0">
        <w:rPr>
          <w:rFonts w:cs="Calibri"/>
        </w:rPr>
        <w:t>T</w:t>
      </w:r>
      <w:r w:rsidR="00AA16A0" w:rsidRPr="00BA14E9">
        <w:t xml:space="preserve">he </w:t>
      </w:r>
      <w:r w:rsidR="00AA16A0" w:rsidRPr="00CF284C">
        <w:rPr>
          <w:bCs/>
        </w:rPr>
        <w:t>AS 2885 Series</w:t>
      </w:r>
      <w:r w:rsidR="00AA16A0" w:rsidRPr="00BA14E9">
        <w:t xml:space="preserve"> is either referenced, accepted or is a legal requirement</w:t>
      </w:r>
      <w:r w:rsidR="00AA16A0">
        <w:t xml:space="preserve"> across Australia</w:t>
      </w:r>
      <w:r w:rsidR="00AA16A0" w:rsidRPr="00BA14E9">
        <w:t xml:space="preserve">. Annexure 2, </w:t>
      </w:r>
      <w:r w:rsidR="00AA16A0">
        <w:t>T</w:t>
      </w:r>
      <w:r w:rsidR="00AA16A0" w:rsidRPr="00BA14E9">
        <w:t>able 2.1</w:t>
      </w:r>
      <w:r w:rsidR="00AA16A0">
        <w:t xml:space="preserve"> details the application of the AS 2885 Series in each jurisdiction. </w:t>
      </w:r>
    </w:p>
    <w:p w14:paraId="5A173180" w14:textId="65073C0C" w:rsidR="00870158" w:rsidRDefault="00CB2E4D" w:rsidP="00CB2E4D">
      <w:r w:rsidRPr="00BA14E9">
        <w:t xml:space="preserve">This series of standards sets out requirements for the safe design, construction, inspection, testing, operation and maintenance of both onshore and </w:t>
      </w:r>
      <w:r w:rsidR="007422B5">
        <w:t>submarine</w:t>
      </w:r>
      <w:r w:rsidR="00B822CC" w:rsidRPr="00BA14E9">
        <w:t xml:space="preserve"> </w:t>
      </w:r>
      <w:r w:rsidRPr="00BA14E9">
        <w:t xml:space="preserve">pipelines. </w:t>
      </w:r>
      <w:r w:rsidR="00870158">
        <w:t xml:space="preserve">For </w:t>
      </w:r>
      <w:r w:rsidR="007422B5">
        <w:t>submarine</w:t>
      </w:r>
      <w:r w:rsidR="00870158">
        <w:t xml:space="preserve"> pipelines, proponents should consider the application of DNV-ST-F101 </w:t>
      </w:r>
      <w:r w:rsidR="000B7276">
        <w:t xml:space="preserve">– </w:t>
      </w:r>
      <w:r w:rsidR="007422B5">
        <w:rPr>
          <w:i/>
          <w:iCs/>
        </w:rPr>
        <w:t>S</w:t>
      </w:r>
      <w:r w:rsidR="000B7276">
        <w:rPr>
          <w:i/>
          <w:iCs/>
        </w:rPr>
        <w:t xml:space="preserve">ubmarine pipeline </w:t>
      </w:r>
      <w:r w:rsidR="007422B5">
        <w:rPr>
          <w:i/>
          <w:iCs/>
        </w:rPr>
        <w:t>systems</w:t>
      </w:r>
      <w:r w:rsidR="00870158">
        <w:rPr>
          <w:i/>
        </w:rPr>
        <w:t xml:space="preserve"> </w:t>
      </w:r>
      <w:r w:rsidR="00870158">
        <w:t>as set out in AS 2885.4.</w:t>
      </w:r>
      <w:r w:rsidR="00C74379">
        <w:t xml:space="preserve"> For distribution pipelines, proponents should refer to AS/NZS 4645</w:t>
      </w:r>
      <w:r w:rsidR="0062456A">
        <w:t xml:space="preserve"> - </w:t>
      </w:r>
      <w:r w:rsidR="0062456A" w:rsidRPr="009100BC">
        <w:rPr>
          <w:rFonts w:eastAsia="Aptos" w:cs="Calibri"/>
          <w:i/>
          <w:iCs/>
        </w:rPr>
        <w:t>Gas distribution networks</w:t>
      </w:r>
      <w:r w:rsidR="0062456A">
        <w:rPr>
          <w:rFonts w:eastAsia="Aptos" w:cs="Calibri"/>
          <w:i/>
          <w:iCs/>
        </w:rPr>
        <w:t>.</w:t>
      </w:r>
    </w:p>
    <w:p w14:paraId="064A91E6" w14:textId="2E07D2D2" w:rsidR="001C47B5" w:rsidRDefault="0062456A" w:rsidP="00D75BFF">
      <w:r>
        <w:t xml:space="preserve">While the </w:t>
      </w:r>
      <w:r w:rsidR="00E623FF">
        <w:t xml:space="preserve">AS 2885 Series </w:t>
      </w:r>
      <w:r w:rsidRPr="00BA14E9">
        <w:t>plays a</w:t>
      </w:r>
      <w:r>
        <w:t>n important</w:t>
      </w:r>
      <w:r w:rsidRPr="00BA14E9">
        <w:t xml:space="preserve"> role in the regulatory framework governing high-pressure </w:t>
      </w:r>
      <w:r w:rsidR="00D52684">
        <w:t>gas and liquid petroleum pipeline systems</w:t>
      </w:r>
      <w:r w:rsidRPr="00BA14E9">
        <w:t xml:space="preserve"> </w:t>
      </w:r>
      <w:r>
        <w:t>it</w:t>
      </w:r>
      <w:r w:rsidR="00E623FF">
        <w:t xml:space="preserve"> </w:t>
      </w:r>
      <w:r w:rsidR="00CB2E4D" w:rsidRPr="00BA14E9">
        <w:t>does not specifically cover hydrogen</w:t>
      </w:r>
      <w:r w:rsidR="00BE439F">
        <w:t xml:space="preserve"> and care is needed in applying</w:t>
      </w:r>
      <w:r w:rsidR="001C0564">
        <w:t xml:space="preserve"> it to hydrogen pipelines</w:t>
      </w:r>
      <w:r w:rsidR="00CB2E4D" w:rsidRPr="00BA14E9">
        <w:t>.</w:t>
      </w:r>
      <w:r w:rsidR="00D75BFF">
        <w:t xml:space="preserve"> </w:t>
      </w:r>
    </w:p>
    <w:p w14:paraId="65A3224D" w14:textId="77777777" w:rsidR="00227753" w:rsidRDefault="00227753" w:rsidP="003F590A">
      <w:pPr>
        <w:pStyle w:val="ListParagraph"/>
        <w:numPr>
          <w:ilvl w:val="0"/>
          <w:numId w:val="81"/>
        </w:numPr>
        <w:contextualSpacing w:val="0"/>
      </w:pPr>
      <w:r w:rsidRPr="003F590A">
        <w:rPr>
          <w:bCs/>
        </w:rPr>
        <w:t>AS 2885.0-2018</w:t>
      </w:r>
      <w:r w:rsidRPr="00BA14E9">
        <w:t xml:space="preserve"> §1.2.2 states, “The use of </w:t>
      </w:r>
      <w:r w:rsidRPr="003F590A">
        <w:rPr>
          <w:bCs/>
        </w:rPr>
        <w:t>AS(/NZS) 2885</w:t>
      </w:r>
      <w:r w:rsidRPr="00BA14E9">
        <w:t xml:space="preserve"> series in circumstances listed below is not </w:t>
      </w:r>
      <w:proofErr w:type="gramStart"/>
      <w:r w:rsidRPr="00BA14E9">
        <w:t>precluded, but</w:t>
      </w:r>
      <w:proofErr w:type="gramEnd"/>
      <w:r w:rsidRPr="00BA14E9">
        <w:t xml:space="preserve"> is not expressly covered: … (c) pipeline systems transporting other fluids (e.g. slurries and non-hydrocarbon-gases such as carbon dioxide). The application </w:t>
      </w:r>
      <w:r w:rsidRPr="001E0A8E">
        <w:t xml:space="preserve">of </w:t>
      </w:r>
      <w:r w:rsidRPr="003F590A">
        <w:t>AS(/NZS) 2885</w:t>
      </w:r>
      <w:r w:rsidRPr="00BA14E9">
        <w:t xml:space="preserve"> series to these circumstances requires special consideration.”</w:t>
      </w:r>
    </w:p>
    <w:p w14:paraId="551A4FEA" w14:textId="4E7589E8" w:rsidR="001E0A8E" w:rsidRPr="00BA14E9" w:rsidRDefault="001E0A8E" w:rsidP="003F590A">
      <w:pPr>
        <w:pStyle w:val="ListParagraph"/>
        <w:numPr>
          <w:ilvl w:val="0"/>
          <w:numId w:val="81"/>
        </w:numPr>
        <w:contextualSpacing w:val="0"/>
      </w:pPr>
      <w:r w:rsidRPr="003F590A">
        <w:rPr>
          <w:bCs/>
        </w:rPr>
        <w:t>AS/NZS 2885.1-2018</w:t>
      </w:r>
      <w:r w:rsidRPr="00BA14E9">
        <w:t xml:space="preserve"> §1.3</w:t>
      </w:r>
      <w:r>
        <w:t xml:space="preserve"> goes on to state “</w:t>
      </w:r>
      <w:r w:rsidRPr="00BA14E9">
        <w:t>Where this standard is applied to fluids other than gas and liquid petroleum, a gap analysis shall be conducted to identify the differences between the proposed fluid and those of gas and liquid petroleum and the appropriate requirements established to address those differences.”</w:t>
      </w:r>
    </w:p>
    <w:p w14:paraId="6F8781EB" w14:textId="12184FB9" w:rsidR="00227753" w:rsidRDefault="00D75BFF" w:rsidP="003F590A">
      <w:pPr>
        <w:pStyle w:val="ListParagraph"/>
        <w:numPr>
          <w:ilvl w:val="0"/>
          <w:numId w:val="81"/>
        </w:numPr>
        <w:contextualSpacing w:val="0"/>
      </w:pPr>
      <w:r w:rsidRPr="00BA14E9">
        <w:t xml:space="preserve">The APGA Code of Practice: Hydrogen Pipeline Systems </w:t>
      </w:r>
      <w:r w:rsidR="008922DA">
        <w:t xml:space="preserve">(see Chapter 2.3, below) </w:t>
      </w:r>
      <w:r w:rsidRPr="00BA14E9">
        <w:t xml:space="preserve">indicates that the </w:t>
      </w:r>
      <w:r w:rsidRPr="00624C86">
        <w:t>AS 2885 Series</w:t>
      </w:r>
      <w:r w:rsidRPr="00BA14E9">
        <w:t xml:space="preserve"> “establishes requirements for the safe design, construction, inspection, testing, operation and maintenance of onshore and submarine pipeline systems”, but it does not explicitly apply to hydrogen.</w:t>
      </w:r>
    </w:p>
    <w:p w14:paraId="28C69042" w14:textId="77777777" w:rsidR="00270570" w:rsidRPr="00BA14E9" w:rsidRDefault="00270570" w:rsidP="00270570">
      <w:pPr>
        <w:spacing w:after="80"/>
        <w:sectPr w:rsidR="00270570" w:rsidRPr="00BA14E9" w:rsidSect="00270570">
          <w:headerReference w:type="even" r:id="rId14"/>
          <w:headerReference w:type="default" r:id="rId15"/>
          <w:footerReference w:type="even" r:id="rId16"/>
          <w:footerReference w:type="default" r:id="rId17"/>
          <w:headerReference w:type="first" r:id="rId18"/>
          <w:footerReference w:type="first" r:id="rId19"/>
          <w:pgSz w:w="11906" w:h="16838"/>
          <w:pgMar w:top="1276" w:right="992" w:bottom="851" w:left="1134" w:header="516" w:footer="709" w:gutter="0"/>
          <w:cols w:space="720"/>
        </w:sectPr>
      </w:pPr>
    </w:p>
    <w:p w14:paraId="6498F995" w14:textId="77777777" w:rsidR="00270570" w:rsidRPr="00BA14E9" w:rsidRDefault="00270570" w:rsidP="00EA6EBC">
      <w:pPr>
        <w:pStyle w:val="Heading2"/>
      </w:pPr>
      <w:bookmarkStart w:id="36" w:name="_Toc222925481"/>
      <w:r w:rsidRPr="00BA14E9">
        <w:lastRenderedPageBreak/>
        <w:t>APGA Code of Practice</w:t>
      </w:r>
      <w:bookmarkEnd w:id="36"/>
    </w:p>
    <w:p w14:paraId="30820E4C" w14:textId="4E473977" w:rsidR="00B00B17" w:rsidRDefault="00270570" w:rsidP="00270570">
      <w:r w:rsidRPr="00BA14E9">
        <w:t xml:space="preserve">The </w:t>
      </w:r>
      <w:r w:rsidR="005C5924">
        <w:t xml:space="preserve">Future Fuels </w:t>
      </w:r>
      <w:r w:rsidR="001005E7">
        <w:t>Cooperative Research Centre (</w:t>
      </w:r>
      <w:r w:rsidR="005C5924">
        <w:t>CRC</w:t>
      </w:r>
      <w:r w:rsidR="001005E7">
        <w:t>)</w:t>
      </w:r>
      <w:r w:rsidR="005C5924">
        <w:t xml:space="preserve"> </w:t>
      </w:r>
      <w:r w:rsidR="005C5924" w:rsidRPr="005C5924">
        <w:t>and</w:t>
      </w:r>
      <w:r w:rsidR="005C5924">
        <w:t xml:space="preserve"> the Australian Pipelines and Gas Association </w:t>
      </w:r>
      <w:r w:rsidR="00DA0A71">
        <w:t xml:space="preserve">(APGA) </w:t>
      </w:r>
      <w:r w:rsidR="005C5924" w:rsidRPr="005C5924">
        <w:t xml:space="preserve">collaborated to develop </w:t>
      </w:r>
      <w:r w:rsidR="005C5924">
        <w:t xml:space="preserve">the </w:t>
      </w:r>
      <w:r w:rsidR="00F02C7A">
        <w:t xml:space="preserve">first revision of the </w:t>
      </w:r>
      <w:r w:rsidR="005C5924">
        <w:t xml:space="preserve">Hydrogen Pipeline Systems </w:t>
      </w:r>
      <w:r w:rsidRPr="00BA14E9">
        <w:t>Code of Practice</w:t>
      </w:r>
      <w:r w:rsidR="005C5924">
        <w:t xml:space="preserve">. </w:t>
      </w:r>
      <w:r w:rsidR="00B00B17">
        <w:t xml:space="preserve">The subsequent second revision was published by APGA and will be referred to as the APGA Code of Practice in this Guidebook. </w:t>
      </w:r>
    </w:p>
    <w:p w14:paraId="5BABBF84" w14:textId="2388A044" w:rsidR="00270570" w:rsidRPr="00BA14E9" w:rsidRDefault="00270570" w:rsidP="00270570">
      <w:pPr>
        <w:rPr>
          <w:rFonts w:eastAsia="Calibri" w:cs="Calibri"/>
        </w:rPr>
      </w:pPr>
      <w:r w:rsidRPr="00BA14E9">
        <w:t xml:space="preserve">The APGA Code of Practice is industry guidance for designing a hydrogen pipeline, consistent with the requirements of the </w:t>
      </w:r>
      <w:r w:rsidRPr="003F590A">
        <w:t>AS 2885</w:t>
      </w:r>
      <w:r w:rsidRPr="00BA14E9">
        <w:t xml:space="preserve"> </w:t>
      </w:r>
      <w:r w:rsidRPr="003F590A">
        <w:t>Series</w:t>
      </w:r>
      <w:r w:rsidRPr="00BA14E9">
        <w:t>.</w:t>
      </w:r>
      <w:r w:rsidRPr="00BA14E9">
        <w:rPr>
          <w:rFonts w:eastAsia="Calibri" w:cs="Calibri"/>
        </w:rPr>
        <w:t xml:space="preserve"> </w:t>
      </w:r>
      <w:r w:rsidR="00B25D84">
        <w:rPr>
          <w:rFonts w:eastAsia="Calibri" w:cs="Calibri"/>
        </w:rPr>
        <w:t xml:space="preserve">The APGA Code of Practice </w:t>
      </w:r>
      <w:r w:rsidR="00951603">
        <w:rPr>
          <w:rFonts w:eastAsia="Calibri" w:cs="Calibri"/>
        </w:rPr>
        <w:t xml:space="preserve">recognises there are unique </w:t>
      </w:r>
      <w:r w:rsidR="00AE7CB3">
        <w:rPr>
          <w:rFonts w:eastAsia="Calibri" w:cs="Calibri"/>
        </w:rPr>
        <w:t xml:space="preserve">challenges for </w:t>
      </w:r>
      <w:r w:rsidR="00197609">
        <w:rPr>
          <w:rFonts w:eastAsia="Calibri" w:cs="Calibri"/>
        </w:rPr>
        <w:t xml:space="preserve">hydrogen pipelines and </w:t>
      </w:r>
      <w:r w:rsidR="00071998">
        <w:rPr>
          <w:rFonts w:eastAsia="Calibri" w:cs="Calibri"/>
        </w:rPr>
        <w:t xml:space="preserve">seeks to support industry development by proactively providing guidance on </w:t>
      </w:r>
      <w:r w:rsidR="00F64280">
        <w:rPr>
          <w:rFonts w:eastAsia="Calibri" w:cs="Calibri"/>
        </w:rPr>
        <w:t>key considerations.</w:t>
      </w:r>
      <w:r w:rsidR="00071998">
        <w:rPr>
          <w:rFonts w:eastAsia="Calibri" w:cs="Calibri"/>
        </w:rPr>
        <w:t xml:space="preserve"> </w:t>
      </w:r>
      <w:r w:rsidRPr="00BA14E9">
        <w:rPr>
          <w:rFonts w:eastAsia="Calibri" w:cs="Calibri"/>
        </w:rPr>
        <w:t xml:space="preserve">Proponents should be aware that the </w:t>
      </w:r>
      <w:r w:rsidRPr="00BA14E9">
        <w:t>APGA Code of Practice</w:t>
      </w:r>
      <w:r w:rsidRPr="00BA14E9">
        <w:rPr>
          <w:rFonts w:eastAsia="Calibri" w:cs="Calibri"/>
        </w:rPr>
        <w:t xml:space="preserve"> is not </w:t>
      </w:r>
      <w:proofErr w:type="gramStart"/>
      <w:r w:rsidRPr="00BA14E9">
        <w:rPr>
          <w:rFonts w:eastAsia="Calibri" w:cs="Calibri"/>
        </w:rPr>
        <w:t>exhaustive, but</w:t>
      </w:r>
      <w:proofErr w:type="gramEnd"/>
      <w:r w:rsidRPr="00BA14E9">
        <w:rPr>
          <w:rFonts w:eastAsia="Calibri" w:cs="Calibri"/>
        </w:rPr>
        <w:t xml:space="preserve"> rather should be considered supplementary </w:t>
      </w:r>
      <w:r w:rsidRPr="00DB7926">
        <w:rPr>
          <w:rFonts w:eastAsia="Calibri" w:cs="Calibri"/>
        </w:rPr>
        <w:t>and subordinate</w:t>
      </w:r>
      <w:r w:rsidRPr="00BA14E9">
        <w:rPr>
          <w:rFonts w:eastAsia="Calibri" w:cs="Calibri"/>
        </w:rPr>
        <w:t xml:space="preserve"> to</w:t>
      </w:r>
      <w:r w:rsidRPr="00BA14E9">
        <w:rPr>
          <w:rFonts w:eastAsia="Calibri" w:cs="Calibri"/>
          <w:b/>
          <w:bCs/>
        </w:rPr>
        <w:t xml:space="preserve"> </w:t>
      </w:r>
      <w:r w:rsidRPr="003F590A">
        <w:rPr>
          <w:rFonts w:eastAsia="Calibri" w:cs="Calibri"/>
        </w:rPr>
        <w:t>AS 2885</w:t>
      </w:r>
      <w:r w:rsidRPr="00BA14E9">
        <w:rPr>
          <w:rFonts w:eastAsia="Calibri" w:cs="Calibri"/>
        </w:rPr>
        <w:t xml:space="preserve"> - </w:t>
      </w:r>
      <w:r w:rsidRPr="00BA14E9">
        <w:rPr>
          <w:rFonts w:eastAsia="Calibri" w:cs="Calibri"/>
          <w:i/>
          <w:iCs/>
        </w:rPr>
        <w:t>Pipelines—Gas and liquid petroleum</w:t>
      </w:r>
      <w:r w:rsidRPr="00BA14E9">
        <w:rPr>
          <w:rFonts w:eastAsia="Calibri" w:cs="Calibri"/>
        </w:rPr>
        <w:t>.</w:t>
      </w:r>
    </w:p>
    <w:p w14:paraId="66DF047E" w14:textId="77777777" w:rsidR="00270570" w:rsidRPr="00BA14E9" w:rsidRDefault="00270570" w:rsidP="00270570">
      <w:r w:rsidRPr="00BA14E9">
        <w:t xml:space="preserve">The objective of the APGA Code of Practice is to “enable safe, reliable and efficient transportation and storage of hydrogen in transmission pipeline systems that are required to conform to the </w:t>
      </w:r>
      <w:r w:rsidRPr="003F590A">
        <w:t>AS 2885 Series</w:t>
      </w:r>
      <w:r w:rsidRPr="00BA14E9">
        <w:t xml:space="preserve">.” The APGA Code of Practice also references adoption of other international codes where suitable guidance is available. </w:t>
      </w:r>
    </w:p>
    <w:p w14:paraId="14BC31F0" w14:textId="26DC6DA6" w:rsidR="00270570" w:rsidRPr="00BA14E9" w:rsidRDefault="00270570" w:rsidP="00270570">
      <w:r w:rsidRPr="00BA14E9">
        <w:t xml:space="preserve">Where </w:t>
      </w:r>
      <w:r w:rsidR="00AD0D83">
        <w:t>the</w:t>
      </w:r>
      <w:r w:rsidRPr="00BA14E9">
        <w:t xml:space="preserve"> effects of hydrogen on material performance or integrity management are not sufficiently defined or understood in current knowledge, the APGA Code of Practice recommends suitable design and operating envelopes based on the current knowledge and assessment methods available </w:t>
      </w:r>
      <w:proofErr w:type="gramStart"/>
      <w:r w:rsidRPr="00BA14E9">
        <w:t>and also</w:t>
      </w:r>
      <w:proofErr w:type="gramEnd"/>
      <w:r w:rsidRPr="00BA14E9">
        <w:t xml:space="preserve"> addresses retrospective conversion of existing pipeline systems. </w:t>
      </w:r>
    </w:p>
    <w:p w14:paraId="12D487B3" w14:textId="77777777" w:rsidR="00270570" w:rsidRPr="00BA14E9" w:rsidRDefault="00270570" w:rsidP="00270570">
      <w:r w:rsidRPr="00BA14E9">
        <w:t>The APGA Code of Practice addresses the following matters regarding hydrogen pipelines:</w:t>
      </w:r>
    </w:p>
    <w:p w14:paraId="7E66AAC0" w14:textId="77777777" w:rsidR="00270570" w:rsidRPr="00BA14E9" w:rsidRDefault="00270570" w:rsidP="006634DE">
      <w:pPr>
        <w:pStyle w:val="ListParagraph"/>
        <w:numPr>
          <w:ilvl w:val="0"/>
          <w:numId w:val="4"/>
        </w:numPr>
        <w:ind w:left="714" w:hanging="357"/>
        <w:contextualSpacing w:val="0"/>
      </w:pPr>
      <w:r w:rsidRPr="00BA14E9">
        <w:t>Chapter 3 provides guidance on the physical properties of hydrogen</w:t>
      </w:r>
    </w:p>
    <w:p w14:paraId="43B187F4" w14:textId="77777777" w:rsidR="00270570" w:rsidRPr="00BA14E9" w:rsidRDefault="00270570" w:rsidP="006634DE">
      <w:pPr>
        <w:pStyle w:val="ListParagraph"/>
        <w:numPr>
          <w:ilvl w:val="0"/>
          <w:numId w:val="4"/>
        </w:numPr>
        <w:ind w:left="714" w:hanging="357"/>
        <w:contextualSpacing w:val="0"/>
      </w:pPr>
      <w:r w:rsidRPr="00BA14E9">
        <w:t>Chapter 4 provides guidance on pipeline system compatibility</w:t>
      </w:r>
    </w:p>
    <w:p w14:paraId="0CB96D64" w14:textId="77777777" w:rsidR="00270570" w:rsidRPr="00BA14E9" w:rsidRDefault="00270570" w:rsidP="006634DE">
      <w:pPr>
        <w:pStyle w:val="ListParagraph"/>
        <w:numPr>
          <w:ilvl w:val="0"/>
          <w:numId w:val="4"/>
        </w:numPr>
        <w:ind w:left="714" w:hanging="357"/>
        <w:contextualSpacing w:val="0"/>
      </w:pPr>
      <w:r w:rsidRPr="00BA14E9">
        <w:t>Chapter 5 provides guidance on carbon steel line piping</w:t>
      </w:r>
    </w:p>
    <w:p w14:paraId="40A64F53" w14:textId="77777777" w:rsidR="00270570" w:rsidRPr="00BA14E9" w:rsidRDefault="00270570" w:rsidP="006634DE">
      <w:pPr>
        <w:pStyle w:val="ListParagraph"/>
        <w:numPr>
          <w:ilvl w:val="0"/>
          <w:numId w:val="4"/>
        </w:numPr>
        <w:ind w:left="714" w:hanging="357"/>
        <w:contextualSpacing w:val="0"/>
      </w:pPr>
      <w:r w:rsidRPr="00BA14E9">
        <w:t>Chapter 6 provides guidance on hydrogen pipeline design</w:t>
      </w:r>
    </w:p>
    <w:p w14:paraId="473DED42" w14:textId="77777777" w:rsidR="00270570" w:rsidRPr="00BA14E9" w:rsidRDefault="00270570" w:rsidP="006634DE">
      <w:pPr>
        <w:pStyle w:val="ListParagraph"/>
        <w:numPr>
          <w:ilvl w:val="0"/>
          <w:numId w:val="4"/>
        </w:numPr>
        <w:ind w:left="714" w:hanging="357"/>
        <w:contextualSpacing w:val="0"/>
      </w:pPr>
      <w:r w:rsidRPr="00BA14E9">
        <w:t>Chapter 7 provides guidance on pipeline welding</w:t>
      </w:r>
    </w:p>
    <w:p w14:paraId="2DC3C91B" w14:textId="77777777" w:rsidR="00270570" w:rsidRPr="00BA14E9" w:rsidRDefault="00270570" w:rsidP="006634DE">
      <w:pPr>
        <w:pStyle w:val="ListParagraph"/>
        <w:numPr>
          <w:ilvl w:val="0"/>
          <w:numId w:val="4"/>
        </w:numPr>
        <w:ind w:left="714" w:hanging="357"/>
        <w:contextualSpacing w:val="0"/>
      </w:pPr>
      <w:r w:rsidRPr="00BA14E9">
        <w:t>Chapter 8 provides guidance on repurposing existing pipelines</w:t>
      </w:r>
    </w:p>
    <w:p w14:paraId="4B06D944" w14:textId="77777777" w:rsidR="00270570" w:rsidRPr="00BA14E9" w:rsidRDefault="00270570" w:rsidP="006634DE">
      <w:pPr>
        <w:pStyle w:val="ListParagraph"/>
        <w:numPr>
          <w:ilvl w:val="0"/>
          <w:numId w:val="4"/>
        </w:numPr>
        <w:ind w:left="714" w:hanging="357"/>
        <w:contextualSpacing w:val="0"/>
      </w:pPr>
      <w:r w:rsidRPr="00BA14E9">
        <w:t>Chapter 9 provides guidance on integrity management</w:t>
      </w:r>
    </w:p>
    <w:p w14:paraId="60C9D1FA" w14:textId="77777777" w:rsidR="00270570" w:rsidRPr="00BA14E9" w:rsidRDefault="00270570" w:rsidP="006634DE">
      <w:pPr>
        <w:pStyle w:val="ListParagraph"/>
        <w:numPr>
          <w:ilvl w:val="0"/>
          <w:numId w:val="4"/>
        </w:numPr>
        <w:ind w:left="714" w:hanging="357"/>
        <w:contextualSpacing w:val="0"/>
      </w:pPr>
      <w:r w:rsidRPr="00BA14E9">
        <w:t>Chapter 10 provides guidance on composite pipeline material</w:t>
      </w:r>
    </w:p>
    <w:p w14:paraId="39896094" w14:textId="77777777" w:rsidR="00270570" w:rsidRPr="00BA14E9" w:rsidRDefault="00270570" w:rsidP="006634DE">
      <w:pPr>
        <w:pStyle w:val="ListParagraph"/>
        <w:numPr>
          <w:ilvl w:val="0"/>
          <w:numId w:val="4"/>
        </w:numPr>
        <w:contextualSpacing w:val="0"/>
      </w:pPr>
      <w:r w:rsidRPr="00BA14E9">
        <w:t>Chapter 11 provides guidance on pipeline safety.</w:t>
      </w:r>
    </w:p>
    <w:p w14:paraId="5F5F7C9D" w14:textId="0AB19E0C" w:rsidR="00270570" w:rsidRPr="00BA14E9" w:rsidRDefault="00270570" w:rsidP="00EA6EBC">
      <w:pPr>
        <w:pStyle w:val="Heading2"/>
      </w:pPr>
      <w:bookmarkStart w:id="37" w:name="_Toc222112254"/>
      <w:bookmarkStart w:id="38" w:name="_Toc222925482"/>
      <w:bookmarkEnd w:id="37"/>
      <w:r w:rsidRPr="00BA14E9">
        <w:t>Hazardous Area Classification for hydrogen pipelines</w:t>
      </w:r>
      <w:bookmarkEnd w:id="38"/>
      <w:r w:rsidR="000C04EA">
        <w:t xml:space="preserve"> </w:t>
      </w:r>
      <w:r w:rsidRPr="00BA14E9">
        <w:tab/>
      </w:r>
    </w:p>
    <w:p w14:paraId="6D3C7663" w14:textId="52504B88" w:rsidR="00270570" w:rsidRPr="00BA14E9" w:rsidRDefault="00270570" w:rsidP="00270570">
      <w:pPr>
        <w:rPr>
          <w:rFonts w:cs="Calibri"/>
        </w:rPr>
      </w:pPr>
      <w:r w:rsidRPr="00BA14E9">
        <w:rPr>
          <w:rFonts w:cs="Calibri"/>
        </w:rPr>
        <w:t xml:space="preserve">Hazardous Area Classification identifies areas in a pipeline where there are risks of flammable atmospheres forming. To address these risks, industry standards require the identification and classification of hazardous areas where such atmospheres might exist. This process of hazardous area classification is governed internationally by the </w:t>
      </w:r>
      <w:r w:rsidRPr="00BA14E9">
        <w:rPr>
          <w:rFonts w:cs="Calibri"/>
          <w:b/>
          <w:bCs/>
        </w:rPr>
        <w:t>IEC 60079-10-1</w:t>
      </w:r>
      <w:r w:rsidRPr="00BA14E9">
        <w:rPr>
          <w:rFonts w:cs="Calibri"/>
        </w:rPr>
        <w:t xml:space="preserve"> </w:t>
      </w:r>
      <w:r w:rsidRPr="00BA14E9">
        <w:rPr>
          <w:rFonts w:cs="Calibri"/>
        </w:rPr>
        <w:lastRenderedPageBreak/>
        <w:t>standard and is adopted through ATEX</w:t>
      </w:r>
      <w:r w:rsidRPr="00BA14E9">
        <w:rPr>
          <w:rStyle w:val="FootnoteReference"/>
          <w:rFonts w:cs="Calibri"/>
        </w:rPr>
        <w:footnoteReference w:id="4"/>
      </w:r>
      <w:r w:rsidRPr="00BA14E9">
        <w:rPr>
          <w:rFonts w:cs="Calibri"/>
        </w:rPr>
        <w:t xml:space="preserve"> </w:t>
      </w:r>
      <w:r w:rsidR="00BB3D2C">
        <w:rPr>
          <w:rFonts w:cs="Calibri"/>
        </w:rPr>
        <w:t>explosives atmosphere certification</w:t>
      </w:r>
      <w:r w:rsidRPr="00BA14E9">
        <w:rPr>
          <w:rFonts w:cs="Calibri"/>
        </w:rPr>
        <w:t xml:space="preserve"> in Europe and </w:t>
      </w:r>
      <w:r w:rsidRPr="00BA14E9">
        <w:rPr>
          <w:rFonts w:cs="Calibri"/>
          <w:b/>
          <w:bCs/>
        </w:rPr>
        <w:t>AS/NZS 60079.10.1</w:t>
      </w:r>
      <w:r w:rsidRPr="00BA14E9">
        <w:rPr>
          <w:rStyle w:val="FootnoteReference"/>
          <w:rFonts w:cs="Calibri"/>
        </w:rPr>
        <w:footnoteReference w:id="5"/>
      </w:r>
      <w:r w:rsidRPr="00BA14E9">
        <w:rPr>
          <w:rFonts w:cs="Calibri"/>
        </w:rPr>
        <w:t xml:space="preserve"> in Australia and New Zealand. These standards provide a structured methodology for assessing the likelihood of explosive atmospheres and guide how zones are defined and protected.</w:t>
      </w:r>
    </w:p>
    <w:p w14:paraId="4396AE9F" w14:textId="77777777" w:rsidR="00270570" w:rsidRPr="00BA14E9" w:rsidRDefault="00270570" w:rsidP="00270570">
      <w:pPr>
        <w:rPr>
          <w:rFonts w:cs="Calibri"/>
        </w:rPr>
      </w:pPr>
      <w:r w:rsidRPr="00BA14E9">
        <w:rPr>
          <w:rFonts w:cs="Calibri"/>
        </w:rPr>
        <w:t>According to these standards, a hazardous area is any part of a pipeline where an explosive atmosphere such as a hydrogen-air mixture might occur due to the properties of the gas and the pipeline’s operating conditions. By classifying these areas, engineers and operators can determine which equipment is suitable, and what precautions are needed to minimise the risk of ignition.</w:t>
      </w:r>
    </w:p>
    <w:p w14:paraId="06B5F0F1" w14:textId="77777777" w:rsidR="00270570" w:rsidRPr="00BA14E9" w:rsidRDefault="00270570" w:rsidP="00270570">
      <w:pPr>
        <w:rPr>
          <w:rFonts w:cs="Calibri"/>
        </w:rPr>
      </w:pPr>
      <w:r w:rsidRPr="00BA14E9">
        <w:rPr>
          <w:rFonts w:cs="Calibri"/>
        </w:rPr>
        <w:t>Within this framework, areas are divided into zones, based on the frequency and duration of hydrogen presence:</w:t>
      </w:r>
    </w:p>
    <w:p w14:paraId="0CE9059A" w14:textId="77777777" w:rsidR="00270570" w:rsidRPr="00BA14E9" w:rsidRDefault="00270570" w:rsidP="008A0BE1">
      <w:pPr>
        <w:pStyle w:val="ListParagraph"/>
        <w:numPr>
          <w:ilvl w:val="0"/>
          <w:numId w:val="18"/>
        </w:numPr>
        <w:ind w:left="714" w:hanging="357"/>
        <w:contextualSpacing w:val="0"/>
        <w:rPr>
          <w:rFonts w:cs="Calibri"/>
        </w:rPr>
      </w:pPr>
      <w:r w:rsidRPr="00BA14E9">
        <w:rPr>
          <w:rFonts w:cs="Calibri"/>
        </w:rPr>
        <w:t>Zone 0 refers to areas where hydrogen is present continuously or for long periods under normal operations such as inside process vessels or gas lines</w:t>
      </w:r>
    </w:p>
    <w:p w14:paraId="62889353" w14:textId="77777777" w:rsidR="00270570" w:rsidRPr="00BA14E9" w:rsidRDefault="00270570" w:rsidP="008A0BE1">
      <w:pPr>
        <w:pStyle w:val="ListParagraph"/>
        <w:numPr>
          <w:ilvl w:val="0"/>
          <w:numId w:val="18"/>
        </w:numPr>
        <w:ind w:left="714" w:hanging="357"/>
        <w:contextualSpacing w:val="0"/>
        <w:rPr>
          <w:rFonts w:cs="Calibri"/>
        </w:rPr>
      </w:pPr>
      <w:r w:rsidRPr="00BA14E9">
        <w:rPr>
          <w:rFonts w:cs="Calibri"/>
        </w:rPr>
        <w:t>Zone 1 refers to areas where hydrogen is likely to be present during normal operations such as around pressure relief valves, vent outlets, or filling systems</w:t>
      </w:r>
    </w:p>
    <w:p w14:paraId="2C88C1B4" w14:textId="77777777" w:rsidR="00270570" w:rsidRPr="00BA14E9" w:rsidRDefault="00270570" w:rsidP="008A0BE1">
      <w:pPr>
        <w:pStyle w:val="ListParagraph"/>
        <w:numPr>
          <w:ilvl w:val="0"/>
          <w:numId w:val="18"/>
        </w:numPr>
        <w:contextualSpacing w:val="0"/>
        <w:rPr>
          <w:rFonts w:cs="Calibri"/>
        </w:rPr>
      </w:pPr>
      <w:r w:rsidRPr="00BA14E9">
        <w:rPr>
          <w:rFonts w:cs="Calibri"/>
        </w:rPr>
        <w:t>Zone 2 covers locations where hydrogen is not expected under normal conditions but may appear briefly in the event of a leak, these are usually areas surrounding well-maintained, sealed equipment.</w:t>
      </w:r>
    </w:p>
    <w:p w14:paraId="157BD51C" w14:textId="5DA47268" w:rsidR="00270570" w:rsidRDefault="00270570" w:rsidP="00270570">
      <w:pPr>
        <w:rPr>
          <w:rFonts w:cs="Calibri"/>
        </w:rPr>
      </w:pPr>
      <w:r w:rsidRPr="00BA14E9">
        <w:rPr>
          <w:rFonts w:cs="Calibri"/>
        </w:rPr>
        <w:t xml:space="preserve">Once zones are classified, the explosion-protected equipment </w:t>
      </w:r>
      <w:r w:rsidR="001F49BD">
        <w:rPr>
          <w:rFonts w:cs="Calibri"/>
        </w:rPr>
        <w:t xml:space="preserve">appropriate to the relevant zone </w:t>
      </w:r>
      <w:r w:rsidRPr="00BA14E9">
        <w:rPr>
          <w:rFonts w:cs="Calibri"/>
        </w:rPr>
        <w:t>is selected and installed. In these areas, work and maintenance activities are restricted or subject to special precautions (</w:t>
      </w:r>
      <w:r w:rsidR="005C6F4C">
        <w:rPr>
          <w:rFonts w:cs="Calibri"/>
        </w:rPr>
        <w:t xml:space="preserve">for example, </w:t>
      </w:r>
      <w:r w:rsidRPr="00BA14E9">
        <w:rPr>
          <w:rFonts w:cs="Calibri"/>
        </w:rPr>
        <w:t>no naked flames, no smoking, no hot work without a work permit). Ventilation is employed strategically, and leak detection systems are deployed to provide early warning of gas release.</w:t>
      </w:r>
    </w:p>
    <w:p w14:paraId="4B62525B" w14:textId="271840DB" w:rsidR="00764112" w:rsidRPr="00BA14E9" w:rsidRDefault="00764112" w:rsidP="00270570">
      <w:pPr>
        <w:rPr>
          <w:rFonts w:cs="Calibri"/>
        </w:rPr>
      </w:pPr>
      <w:r>
        <w:rPr>
          <w:rFonts w:cs="Calibri"/>
        </w:rPr>
        <w:t>AS</w:t>
      </w:r>
      <w:r w:rsidR="006B48B2">
        <w:rPr>
          <w:rFonts w:cs="Calibri"/>
        </w:rPr>
        <w:t>/NZ</w:t>
      </w:r>
      <w:r w:rsidR="00033D1B">
        <w:rPr>
          <w:rFonts w:cs="Calibri"/>
        </w:rPr>
        <w:t>S</w:t>
      </w:r>
      <w:r w:rsidR="006B48B2">
        <w:rPr>
          <w:rFonts w:cs="Calibri"/>
        </w:rPr>
        <w:t xml:space="preserve"> 60079 also instructs </w:t>
      </w:r>
      <w:r w:rsidR="00D358F6">
        <w:rPr>
          <w:rFonts w:cs="Calibri"/>
        </w:rPr>
        <w:t xml:space="preserve">on </w:t>
      </w:r>
      <w:r w:rsidR="006B48B2">
        <w:rPr>
          <w:rFonts w:cs="Calibri"/>
        </w:rPr>
        <w:t xml:space="preserve">the safe use and setup of electrical barriers for connecting </w:t>
      </w:r>
      <w:proofErr w:type="gramStart"/>
      <w:r w:rsidR="006B48B2">
        <w:rPr>
          <w:rFonts w:cs="Calibri"/>
        </w:rPr>
        <w:t>non explosive</w:t>
      </w:r>
      <w:proofErr w:type="gramEnd"/>
      <w:r w:rsidR="006B48B2">
        <w:rPr>
          <w:rFonts w:cs="Calibri"/>
        </w:rPr>
        <w:t xml:space="preserve">-rated equipment located </w:t>
      </w:r>
      <w:r w:rsidR="00D358F6">
        <w:rPr>
          <w:rFonts w:cs="Calibri"/>
        </w:rPr>
        <w:t>outside</w:t>
      </w:r>
      <w:r w:rsidR="006B48B2">
        <w:rPr>
          <w:rFonts w:cs="Calibri"/>
        </w:rPr>
        <w:t xml:space="preserve"> a classified zone to </w:t>
      </w:r>
      <w:r w:rsidR="00DA5BC7">
        <w:rPr>
          <w:rFonts w:cs="Calibri"/>
        </w:rPr>
        <w:t>explosive-rated apparatus inside a zone.</w:t>
      </w:r>
    </w:p>
    <w:p w14:paraId="2804137F" w14:textId="1AF93CA9" w:rsidR="00270570" w:rsidRPr="00BA14E9" w:rsidRDefault="00270570" w:rsidP="00270570">
      <w:pPr>
        <w:rPr>
          <w:rFonts w:cs="Calibri"/>
        </w:rPr>
      </w:pPr>
      <w:r w:rsidRPr="00BA14E9">
        <w:rPr>
          <w:rFonts w:cs="Calibri"/>
        </w:rPr>
        <w:t>This systematic approach ensures that any work conducted near hydrogen is done with full awareness of the environment’s risks. The classification of the area ensures that</w:t>
      </w:r>
      <w:r w:rsidR="009F00AE">
        <w:rPr>
          <w:rFonts w:cs="Calibri"/>
        </w:rPr>
        <w:t xml:space="preserve"> personal protective equipment </w:t>
      </w:r>
      <w:r w:rsidR="00842CE8">
        <w:rPr>
          <w:rFonts w:cs="Calibri"/>
        </w:rPr>
        <w:t>is rated to the appropriate standard, and</w:t>
      </w:r>
      <w:r w:rsidRPr="00BA14E9" w:rsidDel="009F00AE">
        <w:rPr>
          <w:rFonts w:cs="Calibri"/>
        </w:rPr>
        <w:t xml:space="preserve"> </w:t>
      </w:r>
      <w:r w:rsidRPr="00BA14E9">
        <w:rPr>
          <w:rFonts w:cs="Calibri"/>
        </w:rPr>
        <w:t>electrical equipment has the appropriate type of protection to keep risks and hazards to an acceptably low level. The probability of a flammable gas such as hydrogen being present within a specific area of plant is used as the basis for hazardous area classification.</w:t>
      </w:r>
    </w:p>
    <w:p w14:paraId="3F6CB618" w14:textId="77777777" w:rsidR="00270570" w:rsidRPr="00BA14E9" w:rsidRDefault="00270570" w:rsidP="00270570">
      <w:pPr>
        <w:rPr>
          <w:rFonts w:asciiTheme="minorHAnsi" w:hAnsiTheme="minorHAnsi"/>
          <w:sz w:val="22"/>
        </w:rPr>
      </w:pPr>
    </w:p>
    <w:p w14:paraId="7813E356" w14:textId="0746EF75" w:rsidR="00DC5EC2" w:rsidRPr="00BA14E9" w:rsidRDefault="00DC5EC2" w:rsidP="00DC5EC2">
      <w:pPr>
        <w:pStyle w:val="Heading1"/>
        <w:rPr>
          <w:rFonts w:cs="Calibri"/>
        </w:rPr>
      </w:pPr>
      <w:bookmarkStart w:id="39" w:name="_Toc222925483"/>
      <w:r w:rsidRPr="00BA14E9">
        <w:t xml:space="preserve">Chapter </w:t>
      </w:r>
      <w:r w:rsidR="002D71D0">
        <w:t>3</w:t>
      </w:r>
      <w:r w:rsidRPr="00BA14E9">
        <w:t xml:space="preserve"> </w:t>
      </w:r>
      <w:r w:rsidR="00146632">
        <w:t>–</w:t>
      </w:r>
      <w:r w:rsidRPr="00BA14E9">
        <w:t xml:space="preserve"> Regulation of new vs repurposing existing pipelines</w:t>
      </w:r>
      <w:bookmarkEnd w:id="39"/>
    </w:p>
    <w:p w14:paraId="639B5C17" w14:textId="04C4EB77" w:rsidR="00D0277B" w:rsidRPr="00BA14E9" w:rsidRDefault="00D0277B" w:rsidP="00D0277B">
      <w:r w:rsidRPr="00BA14E9">
        <w:t xml:space="preserve">Repurposing existing pipelines for hydrogen is a key decarbonisation </w:t>
      </w:r>
      <w:r w:rsidR="0030014F">
        <w:t>approach</w:t>
      </w:r>
      <w:r w:rsidRPr="00BA14E9">
        <w:t xml:space="preserve"> under the National Hydrogen Strategy. </w:t>
      </w:r>
      <w:r w:rsidRPr="00BA14E9">
        <w:rPr>
          <w:rFonts w:cs="Calibri"/>
          <w:szCs w:val="24"/>
        </w:rPr>
        <w:t>Adapting</w:t>
      </w:r>
      <w:r w:rsidRPr="00BA14E9">
        <w:t xml:space="preserve"> existing </w:t>
      </w:r>
      <w:r w:rsidRPr="00BA14E9">
        <w:rPr>
          <w:rFonts w:cs="Calibri"/>
          <w:szCs w:val="24"/>
        </w:rPr>
        <w:t xml:space="preserve">pipeline </w:t>
      </w:r>
      <w:r w:rsidRPr="00BA14E9">
        <w:t xml:space="preserve">infrastructure </w:t>
      </w:r>
      <w:r w:rsidRPr="00BA14E9">
        <w:rPr>
          <w:rFonts w:cs="Calibri"/>
          <w:szCs w:val="24"/>
        </w:rPr>
        <w:t xml:space="preserve">for hydrogen transport presents an opportunity </w:t>
      </w:r>
      <w:r w:rsidRPr="00BA14E9">
        <w:t xml:space="preserve">to </w:t>
      </w:r>
      <w:r w:rsidRPr="00BA14E9">
        <w:rPr>
          <w:rFonts w:cs="Calibri"/>
          <w:szCs w:val="24"/>
        </w:rPr>
        <w:t xml:space="preserve">accelerate Australia’s energy transition while delivering substantial economic benefits. By repurposing assets rather than constructing new pipelines, operators can </w:t>
      </w:r>
      <w:r w:rsidRPr="00BA14E9">
        <w:t xml:space="preserve">reduce </w:t>
      </w:r>
      <w:r w:rsidRPr="00BA14E9">
        <w:rPr>
          <w:rFonts w:cs="Calibri"/>
          <w:szCs w:val="24"/>
        </w:rPr>
        <w:t xml:space="preserve">capital </w:t>
      </w:r>
      <w:r w:rsidRPr="00BA14E9">
        <w:t>costs</w:t>
      </w:r>
      <w:r w:rsidRPr="00BA14E9">
        <w:rPr>
          <w:rFonts w:cs="Calibri"/>
          <w:szCs w:val="24"/>
        </w:rPr>
        <w:t>, shorten project timelines, and optimise the use of established corridors. This approach also minimises land disturbance</w:t>
      </w:r>
      <w:r w:rsidRPr="00BA14E9">
        <w:t xml:space="preserve"> and environmental </w:t>
      </w:r>
      <w:r w:rsidR="00775DC1">
        <w:t>and cultural</w:t>
      </w:r>
      <w:r w:rsidRPr="00BA14E9">
        <w:t xml:space="preserve"> </w:t>
      </w:r>
      <w:r w:rsidRPr="00BA14E9">
        <w:rPr>
          <w:rFonts w:cs="Calibri"/>
          <w:szCs w:val="24"/>
        </w:rPr>
        <w:t>impact supporting national sustainability objectives and reducing the overall footprint of energy infrastructure.</w:t>
      </w:r>
      <w:r w:rsidRPr="00BA14E9">
        <w:t xml:space="preserve"> </w:t>
      </w:r>
    </w:p>
    <w:p w14:paraId="5A28BB31" w14:textId="0748D2D4" w:rsidR="00D0277B" w:rsidRPr="00BA14E9" w:rsidRDefault="00D0277B" w:rsidP="00D0277B">
      <w:pPr>
        <w:rPr>
          <w:rFonts w:cs="Calibri"/>
          <w:szCs w:val="24"/>
        </w:rPr>
      </w:pPr>
      <w:r w:rsidRPr="00BA14E9">
        <w:rPr>
          <w:rFonts w:cs="Calibri"/>
          <w:szCs w:val="24"/>
        </w:rPr>
        <w:t>While adapting existing pipelines for hydrogen transport offers economic</w:t>
      </w:r>
      <w:r w:rsidR="001841CE">
        <w:rPr>
          <w:rFonts w:cs="Calibri"/>
          <w:szCs w:val="24"/>
        </w:rPr>
        <w:t>,</w:t>
      </w:r>
      <w:r w:rsidRPr="00BA14E9">
        <w:rPr>
          <w:rFonts w:cs="Calibri"/>
          <w:szCs w:val="24"/>
        </w:rPr>
        <w:t xml:space="preserve"> environmental </w:t>
      </w:r>
      <w:r w:rsidR="001841CE">
        <w:rPr>
          <w:rFonts w:cs="Calibri"/>
          <w:szCs w:val="24"/>
        </w:rPr>
        <w:t xml:space="preserve">and cultural heritage </w:t>
      </w:r>
      <w:r w:rsidRPr="00BA14E9">
        <w:rPr>
          <w:rFonts w:cs="Calibri"/>
          <w:szCs w:val="24"/>
        </w:rPr>
        <w:t>benefits, success depends on a rigorous approach to technical integrity, safety, and regulatory compliance. Meeting these requirements will enable Australia to realise the advantages of hydrogen infrastructure without compromising safety, environmental integrity, or cultural values.</w:t>
      </w:r>
    </w:p>
    <w:p w14:paraId="09CD1DF0" w14:textId="2C230516" w:rsidR="009372B5" w:rsidRPr="00BA14E9" w:rsidRDefault="00DC5EC2" w:rsidP="009372B5">
      <w:pPr>
        <w:spacing w:line="278" w:lineRule="auto"/>
      </w:pPr>
      <w:r w:rsidRPr="00BA14E9">
        <w:t>The regulation of natural gas pipelines is well understood and as such this Guidebook focuse</w:t>
      </w:r>
      <w:r w:rsidR="00FD1F24">
        <w:t>s</w:t>
      </w:r>
      <w:r w:rsidRPr="00BA14E9">
        <w:t xml:space="preserve"> on those aspects where application to </w:t>
      </w:r>
      <w:r w:rsidR="00C21A97">
        <w:t xml:space="preserve">the </w:t>
      </w:r>
      <w:r w:rsidR="00E53080">
        <w:t xml:space="preserve">presence of </w:t>
      </w:r>
      <w:r w:rsidRPr="00BA14E9">
        <w:t xml:space="preserve">hydrogen </w:t>
      </w:r>
      <w:r w:rsidR="00E53080">
        <w:t>makes</w:t>
      </w:r>
      <w:r w:rsidR="00E53080" w:rsidRPr="00BA14E9">
        <w:t xml:space="preserve"> </w:t>
      </w:r>
      <w:r w:rsidRPr="00BA14E9">
        <w:t>a material difference</w:t>
      </w:r>
      <w:r w:rsidR="00E53080">
        <w:t xml:space="preserve"> to the operation of such regulations</w:t>
      </w:r>
      <w:r w:rsidRPr="00BA14E9">
        <w:t xml:space="preserve">. </w:t>
      </w:r>
      <w:r w:rsidRPr="00BA14E9">
        <w:rPr>
          <w:rFonts w:cs="Calibri"/>
        </w:rPr>
        <w:t xml:space="preserve">This chapter sets out how regulatory frameworks may operate differently between repurposing existing pipelines for hydrogen and constructing new pipelines. </w:t>
      </w:r>
      <w:r w:rsidR="00FE7EE0" w:rsidRPr="00BA14E9">
        <w:rPr>
          <w:rFonts w:cs="Calibri"/>
        </w:rPr>
        <w:t xml:space="preserve">The </w:t>
      </w:r>
      <w:r w:rsidR="00FE7EE0">
        <w:rPr>
          <w:rFonts w:cs="Calibri"/>
        </w:rPr>
        <w:t>remainder</w:t>
      </w:r>
      <w:r w:rsidR="00FE7EE0" w:rsidRPr="00BA14E9">
        <w:rPr>
          <w:rFonts w:cs="Calibri"/>
        </w:rPr>
        <w:t xml:space="preserve"> this Guidebook discusses how regulatory obligations apply to hydrogen </w:t>
      </w:r>
      <w:r w:rsidR="00FE7EE0">
        <w:rPr>
          <w:rFonts w:cs="Calibri"/>
        </w:rPr>
        <w:t xml:space="preserve">pipelines </w:t>
      </w:r>
      <w:r w:rsidR="00FE7EE0" w:rsidRPr="00BA14E9">
        <w:rPr>
          <w:rFonts w:cs="Calibri"/>
        </w:rPr>
        <w:t>generally.</w:t>
      </w:r>
      <w:r w:rsidR="009372B5">
        <w:rPr>
          <w:rFonts w:cs="Calibri"/>
        </w:rPr>
        <w:t xml:space="preserve"> </w:t>
      </w:r>
      <w:r w:rsidR="009372B5" w:rsidRPr="00BA14E9">
        <w:t xml:space="preserve">Annexure </w:t>
      </w:r>
      <w:r w:rsidR="00C05FEF">
        <w:t>3</w:t>
      </w:r>
      <w:r w:rsidR="009372B5" w:rsidRPr="00BA14E9">
        <w:t xml:space="preserve"> provides further details on jurisdiction specific repurposing obligations.</w:t>
      </w:r>
    </w:p>
    <w:p w14:paraId="357869C1" w14:textId="5466BB4E" w:rsidR="007E1600" w:rsidRDefault="00DC5EC2">
      <w:pPr>
        <w:spacing w:line="278" w:lineRule="auto"/>
        <w:rPr>
          <w:rFonts w:cs="Calibri"/>
          <w:szCs w:val="24"/>
        </w:rPr>
      </w:pPr>
      <w:r w:rsidRPr="00BA14E9">
        <w:rPr>
          <w:rFonts w:cs="Calibri"/>
          <w:szCs w:val="24"/>
        </w:rPr>
        <w:t xml:space="preserve">Conversion </w:t>
      </w:r>
      <w:r w:rsidR="00A64331">
        <w:rPr>
          <w:rFonts w:cs="Calibri"/>
          <w:szCs w:val="24"/>
        </w:rPr>
        <w:t>of pipelines for a</w:t>
      </w:r>
      <w:r w:rsidRPr="00BA14E9">
        <w:rPr>
          <w:rFonts w:cs="Calibri"/>
          <w:szCs w:val="24"/>
        </w:rPr>
        <w:t xml:space="preserve"> new hydrogen service typically triggers comprehensive risk assessments, approvals or re-approvals, and may require amendments to existing licences under state and territory pipeline legislation. </w:t>
      </w:r>
      <w:r w:rsidR="0016421B" w:rsidRPr="00BA14E9">
        <w:t xml:space="preserve">Across all jurisdictions, repurposing pipelines for hydrogen requires updating Safety Management Systems (SMSs) and conducting hydrogen compatibility studies. </w:t>
      </w:r>
      <w:r w:rsidR="007E1600">
        <w:rPr>
          <w:rFonts w:cs="Calibri"/>
          <w:szCs w:val="24"/>
        </w:rPr>
        <w:t xml:space="preserve">For example, broadly speaking for work health and safety laws </w:t>
      </w:r>
      <w:r w:rsidR="00C87FB5" w:rsidRPr="00E3490F">
        <w:rPr>
          <w:rFonts w:cs="Calibri"/>
          <w:szCs w:val="24"/>
        </w:rPr>
        <w:t>before the repurposing occurs</w:t>
      </w:r>
      <w:r w:rsidR="00C87FB5">
        <w:rPr>
          <w:rFonts w:cs="Calibri"/>
          <w:szCs w:val="24"/>
        </w:rPr>
        <w:t xml:space="preserve"> </w:t>
      </w:r>
      <w:r w:rsidR="007E1600">
        <w:rPr>
          <w:rFonts w:cs="Calibri"/>
          <w:szCs w:val="24"/>
        </w:rPr>
        <w:t>proponents</w:t>
      </w:r>
      <w:r w:rsidR="007E1600" w:rsidRPr="00E3490F">
        <w:rPr>
          <w:rFonts w:cs="Calibri"/>
          <w:szCs w:val="24"/>
        </w:rPr>
        <w:t xml:space="preserve"> must review and as necessary revise control measures </w:t>
      </w:r>
      <w:r w:rsidR="00C87FB5">
        <w:rPr>
          <w:rFonts w:cs="Calibri"/>
          <w:szCs w:val="24"/>
        </w:rPr>
        <w:t>where</w:t>
      </w:r>
      <w:r w:rsidR="0030300A">
        <w:rPr>
          <w:rFonts w:cs="Calibri"/>
          <w:szCs w:val="24"/>
        </w:rPr>
        <w:t xml:space="preserve"> a </w:t>
      </w:r>
      <w:r w:rsidR="007E1600" w:rsidRPr="00E3490F">
        <w:rPr>
          <w:rFonts w:cs="Calibri"/>
          <w:szCs w:val="24"/>
        </w:rPr>
        <w:t xml:space="preserve">change </w:t>
      </w:r>
      <w:r w:rsidR="00C87FB5">
        <w:rPr>
          <w:rFonts w:cs="Calibri"/>
          <w:szCs w:val="24"/>
        </w:rPr>
        <w:t xml:space="preserve">will </w:t>
      </w:r>
      <w:r w:rsidR="007E1600" w:rsidRPr="00E3490F">
        <w:rPr>
          <w:rFonts w:cs="Calibri"/>
          <w:szCs w:val="24"/>
        </w:rPr>
        <w:t xml:space="preserve">likely to give rise to a new or different risk, </w:t>
      </w:r>
      <w:r w:rsidR="00C87FB5">
        <w:rPr>
          <w:rFonts w:cs="Calibri"/>
          <w:szCs w:val="24"/>
        </w:rPr>
        <w:t xml:space="preserve">or </w:t>
      </w:r>
      <w:r w:rsidR="007E1600" w:rsidRPr="00E3490F">
        <w:rPr>
          <w:rFonts w:cs="Calibri"/>
          <w:szCs w:val="24"/>
        </w:rPr>
        <w:t>if new information about a risk or control measure becomes available</w:t>
      </w:r>
      <w:r w:rsidR="007E1600">
        <w:rPr>
          <w:rFonts w:cs="Calibri"/>
          <w:szCs w:val="24"/>
        </w:rPr>
        <w:t>.</w:t>
      </w:r>
    </w:p>
    <w:p w14:paraId="6E26D42D" w14:textId="77777777" w:rsidR="00546FFD" w:rsidRPr="00BA14E9" w:rsidRDefault="00546FFD" w:rsidP="00546FFD">
      <w:pPr>
        <w:spacing w:line="278" w:lineRule="auto"/>
      </w:pPr>
      <w:r w:rsidRPr="00BA14E9">
        <w:rPr>
          <w:rFonts w:cs="Calibri"/>
        </w:rPr>
        <w:t xml:space="preserve">Repurposing existing pipelines </w:t>
      </w:r>
      <w:r w:rsidRPr="00BA14E9">
        <w:t xml:space="preserve">is a multi-step process requiring technical validation, </w:t>
      </w:r>
      <w:r w:rsidRPr="00BA14E9">
        <w:rPr>
          <w:rFonts w:cs="Calibri"/>
        </w:rPr>
        <w:t>a reconsideration of safety assessments, safety approvals and licensing requirements</w:t>
      </w:r>
      <w:r w:rsidRPr="00BA14E9">
        <w:t xml:space="preserve"> regulatory approvals, and compliance with environmental, and cultural obligations. Early engagement with regulators is essential to streamline timelines and support Australia’s transition to hydrogen-ready infrastructure.</w:t>
      </w:r>
    </w:p>
    <w:p w14:paraId="7146081C" w14:textId="3DA158B0" w:rsidR="00546FFD" w:rsidRPr="00FA00A0" w:rsidRDefault="00FA00A0" w:rsidP="008A0BE1">
      <w:pPr>
        <w:pStyle w:val="Heading2"/>
      </w:pPr>
      <w:bookmarkStart w:id="40" w:name="_Toc222925484"/>
      <w:r w:rsidRPr="00FA00A0">
        <w:lastRenderedPageBreak/>
        <w:t>National regulation of access, competition and security</w:t>
      </w:r>
      <w:bookmarkEnd w:id="40"/>
    </w:p>
    <w:p w14:paraId="1A8D0683" w14:textId="36D7BA37" w:rsidR="008E014B" w:rsidRPr="008E014B" w:rsidRDefault="00DC769E" w:rsidP="008A0BE1">
      <w:pPr>
        <w:spacing w:line="278" w:lineRule="auto"/>
      </w:pPr>
      <w:r w:rsidRPr="00BA14E9">
        <w:t xml:space="preserve">Under the National Gas Law (NGL) and National Gas Rules (NGR), repurposing does not exempt pipelines from access and transparency obligations. The Australian Energy Regulator (AER) oversees classification and reclassification of pipelines, including those converted for hydrogen, through its regulatory determinations process. Operators may need to apply for changes in regulatory coverage or the form of regulation if repurposing alters market dynamics. These processes ensure alignment with the National Gas Objective while accommodating new energy carriers. </w:t>
      </w:r>
      <w:r w:rsidR="008E014B" w:rsidRPr="00BF3F1A">
        <w:rPr>
          <w:rFonts w:cs="Calibri"/>
        </w:rPr>
        <w:t>See Annexure 3, Table 3.</w:t>
      </w:r>
      <w:r w:rsidR="008E014B">
        <w:rPr>
          <w:rFonts w:cs="Calibri"/>
        </w:rPr>
        <w:t>1</w:t>
      </w:r>
      <w:r w:rsidR="008E014B" w:rsidRPr="00BF3F1A">
        <w:rPr>
          <w:rFonts w:cs="Calibri"/>
        </w:rPr>
        <w:t xml:space="preserve"> for further </w:t>
      </w:r>
      <w:r w:rsidR="008F5D56">
        <w:rPr>
          <w:rFonts w:cs="Calibri"/>
        </w:rPr>
        <w:t>details</w:t>
      </w:r>
      <w:r w:rsidR="008E014B" w:rsidRPr="00BF3F1A">
        <w:rPr>
          <w:rFonts w:cs="Calibri"/>
        </w:rPr>
        <w:t>.</w:t>
      </w:r>
    </w:p>
    <w:p w14:paraId="196973EA" w14:textId="311E27E2" w:rsidR="00DC769E" w:rsidRPr="00BA14E9" w:rsidRDefault="00DC769E" w:rsidP="00DC769E">
      <w:pPr>
        <w:spacing w:line="278" w:lineRule="auto"/>
      </w:pPr>
      <w:r w:rsidRPr="00BA14E9">
        <w:t xml:space="preserve">Repurposed pipelines may also fall under the </w:t>
      </w:r>
      <w:r w:rsidRPr="00BA14E9">
        <w:rPr>
          <w:i/>
          <w:iCs/>
        </w:rPr>
        <w:t>Security of Critical Infrastructure Act 2018</w:t>
      </w:r>
      <w:r w:rsidRPr="00BA14E9">
        <w:t xml:space="preserve"> (</w:t>
      </w:r>
      <w:proofErr w:type="spellStart"/>
      <w:r w:rsidRPr="00BA14E9">
        <w:t>Cth</w:t>
      </w:r>
      <w:proofErr w:type="spellEnd"/>
      <w:r w:rsidRPr="00BA14E9">
        <w:t xml:space="preserve">), requiring asset registration and risk management programs overseen by the Cyber and Infrastructure Security Centre. </w:t>
      </w:r>
      <w:r w:rsidR="008E269B" w:rsidRPr="008E269B">
        <w:t>procedural requirements under that legislation will apply.</w:t>
      </w:r>
    </w:p>
    <w:p w14:paraId="735BF856" w14:textId="77777777" w:rsidR="00DC5EC2" w:rsidRPr="00475A2B" w:rsidRDefault="00DC5EC2" w:rsidP="00475A2B">
      <w:pPr>
        <w:pStyle w:val="Heading2"/>
      </w:pPr>
      <w:bookmarkStart w:id="41" w:name="_Toc222925485"/>
      <w:r w:rsidRPr="00475A2B">
        <w:t>Work Health and Safety</w:t>
      </w:r>
      <w:bookmarkEnd w:id="41"/>
    </w:p>
    <w:p w14:paraId="2A52F0F5" w14:textId="724E12C6" w:rsidR="00DC5EC2" w:rsidRDefault="00DC5EC2" w:rsidP="00DC5EC2">
      <w:pPr>
        <w:rPr>
          <w:rFonts w:cs="Calibri"/>
        </w:rPr>
      </w:pPr>
      <w:r>
        <w:rPr>
          <w:rFonts w:cs="Calibri"/>
        </w:rPr>
        <w:t xml:space="preserve">There are a range of </w:t>
      </w:r>
      <w:r w:rsidR="00D84ABE">
        <w:rPr>
          <w:rFonts w:cs="Calibri"/>
        </w:rPr>
        <w:t xml:space="preserve">work health and safety </w:t>
      </w:r>
      <w:r>
        <w:rPr>
          <w:rFonts w:cs="Calibri"/>
        </w:rPr>
        <w:t>obligations relevant to repurposing pipelines:</w:t>
      </w:r>
    </w:p>
    <w:p w14:paraId="4AF2A844" w14:textId="409E0235" w:rsidR="00DC5EC2" w:rsidRPr="00972A6A" w:rsidRDefault="00DC5EC2" w:rsidP="00475A2B">
      <w:pPr>
        <w:numPr>
          <w:ilvl w:val="3"/>
          <w:numId w:val="73"/>
        </w:numPr>
        <w:rPr>
          <w:rFonts w:cs="Calibri"/>
          <w:bCs/>
        </w:rPr>
      </w:pPr>
      <w:r w:rsidRPr="00972A6A">
        <w:rPr>
          <w:rFonts w:cs="Calibri"/>
          <w:bCs/>
        </w:rPr>
        <w:t>Specific prescribed obligations to take actions involving interaction with regulators (</w:t>
      </w:r>
      <w:r w:rsidR="00F61DBE">
        <w:rPr>
          <w:rFonts w:cs="Calibri"/>
          <w:bCs/>
        </w:rPr>
        <w:t>for example</w:t>
      </w:r>
      <w:r w:rsidR="006E0F5F">
        <w:rPr>
          <w:rFonts w:cs="Calibri"/>
          <w:bCs/>
        </w:rPr>
        <w:t>,</w:t>
      </w:r>
      <w:r w:rsidRPr="00972A6A">
        <w:rPr>
          <w:rFonts w:cs="Calibri"/>
          <w:bCs/>
        </w:rPr>
        <w:t xml:space="preserve"> updating a safety case</w:t>
      </w:r>
      <w:proofErr w:type="gramStart"/>
      <w:r w:rsidRPr="00972A6A">
        <w:rPr>
          <w:rFonts w:cs="Calibri"/>
          <w:bCs/>
        </w:rPr>
        <w:t>);</w:t>
      </w:r>
      <w:proofErr w:type="gramEnd"/>
    </w:p>
    <w:p w14:paraId="5A2E1A8F" w14:textId="4A3A17A7" w:rsidR="00DC5EC2" w:rsidRPr="00972A6A" w:rsidRDefault="00DC5EC2" w:rsidP="00475A2B">
      <w:pPr>
        <w:numPr>
          <w:ilvl w:val="3"/>
          <w:numId w:val="73"/>
        </w:numPr>
        <w:rPr>
          <w:rFonts w:cs="Calibri"/>
          <w:bCs/>
        </w:rPr>
      </w:pPr>
      <w:r w:rsidRPr="00972A6A">
        <w:rPr>
          <w:rFonts w:cs="Calibri"/>
          <w:bCs/>
        </w:rPr>
        <w:t>General obligations to review and, as necessary, revise controls, which will be triggered by the repurposing process (</w:t>
      </w:r>
      <w:r w:rsidR="006E0F5F">
        <w:rPr>
          <w:rFonts w:cs="Calibri"/>
          <w:bCs/>
        </w:rPr>
        <w:t>for example,</w:t>
      </w:r>
      <w:r w:rsidRPr="00972A6A">
        <w:rPr>
          <w:rFonts w:cs="Calibri"/>
          <w:bCs/>
        </w:rPr>
        <w:t xml:space="preserve"> reviewing and revising controls to maintain, so far as is reasonably practicable, a work environment that is without risks to health or safety</w:t>
      </w:r>
      <w:proofErr w:type="gramStart"/>
      <w:r w:rsidRPr="00972A6A">
        <w:rPr>
          <w:rFonts w:cs="Calibri"/>
          <w:bCs/>
        </w:rPr>
        <w:t>);</w:t>
      </w:r>
      <w:proofErr w:type="gramEnd"/>
    </w:p>
    <w:p w14:paraId="35BDC255" w14:textId="504FF4AE" w:rsidR="00DC5EC2" w:rsidRPr="00972A6A" w:rsidRDefault="00DC5EC2" w:rsidP="00475A2B">
      <w:pPr>
        <w:numPr>
          <w:ilvl w:val="3"/>
          <w:numId w:val="73"/>
        </w:numPr>
        <w:rPr>
          <w:rFonts w:cs="Calibri"/>
          <w:bCs/>
        </w:rPr>
      </w:pPr>
      <w:r w:rsidRPr="00972A6A">
        <w:rPr>
          <w:rFonts w:cs="Calibri"/>
          <w:bCs/>
        </w:rPr>
        <w:t>General ongoing obligations to do particular things and provide particular information that should be considered and likely updated in light of the repurposing process (</w:t>
      </w:r>
      <w:r w:rsidR="00DC1B4F">
        <w:rPr>
          <w:rFonts w:cs="Calibri"/>
          <w:bCs/>
        </w:rPr>
        <w:t>for example</w:t>
      </w:r>
      <w:r w:rsidRPr="00972A6A">
        <w:rPr>
          <w:rFonts w:cs="Calibri"/>
          <w:bCs/>
        </w:rPr>
        <w:t xml:space="preserve"> duty to ensure, so far as is reasonably practicable, that any labelling, signage or other means of identification of hazardous chemicals on or near the pipe work identifies the makeup of the hazardous chemicals being conveyed); and</w:t>
      </w:r>
    </w:p>
    <w:p w14:paraId="4BD4FD50" w14:textId="746B024A" w:rsidR="00DC5EC2" w:rsidRPr="00972A6A" w:rsidRDefault="00DC5EC2" w:rsidP="00475A2B">
      <w:pPr>
        <w:numPr>
          <w:ilvl w:val="3"/>
          <w:numId w:val="73"/>
        </w:numPr>
        <w:rPr>
          <w:rFonts w:cs="Calibri"/>
          <w:bCs/>
        </w:rPr>
      </w:pPr>
      <w:r w:rsidRPr="00972A6A">
        <w:rPr>
          <w:rFonts w:cs="Calibri"/>
          <w:bCs/>
        </w:rPr>
        <w:t xml:space="preserve">General health and safety risk management obligations that already </w:t>
      </w:r>
      <w:proofErr w:type="gramStart"/>
      <w:r w:rsidRPr="00972A6A">
        <w:rPr>
          <w:rFonts w:cs="Calibri"/>
          <w:bCs/>
        </w:rPr>
        <w:t>apply, and</w:t>
      </w:r>
      <w:proofErr w:type="gramEnd"/>
      <w:r w:rsidRPr="00972A6A">
        <w:rPr>
          <w:rFonts w:cs="Calibri"/>
          <w:bCs/>
        </w:rPr>
        <w:t xml:space="preserve"> will continue to apply during and after the repurposing process (</w:t>
      </w:r>
      <w:r w:rsidR="007C09BB">
        <w:rPr>
          <w:rFonts w:cs="Calibri"/>
          <w:bCs/>
        </w:rPr>
        <w:t>for example</w:t>
      </w:r>
      <w:r w:rsidRPr="00972A6A">
        <w:rPr>
          <w:rFonts w:cs="Calibri"/>
          <w:bCs/>
        </w:rPr>
        <w:t xml:space="preserve"> primary duty to ensure health and safety so far as is reasonably practicable).</w:t>
      </w:r>
    </w:p>
    <w:p w14:paraId="2D8163AA" w14:textId="01072D9A" w:rsidR="00DC5EC2" w:rsidRPr="00BA14E9" w:rsidRDefault="00DC5EC2" w:rsidP="00DC5EC2">
      <w:pPr>
        <w:rPr>
          <w:rFonts w:cs="Calibri"/>
        </w:rPr>
      </w:pPr>
      <w:r>
        <w:rPr>
          <w:rFonts w:cs="Calibri"/>
        </w:rPr>
        <w:t xml:space="preserve"> </w:t>
      </w:r>
      <w:proofErr w:type="gramStart"/>
      <w:r w:rsidRPr="00BA14E9">
        <w:rPr>
          <w:rFonts w:cs="Calibri"/>
        </w:rPr>
        <w:t>In particular, proponents</w:t>
      </w:r>
      <w:proofErr w:type="gramEnd"/>
      <w:r w:rsidRPr="00BA14E9">
        <w:rPr>
          <w:rFonts w:cs="Calibri"/>
        </w:rPr>
        <w:t xml:space="preserve"> should consider the need for a complete reapproval and reassessment of pipeline safety, licensing, planning and environmental approvals. Depending on the jurisdiction and regulatory regime, reapproval may be via a variation process or the change of conditions. Proponents should engage early with regulators in relation to process and content requirements for the assessment and approval to repurpose a pipeline.</w:t>
      </w:r>
    </w:p>
    <w:p w14:paraId="4ED068B1" w14:textId="77777777" w:rsidR="00436181" w:rsidRDefault="00C05FEF" w:rsidP="00DC5EC2">
      <w:pPr>
        <w:rPr>
          <w:rFonts w:cs="Calibri"/>
        </w:rPr>
      </w:pPr>
      <w:r>
        <w:rPr>
          <w:rFonts w:cs="Calibri"/>
        </w:rPr>
        <w:t>See</w:t>
      </w:r>
      <w:r w:rsidR="00436181">
        <w:rPr>
          <w:rFonts w:cs="Calibri"/>
        </w:rPr>
        <w:t>:</w:t>
      </w:r>
    </w:p>
    <w:p w14:paraId="3D3025D4" w14:textId="2BC4F3C2" w:rsidR="00C05FEF" w:rsidRPr="00C92404" w:rsidRDefault="00C05FEF" w:rsidP="00475A2B">
      <w:pPr>
        <w:pStyle w:val="ListParagraph"/>
        <w:numPr>
          <w:ilvl w:val="0"/>
          <w:numId w:val="84"/>
        </w:numPr>
        <w:contextualSpacing w:val="0"/>
        <w:rPr>
          <w:rFonts w:cs="Calibri"/>
        </w:rPr>
      </w:pPr>
      <w:r w:rsidRPr="00C92404">
        <w:rPr>
          <w:rFonts w:cs="Calibri"/>
        </w:rPr>
        <w:t xml:space="preserve">Annexure </w:t>
      </w:r>
      <w:r w:rsidR="008E269B" w:rsidRPr="00C92404">
        <w:rPr>
          <w:rFonts w:cs="Calibri"/>
        </w:rPr>
        <w:t>2</w:t>
      </w:r>
      <w:r w:rsidRPr="00C92404">
        <w:rPr>
          <w:rFonts w:cs="Calibri"/>
        </w:rPr>
        <w:t xml:space="preserve">, Table </w:t>
      </w:r>
      <w:r w:rsidR="00A07E98" w:rsidRPr="00C92404">
        <w:rPr>
          <w:rFonts w:cs="Calibri"/>
        </w:rPr>
        <w:t>2</w:t>
      </w:r>
      <w:r w:rsidR="00BF3F1A" w:rsidRPr="00C92404">
        <w:rPr>
          <w:rFonts w:cs="Calibri"/>
        </w:rPr>
        <w:t>.</w:t>
      </w:r>
      <w:r w:rsidR="00A07E98" w:rsidRPr="00C92404">
        <w:rPr>
          <w:rFonts w:cs="Calibri"/>
        </w:rPr>
        <w:t>7</w:t>
      </w:r>
      <w:r w:rsidR="00BF3F1A" w:rsidRPr="00C92404">
        <w:rPr>
          <w:rFonts w:cs="Calibri"/>
        </w:rPr>
        <w:t xml:space="preserve"> for further information on jurisdiction work health and safety laws.</w:t>
      </w:r>
    </w:p>
    <w:p w14:paraId="6588B1B8" w14:textId="70C7C6D3" w:rsidR="003F1533" w:rsidRPr="00C92404" w:rsidRDefault="003F1533" w:rsidP="00475A2B">
      <w:pPr>
        <w:pStyle w:val="ListParagraph"/>
        <w:numPr>
          <w:ilvl w:val="0"/>
          <w:numId w:val="84"/>
        </w:numPr>
        <w:contextualSpacing w:val="0"/>
        <w:rPr>
          <w:rFonts w:cs="Calibri"/>
        </w:rPr>
      </w:pPr>
      <w:r w:rsidRPr="00C92404">
        <w:rPr>
          <w:rFonts w:cs="Calibri"/>
        </w:rPr>
        <w:t xml:space="preserve">Annexure </w:t>
      </w:r>
      <w:r w:rsidR="00A07E98" w:rsidRPr="00C92404">
        <w:rPr>
          <w:rFonts w:cs="Calibri"/>
        </w:rPr>
        <w:t>2</w:t>
      </w:r>
      <w:r w:rsidRPr="00C92404">
        <w:rPr>
          <w:rFonts w:cs="Calibri"/>
        </w:rPr>
        <w:t xml:space="preserve">, Table </w:t>
      </w:r>
      <w:r w:rsidR="00A07E98" w:rsidRPr="00C92404">
        <w:rPr>
          <w:rFonts w:cs="Calibri"/>
        </w:rPr>
        <w:t>2</w:t>
      </w:r>
      <w:r w:rsidRPr="00C92404">
        <w:rPr>
          <w:rFonts w:cs="Calibri"/>
        </w:rPr>
        <w:t>.</w:t>
      </w:r>
      <w:r w:rsidR="00A07E98" w:rsidRPr="00C92404">
        <w:rPr>
          <w:rFonts w:cs="Calibri"/>
        </w:rPr>
        <w:t>5</w:t>
      </w:r>
      <w:r w:rsidRPr="00C92404">
        <w:rPr>
          <w:rFonts w:cs="Calibri"/>
        </w:rPr>
        <w:t xml:space="preserve"> for further information on gas supply licensing legislation</w:t>
      </w:r>
    </w:p>
    <w:p w14:paraId="0A268BAB" w14:textId="5E5D215A" w:rsidR="00436181" w:rsidRPr="00C92404" w:rsidRDefault="00436181" w:rsidP="00475A2B">
      <w:pPr>
        <w:pStyle w:val="ListParagraph"/>
        <w:numPr>
          <w:ilvl w:val="0"/>
          <w:numId w:val="84"/>
        </w:numPr>
        <w:contextualSpacing w:val="0"/>
        <w:rPr>
          <w:rFonts w:cs="Calibri"/>
        </w:rPr>
      </w:pPr>
      <w:r w:rsidRPr="00C92404">
        <w:rPr>
          <w:rFonts w:cs="Calibri"/>
        </w:rPr>
        <w:lastRenderedPageBreak/>
        <w:t>Annexure 3, Table 3.4 for further information on jurisdiction pipeline licensing legislation</w:t>
      </w:r>
    </w:p>
    <w:p w14:paraId="2D0AE87E" w14:textId="534BDFFC" w:rsidR="0088698D" w:rsidRDefault="00867972" w:rsidP="00475A2B">
      <w:pPr>
        <w:pStyle w:val="Heading2"/>
      </w:pPr>
      <w:bookmarkStart w:id="42" w:name="_Toc222925486"/>
      <w:r>
        <w:t>Planning</w:t>
      </w:r>
      <w:r w:rsidR="00AB64B8">
        <w:t>, environment</w:t>
      </w:r>
      <w:r w:rsidR="00CD12DD">
        <w:t>, native title and cultural heritage</w:t>
      </w:r>
      <w:r>
        <w:t xml:space="preserve"> obligations for repurposing pipelines</w:t>
      </w:r>
      <w:bookmarkEnd w:id="42"/>
    </w:p>
    <w:p w14:paraId="2A22811F" w14:textId="77777777" w:rsidR="0088698D" w:rsidRDefault="0088698D" w:rsidP="0088698D">
      <w:pPr>
        <w:rPr>
          <w:rFonts w:cs="Calibri"/>
          <w:szCs w:val="24"/>
        </w:rPr>
      </w:pPr>
      <w:r w:rsidRPr="00BA14E9">
        <w:rPr>
          <w:rFonts w:cs="Calibri"/>
          <w:szCs w:val="24"/>
        </w:rPr>
        <w:t>Planning frameworks impose additional requirements, including environmental impact assessments and stakeholder engagement. These processes are critical to maintaining public confidence and ensuring that hydrogen projects align with broader policy objectives.</w:t>
      </w:r>
      <w:r>
        <w:rPr>
          <w:rFonts w:cs="Calibri"/>
          <w:szCs w:val="24"/>
        </w:rPr>
        <w:t xml:space="preserve"> See Annexure 3, Table 3.5 for further details.</w:t>
      </w:r>
    </w:p>
    <w:p w14:paraId="08C05BF4" w14:textId="77777777" w:rsidR="0088698D" w:rsidRPr="00BA14E9" w:rsidRDefault="0088698D" w:rsidP="0088698D">
      <w:pPr>
        <w:rPr>
          <w:rFonts w:cs="Calibri"/>
          <w:szCs w:val="24"/>
        </w:rPr>
      </w:pPr>
      <w:r w:rsidRPr="00BA14E9">
        <w:rPr>
          <w:rFonts w:cs="Calibri"/>
          <w:szCs w:val="24"/>
        </w:rPr>
        <w:t>First Nations engagement and environmental stewardship are also integral to this transition. Pipeline operators must comply with</w:t>
      </w:r>
      <w:r>
        <w:rPr>
          <w:rFonts w:cs="Calibri"/>
          <w:szCs w:val="24"/>
        </w:rPr>
        <w:t xml:space="preserve"> relevant</w:t>
      </w:r>
      <w:r w:rsidRPr="00BA14E9">
        <w:rPr>
          <w:rFonts w:cs="Calibri"/>
          <w:szCs w:val="24"/>
        </w:rPr>
        <w:t xml:space="preserve"> land rights and cultural heritage protection</w:t>
      </w:r>
      <w:r>
        <w:rPr>
          <w:rFonts w:cs="Calibri"/>
          <w:szCs w:val="24"/>
        </w:rPr>
        <w:t xml:space="preserve"> legislation.</w:t>
      </w:r>
      <w:r w:rsidRPr="00BA14E9">
        <w:rPr>
          <w:rFonts w:cs="Calibri"/>
          <w:szCs w:val="24"/>
        </w:rPr>
        <w:t xml:space="preserve"> </w:t>
      </w:r>
      <w:r w:rsidRPr="00124FC6">
        <w:rPr>
          <w:rFonts w:cs="Calibri"/>
          <w:szCs w:val="24"/>
        </w:rPr>
        <w:t>Consideration should be given to obligations under existing agreements with First Nations people and early and meaningful engagement with relevant groups in relation to any proposed change of use, additional disturbance and access requirements.</w:t>
      </w:r>
      <w:r>
        <w:rPr>
          <w:rFonts w:cs="Calibri"/>
          <w:szCs w:val="24"/>
        </w:rPr>
        <w:t xml:space="preserve"> See Annexure 3, Table 3.6 for further details.</w:t>
      </w:r>
    </w:p>
    <w:p w14:paraId="5F7DDE94" w14:textId="5305EDFD" w:rsidR="00DC5EC2" w:rsidRPr="00BA14E9" w:rsidRDefault="0088698D" w:rsidP="00E60A0F">
      <w:r w:rsidRPr="001F685C">
        <w:rPr>
          <w:rFonts w:cs="Calibri"/>
          <w:szCs w:val="24"/>
        </w:rPr>
        <w:t xml:space="preserve">Environmental approvals and reapprovals under the </w:t>
      </w:r>
      <w:r w:rsidRPr="00090A53">
        <w:rPr>
          <w:rFonts w:cs="Calibri"/>
          <w:i/>
          <w:iCs/>
          <w:szCs w:val="24"/>
        </w:rPr>
        <w:t>Environment Protection and Biodiversity Conservation Act 1999</w:t>
      </w:r>
      <w:r w:rsidRPr="001F685C">
        <w:rPr>
          <w:rFonts w:cs="Calibri"/>
          <w:szCs w:val="24"/>
        </w:rPr>
        <w:t xml:space="preserve"> (</w:t>
      </w:r>
      <w:proofErr w:type="spellStart"/>
      <w:r w:rsidRPr="001F685C">
        <w:rPr>
          <w:rFonts w:cs="Calibri"/>
          <w:szCs w:val="24"/>
        </w:rPr>
        <w:t>Cth</w:t>
      </w:r>
      <w:proofErr w:type="spellEnd"/>
      <w:r w:rsidRPr="001F685C">
        <w:rPr>
          <w:rFonts w:cs="Calibri"/>
          <w:szCs w:val="24"/>
        </w:rPr>
        <w:t xml:space="preserve">) apply where projects impact nationally significant matters. Where the conversion of existing infrastructure involves an activity (for example, the grant of new tenure) that is a future act under the </w:t>
      </w:r>
      <w:r w:rsidRPr="00090A53">
        <w:rPr>
          <w:rFonts w:cs="Calibri"/>
          <w:i/>
          <w:iCs/>
          <w:szCs w:val="24"/>
        </w:rPr>
        <w:t>Native Title Act 1993</w:t>
      </w:r>
      <w:r w:rsidRPr="001F685C">
        <w:rPr>
          <w:rFonts w:cs="Calibri"/>
          <w:szCs w:val="24"/>
        </w:rPr>
        <w:t xml:space="preserve"> (</w:t>
      </w:r>
      <w:proofErr w:type="spellStart"/>
      <w:r w:rsidRPr="001F685C">
        <w:rPr>
          <w:rFonts w:cs="Calibri"/>
          <w:szCs w:val="24"/>
        </w:rPr>
        <w:t>Cth</w:t>
      </w:r>
      <w:proofErr w:type="spellEnd"/>
      <w:r w:rsidRPr="001F685C">
        <w:rPr>
          <w:rFonts w:cs="Calibri"/>
          <w:szCs w:val="24"/>
        </w:rPr>
        <w:t>), the relevant</w:t>
      </w:r>
      <w:r w:rsidR="003638D2">
        <w:t xml:space="preserve"> e</w:t>
      </w:r>
      <w:r w:rsidR="00DC5EC2" w:rsidRPr="00BA14E9">
        <w:t xml:space="preserve">nvironmental approvals and reapprovals under the </w:t>
      </w:r>
      <w:r w:rsidR="00DC5EC2" w:rsidRPr="00BA14E9">
        <w:rPr>
          <w:i/>
          <w:iCs/>
        </w:rPr>
        <w:t>Environment Protection and Biodiversity Conservation Act 1999</w:t>
      </w:r>
      <w:r w:rsidR="00DC5EC2" w:rsidRPr="00BA14E9">
        <w:t xml:space="preserve"> (</w:t>
      </w:r>
      <w:proofErr w:type="spellStart"/>
      <w:r w:rsidR="00DC5EC2" w:rsidRPr="00BA14E9">
        <w:t>Cth</w:t>
      </w:r>
      <w:proofErr w:type="spellEnd"/>
      <w:r w:rsidR="00DC5EC2" w:rsidRPr="00BA14E9">
        <w:t xml:space="preserve">) apply where projects </w:t>
      </w:r>
      <w:r w:rsidR="006B6373" w:rsidRPr="00E60A0F">
        <w:t>may have an impact on matters of national environmental significance</w:t>
      </w:r>
      <w:r w:rsidR="00DC5EC2" w:rsidRPr="00BA14E9">
        <w:t xml:space="preserve">, and engagement with First Nations communities is mandated for future acts under the </w:t>
      </w:r>
      <w:r w:rsidR="00DC5EC2" w:rsidRPr="00BA14E9">
        <w:rPr>
          <w:i/>
          <w:iCs/>
        </w:rPr>
        <w:t>Native Title Act 1993</w:t>
      </w:r>
      <w:r w:rsidR="00DC5EC2" w:rsidRPr="00BA14E9">
        <w:t xml:space="preserve"> (</w:t>
      </w:r>
      <w:proofErr w:type="spellStart"/>
      <w:r w:rsidR="00DC5EC2" w:rsidRPr="00BA14E9">
        <w:t>Cth</w:t>
      </w:r>
      <w:proofErr w:type="spellEnd"/>
      <w:r w:rsidR="00DC5EC2" w:rsidRPr="00BA14E9">
        <w:t>).</w:t>
      </w:r>
    </w:p>
    <w:p w14:paraId="7AD0C235" w14:textId="77777777" w:rsidR="00DC5EC2" w:rsidRPr="00BA14E9" w:rsidRDefault="00DC5EC2" w:rsidP="00DC5EC2">
      <w:pPr>
        <w:spacing w:line="278" w:lineRule="auto"/>
      </w:pPr>
      <w:r w:rsidRPr="00BA14E9">
        <w:t>Each jurisdiction imposes its own licence variation and planning requirements for example:</w:t>
      </w:r>
    </w:p>
    <w:p w14:paraId="35B7616B" w14:textId="03CC09E2" w:rsidR="00DC5EC2" w:rsidRPr="00BA14E9" w:rsidRDefault="00DC5EC2" w:rsidP="00DC5EC2">
      <w:pPr>
        <w:numPr>
          <w:ilvl w:val="0"/>
          <w:numId w:val="60"/>
        </w:numPr>
        <w:spacing w:line="278" w:lineRule="auto"/>
      </w:pPr>
      <w:r w:rsidRPr="00BA14E9">
        <w:t xml:space="preserve">NSW: The </w:t>
      </w:r>
      <w:r w:rsidRPr="00BA14E9">
        <w:rPr>
          <w:i/>
          <w:iCs/>
        </w:rPr>
        <w:t xml:space="preserve">Pipelines Act 1967 </w:t>
      </w:r>
      <w:r w:rsidRPr="00BA14E9">
        <w:t xml:space="preserve">(NSW) and </w:t>
      </w:r>
      <w:r w:rsidRPr="00BA14E9">
        <w:rPr>
          <w:i/>
          <w:iCs/>
        </w:rPr>
        <w:t>Environmental Planning and Assessment Act 1979</w:t>
      </w:r>
      <w:r w:rsidRPr="00BA14E9">
        <w:t xml:space="preserve"> (NSW) require a licence variation and</w:t>
      </w:r>
      <w:r w:rsidR="00E20D8B">
        <w:t>,</w:t>
      </w:r>
      <w:r w:rsidR="00245840" w:rsidRPr="00245840">
        <w:t xml:space="preserve"> </w:t>
      </w:r>
      <w:r w:rsidR="00245840">
        <w:t>(</w:t>
      </w:r>
      <w:r w:rsidR="00245840" w:rsidRPr="00BA14E9">
        <w:t xml:space="preserve">for </w:t>
      </w:r>
      <w:r w:rsidR="00245840">
        <w:t xml:space="preserve">existing approved </w:t>
      </w:r>
      <w:r w:rsidR="00245840" w:rsidRPr="00BA14E9">
        <w:t xml:space="preserve">State </w:t>
      </w:r>
      <w:r w:rsidR="00245840">
        <w:t>s</w:t>
      </w:r>
      <w:r w:rsidR="00245840" w:rsidRPr="00BA14E9">
        <w:t xml:space="preserve">ignificant </w:t>
      </w:r>
      <w:r w:rsidR="00245840">
        <w:t>i</w:t>
      </w:r>
      <w:r w:rsidR="00245840" w:rsidRPr="00BA14E9">
        <w:t>nfrastructure</w:t>
      </w:r>
      <w:r w:rsidR="00245840">
        <w:t>)</w:t>
      </w:r>
      <w:r w:rsidR="00245840" w:rsidRPr="00BA14E9">
        <w:t xml:space="preserve"> </w:t>
      </w:r>
      <w:r w:rsidR="00245840">
        <w:t xml:space="preserve">approval of a </w:t>
      </w:r>
      <w:r w:rsidR="00245840" w:rsidRPr="00BA14E9">
        <w:t xml:space="preserve">modification </w:t>
      </w:r>
      <w:r w:rsidR="00245840">
        <w:t>request</w:t>
      </w:r>
      <w:r w:rsidR="00245840" w:rsidRPr="00BA14E9">
        <w:t xml:space="preserve"> supported by a</w:t>
      </w:r>
      <w:r w:rsidR="00245840">
        <w:t xml:space="preserve"> modification report</w:t>
      </w:r>
      <w:r w:rsidR="00245840" w:rsidRPr="00BA14E9">
        <w:t>.</w:t>
      </w:r>
    </w:p>
    <w:p w14:paraId="57210A94" w14:textId="77777777" w:rsidR="00DC5EC2" w:rsidRPr="00BA14E9" w:rsidRDefault="00DC5EC2" w:rsidP="00DC5EC2">
      <w:pPr>
        <w:numPr>
          <w:ilvl w:val="0"/>
          <w:numId w:val="60"/>
        </w:numPr>
        <w:spacing w:line="278" w:lineRule="auto"/>
      </w:pPr>
      <w:r w:rsidRPr="00BA14E9">
        <w:t xml:space="preserve">Victoria: The </w:t>
      </w:r>
      <w:r w:rsidRPr="00BA14E9">
        <w:rPr>
          <w:i/>
          <w:iCs/>
        </w:rPr>
        <w:t>Pipelines Act 2005</w:t>
      </w:r>
      <w:r w:rsidRPr="00BA14E9">
        <w:t xml:space="preserve"> (Vic) and </w:t>
      </w:r>
      <w:r w:rsidRPr="00BA14E9">
        <w:rPr>
          <w:i/>
          <w:iCs/>
        </w:rPr>
        <w:t>Planning and Environment Act 1987</w:t>
      </w:r>
      <w:r w:rsidRPr="00BA14E9">
        <w:t xml:space="preserve"> (Vic) govern variations, with cultural heritage plans under the </w:t>
      </w:r>
      <w:r w:rsidRPr="00BA14E9">
        <w:rPr>
          <w:i/>
          <w:iCs/>
        </w:rPr>
        <w:t xml:space="preserve">Aboriginal Heritage Act 2006 </w:t>
      </w:r>
      <w:r w:rsidRPr="00BA14E9">
        <w:t>(Vic).</w:t>
      </w:r>
    </w:p>
    <w:p w14:paraId="299FBF43" w14:textId="77777777" w:rsidR="00DC5EC2" w:rsidRPr="00BA14E9" w:rsidRDefault="00DC5EC2" w:rsidP="00DC5EC2">
      <w:pPr>
        <w:numPr>
          <w:ilvl w:val="0"/>
          <w:numId w:val="60"/>
        </w:numPr>
        <w:spacing w:line="278" w:lineRule="auto"/>
      </w:pPr>
      <w:r w:rsidRPr="00BA14E9">
        <w:t xml:space="preserve">Queensland: Variations under the </w:t>
      </w:r>
      <w:r w:rsidRPr="00BA14E9">
        <w:rPr>
          <w:i/>
          <w:iCs/>
        </w:rPr>
        <w:t>Petroleum and Gas (Production and Safety) Act 2004</w:t>
      </w:r>
      <w:r w:rsidRPr="00BA14E9">
        <w:t xml:space="preserve"> (Qld) are streamlined, alongside environmental approvals under the </w:t>
      </w:r>
      <w:r w:rsidRPr="00BA14E9">
        <w:rPr>
          <w:i/>
          <w:iCs/>
        </w:rPr>
        <w:t xml:space="preserve">Environmental Protection Act 1994 </w:t>
      </w:r>
      <w:r w:rsidRPr="00BA14E9">
        <w:t>(Qld).</w:t>
      </w:r>
    </w:p>
    <w:p w14:paraId="70792B9A" w14:textId="77777777" w:rsidR="00DC5EC2" w:rsidRPr="00BA14E9" w:rsidRDefault="00DC5EC2" w:rsidP="00DC5EC2">
      <w:pPr>
        <w:numPr>
          <w:ilvl w:val="0"/>
          <w:numId w:val="60"/>
        </w:numPr>
        <w:spacing w:line="278" w:lineRule="auto"/>
      </w:pPr>
      <w:r w:rsidRPr="00BA14E9">
        <w:t xml:space="preserve">Western Australia: The </w:t>
      </w:r>
      <w:r w:rsidRPr="00BA14E9">
        <w:rPr>
          <w:i/>
          <w:iCs/>
        </w:rPr>
        <w:t>Petroleum Pipelines Act 1969</w:t>
      </w:r>
      <w:r w:rsidRPr="00BA14E9">
        <w:t xml:space="preserve"> (WA) requires licence variations, alongside cultural heritage clearance under the </w:t>
      </w:r>
      <w:r w:rsidRPr="00BA14E9">
        <w:rPr>
          <w:i/>
          <w:iCs/>
        </w:rPr>
        <w:t>Aboriginal Heritage Act 1972</w:t>
      </w:r>
      <w:r w:rsidRPr="00BA14E9">
        <w:t xml:space="preserve"> (WA) and environmental approval under the </w:t>
      </w:r>
      <w:r w:rsidRPr="00BA14E9">
        <w:rPr>
          <w:i/>
          <w:iCs/>
        </w:rPr>
        <w:t xml:space="preserve">Environmental Protection Act 1986 </w:t>
      </w:r>
      <w:r w:rsidRPr="00BA14E9">
        <w:t>(WA).</w:t>
      </w:r>
    </w:p>
    <w:p w14:paraId="738AB0F9" w14:textId="77777777" w:rsidR="00DC5EC2" w:rsidRPr="00BA14E9" w:rsidRDefault="00DC5EC2" w:rsidP="00DC5EC2">
      <w:pPr>
        <w:numPr>
          <w:ilvl w:val="0"/>
          <w:numId w:val="60"/>
        </w:numPr>
        <w:spacing w:line="278" w:lineRule="auto"/>
      </w:pPr>
      <w:r w:rsidRPr="00BA14E9">
        <w:lastRenderedPageBreak/>
        <w:t xml:space="preserve">South Australia: The </w:t>
      </w:r>
      <w:r w:rsidRPr="00BA14E9">
        <w:rPr>
          <w:i/>
          <w:iCs/>
        </w:rPr>
        <w:t>Hydrogen and Renewable Energy Act 2023</w:t>
      </w:r>
      <w:r w:rsidRPr="00BA14E9">
        <w:t xml:space="preserve"> (SA) </w:t>
      </w:r>
      <w:proofErr w:type="gramStart"/>
      <w:r w:rsidRPr="00BA14E9">
        <w:t>provides</w:t>
      </w:r>
      <w:proofErr w:type="gramEnd"/>
      <w:r w:rsidRPr="00BA14E9">
        <w:t xml:space="preserve"> an integrated approval pathway, complementing licence variations under </w:t>
      </w:r>
      <w:r w:rsidRPr="00BA14E9">
        <w:rPr>
          <w:i/>
          <w:iCs/>
        </w:rPr>
        <w:t>Energy Resources Act 2000</w:t>
      </w:r>
      <w:r w:rsidRPr="00BA14E9">
        <w:t xml:space="preserve"> (SA).</w:t>
      </w:r>
    </w:p>
    <w:p w14:paraId="783F8270" w14:textId="090FA986" w:rsidR="00BF3F1A" w:rsidRPr="00BF3F1A" w:rsidRDefault="00BF3F1A" w:rsidP="00E60A0F">
      <w:pPr>
        <w:ind w:left="360"/>
        <w:rPr>
          <w:rFonts w:cs="Calibri"/>
        </w:rPr>
      </w:pPr>
      <w:r w:rsidRPr="00BF3F1A">
        <w:rPr>
          <w:rFonts w:cs="Calibri"/>
        </w:rPr>
        <w:t xml:space="preserve">See Annexure </w:t>
      </w:r>
      <w:r w:rsidR="001D1890">
        <w:rPr>
          <w:rFonts w:cs="Calibri"/>
        </w:rPr>
        <w:t>2</w:t>
      </w:r>
      <w:r w:rsidRPr="00BF3F1A">
        <w:rPr>
          <w:rFonts w:cs="Calibri"/>
        </w:rPr>
        <w:t xml:space="preserve">, Table </w:t>
      </w:r>
      <w:r w:rsidR="005B1AEA">
        <w:rPr>
          <w:rFonts w:cs="Calibri"/>
        </w:rPr>
        <w:t>2</w:t>
      </w:r>
      <w:r w:rsidRPr="00BF3F1A">
        <w:rPr>
          <w:rFonts w:cs="Calibri"/>
        </w:rPr>
        <w:t>.</w:t>
      </w:r>
      <w:r w:rsidR="005B1AEA">
        <w:rPr>
          <w:rFonts w:cs="Calibri"/>
        </w:rPr>
        <w:t>14</w:t>
      </w:r>
      <w:r w:rsidRPr="00BF3F1A">
        <w:rPr>
          <w:rFonts w:cs="Calibri"/>
        </w:rPr>
        <w:t xml:space="preserve"> for further information on jurisdiction </w:t>
      </w:r>
      <w:r w:rsidR="008E014B">
        <w:rPr>
          <w:rFonts w:cs="Calibri"/>
        </w:rPr>
        <w:t xml:space="preserve">specific environmental </w:t>
      </w:r>
      <w:r w:rsidRPr="00BF3F1A">
        <w:rPr>
          <w:rFonts w:cs="Calibri"/>
        </w:rPr>
        <w:t>laws.</w:t>
      </w:r>
    </w:p>
    <w:p w14:paraId="7F0B7F50" w14:textId="048C7F4E" w:rsidR="00DC5EC2" w:rsidRPr="00BA14E9" w:rsidRDefault="00DC5EC2" w:rsidP="00E83908">
      <w:pPr>
        <w:pStyle w:val="Heading2"/>
      </w:pPr>
      <w:bookmarkStart w:id="43" w:name="_Toc222112260"/>
      <w:bookmarkStart w:id="44" w:name="_Toc222925487"/>
      <w:bookmarkEnd w:id="43"/>
      <w:r w:rsidRPr="00BA14E9">
        <w:t>Codes and standards relating to repurposing</w:t>
      </w:r>
      <w:bookmarkEnd w:id="44"/>
    </w:p>
    <w:p w14:paraId="772021D6" w14:textId="77777777" w:rsidR="00DC5EC2" w:rsidRPr="00BA14E9" w:rsidRDefault="00DC5EC2" w:rsidP="00DC5EC2">
      <w:pPr>
        <w:rPr>
          <w:rFonts w:cs="Calibri"/>
        </w:rPr>
      </w:pPr>
      <w:r w:rsidRPr="00BA14E9">
        <w:rPr>
          <w:rFonts w:cs="Calibri"/>
        </w:rPr>
        <w:t>Adapting natural gas pipelines for transporting hydrogen means that the same threats faced by existing pipelines need to be addressed, and operators must continue to manage these risks effectively. Importantly, hydrogen possesses distinct characteristics that can introduce additional hazards or exacerbate existing ones. Existing risk assessment frameworks for natural gas pipelines must be adapted for hydrogen service. Integrity management plans should incorporate updated probabilistic assessments</w:t>
      </w:r>
      <w:r w:rsidRPr="00BA14E9">
        <w:t xml:space="preserve"> </w:t>
      </w:r>
      <w:r w:rsidRPr="00BA14E9">
        <w:rPr>
          <w:rFonts w:cs="Calibri"/>
        </w:rPr>
        <w:t>to address hydrogen’s unique impact on material performance and failure modes.</w:t>
      </w:r>
    </w:p>
    <w:p w14:paraId="26BEFFA9" w14:textId="1F5550DB" w:rsidR="00DC5EC2" w:rsidRPr="00BA14E9" w:rsidRDefault="00DC5EC2" w:rsidP="00DC5EC2">
      <w:pPr>
        <w:rPr>
          <w:rFonts w:cs="Calibri"/>
        </w:rPr>
      </w:pPr>
      <w:r w:rsidRPr="00BA14E9">
        <w:rPr>
          <w:rFonts w:cs="Calibri"/>
        </w:rPr>
        <w:t xml:space="preserve">Relevantly </w:t>
      </w:r>
      <w:r w:rsidR="003649FB">
        <w:rPr>
          <w:rFonts w:cs="Calibri"/>
        </w:rPr>
        <w:t>Chapter 8 of</w:t>
      </w:r>
      <w:r w:rsidRPr="00BA14E9">
        <w:rPr>
          <w:rFonts w:cs="Calibri"/>
        </w:rPr>
        <w:t xml:space="preserve"> the Australian Pipelines and Gas Association Code of Practice for Hydrogen Pipeline Systems (APGA </w:t>
      </w:r>
      <w:r w:rsidR="004C7511">
        <w:rPr>
          <w:rFonts w:cs="Calibri"/>
        </w:rPr>
        <w:t>Code of Practice</w:t>
      </w:r>
      <w:r w:rsidRPr="00BA14E9">
        <w:rPr>
          <w:rFonts w:cs="Calibri"/>
        </w:rPr>
        <w:t>) addresses Repurposing existing pipelines. This includes important guidance and references to requirements under the AS 2885 Series including:</w:t>
      </w:r>
    </w:p>
    <w:p w14:paraId="0862C60C" w14:textId="77777777" w:rsidR="00DC5EC2" w:rsidRPr="00BA14E9" w:rsidRDefault="00DC5EC2" w:rsidP="00DC5EC2">
      <w:pPr>
        <w:rPr>
          <w:rFonts w:cs="Calibri"/>
        </w:rPr>
      </w:pPr>
      <w:r w:rsidRPr="00BA14E9">
        <w:rPr>
          <w:rFonts w:cs="Calibri"/>
        </w:rPr>
        <w:t>“When repurposing a pipeline to transport hydrogen gas (either pure or blended), the ability of the pipeline to operate safely must be demonstrated by an engineering assessment of every part of the pipeline system to determine its suitability for hydrogen service. However, the analysis will often be complicated due to:</w:t>
      </w:r>
    </w:p>
    <w:p w14:paraId="5054710E" w14:textId="77777777" w:rsidR="00DC5EC2" w:rsidRPr="00BA14E9" w:rsidRDefault="00DC5EC2" w:rsidP="00E60A0F">
      <w:pPr>
        <w:pStyle w:val="ListParagraph"/>
        <w:numPr>
          <w:ilvl w:val="0"/>
          <w:numId w:val="57"/>
        </w:numPr>
        <w:contextualSpacing w:val="0"/>
        <w:rPr>
          <w:rFonts w:cs="Calibri"/>
        </w:rPr>
      </w:pPr>
      <w:r w:rsidRPr="00BA14E9">
        <w:rPr>
          <w:rFonts w:cs="Calibri"/>
        </w:rPr>
        <w:t>Requirements that cannot be met retrospectively, and</w:t>
      </w:r>
    </w:p>
    <w:p w14:paraId="528216DA" w14:textId="77777777" w:rsidR="00DC5EC2" w:rsidRPr="00BA14E9" w:rsidRDefault="00DC5EC2" w:rsidP="00E60A0F">
      <w:pPr>
        <w:pStyle w:val="ListParagraph"/>
        <w:numPr>
          <w:ilvl w:val="0"/>
          <w:numId w:val="57"/>
        </w:numPr>
        <w:contextualSpacing w:val="0"/>
        <w:rPr>
          <w:rFonts w:cs="Calibri"/>
        </w:rPr>
      </w:pPr>
      <w:r w:rsidRPr="00BA14E9">
        <w:rPr>
          <w:rFonts w:cs="Calibri"/>
        </w:rPr>
        <w:t>Insufficient knowledge of the pipeline’s properties to confirm compliance with the requirements for hydrogen service.</w:t>
      </w:r>
    </w:p>
    <w:p w14:paraId="63B39132" w14:textId="37D51E52" w:rsidR="00DC5EC2" w:rsidRPr="00BA14E9" w:rsidRDefault="00DC5EC2" w:rsidP="00DC5EC2">
      <w:pPr>
        <w:rPr>
          <w:rFonts w:cs="Calibri"/>
        </w:rPr>
      </w:pPr>
      <w:r w:rsidRPr="00BA14E9">
        <w:rPr>
          <w:rFonts w:cs="Calibri"/>
        </w:rPr>
        <w:t>Conversion of existing pipelines to hydrogen service will require assessment against the principles of AS(/NZS</w:t>
      </w:r>
      <w:r w:rsidR="009439AB">
        <w:rPr>
          <w:rFonts w:cs="Calibri"/>
        </w:rPr>
        <w:t>)</w:t>
      </w:r>
      <w:r w:rsidRPr="00BA14E9">
        <w:rPr>
          <w:rFonts w:cs="Calibri"/>
        </w:rPr>
        <w:t xml:space="preserve"> 2885, and the requirements described in the APGA Code of Practice.</w:t>
      </w:r>
      <w:r w:rsidR="00A646D0">
        <w:rPr>
          <w:rFonts w:cs="Calibri"/>
        </w:rPr>
        <w:t>”</w:t>
      </w:r>
      <w:r w:rsidRPr="00BA14E9">
        <w:rPr>
          <w:rFonts w:cs="Calibri"/>
        </w:rPr>
        <w:t xml:space="preserve"> </w:t>
      </w:r>
      <w:r w:rsidR="00324991">
        <w:rPr>
          <w:rFonts w:cs="Calibri"/>
        </w:rPr>
        <w:t xml:space="preserve">For undersea pipelines, </w:t>
      </w:r>
      <w:r w:rsidR="00324991" w:rsidRPr="00761A4F">
        <w:t xml:space="preserve">DNV-ST-F101 and by extension the DNV recommended practices for requalification of </w:t>
      </w:r>
      <w:r w:rsidR="007422B5">
        <w:t>submarine</w:t>
      </w:r>
      <w:r w:rsidR="00324991" w:rsidRPr="00761A4F">
        <w:t xml:space="preserve"> pipelines will apply</w:t>
      </w:r>
      <w:r w:rsidR="00324991">
        <w:t>.</w:t>
      </w:r>
    </w:p>
    <w:p w14:paraId="443F199E" w14:textId="77777777" w:rsidR="00DC5EC2" w:rsidRPr="00BA14E9" w:rsidRDefault="00DC5EC2" w:rsidP="00DC5EC2">
      <w:pPr>
        <w:rPr>
          <w:rFonts w:cs="Calibri"/>
        </w:rPr>
      </w:pPr>
      <w:r w:rsidRPr="00BA14E9">
        <w:rPr>
          <w:rFonts w:cs="Calibri"/>
        </w:rPr>
        <w:t xml:space="preserve">The APGA </w:t>
      </w:r>
      <w:r>
        <w:rPr>
          <w:rFonts w:cs="Calibri"/>
        </w:rPr>
        <w:t>Code of Practice</w:t>
      </w:r>
      <w:r w:rsidRPr="00BA14E9">
        <w:rPr>
          <w:rFonts w:cs="Calibri"/>
        </w:rPr>
        <w:t xml:space="preserve"> also provides at Chapter 8.2.1:</w:t>
      </w:r>
    </w:p>
    <w:p w14:paraId="451610DE" w14:textId="77777777" w:rsidR="00DC5EC2" w:rsidRPr="00BA14E9" w:rsidRDefault="00DC5EC2" w:rsidP="00DC5EC2">
      <w:pPr>
        <w:rPr>
          <w:rFonts w:cs="Calibri"/>
        </w:rPr>
      </w:pPr>
      <w:r w:rsidRPr="00BA14E9">
        <w:rPr>
          <w:rFonts w:cs="Calibri"/>
        </w:rPr>
        <w:t>The assessment requires a review of several items, of which the following are relevant:</w:t>
      </w:r>
    </w:p>
    <w:p w14:paraId="7A91E8B7" w14:textId="77777777" w:rsidR="00DC5EC2" w:rsidRPr="00BA14E9" w:rsidRDefault="00DC5EC2" w:rsidP="007F189A">
      <w:pPr>
        <w:pStyle w:val="ListParagraph"/>
        <w:numPr>
          <w:ilvl w:val="0"/>
          <w:numId w:val="58"/>
        </w:numPr>
        <w:contextualSpacing w:val="0"/>
        <w:rPr>
          <w:rFonts w:cs="Calibri"/>
        </w:rPr>
      </w:pPr>
      <w:r w:rsidRPr="00BA14E9">
        <w:rPr>
          <w:rFonts w:cs="Calibri"/>
        </w:rPr>
        <w:t xml:space="preserve">Location classification along the pipeline. The pipeline “measurement length” (AS 2885.0:2018) should be confirmed, generally it will not significantly change in </w:t>
      </w:r>
      <w:proofErr w:type="gramStart"/>
      <w:r w:rsidRPr="00BA14E9">
        <w:rPr>
          <w:rFonts w:cs="Calibri"/>
        </w:rPr>
        <w:t>hydrogen</w:t>
      </w:r>
      <w:proofErr w:type="gramEnd"/>
      <w:r w:rsidRPr="00BA14E9">
        <w:rPr>
          <w:rFonts w:cs="Calibri"/>
        </w:rPr>
        <w:t xml:space="preserve"> and the location classes will not be impacted.</w:t>
      </w:r>
    </w:p>
    <w:p w14:paraId="4A99AD0A" w14:textId="77777777" w:rsidR="00DC5EC2" w:rsidRPr="00BA14E9" w:rsidRDefault="00DC5EC2" w:rsidP="007F189A">
      <w:pPr>
        <w:pStyle w:val="ListParagraph"/>
        <w:numPr>
          <w:ilvl w:val="0"/>
          <w:numId w:val="58"/>
        </w:numPr>
        <w:contextualSpacing w:val="0"/>
        <w:rPr>
          <w:rFonts w:cs="Calibri"/>
        </w:rPr>
      </w:pPr>
      <w:r w:rsidRPr="00BA14E9">
        <w:rPr>
          <w:rFonts w:cs="Calibri"/>
        </w:rPr>
        <w:t>Management of risk to the public, property, environment or to the pipeline. The threats, likelihoods and consequences on a pipeline may change for hydrogen. This will be assessed through a Safety Management Study review.</w:t>
      </w:r>
    </w:p>
    <w:p w14:paraId="04903C84" w14:textId="77777777" w:rsidR="00DC5EC2" w:rsidRPr="00BA14E9" w:rsidRDefault="00DC5EC2" w:rsidP="007F189A">
      <w:pPr>
        <w:pStyle w:val="ListParagraph"/>
        <w:numPr>
          <w:ilvl w:val="0"/>
          <w:numId w:val="58"/>
        </w:numPr>
        <w:contextualSpacing w:val="0"/>
        <w:rPr>
          <w:rFonts w:cs="Calibri"/>
        </w:rPr>
      </w:pPr>
      <w:r w:rsidRPr="00BA14E9">
        <w:rPr>
          <w:rFonts w:cs="Calibri"/>
        </w:rPr>
        <w:lastRenderedPageBreak/>
        <w:t>Characteristics of the pipeline, including the diameter, wall thickness, fracture toughness properties, strength test pressure, and leak test pressure. The fracture toughness and fatigue crack growth rate are significant pipeline properties affected by hydrogen. However, all materials, including polymers and metals used in components may also be affected.</w:t>
      </w:r>
    </w:p>
    <w:p w14:paraId="2C6E4C4D" w14:textId="77777777" w:rsidR="00DC5EC2" w:rsidRPr="00BA14E9" w:rsidRDefault="00DC5EC2" w:rsidP="007F189A">
      <w:pPr>
        <w:pStyle w:val="ListParagraph"/>
        <w:numPr>
          <w:ilvl w:val="0"/>
          <w:numId w:val="58"/>
        </w:numPr>
        <w:contextualSpacing w:val="0"/>
        <w:rPr>
          <w:rFonts w:cs="Calibri"/>
        </w:rPr>
      </w:pPr>
      <w:r w:rsidRPr="00BA14E9">
        <w:rPr>
          <w:rFonts w:cs="Calibri"/>
        </w:rPr>
        <w:t xml:space="preserve">The physical condition of the pipeline and fitness for service for hydrogen, as determined from the records of operation, maintenance reports and examinations, inspections, and monitoring, including those pertinent to corrosion. </w:t>
      </w:r>
    </w:p>
    <w:p w14:paraId="1E71F03B" w14:textId="4D56DBC9" w:rsidR="00DC5EC2" w:rsidRPr="00BA14E9" w:rsidRDefault="00DC5EC2" w:rsidP="007F189A">
      <w:pPr>
        <w:pStyle w:val="ListParagraph"/>
        <w:numPr>
          <w:ilvl w:val="0"/>
          <w:numId w:val="58"/>
        </w:numPr>
        <w:contextualSpacing w:val="0"/>
        <w:rPr>
          <w:rFonts w:cs="Calibri"/>
        </w:rPr>
      </w:pPr>
      <w:r w:rsidRPr="00BA14E9">
        <w:rPr>
          <w:rFonts w:cs="Calibri"/>
        </w:rPr>
        <w:t xml:space="preserve">The pipelines tolerance to stress-corrosion cracking, and any prior fatigue or strain-induced damage will be reduced in hydrogen service. Refer section 9.2.3 of the </w:t>
      </w:r>
      <w:r w:rsidR="00EE572D">
        <w:rPr>
          <w:rFonts w:cs="Calibri"/>
        </w:rPr>
        <w:t>APGA</w:t>
      </w:r>
      <w:r w:rsidRPr="00BA14E9">
        <w:rPr>
          <w:rFonts w:cs="Calibri"/>
        </w:rPr>
        <w:t xml:space="preserve"> Code of Practice.</w:t>
      </w:r>
    </w:p>
    <w:p w14:paraId="1419BB23" w14:textId="77777777" w:rsidR="00DC5EC2" w:rsidRPr="00BA14E9" w:rsidRDefault="00DC5EC2" w:rsidP="007F189A">
      <w:pPr>
        <w:pStyle w:val="ListParagraph"/>
        <w:numPr>
          <w:ilvl w:val="0"/>
          <w:numId w:val="58"/>
        </w:numPr>
        <w:contextualSpacing w:val="0"/>
        <w:rPr>
          <w:rFonts w:cs="Calibri"/>
        </w:rPr>
      </w:pPr>
      <w:r w:rsidRPr="00BA14E9">
        <w:rPr>
          <w:rFonts w:cs="Calibri"/>
        </w:rPr>
        <w:t>The design pressure may be required to be reduced after inclusion of hydrogen to accommodate the decrease in material properties.</w:t>
      </w:r>
    </w:p>
    <w:p w14:paraId="3A2CEDEE" w14:textId="77777777" w:rsidR="00DC5EC2" w:rsidRPr="00BA14E9" w:rsidRDefault="00DC5EC2" w:rsidP="007F189A">
      <w:pPr>
        <w:pStyle w:val="ListParagraph"/>
        <w:numPr>
          <w:ilvl w:val="0"/>
          <w:numId w:val="58"/>
        </w:numPr>
        <w:contextualSpacing w:val="0"/>
        <w:rPr>
          <w:rFonts w:cs="Calibri"/>
        </w:rPr>
      </w:pPr>
      <w:r w:rsidRPr="00BA14E9">
        <w:rPr>
          <w:rFonts w:cs="Calibri"/>
        </w:rPr>
        <w:t>The operating conditions and original design basis. The pipeline operating conditions, particularly any cyclic loads, may need to be reduced in hydrogen service.</w:t>
      </w:r>
    </w:p>
    <w:p w14:paraId="68B0907C" w14:textId="6E668B2F" w:rsidR="00DC5EC2" w:rsidRPr="00BA14E9" w:rsidRDefault="00DC5EC2" w:rsidP="00DC5EC2">
      <w:pPr>
        <w:numPr>
          <w:ilvl w:val="0"/>
          <w:numId w:val="58"/>
        </w:numPr>
        <w:rPr>
          <w:rFonts w:cs="Calibri"/>
        </w:rPr>
      </w:pPr>
      <w:r w:rsidRPr="00BA14E9">
        <w:rPr>
          <w:rFonts w:cs="Calibri"/>
        </w:rPr>
        <w:t>Operating procedures, emergency response procedures, and operating plans may be affected by changes in physical gas properties and impacts of hydrogen on materials and equipment function.</w:t>
      </w:r>
    </w:p>
    <w:p w14:paraId="427ED977" w14:textId="77777777" w:rsidR="00DC5EC2" w:rsidRPr="00BA14E9" w:rsidRDefault="00DC5EC2" w:rsidP="00E83908">
      <w:pPr>
        <w:pStyle w:val="Heading2"/>
      </w:pPr>
      <w:bookmarkStart w:id="45" w:name="_Toc222112265"/>
      <w:bookmarkStart w:id="46" w:name="_Toc222112266"/>
      <w:bookmarkStart w:id="47" w:name="_Toc222112267"/>
      <w:bookmarkStart w:id="48" w:name="_Toc222925488"/>
      <w:bookmarkEnd w:id="45"/>
      <w:bookmarkEnd w:id="46"/>
      <w:bookmarkEnd w:id="47"/>
      <w:r w:rsidRPr="00BA14E9">
        <w:t>Requalification process</w:t>
      </w:r>
      <w:bookmarkEnd w:id="48"/>
    </w:p>
    <w:p w14:paraId="5D8AFFC7" w14:textId="79EBC74E" w:rsidR="00CA4FDC" w:rsidRPr="00BA14E9" w:rsidRDefault="00DC5EC2" w:rsidP="00EA1D03">
      <w:r w:rsidRPr="00BA14E9">
        <w:t xml:space="preserve">The APGA </w:t>
      </w:r>
      <w:r>
        <w:rPr>
          <w:rFonts w:cs="Calibri"/>
        </w:rPr>
        <w:t>Code of Practice</w:t>
      </w:r>
      <w:r w:rsidRPr="00BA14E9" w:rsidDel="00454304">
        <w:t xml:space="preserve"> </w:t>
      </w:r>
      <w:r w:rsidRPr="00BA14E9">
        <w:t xml:space="preserve">sets out a requalification process that proponents seeking to repurpose pipelines should have regard to. This includes that </w:t>
      </w:r>
      <w:r w:rsidR="00AE1A9D">
        <w:t>“</w:t>
      </w:r>
      <w:r w:rsidRPr="00BA14E9">
        <w:t>before assessing a pipeline to requalify it for hydrogen service, a Design Basis should be prepared, which may be a revision of the existing documentation. In a Design Basis, the pipeline design and its intended operation are established. This includes defining the intended pipeline operating envelope, defining the scope of the project, and gathering all applicable data about the pipeline:</w:t>
      </w:r>
    </w:p>
    <w:p w14:paraId="226BFF41" w14:textId="5B8AA614" w:rsidR="00EA1D03" w:rsidRPr="00BA14E9" w:rsidRDefault="00DC5EC2" w:rsidP="007F189A">
      <w:pPr>
        <w:pStyle w:val="ListParagraph"/>
        <w:numPr>
          <w:ilvl w:val="0"/>
          <w:numId w:val="93"/>
        </w:numPr>
        <w:contextualSpacing w:val="0"/>
      </w:pPr>
      <w:r w:rsidRPr="00BA14E9">
        <w:t>Proposed operating envelope. The desired operating envelope is defined. This may be iteratively increased or reduced through the following assessment process to control threats. Note that the capacity of a pipeline for both hydrogen storage and delivery is determined by its operating envelope most specifically by its maximum allowable operating pressure. Decisions made in a repurposing assessment will impact the pipeline capacity and hence the economic value / business case for the pipeline. Hydraulic modelling is required to determine the pipeline capacity (refer Section 3.4).</w:t>
      </w:r>
    </w:p>
    <w:p w14:paraId="033C1851" w14:textId="157DFDA2" w:rsidR="00EA1D03" w:rsidRPr="00BA14E9" w:rsidRDefault="00DC5EC2" w:rsidP="007F189A">
      <w:pPr>
        <w:pStyle w:val="ListParagraph"/>
        <w:numPr>
          <w:ilvl w:val="0"/>
          <w:numId w:val="93"/>
        </w:numPr>
        <w:contextualSpacing w:val="0"/>
      </w:pPr>
      <w:r w:rsidRPr="00BA14E9">
        <w:t>Design modification scope. A portion of the pipeline will be retained when repurposed for hydrogen service, whereas some components may be replaced or modified by the project (e.g. end-of-line facilities, venting facilities, etc.).</w:t>
      </w:r>
    </w:p>
    <w:p w14:paraId="068E2A6D" w14:textId="22ADB139" w:rsidR="00DC5EC2" w:rsidRPr="00270570" w:rsidRDefault="00DC5EC2" w:rsidP="007F189A">
      <w:pPr>
        <w:pStyle w:val="ListParagraph"/>
        <w:numPr>
          <w:ilvl w:val="0"/>
          <w:numId w:val="93"/>
        </w:numPr>
        <w:contextualSpacing w:val="0"/>
        <w:rPr>
          <w:lang w:val="en-US"/>
        </w:rPr>
      </w:pPr>
      <w:r w:rsidRPr="00BA14E9">
        <w:t xml:space="preserve">Pipeline data and assumptions. Available knowledge is collated about the pipeline, and how it will perform in hydrogen. Where such knowledge does not exist, conservative </w:t>
      </w:r>
      <w:r w:rsidRPr="00BA14E9">
        <w:lastRenderedPageBreak/>
        <w:t xml:space="preserve">estimates may be used, or more data may be obtained through inspection and testing. This process is being applied to an existing pipeline, which means that there ought to be an existing Safety Management Study, as well as pipeline records detailing the condition of the pipeline, the pipeline management system, integrity management plan etc. These existing records are the basis for proceeding with the </w:t>
      </w:r>
      <w:proofErr w:type="gramStart"/>
      <w:r w:rsidRPr="00BA14E9">
        <w:t>assessment.</w:t>
      </w:r>
      <w:r w:rsidR="007D24E8">
        <w:t>“</w:t>
      </w:r>
      <w:proofErr w:type="gramEnd"/>
    </w:p>
    <w:p w14:paraId="37C895FF" w14:textId="77777777" w:rsidR="007F189A" w:rsidRDefault="007F189A">
      <w:pPr>
        <w:rPr>
          <w:rFonts w:eastAsiaTheme="majorEastAsia" w:cstheme="majorBidi"/>
          <w:color w:val="0F4761" w:themeColor="accent1" w:themeShade="BF"/>
          <w:sz w:val="40"/>
          <w:szCs w:val="40"/>
        </w:rPr>
      </w:pPr>
      <w:r>
        <w:br w:type="page"/>
      </w:r>
    </w:p>
    <w:p w14:paraId="2BD4F28B" w14:textId="01BFD7DB" w:rsidR="00BC40E1" w:rsidRPr="00BA14E9" w:rsidRDefault="005A3A30" w:rsidP="00D6432B">
      <w:pPr>
        <w:pStyle w:val="Heading1"/>
      </w:pPr>
      <w:bookmarkStart w:id="49" w:name="_Toc222925489"/>
      <w:r w:rsidRPr="00BA14E9">
        <w:lastRenderedPageBreak/>
        <w:t xml:space="preserve">Chapter </w:t>
      </w:r>
      <w:r w:rsidR="007D24E8">
        <w:t>4</w:t>
      </w:r>
      <w:r w:rsidR="005D4712" w:rsidRPr="00BA14E9">
        <w:t xml:space="preserve"> </w:t>
      </w:r>
      <w:r w:rsidR="00297ADC" w:rsidRPr="00BA14E9">
        <w:t>–</w:t>
      </w:r>
      <w:r w:rsidRPr="00BA14E9">
        <w:t xml:space="preserve"> </w:t>
      </w:r>
      <w:r w:rsidR="00981F7A" w:rsidRPr="00BA14E9">
        <w:t>N</w:t>
      </w:r>
      <w:r w:rsidR="00AB2AF8" w:rsidRPr="00BA14E9">
        <w:t>ational regulation of access, competition and security</w:t>
      </w:r>
      <w:bookmarkEnd w:id="49"/>
    </w:p>
    <w:p w14:paraId="15964C91" w14:textId="5ECA607F" w:rsidR="00682B33" w:rsidRPr="00BA14E9" w:rsidRDefault="00A922B3" w:rsidP="00E83908">
      <w:pPr>
        <w:pStyle w:val="Heading2"/>
      </w:pPr>
      <w:bookmarkStart w:id="50" w:name="_Toc222925490"/>
      <w:r w:rsidRPr="00BA14E9">
        <w:t xml:space="preserve">Overview of the </w:t>
      </w:r>
      <w:r w:rsidR="00C40299" w:rsidRPr="00BA14E9">
        <w:t xml:space="preserve">National Gas Law and </w:t>
      </w:r>
      <w:r w:rsidR="007F7C7F" w:rsidRPr="00BA14E9">
        <w:t>National Energy Retail Law</w:t>
      </w:r>
      <w:bookmarkEnd w:id="50"/>
    </w:p>
    <w:p w14:paraId="7FFF1FDE" w14:textId="79E8F1F3" w:rsidR="004617A7" w:rsidRPr="00BA14E9" w:rsidRDefault="004617A7" w:rsidP="004617A7">
      <w:pPr>
        <w:spacing w:line="278" w:lineRule="auto"/>
        <w:rPr>
          <w:rFonts w:cs="Calibri"/>
          <w:szCs w:val="24"/>
        </w:rPr>
      </w:pPr>
      <w:r w:rsidRPr="00BA14E9">
        <w:rPr>
          <w:rFonts w:cs="Calibri"/>
        </w:rPr>
        <w:t>Australia’s pipeline infrastructure, including those used for transporting natural gas and emerging fuels like hydrogen, is governed under a comprehensive national regulatory framework. This framework ensures safe, efficient, and transparent operation of pipeline services while supporting Australia’s energy transition. The</w:t>
      </w:r>
      <w:r w:rsidRPr="00BA14E9" w:rsidDel="005800E8">
        <w:rPr>
          <w:rFonts w:cs="Calibri"/>
        </w:rPr>
        <w:t xml:space="preserve"> </w:t>
      </w:r>
      <w:r w:rsidRPr="00BA14E9">
        <w:rPr>
          <w:rFonts w:cs="Calibri"/>
        </w:rPr>
        <w:t>National Gas Law (NGL) and the National Gas Rules (NGR)</w:t>
      </w:r>
      <w:r w:rsidRPr="00BA14E9" w:rsidDel="005800E8">
        <w:rPr>
          <w:rFonts w:cs="Calibri"/>
        </w:rPr>
        <w:t xml:space="preserve"> </w:t>
      </w:r>
      <w:r w:rsidRPr="00BA14E9">
        <w:rPr>
          <w:rFonts w:cs="Calibri"/>
          <w:szCs w:val="24"/>
        </w:rPr>
        <w:t xml:space="preserve">provide a national framework for regulating access to gas pipeline services. The NGL is set out in a Schedule to the </w:t>
      </w:r>
      <w:r w:rsidRPr="00BA14E9">
        <w:rPr>
          <w:rFonts w:cs="Calibri"/>
          <w:i/>
          <w:iCs/>
          <w:szCs w:val="24"/>
        </w:rPr>
        <w:t xml:space="preserve">National Gas (South Australia) Act 2008 </w:t>
      </w:r>
      <w:r w:rsidRPr="00BA14E9">
        <w:rPr>
          <w:rFonts w:cs="Calibri"/>
          <w:szCs w:val="24"/>
        </w:rPr>
        <w:t xml:space="preserve">(SA). The NGL provides the overarching legal framework for gas market regulation in Australia, while the NGR sets out detailed rules for pipeline access, pricing, and market conduct. </w:t>
      </w:r>
    </w:p>
    <w:p w14:paraId="7976732B" w14:textId="419DA36F" w:rsidR="004617A7" w:rsidRPr="00BA14E9" w:rsidRDefault="004617A7" w:rsidP="004617A7">
      <w:pPr>
        <w:spacing w:line="278" w:lineRule="auto"/>
        <w:rPr>
          <w:rFonts w:cs="Calibri"/>
          <w:szCs w:val="24"/>
        </w:rPr>
      </w:pPr>
      <w:r w:rsidRPr="00BA14E9">
        <w:rPr>
          <w:rFonts w:cs="Calibri"/>
          <w:szCs w:val="24"/>
        </w:rPr>
        <w:t>Together the NGL and NGR create consistency across jurisdictions (except in W</w:t>
      </w:r>
      <w:r w:rsidR="001869DD">
        <w:rPr>
          <w:rFonts w:cs="Calibri"/>
          <w:szCs w:val="24"/>
        </w:rPr>
        <w:t>estern A</w:t>
      </w:r>
      <w:r w:rsidR="00000B93">
        <w:rPr>
          <w:rFonts w:cs="Calibri"/>
          <w:szCs w:val="24"/>
        </w:rPr>
        <w:t>ustralia</w:t>
      </w:r>
      <w:r w:rsidRPr="00BA14E9">
        <w:rPr>
          <w:rFonts w:cs="Calibri"/>
          <w:szCs w:val="24"/>
        </w:rPr>
        <w:t>, which has its own version of the NGL).</w:t>
      </w:r>
    </w:p>
    <w:p w14:paraId="502D2BA3" w14:textId="67F8AD7F" w:rsidR="004617A7" w:rsidRPr="00BA14E9" w:rsidRDefault="004617A7" w:rsidP="004617A7">
      <w:pPr>
        <w:spacing w:line="278" w:lineRule="auto"/>
        <w:rPr>
          <w:rFonts w:cs="Calibri"/>
          <w:szCs w:val="24"/>
        </w:rPr>
      </w:pPr>
      <w:proofErr w:type="gramStart"/>
      <w:r w:rsidRPr="00BA14E9">
        <w:rPr>
          <w:rFonts w:cs="Calibri"/>
          <w:szCs w:val="24"/>
        </w:rPr>
        <w:t>With the exception of</w:t>
      </w:r>
      <w:proofErr w:type="gramEnd"/>
      <w:r w:rsidRPr="00BA14E9">
        <w:rPr>
          <w:rFonts w:cs="Calibri"/>
          <w:szCs w:val="24"/>
        </w:rPr>
        <w:t xml:space="preserve"> Western Australia, the NGL applies as law in all Australian states and territories adopted in 2008. Western Australia </w:t>
      </w:r>
      <w:r w:rsidR="00BE144F">
        <w:rPr>
          <w:rFonts w:cs="Calibri"/>
          <w:szCs w:val="24"/>
        </w:rPr>
        <w:t>has a modified version of</w:t>
      </w:r>
      <w:r w:rsidR="00BE144F" w:rsidRPr="00BA14E9">
        <w:rPr>
          <w:rFonts w:cs="Calibri"/>
          <w:szCs w:val="24"/>
        </w:rPr>
        <w:t xml:space="preserve"> </w:t>
      </w:r>
      <w:r w:rsidRPr="00BA14E9">
        <w:rPr>
          <w:rFonts w:cs="Calibri"/>
          <w:szCs w:val="24"/>
        </w:rPr>
        <w:t xml:space="preserve">the NGL </w:t>
      </w:r>
      <w:r w:rsidR="00BE144F" w:rsidRPr="00BA14E9">
        <w:rPr>
          <w:rFonts w:cs="Calibri"/>
          <w:szCs w:val="24"/>
        </w:rPr>
        <w:t>and NGR under its </w:t>
      </w:r>
      <w:r w:rsidR="00BE144F" w:rsidRPr="00BA14E9">
        <w:rPr>
          <w:rFonts w:cs="Calibri"/>
          <w:i/>
          <w:iCs/>
          <w:szCs w:val="24"/>
        </w:rPr>
        <w:t>National Gas Access Act 2009</w:t>
      </w:r>
      <w:r w:rsidR="00BE144F" w:rsidRPr="00BA14E9">
        <w:rPr>
          <w:rFonts w:cs="Calibri"/>
          <w:szCs w:val="24"/>
        </w:rPr>
        <w:t> (WA).</w:t>
      </w:r>
    </w:p>
    <w:p w14:paraId="221D0B02" w14:textId="54D6E1DE" w:rsidR="00237BFD" w:rsidRDefault="004617A7" w:rsidP="00D33BE1">
      <w:pPr>
        <w:numPr>
          <w:ilvl w:val="0"/>
          <w:numId w:val="39"/>
        </w:numPr>
        <w:spacing w:line="278" w:lineRule="auto"/>
        <w:rPr>
          <w:rFonts w:cs="Calibri"/>
          <w:szCs w:val="24"/>
        </w:rPr>
      </w:pPr>
      <w:r w:rsidRPr="00BA14E9">
        <w:rPr>
          <w:rFonts w:cs="Calibri"/>
          <w:szCs w:val="24"/>
        </w:rPr>
        <w:t xml:space="preserve">Western Australia </w:t>
      </w:r>
      <w:r w:rsidR="001C100A">
        <w:rPr>
          <w:rFonts w:cs="Calibri"/>
          <w:szCs w:val="24"/>
        </w:rPr>
        <w:t>has</w:t>
      </w:r>
      <w:r w:rsidR="001C100A" w:rsidRPr="00BA14E9">
        <w:rPr>
          <w:rFonts w:cs="Calibri"/>
          <w:szCs w:val="24"/>
        </w:rPr>
        <w:t xml:space="preserve"> </w:t>
      </w:r>
      <w:r w:rsidR="00CB7152">
        <w:rPr>
          <w:rFonts w:cs="Calibri"/>
          <w:szCs w:val="24"/>
        </w:rPr>
        <w:t xml:space="preserve">not adopted all </w:t>
      </w:r>
      <w:r w:rsidR="00BE144F">
        <w:rPr>
          <w:rFonts w:cs="Calibri"/>
          <w:szCs w:val="24"/>
        </w:rPr>
        <w:t>NGL reform packages and a</w:t>
      </w:r>
      <w:r w:rsidRPr="00BA14E9">
        <w:rPr>
          <w:rFonts w:cs="Calibri"/>
          <w:szCs w:val="24"/>
        </w:rPr>
        <w:t>s a result, the NGL and NGR that apply in Western Australia are different to those that apply in every other participating jurisdiction.</w:t>
      </w:r>
      <w:r w:rsidR="00BE144F">
        <w:rPr>
          <w:rFonts w:cs="Calibri"/>
          <w:szCs w:val="24"/>
        </w:rPr>
        <w:t xml:space="preserve"> Some of the </w:t>
      </w:r>
      <w:r w:rsidR="00237BFD">
        <w:rPr>
          <w:rFonts w:cs="Calibri"/>
          <w:szCs w:val="24"/>
        </w:rPr>
        <w:t xml:space="preserve">key differences for Western Australia </w:t>
      </w:r>
      <w:r w:rsidR="00BE144F">
        <w:rPr>
          <w:rFonts w:cs="Calibri"/>
          <w:szCs w:val="24"/>
        </w:rPr>
        <w:t>include</w:t>
      </w:r>
      <w:r w:rsidR="00237BFD">
        <w:rPr>
          <w:rFonts w:cs="Calibri"/>
          <w:szCs w:val="24"/>
        </w:rPr>
        <w:t>:</w:t>
      </w:r>
    </w:p>
    <w:p w14:paraId="53191D02" w14:textId="690B4ADD" w:rsidR="00A76675" w:rsidRPr="00A76675" w:rsidRDefault="00A76675" w:rsidP="00237BFD">
      <w:pPr>
        <w:numPr>
          <w:ilvl w:val="1"/>
          <w:numId w:val="39"/>
        </w:numPr>
        <w:spacing w:line="278" w:lineRule="auto"/>
        <w:rPr>
          <w:rFonts w:cs="Calibri"/>
          <w:szCs w:val="24"/>
        </w:rPr>
      </w:pPr>
      <w:r w:rsidRPr="001F44E6">
        <w:t>the NGL</w:t>
      </w:r>
      <w:r>
        <w:t xml:space="preserve"> in </w:t>
      </w:r>
      <w:r w:rsidRPr="001F44E6">
        <w:t>WA provides a framework for the economic regulation of third-party access to WA gas pipelines, while the NGL in force elsewhere in Australia has expanded to include the regulation of retail gas and wholesale markets and has conferred functions on the Australian Energy Market Operator (AEMO</w:t>
      </w:r>
      <w:r>
        <w:t>)</w:t>
      </w:r>
    </w:p>
    <w:p w14:paraId="3EF69EFA" w14:textId="6E5BCECA" w:rsidR="00F567A0" w:rsidRPr="00F567A0" w:rsidRDefault="00F567A0" w:rsidP="00237BFD">
      <w:pPr>
        <w:numPr>
          <w:ilvl w:val="1"/>
          <w:numId w:val="39"/>
        </w:numPr>
        <w:spacing w:line="278" w:lineRule="auto"/>
        <w:rPr>
          <w:rFonts w:cs="Calibri"/>
          <w:szCs w:val="24"/>
        </w:rPr>
      </w:pPr>
      <w:r w:rsidRPr="001F44E6">
        <w:t>the E</w:t>
      </w:r>
      <w:r>
        <w:t>conomic Regulatory Authority (ERA)</w:t>
      </w:r>
      <w:r w:rsidRPr="001F44E6">
        <w:t xml:space="preserve"> performs economic regulatory functions instead of the Australian Energy Regulator (AER)</w:t>
      </w:r>
    </w:p>
    <w:p w14:paraId="3A4AFBF1" w14:textId="77777777" w:rsidR="00F567A0" w:rsidRPr="00F567A0" w:rsidRDefault="00F567A0" w:rsidP="00237BFD">
      <w:pPr>
        <w:numPr>
          <w:ilvl w:val="1"/>
          <w:numId w:val="39"/>
        </w:numPr>
        <w:spacing w:line="278" w:lineRule="auto"/>
        <w:rPr>
          <w:rFonts w:cs="Calibri"/>
          <w:szCs w:val="24"/>
        </w:rPr>
      </w:pPr>
      <w:r w:rsidRPr="001F44E6">
        <w:t>the WA Energy Disputes Arbitrator handles dispute resolution for scheme pipelines, rather than the AER</w:t>
      </w:r>
    </w:p>
    <w:p w14:paraId="605104A7" w14:textId="3C8CE294" w:rsidR="004617A7" w:rsidRPr="00BA14E9" w:rsidRDefault="004617A7" w:rsidP="00D33BE1">
      <w:pPr>
        <w:numPr>
          <w:ilvl w:val="0"/>
          <w:numId w:val="39"/>
        </w:numPr>
        <w:spacing w:line="278" w:lineRule="auto"/>
        <w:rPr>
          <w:rFonts w:cs="Calibri"/>
          <w:szCs w:val="24"/>
        </w:rPr>
      </w:pPr>
      <w:r w:rsidRPr="00BA14E9">
        <w:rPr>
          <w:rFonts w:cs="Calibri"/>
          <w:szCs w:val="24"/>
        </w:rPr>
        <w:t>W</w:t>
      </w:r>
      <w:r w:rsidR="00A351A9" w:rsidRPr="00BA14E9">
        <w:rPr>
          <w:rFonts w:cs="Calibri"/>
          <w:szCs w:val="24"/>
        </w:rPr>
        <w:t>e</w:t>
      </w:r>
      <w:r w:rsidR="006B3863" w:rsidRPr="00BA14E9">
        <w:rPr>
          <w:rFonts w:cs="Calibri"/>
          <w:szCs w:val="24"/>
        </w:rPr>
        <w:t>s</w:t>
      </w:r>
      <w:r w:rsidR="00A351A9" w:rsidRPr="00BA14E9">
        <w:rPr>
          <w:rFonts w:cs="Calibri"/>
          <w:szCs w:val="24"/>
        </w:rPr>
        <w:t xml:space="preserve">tern </w:t>
      </w:r>
      <w:r w:rsidRPr="00BA14E9">
        <w:rPr>
          <w:rFonts w:cs="Calibri"/>
          <w:szCs w:val="24"/>
        </w:rPr>
        <w:t>A</w:t>
      </w:r>
      <w:r w:rsidR="00A351A9" w:rsidRPr="00BA14E9">
        <w:rPr>
          <w:rFonts w:cs="Calibri"/>
          <w:szCs w:val="24"/>
        </w:rPr>
        <w:t>ustralia</w:t>
      </w:r>
      <w:r w:rsidRPr="00BA14E9">
        <w:rPr>
          <w:rFonts w:cs="Calibri"/>
          <w:szCs w:val="24"/>
        </w:rPr>
        <w:t>’s</w:t>
      </w:r>
      <w:r w:rsidR="006B3863" w:rsidRPr="00BA14E9">
        <w:rPr>
          <w:rFonts w:cs="Calibri"/>
          <w:szCs w:val="24"/>
        </w:rPr>
        <w:t xml:space="preserve"> </w:t>
      </w:r>
      <w:r w:rsidRPr="00BA14E9">
        <w:rPr>
          <w:rFonts w:cs="Calibri"/>
          <w:i/>
          <w:iCs/>
          <w:szCs w:val="24"/>
        </w:rPr>
        <w:t>Gas Services Information Act 2012 </w:t>
      </w:r>
      <w:r w:rsidRPr="00BA14E9">
        <w:rPr>
          <w:rFonts w:cs="Calibri"/>
          <w:szCs w:val="24"/>
        </w:rPr>
        <w:t xml:space="preserve">(WA) and the Gas Services Information Regulations 2012 promote transparency and competition in the local gas market. The Act and its associated rules and regulations outline the operation of the WA Gas Bulletin Board, which provides key information about the state's gas market, and defines the roles of bodies like the </w:t>
      </w:r>
      <w:r w:rsidR="00B5732E" w:rsidRPr="00BA14E9">
        <w:rPr>
          <w:rFonts w:cs="Calibri"/>
          <w:szCs w:val="24"/>
        </w:rPr>
        <w:t>Australian Energy Market Operator (</w:t>
      </w:r>
      <w:r w:rsidRPr="00BA14E9">
        <w:rPr>
          <w:rFonts w:cs="Calibri"/>
          <w:szCs w:val="24"/>
        </w:rPr>
        <w:t>AEMO</w:t>
      </w:r>
      <w:r w:rsidR="00B5732E" w:rsidRPr="00BA14E9">
        <w:rPr>
          <w:rFonts w:cs="Calibri"/>
          <w:szCs w:val="24"/>
        </w:rPr>
        <w:t>)</w:t>
      </w:r>
      <w:r w:rsidRPr="00BA14E9">
        <w:rPr>
          <w:rFonts w:cs="Calibri"/>
          <w:szCs w:val="24"/>
        </w:rPr>
        <w:t>. </w:t>
      </w:r>
    </w:p>
    <w:p w14:paraId="329A74F4" w14:textId="77777777" w:rsidR="00E05E28" w:rsidRPr="00BA14E9" w:rsidRDefault="00E05E28" w:rsidP="00E05E28">
      <w:pPr>
        <w:spacing w:line="278" w:lineRule="auto"/>
        <w:rPr>
          <w:rFonts w:cs="Calibri"/>
          <w:szCs w:val="24"/>
        </w:rPr>
      </w:pPr>
      <w:r w:rsidRPr="00BA14E9">
        <w:rPr>
          <w:rFonts w:cs="Calibri"/>
          <w:szCs w:val="24"/>
        </w:rPr>
        <w:lastRenderedPageBreak/>
        <w:t>The supply and sale of gas to retail customers is governed by the National Energy Customer Framework (NECF). This suite of legal instruments includes the National Energy Retail Law (NERL) and the National Energy Retail Rules (NERR).  </w:t>
      </w:r>
    </w:p>
    <w:p w14:paraId="6A857EE4" w14:textId="440B23FA" w:rsidR="00E05E28" w:rsidRPr="00BA14E9" w:rsidRDefault="00E05E28" w:rsidP="00E05E28">
      <w:pPr>
        <w:spacing w:line="278" w:lineRule="auto"/>
        <w:rPr>
          <w:rFonts w:cs="Calibri"/>
          <w:szCs w:val="24"/>
        </w:rPr>
      </w:pPr>
      <w:r w:rsidRPr="00BA14E9">
        <w:rPr>
          <w:rFonts w:cs="Calibri"/>
          <w:szCs w:val="24"/>
        </w:rPr>
        <w:t>The NERL is a Schedule to the </w:t>
      </w:r>
      <w:r w:rsidRPr="00BA14E9">
        <w:rPr>
          <w:rFonts w:cs="Calibri"/>
          <w:i/>
          <w:iCs/>
          <w:szCs w:val="24"/>
        </w:rPr>
        <w:t xml:space="preserve">National Energy Retail Law (South Australia) Act 2011 </w:t>
      </w:r>
      <w:r w:rsidRPr="00BA14E9">
        <w:rPr>
          <w:rFonts w:cs="Calibri"/>
          <w:szCs w:val="24"/>
        </w:rPr>
        <w:t>(SA)</w:t>
      </w:r>
      <w:r w:rsidRPr="00BA14E9">
        <w:rPr>
          <w:rFonts w:cs="Calibri"/>
          <w:i/>
          <w:iCs/>
          <w:szCs w:val="24"/>
        </w:rPr>
        <w:t> </w:t>
      </w:r>
      <w:r w:rsidRPr="00BA14E9">
        <w:rPr>
          <w:rFonts w:cs="Calibri"/>
          <w:szCs w:val="24"/>
        </w:rPr>
        <w:t xml:space="preserve">which regulates the supply and sale of gas to retail customers. </w:t>
      </w:r>
      <w:r w:rsidR="004E1FE0">
        <w:rPr>
          <w:rFonts w:cs="Calibri"/>
          <w:szCs w:val="24"/>
        </w:rPr>
        <w:t xml:space="preserve">The Northern Territory, Tasmania, </w:t>
      </w:r>
      <w:r w:rsidRPr="00BA14E9">
        <w:rPr>
          <w:rFonts w:cs="Calibri"/>
          <w:szCs w:val="24"/>
        </w:rPr>
        <w:t xml:space="preserve">Victoria </w:t>
      </w:r>
      <w:r w:rsidR="009102BA">
        <w:rPr>
          <w:rFonts w:cs="Calibri"/>
          <w:szCs w:val="24"/>
        </w:rPr>
        <w:t xml:space="preserve">and Western Australia </w:t>
      </w:r>
      <w:r w:rsidRPr="00BA14E9">
        <w:rPr>
          <w:rFonts w:cs="Calibri"/>
          <w:szCs w:val="24"/>
        </w:rPr>
        <w:t>ha</w:t>
      </w:r>
      <w:r w:rsidR="004E1FE0">
        <w:rPr>
          <w:rFonts w:cs="Calibri"/>
          <w:szCs w:val="24"/>
        </w:rPr>
        <w:t>ve</w:t>
      </w:r>
      <w:r w:rsidRPr="00BA14E9">
        <w:rPr>
          <w:rFonts w:cs="Calibri"/>
          <w:szCs w:val="24"/>
        </w:rPr>
        <w:t xml:space="preserve"> not applied the NERL, however, similar customer protections are set out in</w:t>
      </w:r>
      <w:r w:rsidR="00F647B0">
        <w:rPr>
          <w:rFonts w:cs="Calibri"/>
          <w:szCs w:val="24"/>
        </w:rPr>
        <w:t xml:space="preserve"> other laws</w:t>
      </w:r>
      <w:r w:rsidR="00CB6E61">
        <w:rPr>
          <w:rFonts w:cs="Calibri"/>
          <w:szCs w:val="24"/>
        </w:rPr>
        <w:t xml:space="preserve">, </w:t>
      </w:r>
      <w:r w:rsidR="006A0639">
        <w:rPr>
          <w:rFonts w:cs="Calibri"/>
          <w:szCs w:val="24"/>
        </w:rPr>
        <w:t>for example</w:t>
      </w:r>
      <w:r w:rsidRPr="00BA14E9">
        <w:rPr>
          <w:rFonts w:cs="Calibri"/>
          <w:szCs w:val="24"/>
        </w:rPr>
        <w:t xml:space="preserve"> the </w:t>
      </w:r>
      <w:r w:rsidRPr="00BA14E9">
        <w:rPr>
          <w:rFonts w:cs="Calibri"/>
          <w:i/>
          <w:iCs/>
          <w:szCs w:val="24"/>
        </w:rPr>
        <w:t>Gas Industry Act 2001</w:t>
      </w:r>
      <w:r w:rsidRPr="00BA14E9">
        <w:rPr>
          <w:rFonts w:cs="Calibri"/>
          <w:szCs w:val="24"/>
        </w:rPr>
        <w:t> (V</w:t>
      </w:r>
      <w:r w:rsidR="00BD7C38">
        <w:rPr>
          <w:rFonts w:cs="Calibri"/>
          <w:szCs w:val="24"/>
        </w:rPr>
        <w:t>ic</w:t>
      </w:r>
      <w:r w:rsidRPr="00BA14E9">
        <w:rPr>
          <w:rFonts w:cs="Calibri"/>
          <w:szCs w:val="24"/>
        </w:rPr>
        <w:t>) and the Victorian Energy Retail Code of Practice</w:t>
      </w:r>
      <w:r w:rsidRPr="00BA14E9">
        <w:rPr>
          <w:rStyle w:val="FootnoteReference"/>
          <w:rFonts w:cs="Calibri"/>
          <w:szCs w:val="24"/>
        </w:rPr>
        <w:footnoteReference w:id="6"/>
      </w:r>
      <w:r w:rsidR="009102BA">
        <w:rPr>
          <w:rFonts w:cs="Calibri"/>
          <w:szCs w:val="24"/>
        </w:rPr>
        <w:t>,</w:t>
      </w:r>
      <w:r w:rsidR="00CB6E61">
        <w:rPr>
          <w:rFonts w:cs="Calibri"/>
          <w:szCs w:val="24"/>
        </w:rPr>
        <w:t xml:space="preserve"> the </w:t>
      </w:r>
      <w:r w:rsidR="00CB6E61">
        <w:rPr>
          <w:rFonts w:cs="Calibri"/>
          <w:i/>
          <w:iCs/>
          <w:szCs w:val="24"/>
        </w:rPr>
        <w:t xml:space="preserve">Gas Industry Act 2019 </w:t>
      </w:r>
      <w:r w:rsidR="00CB6E61">
        <w:rPr>
          <w:rFonts w:cs="Calibri"/>
          <w:szCs w:val="24"/>
        </w:rPr>
        <w:t>(Tas)</w:t>
      </w:r>
      <w:r w:rsidR="009102BA">
        <w:rPr>
          <w:rFonts w:cs="Calibri"/>
          <w:szCs w:val="24"/>
        </w:rPr>
        <w:t xml:space="preserve">, and the </w:t>
      </w:r>
      <w:r w:rsidR="009102BA">
        <w:rPr>
          <w:rFonts w:cs="Calibri"/>
          <w:i/>
          <w:iCs/>
          <w:szCs w:val="24"/>
        </w:rPr>
        <w:t xml:space="preserve">Electricity Industry Act 2004 </w:t>
      </w:r>
      <w:r w:rsidR="009102BA">
        <w:rPr>
          <w:rFonts w:cs="Calibri"/>
          <w:szCs w:val="24"/>
        </w:rPr>
        <w:t>(</w:t>
      </w:r>
      <w:r w:rsidR="00BD0DF7">
        <w:rPr>
          <w:rFonts w:cs="Calibri"/>
          <w:szCs w:val="24"/>
        </w:rPr>
        <w:t>WA)</w:t>
      </w:r>
      <w:r w:rsidR="007F189A">
        <w:rPr>
          <w:rFonts w:cs="Calibri"/>
          <w:szCs w:val="24"/>
        </w:rPr>
        <w:t>.</w:t>
      </w:r>
    </w:p>
    <w:p w14:paraId="2E713131" w14:textId="6F14DFFF" w:rsidR="00E05E28" w:rsidRPr="00BA14E9" w:rsidRDefault="00E05E28" w:rsidP="00E549C4">
      <w:pPr>
        <w:spacing w:line="278" w:lineRule="auto"/>
        <w:rPr>
          <w:rFonts w:cs="Calibri"/>
          <w:szCs w:val="24"/>
        </w:rPr>
      </w:pPr>
      <w:r w:rsidRPr="00BA14E9">
        <w:rPr>
          <w:rFonts w:cs="Calibri"/>
          <w:szCs w:val="24"/>
        </w:rPr>
        <w:t>The NERR are made under the NERL. They provide detailed information about consumer protection measures and model contract terms and conditions. They also facilitate the provision of electricity and gas services to retail customers, including customer connections, retail competition, and basic terms and conditions contained in retail contracts. Most rules are focused on small customers, including residential. Rules relating to retail are included in the NGR. The AER publishes </w:t>
      </w:r>
      <w:hyperlink r:id="rId20" w:tgtFrame="_blank" w:history="1">
        <w:r w:rsidRPr="00BA14E9">
          <w:rPr>
            <w:rStyle w:val="Hyperlink"/>
            <w:rFonts w:cs="Calibri"/>
            <w:szCs w:val="24"/>
          </w:rPr>
          <w:t>guidelines made under the NERR</w:t>
        </w:r>
      </w:hyperlink>
      <w:r w:rsidRPr="00BA14E9">
        <w:rPr>
          <w:rFonts w:cs="Calibri"/>
          <w:szCs w:val="24"/>
        </w:rPr>
        <w:t>. </w:t>
      </w:r>
    </w:p>
    <w:p w14:paraId="73CD646A" w14:textId="35AF5185" w:rsidR="00AF56D4" w:rsidRPr="00BA14E9" w:rsidRDefault="00AF56D4" w:rsidP="00AF56D4">
      <w:pPr>
        <w:spacing w:line="278" w:lineRule="auto"/>
      </w:pPr>
      <w:r w:rsidRPr="00BA14E9">
        <w:t xml:space="preserve">For offshore pipelines, the </w:t>
      </w:r>
      <w:r w:rsidRPr="00BA14E9">
        <w:rPr>
          <w:i/>
          <w:iCs/>
        </w:rPr>
        <w:t>Offshore Petroleum and Greenhouse Gas Storage Act 2006</w:t>
      </w:r>
      <w:r w:rsidRPr="00BA14E9">
        <w:t xml:space="preserve"> (</w:t>
      </w:r>
      <w:proofErr w:type="spellStart"/>
      <w:r w:rsidRPr="00BA14E9">
        <w:t>Cth</w:t>
      </w:r>
      <w:proofErr w:type="spellEnd"/>
      <w:r w:rsidRPr="00BA14E9">
        <w:t xml:space="preserve">) </w:t>
      </w:r>
      <w:proofErr w:type="gramStart"/>
      <w:r w:rsidRPr="00BA14E9">
        <w:t>governs</w:t>
      </w:r>
      <w:proofErr w:type="gramEnd"/>
      <w:r w:rsidRPr="00BA14E9">
        <w:t xml:space="preserve"> licence variations. Applications to National Offshore Petroleum Titles Administrator must include updated route descriptions, technical specifications, and Safety Management Systems (SMS), with public consultation under sections 226 and 708. </w:t>
      </w:r>
    </w:p>
    <w:p w14:paraId="0240377D" w14:textId="3E0CADF8" w:rsidR="00443554" w:rsidRPr="00BA14E9" w:rsidRDefault="007F7C7F" w:rsidP="00E83908">
      <w:pPr>
        <w:pStyle w:val="Heading2"/>
      </w:pPr>
      <w:bookmarkStart w:id="51" w:name="_Toc222925491"/>
      <w:r w:rsidRPr="00BA14E9">
        <w:t>National energy institutions</w:t>
      </w:r>
      <w:bookmarkEnd w:id="51"/>
    </w:p>
    <w:p w14:paraId="00B96128" w14:textId="4F7157F2" w:rsidR="0019168C" w:rsidRPr="00BA14E9" w:rsidRDefault="0019168C" w:rsidP="0019168C">
      <w:pPr>
        <w:spacing w:line="278" w:lineRule="auto"/>
        <w:rPr>
          <w:rFonts w:cs="Calibri"/>
          <w:szCs w:val="24"/>
        </w:rPr>
      </w:pPr>
      <w:r w:rsidRPr="00BA14E9">
        <w:rPr>
          <w:rFonts w:cs="Calibri"/>
          <w:szCs w:val="24"/>
        </w:rPr>
        <w:t>The NGL and NGR are administered through Commonwealth and state bodies.  </w:t>
      </w:r>
    </w:p>
    <w:p w14:paraId="62D0F5F9" w14:textId="77777777" w:rsidR="0019168C" w:rsidRPr="00BA14E9" w:rsidRDefault="0019168C" w:rsidP="0019168C">
      <w:pPr>
        <w:spacing w:line="278" w:lineRule="auto"/>
        <w:rPr>
          <w:rFonts w:cs="Calibri"/>
          <w:szCs w:val="24"/>
        </w:rPr>
      </w:pPr>
      <w:r w:rsidRPr="00BA14E9">
        <w:rPr>
          <w:rFonts w:cs="Calibri"/>
          <w:szCs w:val="24"/>
        </w:rPr>
        <w:t>The Energy and Climate Change Ministerial Council, made up of energy ministers from each jurisdiction, oversees strategic policy and approves changes to the NGL and NGR. The Australian Energy Market Commission (AEMC) is responsible for developing and amending the rules, while the National Competition Council (NCC) advises on whether gas pipelines should be subject to regulation under the NGL. </w:t>
      </w:r>
    </w:p>
    <w:p w14:paraId="1B27505A" w14:textId="488D08CD" w:rsidR="00496D6B" w:rsidRPr="00BA14E9" w:rsidRDefault="00496D6B" w:rsidP="00496D6B">
      <w:pPr>
        <w:spacing w:line="278" w:lineRule="auto"/>
        <w:rPr>
          <w:rFonts w:cs="Calibri"/>
          <w:szCs w:val="24"/>
        </w:rPr>
      </w:pPr>
      <w:r w:rsidRPr="00BA14E9">
        <w:rPr>
          <w:rFonts w:cs="Calibri"/>
          <w:szCs w:val="24"/>
        </w:rPr>
        <w:t xml:space="preserve">The </w:t>
      </w:r>
      <w:r w:rsidRPr="00BA14E9">
        <w:rPr>
          <w:rFonts w:cs="Calibri"/>
        </w:rPr>
        <w:t>AEMC</w:t>
      </w:r>
      <w:r w:rsidRPr="00BA14E9">
        <w:rPr>
          <w:rFonts w:cs="Calibri"/>
          <w:szCs w:val="24"/>
        </w:rPr>
        <w:t xml:space="preserve"> is the rule-maker for Australia’s energy markets. Under the NGL it develops and amends the NGR which govern access to pipeline services, wholesale market operations, and third-party access frameworks. The AEMC ensures that rules promote competition, efficiency, and consumer protection across the gas sector. </w:t>
      </w:r>
      <w:r w:rsidR="00342C78" w:rsidRPr="00342C78">
        <w:rPr>
          <w:rFonts w:cs="Calibri"/>
          <w:szCs w:val="24"/>
        </w:rPr>
        <w:t>In accordance with the </w:t>
      </w:r>
      <w:hyperlink r:id="rId21" w:history="1">
        <w:r w:rsidR="00342C78" w:rsidRPr="00342C78">
          <w:rPr>
            <w:rStyle w:val="Hyperlink"/>
            <w:rFonts w:cs="Calibri"/>
            <w:szCs w:val="24"/>
          </w:rPr>
          <w:t>National Electricity Objectives</w:t>
        </w:r>
      </w:hyperlink>
      <w:r w:rsidR="00342C78" w:rsidRPr="00342C78">
        <w:rPr>
          <w:rFonts w:cs="Calibri"/>
          <w:szCs w:val="24"/>
        </w:rPr>
        <w:t>, the AEMC </w:t>
      </w:r>
      <w:r w:rsidR="00342C78">
        <w:rPr>
          <w:rFonts w:cs="Calibri"/>
          <w:szCs w:val="24"/>
        </w:rPr>
        <w:t xml:space="preserve">also </w:t>
      </w:r>
      <w:hyperlink r:id="rId22" w:history="1">
        <w:r w:rsidR="00342C78" w:rsidRPr="00342C78">
          <w:rPr>
            <w:rStyle w:val="Hyperlink"/>
            <w:rFonts w:cs="Calibri"/>
            <w:szCs w:val="24"/>
          </w:rPr>
          <w:t>undertakes reviews and provides advice</w:t>
        </w:r>
      </w:hyperlink>
      <w:r w:rsidR="00342C78" w:rsidRPr="00342C78">
        <w:rPr>
          <w:rFonts w:cs="Calibri"/>
          <w:szCs w:val="24"/>
        </w:rPr>
        <w:t> to governments on improvements to regulatory and energy market arrangements, in order to provide consumers with reliable low-emissions energy in the most cost efficient way within this changing environment.</w:t>
      </w:r>
    </w:p>
    <w:p w14:paraId="05794560" w14:textId="00DC948D" w:rsidR="0019168C" w:rsidRPr="00BA14E9" w:rsidRDefault="0019168C" w:rsidP="0019168C">
      <w:pPr>
        <w:spacing w:line="278" w:lineRule="auto"/>
        <w:rPr>
          <w:rFonts w:cs="Calibri"/>
          <w:szCs w:val="24"/>
        </w:rPr>
      </w:pPr>
      <w:r w:rsidRPr="00BA14E9">
        <w:rPr>
          <w:rFonts w:cs="Calibri"/>
          <w:szCs w:val="24"/>
        </w:rPr>
        <w:lastRenderedPageBreak/>
        <w:t xml:space="preserve">Day-to-day regulation and enforcement </w:t>
      </w:r>
      <w:proofErr w:type="gramStart"/>
      <w:r w:rsidRPr="00BA14E9">
        <w:rPr>
          <w:rFonts w:cs="Calibri"/>
          <w:szCs w:val="24"/>
        </w:rPr>
        <w:t>falls</w:t>
      </w:r>
      <w:proofErr w:type="gramEnd"/>
      <w:r w:rsidRPr="00BA14E9">
        <w:rPr>
          <w:rFonts w:cs="Calibri"/>
          <w:szCs w:val="24"/>
        </w:rPr>
        <w:t xml:space="preserve"> primarily to the Australian Energy Regulator (AER), which monitors compliance, sets pipeline tariffs, and enforces penalties across most of Australia. Western Australia operates slightly differently: the Economic Regulation Authority (ERA)</w:t>
      </w:r>
      <w:r w:rsidR="00F6038B">
        <w:rPr>
          <w:rStyle w:val="FootnoteReference"/>
          <w:rFonts w:cs="Calibri"/>
          <w:szCs w:val="24"/>
        </w:rPr>
        <w:footnoteReference w:id="7"/>
      </w:r>
      <w:r w:rsidRPr="00BA14E9">
        <w:rPr>
          <w:rFonts w:cs="Calibri"/>
          <w:szCs w:val="24"/>
        </w:rPr>
        <w:t xml:space="preserve"> performs the AER’s functions within WA’s adapted version of the national framework. </w:t>
      </w:r>
    </w:p>
    <w:p w14:paraId="186732BE" w14:textId="58CC1046" w:rsidR="0019168C" w:rsidRPr="00BA14E9" w:rsidRDefault="00776DFB" w:rsidP="606C9B12">
      <w:pPr>
        <w:spacing w:line="278" w:lineRule="auto"/>
        <w:rPr>
          <w:rFonts w:cs="Calibri"/>
          <w:szCs w:val="24"/>
        </w:rPr>
      </w:pPr>
      <w:r>
        <w:rPr>
          <w:rFonts w:cs="Calibri"/>
          <w:szCs w:val="24"/>
        </w:rPr>
        <w:t>For jurisdictions other than Western Australia, t</w:t>
      </w:r>
      <w:r w:rsidR="0019168C" w:rsidRPr="00BA14E9">
        <w:rPr>
          <w:rFonts w:cs="Calibri"/>
          <w:szCs w:val="24"/>
        </w:rPr>
        <w:t xml:space="preserve">he AEMO plays a central role in operating gas markets and systems, including the </w:t>
      </w:r>
      <w:proofErr w:type="gramStart"/>
      <w:r w:rsidR="0019168C" w:rsidRPr="00BA14E9">
        <w:rPr>
          <w:rFonts w:cs="Calibri"/>
          <w:szCs w:val="24"/>
        </w:rPr>
        <w:t>Short Term</w:t>
      </w:r>
      <w:proofErr w:type="gramEnd"/>
      <w:r w:rsidR="0019168C" w:rsidRPr="00BA14E9">
        <w:rPr>
          <w:rFonts w:cs="Calibri"/>
          <w:szCs w:val="24"/>
        </w:rPr>
        <w:t xml:space="preserve"> Trading Market, the Declared Wholesale Gas Market in Victoria, and the Gas Bulletin Board, which provides transparency across the national network. </w:t>
      </w:r>
      <w:r>
        <w:rPr>
          <w:rFonts w:cs="Calibri"/>
          <w:szCs w:val="24"/>
        </w:rPr>
        <w:t>AEMO has no function under the National Gas Law in Western Australia.</w:t>
      </w:r>
    </w:p>
    <w:p w14:paraId="4A1265B6" w14:textId="2B750A1F" w:rsidR="0019168C" w:rsidRPr="00BA14E9" w:rsidRDefault="0019168C" w:rsidP="0019168C">
      <w:pPr>
        <w:spacing w:line="278" w:lineRule="auto"/>
        <w:rPr>
          <w:rFonts w:cs="Calibri"/>
          <w:szCs w:val="24"/>
        </w:rPr>
      </w:pPr>
      <w:r w:rsidRPr="00BA14E9">
        <w:rPr>
          <w:rFonts w:cs="Calibri"/>
          <w:szCs w:val="24"/>
        </w:rPr>
        <w:t xml:space="preserve">Each state and territory also has its own department or minister responsible for implementing the NGL and NGR locally. These jurisdictional bodies handle infrastructure approvals, pipeline coverage decisions, and coordinate with national regulators to ensure local compliance. </w:t>
      </w:r>
    </w:p>
    <w:p w14:paraId="5B0FCA45" w14:textId="1E5B274C" w:rsidR="007F7C7F" w:rsidRPr="00BA14E9" w:rsidRDefault="007F7C7F" w:rsidP="00E83908">
      <w:pPr>
        <w:pStyle w:val="Heading2"/>
      </w:pPr>
      <w:bookmarkStart w:id="52" w:name="_Toc222925492"/>
      <w:r w:rsidRPr="00BA14E9">
        <w:t xml:space="preserve">Application of the NGL and </w:t>
      </w:r>
      <w:r w:rsidR="00EB473C" w:rsidRPr="00BA14E9">
        <w:t>NGR</w:t>
      </w:r>
      <w:r w:rsidRPr="00BA14E9">
        <w:t xml:space="preserve"> to hydrogen pipelines</w:t>
      </w:r>
      <w:bookmarkEnd w:id="52"/>
    </w:p>
    <w:p w14:paraId="1A3F4657" w14:textId="15CA51B8" w:rsidR="008257A1" w:rsidRPr="00BA14E9" w:rsidRDefault="005800E8" w:rsidP="008257A1">
      <w:pPr>
        <w:rPr>
          <w:rFonts w:cs="Calibri"/>
          <w:szCs w:val="24"/>
        </w:rPr>
      </w:pPr>
      <w:r w:rsidRPr="00BA14E9">
        <w:rPr>
          <w:rFonts w:cs="Calibri"/>
          <w:szCs w:val="24"/>
        </w:rPr>
        <w:t>As of March 2024, the NGL now covers hydrogen, biomethane, and synthetic methane</w:t>
      </w:r>
      <w:r w:rsidR="004A3CFF">
        <w:rPr>
          <w:rFonts w:cs="Calibri"/>
          <w:szCs w:val="24"/>
        </w:rPr>
        <w:t>,</w:t>
      </w:r>
      <w:r w:rsidR="00AF4E98">
        <w:rPr>
          <w:rFonts w:cs="Calibri"/>
          <w:szCs w:val="24"/>
        </w:rPr>
        <w:t xml:space="preserve"> </w:t>
      </w:r>
      <w:r w:rsidRPr="00BA14E9">
        <w:rPr>
          <w:rFonts w:cs="Calibri"/>
          <w:szCs w:val="24"/>
        </w:rPr>
        <w:t xml:space="preserve">referred to as “covered gases.” Hydrogen is classified as either a “Natural Gas Equivalent” or “Prescribed Covered Gas”. </w:t>
      </w:r>
      <w:r w:rsidR="008257A1" w:rsidRPr="00BA14E9">
        <w:rPr>
          <w:rFonts w:cs="Calibri"/>
          <w:szCs w:val="24"/>
        </w:rPr>
        <w:t xml:space="preserve">The updated framework also distinguishes between gases that can be safely blended into existing networks and those requiring dedicated infrastructure, such as 100% hydrogen. </w:t>
      </w:r>
    </w:p>
    <w:p w14:paraId="0EB7F33D" w14:textId="044DC885" w:rsidR="003D548F" w:rsidRPr="00BA14E9" w:rsidRDefault="00804789" w:rsidP="003D548F">
      <w:pPr>
        <w:spacing w:line="278" w:lineRule="auto"/>
        <w:rPr>
          <w:rFonts w:cs="Calibri"/>
        </w:rPr>
      </w:pPr>
      <w:r w:rsidRPr="00BA14E9">
        <w:rPr>
          <w:rFonts w:cs="Calibri"/>
          <w:szCs w:val="24"/>
        </w:rPr>
        <w:t>Natural Gas Equivalents</w:t>
      </w:r>
      <w:r w:rsidR="005800E8" w:rsidRPr="00BA14E9">
        <w:rPr>
          <w:rFonts w:cs="Calibri"/>
          <w:szCs w:val="24"/>
        </w:rPr>
        <w:t xml:space="preserve"> can be supplied under existing frameworks, while </w:t>
      </w:r>
      <w:r w:rsidRPr="00BA14E9">
        <w:rPr>
          <w:rFonts w:cs="Calibri"/>
          <w:szCs w:val="24"/>
        </w:rPr>
        <w:t xml:space="preserve">Prescribed Covered Gases </w:t>
      </w:r>
      <w:r w:rsidR="005800E8" w:rsidRPr="00BA14E9">
        <w:rPr>
          <w:rFonts w:cs="Calibri"/>
          <w:szCs w:val="24"/>
        </w:rPr>
        <w:t xml:space="preserve">(like 100% hydrogen) require additional regulatory reviews before supply is authorised. </w:t>
      </w:r>
      <w:r w:rsidR="00E2679A" w:rsidRPr="00BA14E9">
        <w:rPr>
          <w:rFonts w:cs="Calibri"/>
          <w:szCs w:val="24"/>
        </w:rPr>
        <w:t>B</w:t>
      </w:r>
      <w:r w:rsidR="005800E8" w:rsidRPr="00BA14E9">
        <w:rPr>
          <w:rFonts w:cs="Calibri"/>
          <w:szCs w:val="24"/>
        </w:rPr>
        <w:t xml:space="preserve">ringing these renewable gases within the scope of the </w:t>
      </w:r>
      <w:r w:rsidR="003F3913" w:rsidRPr="00BA14E9">
        <w:rPr>
          <w:rFonts w:cs="Calibri"/>
          <w:szCs w:val="24"/>
        </w:rPr>
        <w:t>framework</w:t>
      </w:r>
      <w:r w:rsidR="005800E8" w:rsidRPr="00BA14E9">
        <w:rPr>
          <w:rFonts w:cs="Calibri"/>
          <w:szCs w:val="24"/>
        </w:rPr>
        <w:t xml:space="preserve"> </w:t>
      </w:r>
      <w:r w:rsidR="00E2679A" w:rsidRPr="00BA14E9">
        <w:rPr>
          <w:rFonts w:cs="Calibri"/>
          <w:szCs w:val="24"/>
        </w:rPr>
        <w:t xml:space="preserve">aims </w:t>
      </w:r>
      <w:r w:rsidR="005800E8" w:rsidRPr="00BA14E9">
        <w:rPr>
          <w:rFonts w:cs="Calibri"/>
          <w:szCs w:val="24"/>
        </w:rPr>
        <w:t>to remove regulatory barriers and encourage innovation while maintaining safety and consumer protections.</w:t>
      </w:r>
      <w:r w:rsidR="00EC56E4" w:rsidRPr="00BA14E9">
        <w:rPr>
          <w:rFonts w:cs="Calibri"/>
          <w:szCs w:val="24"/>
        </w:rPr>
        <w:t xml:space="preserve"> </w:t>
      </w:r>
      <w:r w:rsidR="000F1A59" w:rsidRPr="00BA14E9">
        <w:rPr>
          <w:rFonts w:cs="Calibri"/>
        </w:rPr>
        <w:t>The update</w:t>
      </w:r>
      <w:r w:rsidR="003D548F" w:rsidRPr="00BA14E9">
        <w:rPr>
          <w:rFonts w:cs="Calibri"/>
        </w:rPr>
        <w:t xml:space="preserve"> to the NGL and NGR </w:t>
      </w:r>
      <w:r w:rsidR="00E2679A" w:rsidRPr="00BA14E9">
        <w:rPr>
          <w:rFonts w:cs="Calibri"/>
        </w:rPr>
        <w:t xml:space="preserve">also </w:t>
      </w:r>
      <w:r w:rsidR="003D548F" w:rsidRPr="00BA14E9">
        <w:rPr>
          <w:rFonts w:cs="Calibri"/>
        </w:rPr>
        <w:t xml:space="preserve">ensures that </w:t>
      </w:r>
      <w:r w:rsidR="00E2679A" w:rsidRPr="00BA14E9">
        <w:t>hydrogen blended into existing networks or transported via dedicated pipelines</w:t>
      </w:r>
      <w:r w:rsidR="00E2679A" w:rsidRPr="00BA14E9">
        <w:rPr>
          <w:rFonts w:cs="Calibri"/>
        </w:rPr>
        <w:t xml:space="preserve"> </w:t>
      </w:r>
      <w:r w:rsidR="003D548F" w:rsidRPr="00BA14E9">
        <w:rPr>
          <w:rFonts w:cs="Calibri"/>
        </w:rPr>
        <w:t>are subject to the same regulatory oversight and consumer protections as traditional natural gas projects</w:t>
      </w:r>
      <w:r w:rsidR="00CE08F9" w:rsidRPr="00BA14E9">
        <w:rPr>
          <w:rFonts w:cs="Calibri"/>
        </w:rPr>
        <w:t xml:space="preserve"> including that:</w:t>
      </w:r>
    </w:p>
    <w:p w14:paraId="1B4BF2C9" w14:textId="77777777" w:rsidR="00CE08F9" w:rsidRPr="00BA14E9" w:rsidRDefault="00CE08F9" w:rsidP="00D33BE1">
      <w:pPr>
        <w:numPr>
          <w:ilvl w:val="0"/>
          <w:numId w:val="24"/>
        </w:numPr>
        <w:spacing w:line="278" w:lineRule="auto"/>
      </w:pPr>
      <w:r w:rsidRPr="00BA14E9">
        <w:t>Economic regulation applies to hydrogen pipelines</w:t>
      </w:r>
    </w:p>
    <w:p w14:paraId="4BADCD6E" w14:textId="77777777" w:rsidR="00CE08F9" w:rsidRPr="00BA14E9" w:rsidRDefault="00CE08F9" w:rsidP="00D33BE1">
      <w:pPr>
        <w:numPr>
          <w:ilvl w:val="0"/>
          <w:numId w:val="24"/>
        </w:numPr>
        <w:spacing w:line="278" w:lineRule="auto"/>
      </w:pPr>
      <w:r w:rsidRPr="00BA14E9">
        <w:t>Market transparency and competition are preserved</w:t>
      </w:r>
    </w:p>
    <w:p w14:paraId="65AEC894" w14:textId="77777777" w:rsidR="00CE08F9" w:rsidRPr="00BA14E9" w:rsidRDefault="00CE08F9" w:rsidP="00D33BE1">
      <w:pPr>
        <w:numPr>
          <w:ilvl w:val="0"/>
          <w:numId w:val="24"/>
        </w:numPr>
        <w:spacing w:line="278" w:lineRule="auto"/>
      </w:pPr>
      <w:r w:rsidRPr="00BA14E9">
        <w:t>Safety and technical standards are harmonised with hydrogen-specific risks.</w:t>
      </w:r>
    </w:p>
    <w:p w14:paraId="6BA797B5" w14:textId="288BD11C" w:rsidR="005800E8" w:rsidRPr="00BA14E9" w:rsidRDefault="005800E8" w:rsidP="005800E8">
      <w:pPr>
        <w:spacing w:line="278" w:lineRule="auto"/>
      </w:pPr>
      <w:r w:rsidRPr="00BA14E9">
        <w:t xml:space="preserve">This shift </w:t>
      </w:r>
      <w:r w:rsidR="000F1A59" w:rsidRPr="00BA14E9">
        <w:t xml:space="preserve">to </w:t>
      </w:r>
      <w:r w:rsidR="00661776" w:rsidRPr="00BA14E9">
        <w:t xml:space="preserve">expressly regulate </w:t>
      </w:r>
      <w:r w:rsidR="00762631" w:rsidRPr="00BA14E9">
        <w:t xml:space="preserve">renewable </w:t>
      </w:r>
      <w:r w:rsidR="00661776" w:rsidRPr="00BA14E9">
        <w:t>gases such as hydrogen</w:t>
      </w:r>
      <w:r w:rsidRPr="00BA14E9">
        <w:t xml:space="preserve"> provides regulatory certainty for emerging hydrogen projects enabling access to infrastructure, ensuring consumer protections, and supporting investment in low-emission technologies. The updated framework distinguishes between gases that can be readily used in existing </w:t>
      </w:r>
      <w:r w:rsidRPr="00BA14E9">
        <w:lastRenderedPageBreak/>
        <w:t>appliances (natural gas equivalents) and those requiring infrastructure changes (prescribed covered gases), thereby facilitating a structured and safe transition to hydrogen-based energy solutions.</w:t>
      </w:r>
      <w:r w:rsidR="0027587C">
        <w:t xml:space="preserve"> At the time of writing, Western Australia is in the process of adopting reforms </w:t>
      </w:r>
      <w:r w:rsidR="00950634">
        <w:t>so that</w:t>
      </w:r>
      <w:r w:rsidR="0027587C">
        <w:t xml:space="preserve"> its application of the NGL also </w:t>
      </w:r>
      <w:r w:rsidR="00D21816">
        <w:t>includes covered gases.</w:t>
      </w:r>
    </w:p>
    <w:p w14:paraId="7291FE20" w14:textId="6E5CF0DE" w:rsidR="00A4039B" w:rsidRPr="00BA14E9" w:rsidRDefault="00F43642" w:rsidP="00A4039B">
      <w:pPr>
        <w:spacing w:line="278" w:lineRule="auto"/>
        <w:rPr>
          <w:rFonts w:cs="Calibri"/>
          <w:b/>
          <w:bCs/>
          <w:szCs w:val="24"/>
        </w:rPr>
      </w:pPr>
      <w:r w:rsidRPr="00BA14E9">
        <w:rPr>
          <w:rFonts w:cs="Calibri"/>
          <w:szCs w:val="24"/>
        </w:rPr>
        <w:t>Pipeline operators must obtain licenses that are regulated under the NGL, which also determines whether a pipeline is subject to full or light regulation, affecting how third-party access is managed. Entities supplying gas must comply with licensing requirements that ensure safe and transparent market operations. These licenses interact with pipeline access rules to facilitate efficient gas delivery and competition.</w:t>
      </w:r>
      <w:r w:rsidR="00E44E15" w:rsidRPr="00BA14E9">
        <w:rPr>
          <w:rFonts w:cs="Calibri"/>
          <w:szCs w:val="24"/>
        </w:rPr>
        <w:t xml:space="preserve"> </w:t>
      </w:r>
      <w:r w:rsidR="003D548F" w:rsidRPr="00BA14E9">
        <w:rPr>
          <w:rFonts w:cs="Calibri"/>
        </w:rPr>
        <w:t>Under Parts 8</w:t>
      </w:r>
      <w:r w:rsidR="002306FB" w:rsidRPr="00BA14E9">
        <w:rPr>
          <w:rFonts w:cs="Calibri"/>
        </w:rPr>
        <w:t>-</w:t>
      </w:r>
      <w:r w:rsidR="003D548F" w:rsidRPr="00BA14E9">
        <w:rPr>
          <w:rFonts w:cs="Calibri"/>
        </w:rPr>
        <w:t xml:space="preserve">12 of the NGR, pipelines deemed “covered” must submit access arrangements to the AER, detailing pricing and service terms. For non-covered pipelines, the NGR </w:t>
      </w:r>
      <w:r w:rsidR="00673C50">
        <w:rPr>
          <w:rFonts w:cs="Calibri"/>
        </w:rPr>
        <w:t>includes</w:t>
      </w:r>
      <w:r w:rsidR="00673C50" w:rsidRPr="00BA14E9">
        <w:rPr>
          <w:rFonts w:cs="Calibri"/>
        </w:rPr>
        <w:t xml:space="preserve"> </w:t>
      </w:r>
      <w:r w:rsidR="003D548F" w:rsidRPr="00BA14E9">
        <w:rPr>
          <w:rFonts w:cs="Calibri"/>
        </w:rPr>
        <w:t>a regime</w:t>
      </w:r>
      <w:r w:rsidR="00673C50">
        <w:rPr>
          <w:rFonts w:cs="Calibri"/>
        </w:rPr>
        <w:t xml:space="preserve"> </w:t>
      </w:r>
      <w:r w:rsidR="003D548F" w:rsidRPr="00BA14E9">
        <w:rPr>
          <w:rFonts w:cs="Calibri"/>
        </w:rPr>
        <w:t>requiring transparency in pricing and service terms and providing a dispute resolution mechanism. These provisions ensure fair access and prevent misuse of market power.</w:t>
      </w:r>
      <w:r w:rsidR="00F9757B" w:rsidRPr="00BA14E9">
        <w:rPr>
          <w:rFonts w:cs="Calibri"/>
        </w:rPr>
        <w:t xml:space="preserve"> </w:t>
      </w:r>
      <w:r w:rsidR="00A4039B" w:rsidRPr="00BA14E9">
        <w:rPr>
          <w:rFonts w:cs="Calibri"/>
          <w:szCs w:val="24"/>
        </w:rPr>
        <w:t>The AER is responsible for enforcing the NGL and NGR in all jurisdictions except Western Australia. It regulates gas pipelines by determining the form of economic regulation</w:t>
      </w:r>
      <w:r w:rsidRPr="00BA14E9">
        <w:rPr>
          <w:rFonts w:cs="Calibri"/>
          <w:szCs w:val="24"/>
        </w:rPr>
        <w:t xml:space="preserve">, </w:t>
      </w:r>
      <w:r w:rsidR="00A4039B" w:rsidRPr="00BA14E9">
        <w:rPr>
          <w:rFonts w:cs="Calibri"/>
          <w:szCs w:val="24"/>
        </w:rPr>
        <w:t>either full or light</w:t>
      </w:r>
      <w:r w:rsidRPr="00BA14E9">
        <w:rPr>
          <w:rFonts w:cs="Calibri"/>
          <w:szCs w:val="24"/>
        </w:rPr>
        <w:t xml:space="preserve">, </w:t>
      </w:r>
      <w:r w:rsidR="00A4039B" w:rsidRPr="00BA14E9">
        <w:rPr>
          <w:rFonts w:cs="Calibri"/>
          <w:szCs w:val="24"/>
        </w:rPr>
        <w:t>based on market power and competition. The AER sets revenue limits for regulated pipelines, monitors compliance, and oversees access arrangements to ensure fair pricing and service standards. It also plays a key role in assessing new pipeline proposals and reclassifying existing ones under the updated framework.</w:t>
      </w:r>
    </w:p>
    <w:p w14:paraId="65CF16C5" w14:textId="77777777" w:rsidR="00A4039B" w:rsidRPr="00BA14E9" w:rsidRDefault="00A4039B" w:rsidP="00A4039B">
      <w:pPr>
        <w:rPr>
          <w:rFonts w:cs="Calibri"/>
          <w:szCs w:val="24"/>
        </w:rPr>
      </w:pPr>
      <w:r w:rsidRPr="00BA14E9">
        <w:rPr>
          <w:rFonts w:cs="Calibri"/>
          <w:szCs w:val="24"/>
        </w:rPr>
        <w:t xml:space="preserve">With the inclusion of hydrogen and renewable gases under the NGL, the AER’s role now extends to regulating hydrogen pipelines. This includes ensuring economic regulation applies appropriately, maintaining market transparency, and supporting safe integration of hydrogen into existing networks. </w:t>
      </w:r>
    </w:p>
    <w:p w14:paraId="6E8265B1" w14:textId="6F313E17" w:rsidR="00F43642" w:rsidRPr="00BA14E9" w:rsidRDefault="00F43642" w:rsidP="00F43642">
      <w:pPr>
        <w:spacing w:line="278" w:lineRule="auto"/>
        <w:rPr>
          <w:rFonts w:cs="Calibri"/>
          <w:szCs w:val="24"/>
        </w:rPr>
      </w:pPr>
      <w:r w:rsidRPr="00BA14E9">
        <w:rPr>
          <w:rFonts w:cs="Calibri"/>
          <w:szCs w:val="24"/>
        </w:rPr>
        <w:t>The interaction between pipeline licensing and supply licensing under the expanded NGL framework is now more nuanced:</w:t>
      </w:r>
    </w:p>
    <w:p w14:paraId="28FB2E5D" w14:textId="5D7E8AD9" w:rsidR="002A64C4" w:rsidRPr="00BA14E9" w:rsidRDefault="002A64C4" w:rsidP="00F43642">
      <w:pPr>
        <w:spacing w:line="278" w:lineRule="auto"/>
        <w:rPr>
          <w:rFonts w:cs="Calibri"/>
          <w:b/>
          <w:bCs/>
          <w:szCs w:val="24"/>
        </w:rPr>
      </w:pPr>
      <w:r w:rsidRPr="00BA14E9">
        <w:rPr>
          <w:rFonts w:cs="Calibri"/>
          <w:b/>
          <w:bCs/>
          <w:szCs w:val="24"/>
        </w:rPr>
        <w:t xml:space="preserve">Table </w:t>
      </w:r>
      <w:r w:rsidR="000F7DEA">
        <w:rPr>
          <w:rFonts w:cs="Calibri"/>
          <w:b/>
          <w:bCs/>
          <w:szCs w:val="24"/>
        </w:rPr>
        <w:t>4.1</w:t>
      </w:r>
      <w:r w:rsidRPr="00BA14E9">
        <w:rPr>
          <w:rFonts w:cs="Calibri"/>
          <w:b/>
          <w:bCs/>
          <w:szCs w:val="24"/>
        </w:rPr>
        <w:t xml:space="preserve"> </w:t>
      </w:r>
      <w:r w:rsidR="007F5973" w:rsidRPr="00BA14E9">
        <w:rPr>
          <w:rFonts w:cs="Calibri"/>
          <w:b/>
          <w:bCs/>
          <w:szCs w:val="24"/>
        </w:rPr>
        <w:t>Pipeline licensing under the NGL and NERL</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8"/>
        <w:gridCol w:w="3579"/>
        <w:gridCol w:w="2233"/>
        <w:gridCol w:w="1980"/>
      </w:tblGrid>
      <w:tr w:rsidR="00F43642" w:rsidRPr="00BA14E9" w14:paraId="402F9E32" w14:textId="77777777" w:rsidTr="002539DF">
        <w:trPr>
          <w:tblHeader/>
        </w:trPr>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B8433AF" w14:textId="77777777" w:rsidR="00F43642" w:rsidRPr="00BA14E9" w:rsidRDefault="00F43642" w:rsidP="00CA1848">
            <w:pPr>
              <w:spacing w:line="278" w:lineRule="auto"/>
              <w:rPr>
                <w:rFonts w:cs="Calibri"/>
                <w:szCs w:val="24"/>
              </w:rPr>
            </w:pPr>
            <w:r w:rsidRPr="00BA14E9">
              <w:rPr>
                <w:rFonts w:cs="Calibri"/>
                <w:b/>
                <w:bCs/>
                <w:szCs w:val="24"/>
              </w:rPr>
              <w:t>Gas</w:t>
            </w:r>
            <w:r w:rsidRPr="00BA14E9">
              <w:rPr>
                <w:rFonts w:cs="Calibri"/>
                <w:szCs w:val="24"/>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9BF8822" w14:textId="77777777" w:rsidR="00F43642" w:rsidRPr="00BA14E9" w:rsidRDefault="00F43642" w:rsidP="00CA1848">
            <w:pPr>
              <w:spacing w:line="278" w:lineRule="auto"/>
              <w:rPr>
                <w:rFonts w:cs="Calibri"/>
                <w:szCs w:val="24"/>
              </w:rPr>
            </w:pPr>
            <w:r w:rsidRPr="00BA14E9">
              <w:rPr>
                <w:rFonts w:cs="Calibri"/>
                <w:b/>
                <w:bCs/>
                <w:szCs w:val="24"/>
              </w:rPr>
              <w:t>Pipeline Licensing</w:t>
            </w:r>
            <w:r w:rsidRPr="00BA14E9">
              <w:rPr>
                <w:rFonts w:cs="Calibri"/>
                <w:szCs w:val="24"/>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3D645BD" w14:textId="77777777" w:rsidR="00F43642" w:rsidRPr="00BA14E9" w:rsidRDefault="00F43642" w:rsidP="00CA1848">
            <w:pPr>
              <w:spacing w:line="278" w:lineRule="auto"/>
              <w:rPr>
                <w:rFonts w:cs="Calibri"/>
                <w:szCs w:val="24"/>
              </w:rPr>
            </w:pPr>
            <w:r w:rsidRPr="00BA14E9">
              <w:rPr>
                <w:rFonts w:cs="Calibri"/>
                <w:b/>
                <w:bCs/>
                <w:szCs w:val="24"/>
              </w:rPr>
              <w:t>Supply Licensing</w:t>
            </w:r>
            <w:r w:rsidRPr="00BA14E9">
              <w:rPr>
                <w:rFonts w:cs="Calibri"/>
                <w:szCs w:val="24"/>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E3E1EC7" w14:textId="77777777" w:rsidR="00F43642" w:rsidRPr="00BA14E9" w:rsidRDefault="00F43642" w:rsidP="00CA1848">
            <w:pPr>
              <w:spacing w:line="278" w:lineRule="auto"/>
              <w:rPr>
                <w:rFonts w:cs="Calibri"/>
                <w:szCs w:val="24"/>
              </w:rPr>
            </w:pPr>
            <w:r w:rsidRPr="00BA14E9">
              <w:rPr>
                <w:rFonts w:cs="Calibri"/>
                <w:b/>
                <w:bCs/>
                <w:szCs w:val="24"/>
              </w:rPr>
              <w:t>Legislative Interaction</w:t>
            </w:r>
            <w:r w:rsidRPr="00BA14E9">
              <w:rPr>
                <w:rFonts w:cs="Calibri"/>
                <w:szCs w:val="24"/>
              </w:rPr>
              <w:t> </w:t>
            </w:r>
          </w:p>
        </w:tc>
      </w:tr>
      <w:tr w:rsidR="00F43642" w:rsidRPr="00BA14E9" w14:paraId="12B01E34" w14:textId="77777777" w:rsidTr="00CA1848">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DD4BF33" w14:textId="77777777" w:rsidR="00F43642" w:rsidRPr="00BA14E9" w:rsidRDefault="00F43642" w:rsidP="00CA1848">
            <w:pPr>
              <w:spacing w:line="278" w:lineRule="auto"/>
              <w:rPr>
                <w:rFonts w:cs="Calibri"/>
                <w:szCs w:val="24"/>
              </w:rPr>
            </w:pPr>
            <w:r w:rsidRPr="00BA14E9">
              <w:rPr>
                <w:rFonts w:cs="Calibri"/>
                <w:szCs w:val="24"/>
              </w:rPr>
              <w:t>Natural Gas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5B7FBF7" w14:textId="77777777" w:rsidR="00F43642" w:rsidRPr="00BA14E9" w:rsidRDefault="00F43642" w:rsidP="00CA1848">
            <w:pPr>
              <w:spacing w:line="278" w:lineRule="auto"/>
              <w:rPr>
                <w:rFonts w:cs="Calibri"/>
                <w:szCs w:val="24"/>
              </w:rPr>
            </w:pPr>
            <w:r w:rsidRPr="00BA14E9">
              <w:rPr>
                <w:rFonts w:cs="Calibri"/>
                <w:szCs w:val="24"/>
              </w:rPr>
              <w:t>Covered under NGL; pipelines may be regulated or unregulated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E4A170F" w14:textId="77777777" w:rsidR="00F43642" w:rsidRPr="00BA14E9" w:rsidRDefault="00F43642" w:rsidP="00CA1848">
            <w:pPr>
              <w:spacing w:line="278" w:lineRule="auto"/>
              <w:rPr>
                <w:rFonts w:cs="Calibri"/>
                <w:szCs w:val="24"/>
              </w:rPr>
            </w:pPr>
            <w:r w:rsidRPr="00BA14E9">
              <w:rPr>
                <w:rFonts w:cs="Calibri"/>
                <w:szCs w:val="24"/>
              </w:rPr>
              <w:t>Retail licensing under NERL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B637C9B" w14:textId="77777777" w:rsidR="00F43642" w:rsidRPr="00BA14E9" w:rsidRDefault="00F43642" w:rsidP="00CA1848">
            <w:pPr>
              <w:spacing w:line="278" w:lineRule="auto"/>
              <w:rPr>
                <w:rFonts w:cs="Calibri"/>
                <w:szCs w:val="24"/>
              </w:rPr>
            </w:pPr>
            <w:r w:rsidRPr="00BA14E9">
              <w:rPr>
                <w:rFonts w:cs="Calibri"/>
                <w:szCs w:val="24"/>
              </w:rPr>
              <w:t>Coordinated via AEMC, AEMO, and AER </w:t>
            </w:r>
          </w:p>
        </w:tc>
      </w:tr>
      <w:tr w:rsidR="00F43642" w:rsidRPr="00BA14E9" w14:paraId="2776D49E" w14:textId="77777777" w:rsidTr="00CA1848">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98366D8" w14:textId="77777777" w:rsidR="00F43642" w:rsidRPr="00BA14E9" w:rsidRDefault="00F43642" w:rsidP="00CA1848">
            <w:pPr>
              <w:spacing w:line="278" w:lineRule="auto"/>
              <w:rPr>
                <w:rFonts w:cs="Calibri"/>
                <w:szCs w:val="24"/>
              </w:rPr>
            </w:pPr>
            <w:r w:rsidRPr="00BA14E9">
              <w:rPr>
                <w:rFonts w:cs="Calibri"/>
                <w:szCs w:val="24"/>
              </w:rPr>
              <w:t>Hydrogen (Blended)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10D178E" w14:textId="3B2C8244" w:rsidR="00F43642" w:rsidRPr="00BA14E9" w:rsidRDefault="00F43642" w:rsidP="00CA1848">
            <w:pPr>
              <w:spacing w:line="278" w:lineRule="auto"/>
              <w:rPr>
                <w:rFonts w:cs="Calibri"/>
                <w:szCs w:val="24"/>
              </w:rPr>
            </w:pPr>
            <w:r w:rsidRPr="00BA14E9">
              <w:rPr>
                <w:rFonts w:cs="Calibri"/>
                <w:szCs w:val="24"/>
              </w:rPr>
              <w:t xml:space="preserve">Requires licence amendment; treated as </w:t>
            </w:r>
            <w:r w:rsidR="003D1960" w:rsidRPr="00BA14E9">
              <w:rPr>
                <w:rFonts w:cs="Calibri"/>
                <w:szCs w:val="24"/>
              </w:rPr>
              <w:t>Natural Gas Equivalent</w:t>
            </w:r>
            <w:r w:rsidRPr="00BA14E9">
              <w:rPr>
                <w:rFonts w:cs="Calibri"/>
                <w:szCs w:val="24"/>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E4D6712" w14:textId="77777777" w:rsidR="00F43642" w:rsidRPr="00BA14E9" w:rsidRDefault="00F43642" w:rsidP="00CA1848">
            <w:pPr>
              <w:spacing w:line="278" w:lineRule="auto"/>
              <w:rPr>
                <w:rFonts w:cs="Calibri"/>
                <w:szCs w:val="24"/>
              </w:rPr>
            </w:pPr>
            <w:r w:rsidRPr="00BA14E9">
              <w:rPr>
                <w:rFonts w:cs="Calibri"/>
                <w:szCs w:val="24"/>
              </w:rPr>
              <w:t>Supply allowed under NERL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A77F821" w14:textId="77777777" w:rsidR="00F43642" w:rsidRPr="00BA14E9" w:rsidRDefault="00F43642" w:rsidP="00CA1848">
            <w:pPr>
              <w:spacing w:line="278" w:lineRule="auto"/>
              <w:rPr>
                <w:rFonts w:cs="Calibri"/>
                <w:szCs w:val="24"/>
              </w:rPr>
            </w:pPr>
            <w:r w:rsidRPr="00BA14E9">
              <w:rPr>
                <w:rFonts w:cs="Calibri"/>
                <w:szCs w:val="24"/>
              </w:rPr>
              <w:t>Minimal infrastructure changes needed </w:t>
            </w:r>
          </w:p>
        </w:tc>
      </w:tr>
      <w:tr w:rsidR="00F43642" w:rsidRPr="00BA14E9" w14:paraId="7ABD8242" w14:textId="77777777" w:rsidTr="00CA1848">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4C787F2" w14:textId="77777777" w:rsidR="00F43642" w:rsidRPr="00BA14E9" w:rsidRDefault="00F43642" w:rsidP="00CA1848">
            <w:pPr>
              <w:spacing w:line="278" w:lineRule="auto"/>
              <w:rPr>
                <w:rFonts w:cs="Calibri"/>
                <w:szCs w:val="24"/>
              </w:rPr>
            </w:pPr>
            <w:r w:rsidRPr="00BA14E9">
              <w:rPr>
                <w:rFonts w:cs="Calibri"/>
                <w:szCs w:val="24"/>
              </w:rPr>
              <w:lastRenderedPageBreak/>
              <w:t>Hydrogen (100%)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5B6FA86" w14:textId="77777777" w:rsidR="00F43642" w:rsidRPr="00BA14E9" w:rsidRDefault="00F43642" w:rsidP="00CA1848">
            <w:pPr>
              <w:spacing w:line="278" w:lineRule="auto"/>
              <w:rPr>
                <w:rFonts w:cs="Calibri"/>
                <w:szCs w:val="24"/>
              </w:rPr>
            </w:pPr>
            <w:r w:rsidRPr="00BA14E9">
              <w:rPr>
                <w:rFonts w:cs="Calibri"/>
                <w:szCs w:val="24"/>
              </w:rPr>
              <w:t>Requires new or amended licence; may trigger safety reviews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7B5B595" w14:textId="358E49CA" w:rsidR="00F43642" w:rsidRPr="00BA14E9" w:rsidRDefault="00DC7CC5" w:rsidP="00CA1848">
            <w:pPr>
              <w:spacing w:line="278" w:lineRule="auto"/>
              <w:rPr>
                <w:rFonts w:cs="Calibri"/>
                <w:szCs w:val="24"/>
              </w:rPr>
            </w:pPr>
            <w:r w:rsidRPr="00BA14E9">
              <w:rPr>
                <w:rFonts w:cs="Calibri"/>
                <w:szCs w:val="24"/>
              </w:rPr>
              <w:t>Prescribed Covered Gas</w:t>
            </w:r>
            <w:r w:rsidR="00F43642" w:rsidRPr="00BA14E9">
              <w:rPr>
                <w:rFonts w:cs="Calibri"/>
                <w:szCs w:val="24"/>
              </w:rPr>
              <w:t xml:space="preserve"> status requires jurisdictional approval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103D2DF" w14:textId="77777777" w:rsidR="00F43642" w:rsidRPr="00BA14E9" w:rsidRDefault="00F43642" w:rsidP="00CA1848">
            <w:pPr>
              <w:spacing w:line="278" w:lineRule="auto"/>
              <w:rPr>
                <w:rFonts w:cs="Calibri"/>
                <w:szCs w:val="24"/>
              </w:rPr>
            </w:pPr>
            <w:r w:rsidRPr="00BA14E9">
              <w:rPr>
                <w:rFonts w:cs="Calibri"/>
                <w:szCs w:val="24"/>
              </w:rPr>
              <w:t>May require appliance and network upgrades </w:t>
            </w:r>
          </w:p>
        </w:tc>
      </w:tr>
    </w:tbl>
    <w:p w14:paraId="0A286231" w14:textId="77777777" w:rsidR="004D55CA" w:rsidRPr="00BA14E9" w:rsidRDefault="004D55CA" w:rsidP="004D55CA">
      <w:pPr>
        <w:rPr>
          <w:rFonts w:cs="Calibri"/>
          <w:szCs w:val="24"/>
        </w:rPr>
      </w:pPr>
    </w:p>
    <w:p w14:paraId="3DFCEB00" w14:textId="77777777" w:rsidR="004D55CA" w:rsidRPr="00BA14E9" w:rsidRDefault="004D55CA" w:rsidP="004D55CA">
      <w:pPr>
        <w:spacing w:line="278" w:lineRule="auto"/>
        <w:rPr>
          <w:rFonts w:cs="Calibri"/>
          <w:szCs w:val="24"/>
        </w:rPr>
      </w:pPr>
      <w:r w:rsidRPr="00BA14E9">
        <w:rPr>
          <w:rFonts w:cs="Calibri"/>
          <w:szCs w:val="24"/>
        </w:rPr>
        <w:t>The nature of obligations that apply under the national gas laws depends on the type of gas and its compatibility with existing infrastructure: </w:t>
      </w:r>
    </w:p>
    <w:p w14:paraId="2AD0213D" w14:textId="77777777" w:rsidR="004D55CA" w:rsidRPr="00BA14E9" w:rsidRDefault="004D55CA" w:rsidP="00D33BE1">
      <w:pPr>
        <w:numPr>
          <w:ilvl w:val="0"/>
          <w:numId w:val="41"/>
        </w:numPr>
        <w:spacing w:line="278" w:lineRule="auto"/>
        <w:rPr>
          <w:rFonts w:cs="Calibri"/>
          <w:szCs w:val="24"/>
        </w:rPr>
      </w:pPr>
      <w:r w:rsidRPr="00BA14E9">
        <w:rPr>
          <w:rFonts w:cs="Calibri"/>
          <w:szCs w:val="24"/>
        </w:rPr>
        <w:t>Natural Gas remains the baseline. Pipelines are licensed under the NGL, and supply is regulated under the NERL. Coordination occurs through national bodies like the AEMC, AEMO, and AER. </w:t>
      </w:r>
    </w:p>
    <w:p w14:paraId="0D97EA85" w14:textId="19DD88F5" w:rsidR="004D55CA" w:rsidRPr="00BA14E9" w:rsidRDefault="004D55CA" w:rsidP="00D33BE1">
      <w:pPr>
        <w:numPr>
          <w:ilvl w:val="0"/>
          <w:numId w:val="41"/>
        </w:numPr>
        <w:spacing w:line="278" w:lineRule="auto"/>
        <w:rPr>
          <w:rFonts w:cs="Calibri"/>
          <w:szCs w:val="24"/>
        </w:rPr>
      </w:pPr>
      <w:r w:rsidRPr="00BA14E9">
        <w:rPr>
          <w:rFonts w:cs="Calibri"/>
          <w:szCs w:val="24"/>
        </w:rPr>
        <w:t>Hydrogen Blends (</w:t>
      </w:r>
      <w:r w:rsidR="003D1960" w:rsidRPr="00BA14E9">
        <w:rPr>
          <w:rFonts w:cs="Calibri"/>
          <w:szCs w:val="24"/>
        </w:rPr>
        <w:t>Natural Gas Equivalents</w:t>
      </w:r>
      <w:r w:rsidRPr="00BA14E9">
        <w:rPr>
          <w:rFonts w:cs="Calibri"/>
          <w:szCs w:val="24"/>
        </w:rPr>
        <w:t>) can be transported through pipelines with amended licences. These blends are treated similarly to natural gas for supply purposes, requiring minimal changes to infrastructure or consumer appliances. </w:t>
      </w:r>
    </w:p>
    <w:p w14:paraId="180C9D20" w14:textId="62DBE848" w:rsidR="004D55CA" w:rsidRPr="00BA14E9" w:rsidRDefault="004D55CA" w:rsidP="00D33BE1">
      <w:pPr>
        <w:numPr>
          <w:ilvl w:val="0"/>
          <w:numId w:val="41"/>
        </w:numPr>
        <w:spacing w:line="278" w:lineRule="auto"/>
        <w:rPr>
          <w:rFonts w:cs="Calibri"/>
          <w:szCs w:val="24"/>
        </w:rPr>
      </w:pPr>
      <w:r w:rsidRPr="00BA14E9">
        <w:rPr>
          <w:rFonts w:cs="Calibri"/>
          <w:szCs w:val="24"/>
        </w:rPr>
        <w:t>100% Hydrogen (</w:t>
      </w:r>
      <w:r w:rsidR="00DC7CC5" w:rsidRPr="00BA14E9">
        <w:rPr>
          <w:rFonts w:cs="Calibri"/>
          <w:szCs w:val="24"/>
        </w:rPr>
        <w:t>Prescribed Covered Gase</w:t>
      </w:r>
      <w:r w:rsidRPr="00BA14E9">
        <w:rPr>
          <w:rFonts w:cs="Calibri"/>
          <w:szCs w:val="24"/>
        </w:rPr>
        <w:t>s) introduces complexity. Pipelines must undergo new or amended licensing, often triggering safety assessments. Supply is only permitted if jurisdictions explicitly authorise it, and retail licensing applies under the NERL. Appliance and network upgrades may be necessary. </w:t>
      </w:r>
    </w:p>
    <w:p w14:paraId="36F49FEE" w14:textId="77777777" w:rsidR="004D55CA" w:rsidRPr="00BA14E9" w:rsidRDefault="004D55CA" w:rsidP="004D55CA">
      <w:pPr>
        <w:spacing w:line="278" w:lineRule="auto"/>
        <w:rPr>
          <w:rFonts w:cs="Calibri"/>
          <w:szCs w:val="24"/>
        </w:rPr>
      </w:pPr>
      <w:r w:rsidRPr="00BA14E9">
        <w:rPr>
          <w:rFonts w:cs="Calibri"/>
          <w:szCs w:val="24"/>
        </w:rPr>
        <w:t>Based on an assessment of whether access to a pipeline would promote a material increase in competition in another market, the National Competition Council recommends whether a pipeline should be regulated (referred to as ‘covered’) under Part 8 to 12 of the NGR. This recommendation is considered by the jurisdictional minister who makes the decision. </w:t>
      </w:r>
    </w:p>
    <w:p w14:paraId="61A835FD" w14:textId="31840F9C" w:rsidR="004D55CA" w:rsidRPr="00BA14E9" w:rsidRDefault="004D55CA" w:rsidP="004D55CA">
      <w:pPr>
        <w:spacing w:line="278" w:lineRule="auto"/>
        <w:rPr>
          <w:rFonts w:cs="Calibri"/>
          <w:szCs w:val="24"/>
        </w:rPr>
      </w:pPr>
      <w:r w:rsidRPr="00BA14E9">
        <w:rPr>
          <w:rFonts w:cs="Calibri"/>
          <w:szCs w:val="24"/>
        </w:rPr>
        <w:t>Covered pipelines may be subject to two forms of regulation available to them. The National Competition Council decides which form, full or light, is relevant to the pipeline having regard to the market power of the pipeline and the costs and benefits of regulation. The National Competition Council</w:t>
      </w:r>
      <w:r w:rsidR="00EE0E0C" w:rsidRPr="00BA14E9">
        <w:rPr>
          <w:rFonts w:cs="Calibri"/>
          <w:szCs w:val="24"/>
        </w:rPr>
        <w:t xml:space="preserve"> </w:t>
      </w:r>
      <w:r w:rsidRPr="00BA14E9">
        <w:rPr>
          <w:rFonts w:cs="Calibri"/>
          <w:szCs w:val="24"/>
        </w:rPr>
        <w:t>considers criteria regarding market power issues in deciding which form of regulation is most appropriate for a particular pipeline. </w:t>
      </w:r>
    </w:p>
    <w:p w14:paraId="0D2C2486" w14:textId="02E10B2F" w:rsidR="004D55CA" w:rsidRPr="00BA14E9" w:rsidRDefault="004D55CA" w:rsidP="004D55CA">
      <w:pPr>
        <w:spacing w:line="278" w:lineRule="auto"/>
        <w:rPr>
          <w:rFonts w:cs="Calibri"/>
          <w:szCs w:val="24"/>
        </w:rPr>
      </w:pPr>
      <w:r w:rsidRPr="00BA14E9">
        <w:rPr>
          <w:rFonts w:cs="Calibri"/>
          <w:szCs w:val="24"/>
        </w:rPr>
        <w:t xml:space="preserve">For a fully regulated pipeline, the pipeline operator </w:t>
      </w:r>
      <w:proofErr w:type="gramStart"/>
      <w:r w:rsidRPr="00BA14E9">
        <w:rPr>
          <w:rFonts w:cs="Calibri"/>
          <w:szCs w:val="24"/>
        </w:rPr>
        <w:t>has to</w:t>
      </w:r>
      <w:proofErr w:type="gramEnd"/>
      <w:r w:rsidRPr="00BA14E9">
        <w:rPr>
          <w:rFonts w:cs="Calibri"/>
          <w:szCs w:val="24"/>
        </w:rPr>
        <w:t xml:space="preserve"> prepare an access arrangement for the regulator to approve. The access arrangement</w:t>
      </w:r>
      <w:r w:rsidR="000D5B55">
        <w:rPr>
          <w:rFonts w:cs="Calibri"/>
          <w:szCs w:val="24"/>
        </w:rPr>
        <w:t>:</w:t>
      </w:r>
      <w:r w:rsidRPr="00BA14E9">
        <w:rPr>
          <w:rFonts w:cs="Calibri"/>
          <w:szCs w:val="24"/>
        </w:rPr>
        <w:t> </w:t>
      </w:r>
    </w:p>
    <w:p w14:paraId="7181D496" w14:textId="77777777" w:rsidR="004D55CA" w:rsidRPr="00BA14E9" w:rsidRDefault="004D55CA" w:rsidP="00D33BE1">
      <w:pPr>
        <w:numPr>
          <w:ilvl w:val="0"/>
          <w:numId w:val="42"/>
        </w:numPr>
        <w:spacing w:line="278" w:lineRule="auto"/>
        <w:rPr>
          <w:rFonts w:cs="Calibri"/>
          <w:szCs w:val="24"/>
        </w:rPr>
      </w:pPr>
      <w:r w:rsidRPr="00BA14E9">
        <w:rPr>
          <w:rFonts w:cs="Calibri"/>
          <w:szCs w:val="24"/>
        </w:rPr>
        <w:t>includes price and non-price terms and conditions for third parties to gain access to the pipeline</w:t>
      </w:r>
    </w:p>
    <w:p w14:paraId="1CC56944" w14:textId="77777777" w:rsidR="004D55CA" w:rsidRPr="00BA14E9" w:rsidRDefault="004D55CA" w:rsidP="00D33BE1">
      <w:pPr>
        <w:numPr>
          <w:ilvl w:val="0"/>
          <w:numId w:val="42"/>
        </w:numPr>
        <w:spacing w:line="278" w:lineRule="auto"/>
        <w:rPr>
          <w:rFonts w:cs="Calibri"/>
          <w:szCs w:val="24"/>
        </w:rPr>
      </w:pPr>
      <w:r w:rsidRPr="00BA14E9">
        <w:rPr>
          <w:rFonts w:cs="Calibri"/>
          <w:szCs w:val="24"/>
        </w:rPr>
        <w:t>provides a starting point for parties to negotiate access on commercial terms. </w:t>
      </w:r>
    </w:p>
    <w:p w14:paraId="5C642966" w14:textId="77777777" w:rsidR="004D55CA" w:rsidRPr="00BA14E9" w:rsidRDefault="004D55CA" w:rsidP="004D55CA">
      <w:pPr>
        <w:spacing w:line="278" w:lineRule="auto"/>
        <w:rPr>
          <w:rFonts w:cs="Calibri"/>
          <w:szCs w:val="24"/>
        </w:rPr>
      </w:pPr>
      <w:r w:rsidRPr="00BA14E9">
        <w:rPr>
          <w:rFonts w:cs="Calibri"/>
          <w:szCs w:val="24"/>
        </w:rPr>
        <w:t>For a light regulation pipeline, a more limited access arrangement can be lodged where the pipeline operator determines its own tariffs. Alternatively, the pipeline operator can publish information, as specified by the NGR, on its website. </w:t>
      </w:r>
    </w:p>
    <w:p w14:paraId="099503C7" w14:textId="599B0AD1" w:rsidR="004D55CA" w:rsidRPr="00BA14E9" w:rsidRDefault="004D55CA" w:rsidP="004D55CA">
      <w:pPr>
        <w:spacing w:line="278" w:lineRule="auto"/>
        <w:rPr>
          <w:rFonts w:cs="Calibri"/>
          <w:szCs w:val="24"/>
        </w:rPr>
      </w:pPr>
      <w:r w:rsidRPr="00BA14E9">
        <w:rPr>
          <w:rFonts w:cs="Calibri"/>
          <w:szCs w:val="24"/>
        </w:rPr>
        <w:lastRenderedPageBreak/>
        <w:t>The AER conducts reviews to ensure the appropriate level of regulation promotes access, efficient costs, and promotes the long-term interests of consumers. They make decisions on both existing pipelines and new "</w:t>
      </w:r>
      <w:proofErr w:type="spellStart"/>
      <w:r w:rsidRPr="00BA14E9">
        <w:rPr>
          <w:rFonts w:cs="Calibri"/>
          <w:szCs w:val="24"/>
        </w:rPr>
        <w:t>greenfields</w:t>
      </w:r>
      <w:proofErr w:type="spellEnd"/>
      <w:r w:rsidRPr="00BA14E9">
        <w:rPr>
          <w:rFonts w:cs="Calibri"/>
          <w:szCs w:val="24"/>
        </w:rPr>
        <w:t xml:space="preserve">" pipelines </w:t>
      </w:r>
      <w:proofErr w:type="gramStart"/>
      <w:r w:rsidRPr="00BA14E9">
        <w:rPr>
          <w:rFonts w:cs="Calibri"/>
          <w:szCs w:val="24"/>
        </w:rPr>
        <w:t>and also</w:t>
      </w:r>
      <w:proofErr w:type="gramEnd"/>
      <w:r w:rsidRPr="00BA14E9">
        <w:rPr>
          <w:rFonts w:cs="Calibri"/>
          <w:szCs w:val="24"/>
        </w:rPr>
        <w:t xml:space="preserve"> monitor market behaviour and publish reports to enhance transparency. </w:t>
      </w:r>
    </w:p>
    <w:p w14:paraId="34BE94FA" w14:textId="77777777" w:rsidR="004D55CA" w:rsidRPr="00BA14E9" w:rsidRDefault="004D55CA" w:rsidP="004D55CA">
      <w:pPr>
        <w:spacing w:line="278" w:lineRule="auto"/>
        <w:rPr>
          <w:rFonts w:cs="Calibri"/>
          <w:szCs w:val="24"/>
        </w:rPr>
      </w:pPr>
      <w:r w:rsidRPr="00BA14E9">
        <w:rPr>
          <w:rFonts w:cs="Calibri"/>
          <w:szCs w:val="24"/>
        </w:rPr>
        <w:t>The AER is responsible for classifying pipelines as either transmission or distribution, which affects their regulatory obligations. The AER monitors the behaviour of pipeline service providers and publishes reports to enhance transparency and inform potential reviews of regulation.  </w:t>
      </w:r>
    </w:p>
    <w:p w14:paraId="0E6610B1" w14:textId="77777777" w:rsidR="004D55CA" w:rsidRPr="00BA14E9" w:rsidRDefault="004D55CA" w:rsidP="004D55CA">
      <w:pPr>
        <w:spacing w:line="278" w:lineRule="auto"/>
      </w:pPr>
      <w:r w:rsidRPr="00BA14E9">
        <w:rPr>
          <w:rFonts w:cs="Calibri"/>
          <w:szCs w:val="24"/>
        </w:rPr>
        <w:t>The AER publishes guidance which sets out its powers, the processes for classification and regulation determinations, and how it applies the relevant statutory tests.</w:t>
      </w:r>
    </w:p>
    <w:p w14:paraId="7C9B0FEB" w14:textId="77777777" w:rsidR="004D55CA" w:rsidRPr="00BA14E9" w:rsidRDefault="004D55CA" w:rsidP="606C9B12">
      <w:pPr>
        <w:spacing w:line="278" w:lineRule="auto"/>
        <w:rPr>
          <w:rFonts w:cs="Calibri"/>
          <w:szCs w:val="24"/>
        </w:rPr>
      </w:pPr>
      <w:r w:rsidRPr="00BA14E9">
        <w:rPr>
          <w:rFonts w:cs="Calibri"/>
          <w:szCs w:val="24"/>
        </w:rPr>
        <w:t>The NGR governs access to natural gas pipeline services, as well as broader elements of the natural gas markets. The NGR also set out processes by which the gas markets are operated, and the responsibilities and obligations of market participants. </w:t>
      </w:r>
      <w:hyperlink r:id="rId23" w:tgtFrame="_blank" w:history="1">
        <w:r w:rsidRPr="00BA14E9">
          <w:rPr>
            <w:rStyle w:val="Hyperlink"/>
            <w:rFonts w:cs="Calibri"/>
            <w:color w:val="212121"/>
            <w:u w:val="none"/>
          </w:rPr>
          <w:t>Gas market procedures</w:t>
        </w:r>
      </w:hyperlink>
      <w:r w:rsidRPr="00BA14E9">
        <w:rPr>
          <w:rFonts w:cs="Calibri"/>
          <w:color w:val="212121"/>
        </w:rPr>
        <w:t xml:space="preserve"> are </w:t>
      </w:r>
      <w:r w:rsidRPr="00BA14E9">
        <w:rPr>
          <w:rFonts w:cs="Calibri"/>
          <w:szCs w:val="24"/>
        </w:rPr>
        <w:t>made under the NGR. </w:t>
      </w:r>
    </w:p>
    <w:p w14:paraId="5772719D" w14:textId="5846E35A" w:rsidR="005800E8" w:rsidRPr="00BA14E9" w:rsidRDefault="005800E8" w:rsidP="00E83908">
      <w:pPr>
        <w:pStyle w:val="Heading2"/>
      </w:pPr>
      <w:bookmarkStart w:id="53" w:name="_Toc222925493"/>
      <w:r w:rsidRPr="00BA14E9">
        <w:rPr>
          <w:i/>
        </w:rPr>
        <w:t>Competition and Consumer Act 2010</w:t>
      </w:r>
      <w:r w:rsidRPr="00BA14E9">
        <w:t xml:space="preserve"> (</w:t>
      </w:r>
      <w:proofErr w:type="spellStart"/>
      <w:r w:rsidRPr="00BA14E9">
        <w:t>Cth</w:t>
      </w:r>
      <w:proofErr w:type="spellEnd"/>
      <w:r w:rsidRPr="00BA14E9">
        <w:t>) and the Australian Competition and Consumer Commission (ACCC)</w:t>
      </w:r>
      <w:bookmarkEnd w:id="53"/>
    </w:p>
    <w:p w14:paraId="432AF477" w14:textId="3C8A5FAB" w:rsidR="00293139" w:rsidRDefault="00F43642" w:rsidP="00F43642">
      <w:pPr>
        <w:spacing w:line="278" w:lineRule="auto"/>
        <w:rPr>
          <w:rFonts w:cs="Calibri"/>
          <w:szCs w:val="24"/>
        </w:rPr>
      </w:pPr>
      <w:r w:rsidRPr="00BA14E9">
        <w:rPr>
          <w:rFonts w:cs="Calibri"/>
          <w:szCs w:val="24"/>
        </w:rPr>
        <w:t xml:space="preserve">The Australian Competition and Consumer Commission (ACCC) </w:t>
      </w:r>
      <w:proofErr w:type="gramStart"/>
      <w:r w:rsidRPr="00BA14E9">
        <w:rPr>
          <w:rFonts w:cs="Calibri"/>
          <w:szCs w:val="24"/>
        </w:rPr>
        <w:t>plays</w:t>
      </w:r>
      <w:proofErr w:type="gramEnd"/>
      <w:r w:rsidRPr="00BA14E9">
        <w:rPr>
          <w:rFonts w:cs="Calibri"/>
          <w:szCs w:val="24"/>
        </w:rPr>
        <w:t xml:space="preserve"> a role in regulating Australia’s wholesale gas market through enforcement of the Gas Market Code, established under Part IVBB of the </w:t>
      </w:r>
      <w:r w:rsidRPr="00BA14E9">
        <w:rPr>
          <w:rFonts w:cs="Calibri"/>
          <w:i/>
          <w:iCs/>
          <w:szCs w:val="24"/>
        </w:rPr>
        <w:t>Competition and Consumer Act 2010</w:t>
      </w:r>
      <w:r w:rsidR="00222634" w:rsidRPr="00BA14E9">
        <w:rPr>
          <w:rFonts w:cs="Calibri"/>
          <w:szCs w:val="24"/>
        </w:rPr>
        <w:t xml:space="preserve"> (</w:t>
      </w:r>
      <w:proofErr w:type="spellStart"/>
      <w:r w:rsidR="00222634" w:rsidRPr="00BA14E9">
        <w:rPr>
          <w:rFonts w:cs="Calibri"/>
          <w:szCs w:val="24"/>
        </w:rPr>
        <w:t>Cth</w:t>
      </w:r>
      <w:proofErr w:type="spellEnd"/>
      <w:r w:rsidR="00222634" w:rsidRPr="00BA14E9">
        <w:rPr>
          <w:rFonts w:cs="Calibri"/>
          <w:szCs w:val="24"/>
        </w:rPr>
        <w:t>)</w:t>
      </w:r>
      <w:r w:rsidR="00A4039B" w:rsidRPr="00BA14E9">
        <w:rPr>
          <w:rFonts w:cs="Calibri"/>
          <w:szCs w:val="24"/>
        </w:rPr>
        <w:t>.</w:t>
      </w:r>
      <w:r w:rsidRPr="00BA14E9">
        <w:rPr>
          <w:rFonts w:cs="Calibri"/>
          <w:szCs w:val="24"/>
        </w:rPr>
        <w:t xml:space="preserve"> </w:t>
      </w:r>
      <w:r w:rsidR="00293139">
        <w:rPr>
          <w:rFonts w:cs="Calibri"/>
          <w:szCs w:val="24"/>
        </w:rPr>
        <w:t>It also monitors market conduct to protect consumers and prevent anti-competitive behaviour more broadly.</w:t>
      </w:r>
    </w:p>
    <w:p w14:paraId="7A3A9CC7" w14:textId="6303B82F" w:rsidR="00F43642" w:rsidRPr="00BA14E9" w:rsidRDefault="00F43642" w:rsidP="00F43642">
      <w:pPr>
        <w:spacing w:line="278" w:lineRule="auto"/>
        <w:rPr>
          <w:rFonts w:cs="Calibri"/>
          <w:szCs w:val="24"/>
        </w:rPr>
      </w:pPr>
      <w:r w:rsidRPr="00BA14E9">
        <w:rPr>
          <w:rFonts w:cs="Calibri"/>
          <w:szCs w:val="24"/>
        </w:rPr>
        <w:t>The Code, introduced via the Competition and Consumer (Gas Market Code) Regulations 2023, aims to ensure adequate domestic gas supply at reasonable prices. The ACCC determines the “reasonable price” for wholesale gas, monitors compliance with the Code’s good faith negotiation rules, and enforces record keeping, reporting, and publication of supply terms</w:t>
      </w:r>
      <w:r w:rsidR="00A74519">
        <w:rPr>
          <w:rFonts w:cs="Calibri"/>
          <w:szCs w:val="24"/>
        </w:rPr>
        <w:t xml:space="preserve"> </w:t>
      </w:r>
      <w:r w:rsidR="00A74519" w:rsidRPr="00BA14E9">
        <w:rPr>
          <w:rFonts w:cs="Calibri"/>
          <w:szCs w:val="24"/>
        </w:rPr>
        <w:t>obligations</w:t>
      </w:r>
      <w:r w:rsidRPr="00BA14E9">
        <w:rPr>
          <w:rFonts w:cs="Calibri"/>
          <w:szCs w:val="24"/>
        </w:rPr>
        <w:t xml:space="preserve">. </w:t>
      </w:r>
      <w:r w:rsidR="002F4C88">
        <w:rPr>
          <w:rFonts w:cs="Calibri"/>
          <w:szCs w:val="24"/>
        </w:rPr>
        <w:t>It does not regulate retail prices or negotiate supply agreements but ensures transparency and fairness in wholesale transactions.</w:t>
      </w:r>
    </w:p>
    <w:p w14:paraId="359D6F5C" w14:textId="39A12CC1" w:rsidR="00F43642" w:rsidRDefault="001E443F" w:rsidP="00F43642">
      <w:pPr>
        <w:rPr>
          <w:rFonts w:cs="Calibri"/>
          <w:szCs w:val="24"/>
        </w:rPr>
      </w:pPr>
      <w:r>
        <w:rPr>
          <w:rFonts w:cs="Calibri"/>
          <w:szCs w:val="24"/>
        </w:rPr>
        <w:t xml:space="preserve">The Australian Government has also directed the ACCC to conduct wide-ranging inquiry into the market for the supply of natural gas in Australia and publish reports at least twice every six months (established under section 95H of the </w:t>
      </w:r>
      <w:r>
        <w:rPr>
          <w:rFonts w:cs="Calibri"/>
          <w:i/>
          <w:iCs/>
          <w:szCs w:val="24"/>
        </w:rPr>
        <w:t xml:space="preserve">Competition and Consumer Act </w:t>
      </w:r>
      <w:r w:rsidRPr="001E443F">
        <w:rPr>
          <w:rFonts w:cs="Calibri"/>
          <w:i/>
          <w:iCs/>
          <w:szCs w:val="24"/>
        </w:rPr>
        <w:t>2010</w:t>
      </w:r>
      <w:r>
        <w:rPr>
          <w:rFonts w:cs="Calibri"/>
          <w:szCs w:val="24"/>
        </w:rPr>
        <w:t>)</w:t>
      </w:r>
      <w:r w:rsidR="0028051C">
        <w:rPr>
          <w:rFonts w:cs="Calibri"/>
          <w:szCs w:val="24"/>
        </w:rPr>
        <w:t>.</w:t>
      </w:r>
      <w:r>
        <w:rPr>
          <w:rFonts w:cs="Calibri"/>
          <w:szCs w:val="24"/>
        </w:rPr>
        <w:t xml:space="preserve"> </w:t>
      </w:r>
      <w:r w:rsidR="00F43642" w:rsidRPr="001E443F">
        <w:rPr>
          <w:rFonts w:cs="Calibri"/>
          <w:szCs w:val="24"/>
        </w:rPr>
        <w:t>The</w:t>
      </w:r>
      <w:r w:rsidR="00F43642" w:rsidRPr="00BA14E9">
        <w:rPr>
          <w:rFonts w:cs="Calibri"/>
          <w:szCs w:val="24"/>
        </w:rPr>
        <w:t xml:space="preserve"> ACCC’s </w:t>
      </w:r>
      <w:r w:rsidR="0028051C">
        <w:rPr>
          <w:rFonts w:cs="Calibri"/>
          <w:szCs w:val="24"/>
        </w:rPr>
        <w:t>inquiry</w:t>
      </w:r>
      <w:r w:rsidR="0028051C" w:rsidRPr="00BA14E9">
        <w:rPr>
          <w:rFonts w:cs="Calibri"/>
          <w:szCs w:val="24"/>
        </w:rPr>
        <w:t xml:space="preserve"> </w:t>
      </w:r>
      <w:r w:rsidR="00F43642" w:rsidRPr="00BA14E9">
        <w:rPr>
          <w:rFonts w:cs="Calibri"/>
          <w:szCs w:val="24"/>
        </w:rPr>
        <w:t xml:space="preserve">is particularly critical in the east coast gas market where supply </w:t>
      </w:r>
      <w:r w:rsidR="0028051C">
        <w:rPr>
          <w:rFonts w:cs="Calibri"/>
          <w:szCs w:val="24"/>
        </w:rPr>
        <w:t xml:space="preserve">and infrastructure </w:t>
      </w:r>
      <w:r w:rsidR="00F43642" w:rsidRPr="00BA14E9">
        <w:rPr>
          <w:rFonts w:cs="Calibri"/>
          <w:szCs w:val="24"/>
        </w:rPr>
        <w:t>constraints and international price pressures have heightened the need for</w:t>
      </w:r>
      <w:r w:rsidR="0028051C">
        <w:rPr>
          <w:rFonts w:cs="Calibri"/>
          <w:szCs w:val="24"/>
        </w:rPr>
        <w:t xml:space="preserve"> transparency and</w:t>
      </w:r>
      <w:r w:rsidR="00F43642" w:rsidRPr="00BA14E9">
        <w:rPr>
          <w:rFonts w:cs="Calibri"/>
          <w:szCs w:val="24"/>
        </w:rPr>
        <w:t xml:space="preserve"> regulatory </w:t>
      </w:r>
      <w:r w:rsidR="0028051C">
        <w:rPr>
          <w:rFonts w:cs="Calibri"/>
          <w:szCs w:val="24"/>
        </w:rPr>
        <w:t>oversight</w:t>
      </w:r>
      <w:r w:rsidR="00F43642" w:rsidRPr="00BA14E9">
        <w:rPr>
          <w:rFonts w:cs="Calibri"/>
          <w:szCs w:val="24"/>
        </w:rPr>
        <w:t xml:space="preserve">. </w:t>
      </w:r>
      <w:r w:rsidR="00A12CCA">
        <w:rPr>
          <w:rFonts w:cs="Calibri"/>
          <w:szCs w:val="24"/>
        </w:rPr>
        <w:t xml:space="preserve">The ACCC’s inquiry </w:t>
      </w:r>
      <w:r w:rsidR="00F43642" w:rsidRPr="00BA14E9">
        <w:rPr>
          <w:rFonts w:cs="Calibri"/>
          <w:szCs w:val="24"/>
        </w:rPr>
        <w:t>reports and advice to government have shaped emergency price caps and reforms aimed at stabili</w:t>
      </w:r>
      <w:r w:rsidR="00E07E9C">
        <w:rPr>
          <w:rFonts w:cs="Calibri"/>
          <w:szCs w:val="24"/>
        </w:rPr>
        <w:t>s</w:t>
      </w:r>
      <w:r w:rsidR="00F43642" w:rsidRPr="00BA14E9">
        <w:rPr>
          <w:rFonts w:cs="Calibri"/>
          <w:szCs w:val="24"/>
        </w:rPr>
        <w:t>ing the market and protecting domestic consumers.</w:t>
      </w:r>
    </w:p>
    <w:p w14:paraId="6173023F" w14:textId="0CB9212E" w:rsidR="00A12CCA" w:rsidRPr="00BA14E9" w:rsidRDefault="00A12CCA" w:rsidP="00F43642">
      <w:pPr>
        <w:rPr>
          <w:rFonts w:cs="Calibri"/>
          <w:szCs w:val="24"/>
        </w:rPr>
      </w:pPr>
      <w:r>
        <w:rPr>
          <w:rFonts w:cs="Calibri"/>
          <w:szCs w:val="24"/>
        </w:rPr>
        <w:t>The ACCC’s inquiry has, over time, examined market power held by pipeline operators and advised on reforms to third party access to these facilities. This supported changes to the NGR that came into effect in early 2023. The inquiry also examines infrastructure investment and its impact on gas supply adequacy and market dynamics.</w:t>
      </w:r>
    </w:p>
    <w:p w14:paraId="2F1AEA91" w14:textId="77777777" w:rsidR="005800E8" w:rsidRPr="00BA14E9" w:rsidRDefault="005800E8" w:rsidP="00E83908">
      <w:pPr>
        <w:pStyle w:val="Heading2"/>
      </w:pPr>
      <w:bookmarkStart w:id="54" w:name="_Toc222112274"/>
      <w:bookmarkStart w:id="55" w:name="_Toc222925494"/>
      <w:bookmarkEnd w:id="54"/>
      <w:r w:rsidRPr="00BA14E9">
        <w:lastRenderedPageBreak/>
        <w:t xml:space="preserve">Protection of critical infrastructure </w:t>
      </w:r>
      <w:r w:rsidRPr="00BA14E9">
        <w:rPr>
          <w:i/>
        </w:rPr>
        <w:t xml:space="preserve">Security of Critical Infrastructure Act 2018 </w:t>
      </w:r>
      <w:r w:rsidRPr="00BA14E9">
        <w:t>(</w:t>
      </w:r>
      <w:proofErr w:type="spellStart"/>
      <w:r w:rsidRPr="00BA14E9">
        <w:t>Cth</w:t>
      </w:r>
      <w:proofErr w:type="spellEnd"/>
      <w:proofErr w:type="gramStart"/>
      <w:r w:rsidRPr="00BA14E9">
        <w:t>)(</w:t>
      </w:r>
      <w:proofErr w:type="gramEnd"/>
      <w:r w:rsidRPr="00BA14E9">
        <w:t>SOCI Act) and the Critical Infrastructure Security Centre (CISC).</w:t>
      </w:r>
      <w:bookmarkEnd w:id="55"/>
    </w:p>
    <w:p w14:paraId="793AD87D" w14:textId="71BF2A18" w:rsidR="00F43642" w:rsidRPr="00BA14E9" w:rsidRDefault="00A4039B" w:rsidP="00A4039B">
      <w:pPr>
        <w:rPr>
          <w:rFonts w:cs="Calibri"/>
          <w:szCs w:val="24"/>
        </w:rPr>
      </w:pPr>
      <w:r w:rsidRPr="00BA14E9">
        <w:rPr>
          <w:rFonts w:cs="Calibri"/>
          <w:szCs w:val="24"/>
        </w:rPr>
        <w:t xml:space="preserve">The </w:t>
      </w:r>
      <w:r w:rsidR="00F4539C">
        <w:rPr>
          <w:rFonts w:cs="Calibri"/>
          <w:szCs w:val="24"/>
        </w:rPr>
        <w:t xml:space="preserve">Critical </w:t>
      </w:r>
      <w:r w:rsidRPr="00BA14E9">
        <w:rPr>
          <w:rFonts w:cs="Calibri"/>
          <w:szCs w:val="24"/>
        </w:rPr>
        <w:t xml:space="preserve">Infrastructure Security Centre (CISC) within the Department of Home Affairs is the lead regulator for the </w:t>
      </w:r>
      <w:r w:rsidRPr="00BA14E9">
        <w:rPr>
          <w:rFonts w:cs="Calibri"/>
          <w:i/>
          <w:iCs/>
          <w:szCs w:val="24"/>
        </w:rPr>
        <w:t>Security</w:t>
      </w:r>
      <w:r w:rsidRPr="00BA14E9">
        <w:rPr>
          <w:rFonts w:cs="Calibri"/>
          <w:b/>
          <w:bCs/>
          <w:i/>
          <w:iCs/>
          <w:szCs w:val="24"/>
        </w:rPr>
        <w:t xml:space="preserve"> </w:t>
      </w:r>
      <w:r w:rsidRPr="00BA14E9">
        <w:rPr>
          <w:rFonts w:cs="Calibri"/>
          <w:i/>
          <w:iCs/>
          <w:szCs w:val="24"/>
        </w:rPr>
        <w:t>of Critical Infrastructure Act 2018</w:t>
      </w:r>
      <w:r w:rsidRPr="00BA14E9">
        <w:rPr>
          <w:rFonts w:cs="Calibri"/>
          <w:b/>
          <w:bCs/>
          <w:szCs w:val="24"/>
        </w:rPr>
        <w:t xml:space="preserve"> </w:t>
      </w:r>
      <w:r w:rsidRPr="00BA14E9">
        <w:rPr>
          <w:rFonts w:cs="Calibri"/>
          <w:szCs w:val="24"/>
        </w:rPr>
        <w:t>(</w:t>
      </w:r>
      <w:proofErr w:type="spellStart"/>
      <w:r w:rsidRPr="00BA14E9">
        <w:rPr>
          <w:rFonts w:cs="Calibri"/>
          <w:szCs w:val="24"/>
        </w:rPr>
        <w:t>Cth</w:t>
      </w:r>
      <w:proofErr w:type="spellEnd"/>
      <w:proofErr w:type="gramStart"/>
      <w:r w:rsidRPr="00BA14E9">
        <w:rPr>
          <w:rFonts w:cs="Calibri"/>
          <w:szCs w:val="24"/>
        </w:rPr>
        <w:t>)(</w:t>
      </w:r>
      <w:proofErr w:type="gramEnd"/>
      <w:r w:rsidRPr="00BA14E9">
        <w:rPr>
          <w:rFonts w:cs="Calibri"/>
          <w:szCs w:val="24"/>
        </w:rPr>
        <w:t xml:space="preserve">SOCI Act). CISC oversees compliance with the Act’s obligations, including audits, enforcement of risk management programs, and coordination of government assistance during major incidents. </w:t>
      </w:r>
    </w:p>
    <w:p w14:paraId="0058DBF5" w14:textId="3DCD376C" w:rsidR="00A4039B" w:rsidRPr="00BA14E9" w:rsidRDefault="00F43642" w:rsidP="00A4039B">
      <w:pPr>
        <w:rPr>
          <w:rFonts w:cs="Calibri"/>
          <w:szCs w:val="24"/>
        </w:rPr>
      </w:pPr>
      <w:r w:rsidRPr="00BA14E9">
        <w:rPr>
          <w:rFonts w:cs="Calibri"/>
          <w:szCs w:val="24"/>
        </w:rPr>
        <w:t>CISC</w:t>
      </w:r>
      <w:r w:rsidR="00A4039B" w:rsidRPr="00BA14E9">
        <w:rPr>
          <w:rFonts w:cs="Calibri"/>
          <w:szCs w:val="24"/>
        </w:rPr>
        <w:t xml:space="preserve"> maintains the Register of Critical Infrastructure Assets, facilitates information sharing between industry and government, and provides guidance on cybersecurity standards and reporting protocols. CISC also administers enhanced obligations for Systems of National Significance, such as vulnerability assessments and external cyber audits. </w:t>
      </w:r>
    </w:p>
    <w:p w14:paraId="4BD56C9F" w14:textId="661E69C3" w:rsidR="00EA6EBC" w:rsidRDefault="0008651A">
      <w:pPr>
        <w:rPr>
          <w:rFonts w:eastAsiaTheme="majorEastAsia" w:cstheme="majorBidi"/>
          <w:color w:val="0F4761" w:themeColor="accent1" w:themeShade="BF"/>
          <w:sz w:val="40"/>
          <w:szCs w:val="40"/>
        </w:rPr>
      </w:pPr>
      <w:r w:rsidRPr="00BA14E9">
        <w:rPr>
          <w:rFonts w:cs="Calibri"/>
          <w:szCs w:val="24"/>
        </w:rPr>
        <w:t>The SOCI Act establishes a national framework to protect Australia’s critical infrastructure from threats that could compromise national security, economic stability, or public safety. The scope of the SOCI Act covers 11 sectors, including energy</w:t>
      </w:r>
      <w:r>
        <w:rPr>
          <w:rFonts w:cs="Calibri"/>
          <w:szCs w:val="24"/>
        </w:rPr>
        <w:t>. However, hydrogen as a gas is not captured by the SOCI Act, as ‘gas’, in part, means a substance that consists of naturally occurring hydrocarbons.</w:t>
      </w:r>
      <w:r w:rsidRPr="00BA14E9">
        <w:rPr>
          <w:rFonts w:cs="Calibri"/>
          <w:szCs w:val="24"/>
        </w:rPr>
        <w:t xml:space="preserve"> As hydrogen projects scale and integrate with energy grids, export terminals, and pipeline networks, they may </w:t>
      </w:r>
      <w:r>
        <w:rPr>
          <w:rFonts w:cs="Calibri"/>
          <w:szCs w:val="24"/>
        </w:rPr>
        <w:t xml:space="preserve">interact with sectors regulated under the </w:t>
      </w:r>
      <w:r w:rsidR="00573B35">
        <w:rPr>
          <w:rFonts w:cs="Calibri"/>
          <w:szCs w:val="24"/>
        </w:rPr>
        <w:t xml:space="preserve">SOCI </w:t>
      </w:r>
      <w:r>
        <w:rPr>
          <w:rFonts w:cs="Calibri"/>
          <w:szCs w:val="24"/>
        </w:rPr>
        <w:t>Act. A hydrogen asset, however, will only fall within the scope of the SOCI Act where it meets an existing definition of a ‘critical infrastructure asset’ under that Act, or is specifically prescribed in subordinate legislation</w:t>
      </w:r>
      <w:r w:rsidRPr="00BA14E9">
        <w:rPr>
          <w:rFonts w:cs="Calibri"/>
          <w:szCs w:val="24"/>
        </w:rPr>
        <w:t xml:space="preserve">. </w:t>
      </w:r>
      <w:r>
        <w:rPr>
          <w:rFonts w:cs="Calibri"/>
          <w:szCs w:val="24"/>
        </w:rPr>
        <w:t>Where a hydrogen asset is captured under an existing asset definition (</w:t>
      </w:r>
      <w:r w:rsidR="00FE4150">
        <w:rPr>
          <w:rFonts w:cs="Calibri"/>
          <w:szCs w:val="24"/>
        </w:rPr>
        <w:t>for example</w:t>
      </w:r>
      <w:r w:rsidR="005A37D3">
        <w:rPr>
          <w:rFonts w:cs="Calibri"/>
          <w:szCs w:val="24"/>
        </w:rPr>
        <w:t>,</w:t>
      </w:r>
      <w:r>
        <w:rPr>
          <w:rFonts w:cs="Calibri"/>
          <w:szCs w:val="24"/>
        </w:rPr>
        <w:t xml:space="preserve"> a ‘critical gas asset’), responsible entities are subject to a range of positive security obligations, including </w:t>
      </w:r>
      <w:r w:rsidRPr="00BA14E9">
        <w:rPr>
          <w:rFonts w:cs="Calibri"/>
          <w:szCs w:val="24"/>
        </w:rPr>
        <w:t>the implementation of risk management programs, mandatory cyber incident reporting, and registration of asset ownership and operational details.</w:t>
      </w:r>
      <w:r w:rsidR="00EA6EBC">
        <w:br w:type="page"/>
      </w:r>
    </w:p>
    <w:p w14:paraId="1699A2E9" w14:textId="60A40F49" w:rsidR="0071300A" w:rsidRPr="00BA14E9" w:rsidRDefault="00C15448" w:rsidP="606C9B12">
      <w:pPr>
        <w:pStyle w:val="Heading1"/>
      </w:pPr>
      <w:bookmarkStart w:id="56" w:name="_Toc222925495"/>
      <w:r w:rsidRPr="00BA14E9">
        <w:lastRenderedPageBreak/>
        <w:t xml:space="preserve">Chapter </w:t>
      </w:r>
      <w:r w:rsidR="007D24E8">
        <w:t>5</w:t>
      </w:r>
      <w:r w:rsidRPr="00BA14E9">
        <w:t xml:space="preserve"> - </w:t>
      </w:r>
      <w:r w:rsidR="009163B2" w:rsidRPr="00BA14E9">
        <w:t>Requirements for pipeline licensing</w:t>
      </w:r>
      <w:bookmarkEnd w:id="56"/>
    </w:p>
    <w:p w14:paraId="767B43A7" w14:textId="2DCB7572" w:rsidR="00A35F48" w:rsidRPr="00F634FE" w:rsidRDefault="00A35F48" w:rsidP="00E83908">
      <w:pPr>
        <w:pStyle w:val="Heading2"/>
        <w:rPr>
          <w:lang w:eastAsia="en-AU"/>
        </w:rPr>
      </w:pPr>
      <w:bookmarkStart w:id="57" w:name="_Toc222925496"/>
      <w:r w:rsidRPr="00BA14E9">
        <w:t>Regulation</w:t>
      </w:r>
      <w:r w:rsidR="00DF7619" w:rsidRPr="00BA14E9">
        <w:rPr>
          <w:lang w:eastAsia="en-AU"/>
        </w:rPr>
        <w:t xml:space="preserve"> and definition</w:t>
      </w:r>
      <w:r w:rsidRPr="00BA14E9">
        <w:rPr>
          <w:lang w:eastAsia="en-AU"/>
        </w:rPr>
        <w:t xml:space="preserve"> of pipelines</w:t>
      </w:r>
      <w:bookmarkEnd w:id="57"/>
    </w:p>
    <w:p w14:paraId="5FE17E6F" w14:textId="07703FE1" w:rsidR="00B53805" w:rsidRPr="00BA14E9" w:rsidRDefault="00AE1F7E" w:rsidP="00B53805">
      <w:pPr>
        <w:rPr>
          <w:rFonts w:cs="Calibri"/>
        </w:rPr>
      </w:pPr>
      <w:r w:rsidRPr="00BA14E9">
        <w:rPr>
          <w:rFonts w:cs="Calibri"/>
        </w:rPr>
        <w:t xml:space="preserve">Across all Australian jurisdictions, pipelines, including hydrogen pipelines, are subject to dedicated legislation to ensure safety, environmental protection, and operational integrity. </w:t>
      </w:r>
      <w:r w:rsidR="006D242F" w:rsidRPr="00BA14E9">
        <w:rPr>
          <w:rFonts w:cs="Calibri"/>
        </w:rPr>
        <w:t>In many jurisdictions,</w:t>
      </w:r>
      <w:r w:rsidR="006D242F" w:rsidRPr="00BA14E9">
        <w:rPr>
          <w:rFonts w:eastAsia="Times New Roman" w:cs="Calibri"/>
          <w:color w:val="000000" w:themeColor="text1"/>
          <w:lang w:eastAsia="en-AU"/>
        </w:rPr>
        <w:t xml:space="preserve"> it is an offence to construct or operate a pipeline without a licence. </w:t>
      </w:r>
      <w:r w:rsidR="00B53805" w:rsidRPr="00BA14E9">
        <w:rPr>
          <w:rFonts w:cs="Calibri"/>
        </w:rPr>
        <w:t>Licensing requirements apply to both transmission and distribution pipelines, economic regulation, such as pricing or market access, is generally addressed under separate legislation and while addressed in this guidebook for completeness and transparency it is not addressed in detail (see Chapter 3).</w:t>
      </w:r>
    </w:p>
    <w:p w14:paraId="1EFE0371" w14:textId="1CFCD0CA" w:rsidR="00E31E89" w:rsidRPr="00BA14E9" w:rsidRDefault="00E31E89" w:rsidP="00E31E89">
      <w:pPr>
        <w:spacing w:line="278" w:lineRule="auto"/>
        <w:rPr>
          <w:rFonts w:cs="Calibri"/>
        </w:rPr>
      </w:pPr>
      <w:r w:rsidRPr="00BA14E9">
        <w:rPr>
          <w:rFonts w:cs="Calibri"/>
        </w:rPr>
        <w:t>All Australian states and territories have legislation specifically regulating the licensing of pipelines</w:t>
      </w:r>
      <w:r w:rsidR="00932327" w:rsidRPr="00BA14E9">
        <w:rPr>
          <w:rFonts w:cs="Calibri"/>
        </w:rPr>
        <w:t xml:space="preserve"> (noting that the Australian Capital Territory and the Commonwealth do not issue licences for onshore transmission pipelines)</w:t>
      </w:r>
      <w:r w:rsidRPr="00BA14E9">
        <w:rPr>
          <w:rFonts w:cs="Calibri"/>
        </w:rPr>
        <w:t>. Across Australia</w:t>
      </w:r>
      <w:r w:rsidR="00F75DFA">
        <w:rPr>
          <w:rFonts w:cs="Calibri"/>
        </w:rPr>
        <w:t xml:space="preserve">, </w:t>
      </w:r>
      <w:r w:rsidR="00B07C9F">
        <w:rPr>
          <w:rFonts w:cs="Calibri"/>
        </w:rPr>
        <w:t>project proponents are required to hold</w:t>
      </w:r>
      <w:r w:rsidRPr="00BA14E9">
        <w:rPr>
          <w:rFonts w:cs="Calibri"/>
        </w:rPr>
        <w:t xml:space="preserve"> two distinct types </w:t>
      </w:r>
      <w:r w:rsidR="00B07C9F">
        <w:rPr>
          <w:rFonts w:cs="Calibri"/>
        </w:rPr>
        <w:t xml:space="preserve">of pipeline </w:t>
      </w:r>
      <w:r w:rsidR="00B07C9F" w:rsidRPr="00BA14E9">
        <w:rPr>
          <w:rFonts w:cs="Calibri"/>
        </w:rPr>
        <w:t>licence</w:t>
      </w:r>
      <w:r w:rsidRPr="00BA14E9">
        <w:rPr>
          <w:rFonts w:cs="Calibri"/>
        </w:rPr>
        <w:t xml:space="preserve">: </w:t>
      </w:r>
    </w:p>
    <w:p w14:paraId="11D6B99B" w14:textId="77777777" w:rsidR="00E31E89" w:rsidRPr="00BA14E9" w:rsidRDefault="00E31E89" w:rsidP="00D33BE1">
      <w:pPr>
        <w:numPr>
          <w:ilvl w:val="0"/>
          <w:numId w:val="26"/>
        </w:numPr>
        <w:spacing w:line="278" w:lineRule="auto"/>
        <w:rPr>
          <w:rFonts w:cs="Calibri"/>
        </w:rPr>
      </w:pPr>
      <w:r w:rsidRPr="00BA14E9">
        <w:rPr>
          <w:rFonts w:cs="Calibri"/>
        </w:rPr>
        <w:t>A pipeline licence is generally required for the construction, alteration and operation of a pipeline.</w:t>
      </w:r>
    </w:p>
    <w:p w14:paraId="759B2195" w14:textId="77777777" w:rsidR="00E31E89" w:rsidRPr="00BA14E9" w:rsidRDefault="00E31E89" w:rsidP="00D33BE1">
      <w:pPr>
        <w:numPr>
          <w:ilvl w:val="0"/>
          <w:numId w:val="26"/>
        </w:numPr>
        <w:spacing w:line="278" w:lineRule="auto"/>
        <w:rPr>
          <w:rFonts w:cs="Calibri"/>
        </w:rPr>
      </w:pPr>
      <w:r w:rsidRPr="00BA14E9">
        <w:rPr>
          <w:rFonts w:cs="Calibri"/>
        </w:rPr>
        <w:t>In addition, licences are required in all Australian jurisdictions to supply gas (see table 2.5, annexure 2).</w:t>
      </w:r>
    </w:p>
    <w:p w14:paraId="31E1A397" w14:textId="0A23188C" w:rsidR="00E31E89" w:rsidRPr="00BA14E9" w:rsidRDefault="00E31E89" w:rsidP="00E31E89">
      <w:pPr>
        <w:spacing w:line="278" w:lineRule="auto"/>
        <w:rPr>
          <w:rFonts w:cs="Calibri"/>
        </w:rPr>
      </w:pPr>
      <w:r w:rsidRPr="00BA14E9">
        <w:rPr>
          <w:rFonts w:cs="Calibri"/>
        </w:rPr>
        <w:t>Pipeline licensing is administered under either dedicated pipeline legislation or broader gas safety and energy acts, depending on the jurisdiction. These frameworks typically govern the full lifecycle of a pipeline, including:</w:t>
      </w:r>
    </w:p>
    <w:p w14:paraId="384DAE06" w14:textId="77777777" w:rsidR="00E31E89" w:rsidRPr="00BA14E9" w:rsidRDefault="00E31E89" w:rsidP="00D33BE1">
      <w:pPr>
        <w:numPr>
          <w:ilvl w:val="0"/>
          <w:numId w:val="34"/>
        </w:numPr>
        <w:spacing w:line="278" w:lineRule="auto"/>
        <w:rPr>
          <w:rFonts w:cs="Calibri"/>
        </w:rPr>
      </w:pPr>
      <w:r w:rsidRPr="00BA14E9">
        <w:rPr>
          <w:rFonts w:cs="Calibri"/>
        </w:rPr>
        <w:t>Construction</w:t>
      </w:r>
    </w:p>
    <w:p w14:paraId="1719F1AD" w14:textId="77777777" w:rsidR="00E31E89" w:rsidRPr="00BA14E9" w:rsidRDefault="00E31E89" w:rsidP="00D33BE1">
      <w:pPr>
        <w:numPr>
          <w:ilvl w:val="0"/>
          <w:numId w:val="34"/>
        </w:numPr>
        <w:spacing w:line="278" w:lineRule="auto"/>
        <w:rPr>
          <w:rFonts w:cs="Calibri"/>
        </w:rPr>
      </w:pPr>
      <w:r w:rsidRPr="00BA14E9">
        <w:rPr>
          <w:rFonts w:cs="Calibri"/>
        </w:rPr>
        <w:t>Alteration or modification</w:t>
      </w:r>
    </w:p>
    <w:p w14:paraId="595936FD" w14:textId="77777777" w:rsidR="00E31E89" w:rsidRPr="00BA14E9" w:rsidRDefault="00E31E89" w:rsidP="00D33BE1">
      <w:pPr>
        <w:numPr>
          <w:ilvl w:val="0"/>
          <w:numId w:val="34"/>
        </w:numPr>
        <w:spacing w:line="278" w:lineRule="auto"/>
        <w:rPr>
          <w:rFonts w:cs="Calibri"/>
        </w:rPr>
      </w:pPr>
      <w:r w:rsidRPr="00BA14E9">
        <w:rPr>
          <w:rFonts w:cs="Calibri"/>
        </w:rPr>
        <w:t>Operation</w:t>
      </w:r>
    </w:p>
    <w:p w14:paraId="4E9F6A24" w14:textId="77777777" w:rsidR="00E31E89" w:rsidRPr="00BA14E9" w:rsidRDefault="00E31E89" w:rsidP="00D33BE1">
      <w:pPr>
        <w:numPr>
          <w:ilvl w:val="0"/>
          <w:numId w:val="34"/>
        </w:numPr>
        <w:spacing w:line="278" w:lineRule="auto"/>
        <w:rPr>
          <w:rFonts w:cs="Calibri"/>
        </w:rPr>
      </w:pPr>
      <w:r w:rsidRPr="00BA14E9">
        <w:rPr>
          <w:rFonts w:cs="Calibri"/>
        </w:rPr>
        <w:t>Decommissioning.</w:t>
      </w:r>
    </w:p>
    <w:p w14:paraId="6586A6B0" w14:textId="77777777" w:rsidR="00080531" w:rsidRPr="00BA14E9" w:rsidRDefault="00080531" w:rsidP="00080531">
      <w:pPr>
        <w:spacing w:line="278" w:lineRule="auto"/>
      </w:pPr>
      <w:r w:rsidRPr="00BA14E9">
        <w:t>Table 2.6 of Annexure 2 provides a consolidated overview of the legislation across jurisdictions that mandates licensing for pipeline infrastructure. It identifies:</w:t>
      </w:r>
    </w:p>
    <w:p w14:paraId="79B59EDA" w14:textId="77777777" w:rsidR="00080531" w:rsidRPr="00BA14E9" w:rsidRDefault="00080531" w:rsidP="00D33BE1">
      <w:pPr>
        <w:numPr>
          <w:ilvl w:val="0"/>
          <w:numId w:val="35"/>
        </w:numPr>
        <w:spacing w:line="278" w:lineRule="auto"/>
      </w:pPr>
      <w:r w:rsidRPr="00BA14E9">
        <w:t>the relevant legislative instruments in each state and territory </w:t>
      </w:r>
    </w:p>
    <w:p w14:paraId="479C0722" w14:textId="77777777" w:rsidR="00080531" w:rsidRPr="00BA14E9" w:rsidRDefault="00080531" w:rsidP="00D33BE1">
      <w:pPr>
        <w:numPr>
          <w:ilvl w:val="0"/>
          <w:numId w:val="35"/>
        </w:numPr>
        <w:spacing w:line="278" w:lineRule="auto"/>
      </w:pPr>
      <w:r w:rsidRPr="00BA14E9">
        <w:t>whether hydrogen is explicitly or implicitly included in the scope of the licensing regime </w:t>
      </w:r>
    </w:p>
    <w:p w14:paraId="47CA7998" w14:textId="77777777" w:rsidR="00080531" w:rsidRPr="00BA14E9" w:rsidRDefault="00080531" w:rsidP="00D33BE1">
      <w:pPr>
        <w:numPr>
          <w:ilvl w:val="0"/>
          <w:numId w:val="35"/>
        </w:numPr>
        <w:spacing w:line="278" w:lineRule="auto"/>
      </w:pPr>
      <w:r w:rsidRPr="00BA14E9">
        <w:t>the licensing obligations for construction, operation, alteration, and decommissioning </w:t>
      </w:r>
    </w:p>
    <w:p w14:paraId="3DA798AE" w14:textId="77777777" w:rsidR="00080531" w:rsidRPr="00BA14E9" w:rsidRDefault="00080531" w:rsidP="00D33BE1">
      <w:pPr>
        <w:numPr>
          <w:ilvl w:val="0"/>
          <w:numId w:val="35"/>
        </w:numPr>
        <w:spacing w:line="278" w:lineRule="auto"/>
      </w:pPr>
      <w:r w:rsidRPr="00BA14E9">
        <w:t>any exclusions or gaps, such as the absence of economic regulation or lack of hydrogen-specific provisions.</w:t>
      </w:r>
    </w:p>
    <w:p w14:paraId="64784517" w14:textId="0F877C6F" w:rsidR="00E15FFC" w:rsidRPr="00BA14E9" w:rsidRDefault="00E15FFC" w:rsidP="00E15FFC">
      <w:pPr>
        <w:rPr>
          <w:rFonts w:cs="Calibri"/>
        </w:rPr>
      </w:pPr>
      <w:r w:rsidRPr="00BA14E9">
        <w:rPr>
          <w:rFonts w:cs="Calibri"/>
        </w:rPr>
        <w:lastRenderedPageBreak/>
        <w:t xml:space="preserve">While each state and territory has its own pipelines framework, national consistency is also achieved through alignment with standards such as </w:t>
      </w:r>
      <w:proofErr w:type="spellStart"/>
      <w:r w:rsidRPr="00BA14E9">
        <w:rPr>
          <w:rFonts w:cs="Calibri"/>
        </w:rPr>
        <w:t>AS</w:t>
      </w:r>
      <w:proofErr w:type="spellEnd"/>
      <w:r w:rsidRPr="00BA14E9">
        <w:rPr>
          <w:rFonts w:cs="Calibri"/>
        </w:rPr>
        <w:t xml:space="preserve"> 2885 and overarching principles in the National Gas Law (Annexure 2, Table 2.1 provides an overview of how AS</w:t>
      </w:r>
      <w:r w:rsidR="00296D7B">
        <w:rPr>
          <w:rFonts w:cs="Calibri"/>
        </w:rPr>
        <w:t xml:space="preserve"> </w:t>
      </w:r>
      <w:r w:rsidRPr="00BA14E9">
        <w:rPr>
          <w:rFonts w:cs="Calibri"/>
        </w:rPr>
        <w:t xml:space="preserve">2885 is applied in pipeline legislation). </w:t>
      </w:r>
    </w:p>
    <w:p w14:paraId="3D08734E" w14:textId="45ACB232" w:rsidR="005117D4" w:rsidRPr="00BA14E9" w:rsidRDefault="00E15FFC" w:rsidP="006E6EB9">
      <w:pPr>
        <w:spacing w:line="278" w:lineRule="auto"/>
      </w:pPr>
      <w:r w:rsidRPr="00BA14E9">
        <w:t xml:space="preserve">Australian Standards, including AS 2885, can provide guidance on safety measures, however Australian Standards </w:t>
      </w:r>
      <w:r w:rsidR="00B20317">
        <w:t xml:space="preserve">have </w:t>
      </w:r>
      <w:r w:rsidRPr="00BA14E9">
        <w:t>legal force only:</w:t>
      </w:r>
    </w:p>
    <w:p w14:paraId="39D0F51C" w14:textId="69EA9B4C" w:rsidR="006E6EB9" w:rsidRPr="00BA14E9" w:rsidRDefault="00E15FFC" w:rsidP="00FA4FD3">
      <w:pPr>
        <w:pStyle w:val="ListParagraph"/>
        <w:numPr>
          <w:ilvl w:val="0"/>
          <w:numId w:val="94"/>
        </w:numPr>
        <w:spacing w:line="278" w:lineRule="auto"/>
        <w:contextualSpacing w:val="0"/>
      </w:pPr>
      <w:r w:rsidRPr="00BA14E9">
        <w:t xml:space="preserve">if </w:t>
      </w:r>
      <w:r w:rsidR="00B20317">
        <w:t xml:space="preserve">legislation </w:t>
      </w:r>
      <w:r w:rsidRPr="00BA14E9">
        <w:t>directly incorporates them (either in full or by reference); or</w:t>
      </w:r>
    </w:p>
    <w:p w14:paraId="719D6588" w14:textId="5E7DF3FA" w:rsidR="00E15FFC" w:rsidRPr="00BA14E9" w:rsidRDefault="00E15FFC" w:rsidP="00FA4FD3">
      <w:pPr>
        <w:pStyle w:val="ListParagraph"/>
        <w:numPr>
          <w:ilvl w:val="0"/>
          <w:numId w:val="94"/>
        </w:numPr>
        <w:spacing w:line="278" w:lineRule="auto"/>
        <w:contextualSpacing w:val="0"/>
      </w:pPr>
      <w:r w:rsidRPr="00BA14E9">
        <w:t xml:space="preserve">indirectly, as evidence of what a prudent duty holder ought reasonably to have known and done. </w:t>
      </w:r>
    </w:p>
    <w:p w14:paraId="3E4D0CD7" w14:textId="28DB1B97" w:rsidR="00E15FFC" w:rsidRPr="00BA14E9" w:rsidRDefault="007D3E53" w:rsidP="00E15FFC">
      <w:pPr>
        <w:spacing w:line="278" w:lineRule="auto"/>
      </w:pPr>
      <w:r>
        <w:t>Further</w:t>
      </w:r>
      <w:r w:rsidR="00E15FFC" w:rsidRPr="00BA14E9">
        <w:t xml:space="preserve">, compliance with a standard is neither a safe harbour nor a complete defence. An Australian </w:t>
      </w:r>
      <w:r w:rsidR="00301647">
        <w:t>s</w:t>
      </w:r>
      <w:r w:rsidR="00E15FFC" w:rsidRPr="00BA14E9">
        <w:t>tandard may be admissible as evidence of the consensus of professional opinion and practical experience as to the existence of a risk and the existence of precautions to avoid it.</w:t>
      </w:r>
    </w:p>
    <w:p w14:paraId="417E1A90" w14:textId="6144918E" w:rsidR="009668CB" w:rsidRPr="00BA14E9" w:rsidRDefault="009668CB" w:rsidP="00E83908">
      <w:pPr>
        <w:pStyle w:val="Heading2"/>
        <w:rPr>
          <w:lang w:eastAsia="en-AU"/>
        </w:rPr>
      </w:pPr>
      <w:bookmarkStart w:id="58" w:name="_Toc222925497"/>
      <w:r w:rsidRPr="00BA14E9">
        <w:t>Interaction</w:t>
      </w:r>
      <w:r w:rsidRPr="00BA14E9">
        <w:rPr>
          <w:lang w:eastAsia="en-AU"/>
        </w:rPr>
        <w:t xml:space="preserve"> of pipeline licensing with other laws</w:t>
      </w:r>
      <w:bookmarkEnd w:id="58"/>
    </w:p>
    <w:p w14:paraId="4042567E" w14:textId="6C474C0D" w:rsidR="009668CB" w:rsidRPr="00BA14E9" w:rsidRDefault="009668CB" w:rsidP="00E31E89">
      <w:r w:rsidRPr="00BA14E9">
        <w:t xml:space="preserve">Pipeline licensing </w:t>
      </w:r>
      <w:r w:rsidR="00AA716E" w:rsidRPr="00BA14E9">
        <w:t>will overlap or interact with other laws regulating pipelines including safety</w:t>
      </w:r>
      <w:r w:rsidR="002574E2" w:rsidRPr="00BA14E9">
        <w:t>, environment and planning laws.</w:t>
      </w:r>
    </w:p>
    <w:p w14:paraId="1FD3A254" w14:textId="020179BC" w:rsidR="00EB1D5F" w:rsidRPr="00BA14E9" w:rsidRDefault="00EB1D5F" w:rsidP="00EB1D5F">
      <w:pPr>
        <w:rPr>
          <w:rFonts w:cs="Calibri"/>
        </w:rPr>
      </w:pPr>
      <w:r w:rsidRPr="00BA14E9">
        <w:rPr>
          <w:rFonts w:cs="Calibri"/>
        </w:rPr>
        <w:t xml:space="preserve">The interaction between pipeline and safety legislation varies between jurisdictions. In some instances, Health &amp; Safety Legislation may be expressly excluded from applying where there </w:t>
      </w:r>
      <w:r w:rsidR="0017316C">
        <w:rPr>
          <w:rFonts w:cs="Calibri"/>
        </w:rPr>
        <w:t>are</w:t>
      </w:r>
      <w:r w:rsidRPr="00BA14E9">
        <w:rPr>
          <w:rFonts w:cs="Calibri"/>
        </w:rPr>
        <w:t xml:space="preserve"> more subject-specific laws</w:t>
      </w:r>
      <w:r w:rsidRPr="00BA14E9">
        <w:rPr>
          <w:rStyle w:val="CommentReference"/>
          <w:rFonts w:cs="Calibri"/>
        </w:rPr>
        <w:t>.</w:t>
      </w:r>
      <w:r w:rsidRPr="00BA14E9">
        <w:rPr>
          <w:rFonts w:cs="Calibri"/>
        </w:rPr>
        <w:t xml:space="preserve"> In other instances, Health &amp; Safety Legislation is given priority. However, in many cases the Health &amp; Safety Legislation will operate concurrently with other subject-specific legislation and proponents will need to be aware that their hydrogen pipelines will </w:t>
      </w:r>
      <w:r w:rsidR="00877CDE">
        <w:rPr>
          <w:rFonts w:cs="Calibri"/>
        </w:rPr>
        <w:t>be subject to</w:t>
      </w:r>
      <w:r w:rsidR="00877CDE" w:rsidRPr="00BA14E9" w:rsidDel="006733D4">
        <w:rPr>
          <w:rFonts w:cs="Calibri"/>
        </w:rPr>
        <w:t xml:space="preserve"> </w:t>
      </w:r>
      <w:r w:rsidRPr="00BA14E9">
        <w:rPr>
          <w:rFonts w:cs="Calibri"/>
        </w:rPr>
        <w:t xml:space="preserve">obligations under both Health &amp; Safety Legislation and other subject-specific safety regimes (see </w:t>
      </w:r>
      <w:r w:rsidR="005D587C">
        <w:rPr>
          <w:rFonts w:cs="Calibri"/>
        </w:rPr>
        <w:t>Chapter 7</w:t>
      </w:r>
      <w:r w:rsidRPr="00BA14E9">
        <w:rPr>
          <w:rFonts w:cs="Calibri"/>
        </w:rPr>
        <w:t>).</w:t>
      </w:r>
    </w:p>
    <w:p w14:paraId="3C181F46" w14:textId="66875D0C" w:rsidR="006D242F" w:rsidRPr="00BA14E9" w:rsidRDefault="006D242F" w:rsidP="00E83908">
      <w:pPr>
        <w:pStyle w:val="Heading2"/>
        <w:rPr>
          <w:lang w:eastAsia="en-AU"/>
        </w:rPr>
      </w:pPr>
      <w:bookmarkStart w:id="59" w:name="_Toc222925498"/>
      <w:r w:rsidRPr="00BA14E9">
        <w:t>Definitions</w:t>
      </w:r>
      <w:r w:rsidRPr="00BA14E9">
        <w:rPr>
          <w:lang w:eastAsia="en-AU"/>
        </w:rPr>
        <w:t xml:space="preserve"> of “pipeline”</w:t>
      </w:r>
      <w:bookmarkEnd w:id="59"/>
    </w:p>
    <w:p w14:paraId="4050451D" w14:textId="2963CE76" w:rsidR="00E50A39" w:rsidRPr="00BA14E9" w:rsidRDefault="00057BB4" w:rsidP="00F634FE">
      <w:pPr>
        <w:rPr>
          <w:rFonts w:cs="Calibri"/>
        </w:rPr>
      </w:pPr>
      <w:r w:rsidRPr="00BA14E9">
        <w:rPr>
          <w:rFonts w:cs="Calibri"/>
        </w:rPr>
        <w:t xml:space="preserve">The legislative definitions of "pipeline" are intentionally broad and are designed to </w:t>
      </w:r>
      <w:r w:rsidRPr="00BA14E9" w:rsidDel="00D21F14">
        <w:rPr>
          <w:rFonts w:cs="Calibri"/>
        </w:rPr>
        <w:t>capture</w:t>
      </w:r>
      <w:r w:rsidRPr="00BA14E9" w:rsidDel="008F022B">
        <w:rPr>
          <w:rFonts w:cs="Calibri"/>
        </w:rPr>
        <w:t xml:space="preserve"> </w:t>
      </w:r>
      <w:r w:rsidRPr="00BA14E9" w:rsidDel="00D21F14">
        <w:rPr>
          <w:rFonts w:cs="Calibri"/>
        </w:rPr>
        <w:t>all</w:t>
      </w:r>
      <w:r w:rsidRPr="00BA14E9">
        <w:rPr>
          <w:rFonts w:cs="Calibri"/>
        </w:rPr>
        <w:t xml:space="preserve"> equipment, apparatus and works necessary for, or associated with, the operation, maintenance and safety of the pipeline (see Table 2.2 of Annexure 2). </w:t>
      </w:r>
      <w:r w:rsidR="00E50A39" w:rsidRPr="00BA14E9">
        <w:rPr>
          <w:rFonts w:cs="Calibri"/>
        </w:rPr>
        <w:t>Most statutes expressly include not only the pipe or system of pipes, but also associated or ancillary equipment and works necessary for the operation, maintenance and safety of the pipeline. This approach is consistent across the National Gas Law, state and territory pipeline legislation and related safety legislation.</w:t>
      </w:r>
    </w:p>
    <w:p w14:paraId="4D4C3073" w14:textId="073CB6A1" w:rsidR="00DE2881" w:rsidRPr="00BA14E9" w:rsidRDefault="00DE2881" w:rsidP="00DE2881">
      <w:pPr>
        <w:rPr>
          <w:rFonts w:cs="Calibri"/>
        </w:rPr>
      </w:pPr>
      <w:r w:rsidRPr="00BA14E9">
        <w:rPr>
          <w:rFonts w:cs="Calibri"/>
        </w:rPr>
        <w:t>In some jurisdictions, hydrogen is explicitly defined as a regulated substance. Elsewhere, hydrogen’s inclusion is inferred rather than spelled out.</w:t>
      </w:r>
      <w:r w:rsidR="00DA421F" w:rsidRPr="00BA14E9">
        <w:rPr>
          <w:rFonts w:cs="Calibri"/>
        </w:rPr>
        <w:t xml:space="preserve"> For example, </w:t>
      </w:r>
      <w:r w:rsidRPr="00BA14E9">
        <w:rPr>
          <w:rFonts w:cs="Calibri"/>
        </w:rPr>
        <w:t>hydrogen pipelines may be captured under broader terms such as “pipeline”, “operating plant” or “gas.” While this allows for some regulatory coverage, the absence of clear statutory language introduces ambiguity. Project proponents should engage early with regulators to seek clarification. </w:t>
      </w:r>
    </w:p>
    <w:p w14:paraId="18EC0CF9" w14:textId="3C49F7F3" w:rsidR="002600DE" w:rsidRPr="00BA14E9" w:rsidRDefault="007E2292" w:rsidP="00E50A39">
      <w:pPr>
        <w:rPr>
          <w:rFonts w:cs="Calibri"/>
        </w:rPr>
      </w:pPr>
      <w:r w:rsidRPr="00BA14E9">
        <w:rPr>
          <w:rFonts w:cs="Calibri"/>
        </w:rPr>
        <w:t xml:space="preserve">Table </w:t>
      </w:r>
      <w:r w:rsidR="00622FD3">
        <w:rPr>
          <w:rFonts w:cs="Calibri"/>
        </w:rPr>
        <w:t>5.1</w:t>
      </w:r>
      <w:r w:rsidRPr="00BA14E9">
        <w:rPr>
          <w:rFonts w:cs="Calibri"/>
        </w:rPr>
        <w:t xml:space="preserve"> below sets out how hydrogen is captured in </w:t>
      </w:r>
      <w:r w:rsidR="002600DE" w:rsidRPr="00BA14E9">
        <w:rPr>
          <w:rFonts w:cs="Calibri"/>
        </w:rPr>
        <w:t xml:space="preserve">different </w:t>
      </w:r>
      <w:r w:rsidR="00F34012" w:rsidRPr="00BA14E9">
        <w:rPr>
          <w:rFonts w:cs="Calibri"/>
        </w:rPr>
        <w:t>jurisdiction’s</w:t>
      </w:r>
      <w:r w:rsidR="002600DE" w:rsidRPr="00BA14E9">
        <w:rPr>
          <w:rFonts w:cs="Calibri"/>
        </w:rPr>
        <w:t xml:space="preserve"> pipeline licensing legislation.</w:t>
      </w:r>
      <w:r w:rsidR="00CF6158" w:rsidRPr="00BA14E9">
        <w:rPr>
          <w:rFonts w:cs="Calibri"/>
        </w:rPr>
        <w:t xml:space="preserve"> </w:t>
      </w:r>
    </w:p>
    <w:p w14:paraId="3E9F2A6A" w14:textId="1A7FA5FE" w:rsidR="00E120BC" w:rsidRPr="00BA14E9" w:rsidRDefault="00E120BC" w:rsidP="00E50A39">
      <w:pPr>
        <w:rPr>
          <w:rFonts w:cs="Calibri"/>
          <w:b/>
          <w:bCs/>
        </w:rPr>
      </w:pPr>
      <w:r w:rsidRPr="00BA14E9">
        <w:rPr>
          <w:rFonts w:cs="Calibri"/>
          <w:b/>
          <w:bCs/>
        </w:rPr>
        <w:lastRenderedPageBreak/>
        <w:t xml:space="preserve">Table </w:t>
      </w:r>
      <w:r w:rsidR="00F12402">
        <w:rPr>
          <w:rFonts w:cs="Calibri"/>
          <w:b/>
          <w:bCs/>
        </w:rPr>
        <w:t>5.1</w:t>
      </w:r>
      <w:r w:rsidRPr="00BA14E9">
        <w:rPr>
          <w:rFonts w:cs="Calibri"/>
          <w:b/>
          <w:bCs/>
        </w:rPr>
        <w:t xml:space="preserve"> – Pipeline Licensing Legislation</w:t>
      </w:r>
    </w:p>
    <w:tbl>
      <w:tblPr>
        <w:tblStyle w:val="TableGrid"/>
        <w:tblW w:w="0" w:type="auto"/>
        <w:tblLook w:val="04A0" w:firstRow="1" w:lastRow="0" w:firstColumn="1" w:lastColumn="0" w:noHBand="0" w:noVBand="1"/>
      </w:tblPr>
      <w:tblGrid>
        <w:gridCol w:w="1407"/>
        <w:gridCol w:w="1806"/>
        <w:gridCol w:w="5803"/>
      </w:tblGrid>
      <w:tr w:rsidR="00D25DFD" w:rsidRPr="00BA14E9" w14:paraId="3E69968D" w14:textId="77777777" w:rsidTr="00FA4FD3">
        <w:trPr>
          <w:trHeight w:val="300"/>
          <w:tblHeader/>
        </w:trPr>
        <w:tc>
          <w:tcPr>
            <w:tcW w:w="0" w:type="auto"/>
            <w:hideMark/>
          </w:tcPr>
          <w:p w14:paraId="6543045C" w14:textId="77777777" w:rsidR="00D25DFD" w:rsidRPr="00BA14E9" w:rsidRDefault="00D25DFD" w:rsidP="000246F4">
            <w:pPr>
              <w:spacing w:line="259" w:lineRule="auto"/>
              <w:rPr>
                <w:rFonts w:eastAsia="Aptos" w:cs="Calibri"/>
                <w:lang w:val="en-AU"/>
              </w:rPr>
            </w:pPr>
            <w:r w:rsidRPr="00BA14E9">
              <w:rPr>
                <w:rFonts w:eastAsia="Aptos" w:cs="Calibri"/>
                <w:b/>
                <w:bCs/>
                <w:lang w:val="en-AU"/>
              </w:rPr>
              <w:t>Jurisdiction</w:t>
            </w:r>
            <w:r w:rsidRPr="00BA14E9">
              <w:rPr>
                <w:rFonts w:eastAsia="Aptos" w:cs="Calibri"/>
                <w:lang w:val="en-AU"/>
              </w:rPr>
              <w:t> </w:t>
            </w:r>
          </w:p>
        </w:tc>
        <w:tc>
          <w:tcPr>
            <w:tcW w:w="1806" w:type="dxa"/>
            <w:hideMark/>
          </w:tcPr>
          <w:p w14:paraId="570B2858" w14:textId="77777777" w:rsidR="00D25DFD" w:rsidRPr="00BA14E9" w:rsidRDefault="00D25DFD" w:rsidP="000246F4">
            <w:pPr>
              <w:spacing w:line="259" w:lineRule="auto"/>
              <w:rPr>
                <w:rFonts w:eastAsia="Aptos" w:cs="Calibri"/>
                <w:lang w:val="en-AU"/>
              </w:rPr>
            </w:pPr>
            <w:r w:rsidRPr="00BA14E9">
              <w:rPr>
                <w:rFonts w:eastAsia="Aptos" w:cs="Calibri"/>
                <w:b/>
                <w:bCs/>
                <w:lang w:val="en-AU"/>
              </w:rPr>
              <w:t>Legislation</w:t>
            </w:r>
            <w:r w:rsidRPr="00BA14E9">
              <w:rPr>
                <w:rFonts w:eastAsia="Aptos" w:cs="Calibri"/>
                <w:lang w:val="en-AU"/>
              </w:rPr>
              <w:t> </w:t>
            </w:r>
          </w:p>
        </w:tc>
        <w:tc>
          <w:tcPr>
            <w:tcW w:w="5803" w:type="dxa"/>
            <w:hideMark/>
          </w:tcPr>
          <w:p w14:paraId="62179986" w14:textId="77777777" w:rsidR="00D25DFD" w:rsidRPr="00BA14E9" w:rsidRDefault="00D25DFD" w:rsidP="000246F4">
            <w:pPr>
              <w:spacing w:line="259" w:lineRule="auto"/>
              <w:rPr>
                <w:rFonts w:eastAsia="Aptos" w:cs="Calibri"/>
                <w:lang w:val="en-AU"/>
              </w:rPr>
            </w:pPr>
            <w:r w:rsidRPr="00BA14E9">
              <w:rPr>
                <w:rFonts w:eastAsia="Aptos" w:cs="Calibri"/>
                <w:b/>
                <w:bCs/>
                <w:lang w:val="en-AU"/>
              </w:rPr>
              <w:t>Application to hydrogen</w:t>
            </w:r>
            <w:r w:rsidRPr="00BA14E9">
              <w:rPr>
                <w:rFonts w:eastAsia="Aptos" w:cs="Calibri"/>
                <w:lang w:val="en-AU"/>
              </w:rPr>
              <w:t> </w:t>
            </w:r>
          </w:p>
        </w:tc>
      </w:tr>
      <w:tr w:rsidR="00D25DFD" w:rsidRPr="00BA14E9" w14:paraId="1D17E438" w14:textId="77777777" w:rsidTr="008819E9">
        <w:trPr>
          <w:trHeight w:val="300"/>
        </w:trPr>
        <w:tc>
          <w:tcPr>
            <w:tcW w:w="0" w:type="auto"/>
            <w:hideMark/>
          </w:tcPr>
          <w:p w14:paraId="73C17623" w14:textId="77777777" w:rsidR="00D25DFD" w:rsidRPr="00BA14E9" w:rsidRDefault="00D25DFD" w:rsidP="000246F4">
            <w:pPr>
              <w:spacing w:line="259" w:lineRule="auto"/>
              <w:rPr>
                <w:rFonts w:eastAsia="Aptos" w:cs="Calibri"/>
                <w:lang w:val="en-AU"/>
              </w:rPr>
            </w:pPr>
            <w:proofErr w:type="spellStart"/>
            <w:r w:rsidRPr="00BA14E9">
              <w:rPr>
                <w:rFonts w:eastAsia="Aptos" w:cs="Calibri"/>
                <w:lang w:val="en-AU"/>
              </w:rPr>
              <w:t>Cth</w:t>
            </w:r>
            <w:proofErr w:type="spellEnd"/>
            <w:r w:rsidRPr="00BA14E9">
              <w:rPr>
                <w:rFonts w:eastAsia="Aptos" w:cs="Calibri"/>
                <w:lang w:val="en-AU"/>
              </w:rPr>
              <w:t> </w:t>
            </w:r>
          </w:p>
        </w:tc>
        <w:tc>
          <w:tcPr>
            <w:tcW w:w="1806" w:type="dxa"/>
            <w:hideMark/>
          </w:tcPr>
          <w:p w14:paraId="5FDE1187" w14:textId="3FFF030C" w:rsidR="00D25DFD" w:rsidRPr="00BA14E9" w:rsidRDefault="00D25DFD" w:rsidP="000246F4">
            <w:pPr>
              <w:spacing w:line="259" w:lineRule="auto"/>
              <w:rPr>
                <w:rFonts w:eastAsia="Aptos" w:cs="Calibri"/>
                <w:lang w:val="en-AU"/>
              </w:rPr>
            </w:pPr>
            <w:r w:rsidRPr="00BA14E9">
              <w:rPr>
                <w:rFonts w:eastAsia="Aptos" w:cs="Calibri"/>
                <w:lang w:val="en-AU"/>
              </w:rPr>
              <w:t xml:space="preserve">National Gas Law (NGL) </w:t>
            </w:r>
          </w:p>
          <w:p w14:paraId="445E0566" w14:textId="2828338B" w:rsidR="00D25DFD" w:rsidRPr="00BA14E9" w:rsidRDefault="00D25DFD" w:rsidP="00623C2D">
            <w:pPr>
              <w:spacing w:line="259" w:lineRule="auto"/>
              <w:rPr>
                <w:rFonts w:eastAsia="Aptos" w:cs="Calibri"/>
                <w:lang w:val="en-AU"/>
              </w:rPr>
            </w:pPr>
          </w:p>
        </w:tc>
        <w:tc>
          <w:tcPr>
            <w:tcW w:w="5803" w:type="dxa"/>
            <w:hideMark/>
          </w:tcPr>
          <w:p w14:paraId="78457EA1" w14:textId="6F82E5A3" w:rsidR="00D25DFD" w:rsidRPr="00BA14E9" w:rsidRDefault="00744AC0" w:rsidP="00430300">
            <w:pPr>
              <w:spacing w:line="259" w:lineRule="auto"/>
              <w:rPr>
                <w:rFonts w:eastAsia="Aptos" w:cs="Calibri"/>
                <w:lang w:val="en-AU"/>
              </w:rPr>
            </w:pPr>
            <w:r w:rsidRPr="00BA14E9">
              <w:rPr>
                <w:rFonts w:eastAsia="Aptos" w:cs="Calibri"/>
                <w:lang w:val="en-AU"/>
              </w:rPr>
              <w:t>The NGL will apply to h</w:t>
            </w:r>
            <w:r w:rsidR="00CF6158" w:rsidRPr="00BA14E9">
              <w:rPr>
                <w:rFonts w:eastAsia="Aptos" w:cs="Calibri"/>
                <w:lang w:val="en-AU"/>
              </w:rPr>
              <w:t xml:space="preserve">ydrogen and hydrogen blends as a “covered gas”. </w:t>
            </w:r>
            <w:r w:rsidR="00D25DFD" w:rsidRPr="00BA14E9">
              <w:rPr>
                <w:rFonts w:eastAsia="Aptos" w:cs="Calibri"/>
                <w:lang w:val="en-AU"/>
              </w:rPr>
              <w:t> </w:t>
            </w:r>
          </w:p>
        </w:tc>
      </w:tr>
      <w:tr w:rsidR="00D25DFD" w:rsidRPr="00BA14E9" w14:paraId="07AD2053" w14:textId="77777777" w:rsidTr="008819E9">
        <w:trPr>
          <w:trHeight w:val="300"/>
        </w:trPr>
        <w:tc>
          <w:tcPr>
            <w:tcW w:w="0" w:type="auto"/>
            <w:tcBorders>
              <w:bottom w:val="nil"/>
            </w:tcBorders>
            <w:hideMark/>
          </w:tcPr>
          <w:p w14:paraId="389B0A64" w14:textId="77777777" w:rsidR="00D25DFD" w:rsidRPr="00BA14E9" w:rsidRDefault="00D25DFD" w:rsidP="000246F4">
            <w:pPr>
              <w:spacing w:line="259" w:lineRule="auto"/>
              <w:rPr>
                <w:rFonts w:eastAsia="Aptos" w:cs="Calibri"/>
                <w:lang w:val="en-AU"/>
              </w:rPr>
            </w:pPr>
            <w:r w:rsidRPr="00BA14E9">
              <w:rPr>
                <w:rFonts w:eastAsia="Aptos" w:cs="Calibri"/>
                <w:lang w:val="en-AU"/>
              </w:rPr>
              <w:t>ACT </w:t>
            </w:r>
          </w:p>
        </w:tc>
        <w:tc>
          <w:tcPr>
            <w:tcW w:w="1806" w:type="dxa"/>
            <w:tcBorders>
              <w:bottom w:val="nil"/>
            </w:tcBorders>
            <w:hideMark/>
          </w:tcPr>
          <w:p w14:paraId="2EEA7433" w14:textId="5CEAFBA8" w:rsidR="000E6667" w:rsidRPr="000E6667" w:rsidRDefault="00D25DFD" w:rsidP="008819E9">
            <w:pPr>
              <w:spacing w:after="120" w:line="259" w:lineRule="auto"/>
              <w:rPr>
                <w:rFonts w:eastAsia="Aptos" w:cs="Calibri"/>
                <w:lang w:val="en-AU"/>
              </w:rPr>
            </w:pPr>
            <w:r w:rsidRPr="00BA14E9">
              <w:rPr>
                <w:rFonts w:eastAsia="Aptos" w:cs="Calibri"/>
                <w:i/>
                <w:iCs/>
                <w:lang w:val="en-AU"/>
              </w:rPr>
              <w:t xml:space="preserve">Pipelines Act 1967 </w:t>
            </w:r>
            <w:r w:rsidRPr="00BA14E9">
              <w:rPr>
                <w:rFonts w:eastAsia="Aptos" w:cs="Calibri"/>
                <w:lang w:val="en-AU"/>
              </w:rPr>
              <w:t>(NSW) (as applied in ACT)</w:t>
            </w:r>
          </w:p>
        </w:tc>
        <w:tc>
          <w:tcPr>
            <w:tcW w:w="5803" w:type="dxa"/>
            <w:tcBorders>
              <w:bottom w:val="nil"/>
            </w:tcBorders>
            <w:hideMark/>
          </w:tcPr>
          <w:p w14:paraId="7125B96D" w14:textId="439EAC83" w:rsidR="00D25DFD" w:rsidRPr="00BA14E9" w:rsidRDefault="00430300" w:rsidP="000246F4">
            <w:pPr>
              <w:spacing w:line="259" w:lineRule="auto"/>
              <w:rPr>
                <w:rFonts w:eastAsia="Aptos" w:cs="Calibri"/>
                <w:lang w:val="en-AU"/>
              </w:rPr>
            </w:pPr>
            <w:r w:rsidRPr="00BA14E9">
              <w:rPr>
                <w:rFonts w:eastAsia="Aptos" w:cs="Calibri"/>
                <w:lang w:val="en-AU"/>
              </w:rPr>
              <w:t xml:space="preserve">The </w:t>
            </w:r>
            <w:r w:rsidR="000E6667">
              <w:rPr>
                <w:rFonts w:eastAsia="Aptos" w:cs="Calibri"/>
                <w:i/>
                <w:iCs/>
                <w:lang w:val="en-AU"/>
              </w:rPr>
              <w:t xml:space="preserve">Pipelines Act 1967 </w:t>
            </w:r>
            <w:r w:rsidR="000E6667">
              <w:rPr>
                <w:rFonts w:eastAsia="Aptos" w:cs="Calibri"/>
                <w:lang w:val="en-AU"/>
              </w:rPr>
              <w:t xml:space="preserve">(NSW) </w:t>
            </w:r>
            <w:r w:rsidRPr="00BA14E9">
              <w:rPr>
                <w:rFonts w:eastAsia="Aptos" w:cs="Calibri"/>
                <w:lang w:val="en-AU"/>
              </w:rPr>
              <w:t>will apply to pipelines conveying hydrogen and certain hydrogen blends.</w:t>
            </w:r>
            <w:r w:rsidR="00D25DFD" w:rsidRPr="00BA14E9">
              <w:rPr>
                <w:rFonts w:eastAsia="Aptos" w:cs="Calibri"/>
                <w:lang w:val="en-AU"/>
              </w:rPr>
              <w:t> </w:t>
            </w:r>
          </w:p>
          <w:p w14:paraId="4F4791B1" w14:textId="7B40A57D" w:rsidR="000E6667" w:rsidRPr="00290A7C" w:rsidRDefault="000E6667" w:rsidP="000246F4">
            <w:pPr>
              <w:spacing w:line="259" w:lineRule="auto"/>
              <w:rPr>
                <w:rFonts w:eastAsia="Aptos" w:cs="Calibri"/>
                <w:lang w:val="en-AU"/>
              </w:rPr>
            </w:pPr>
          </w:p>
        </w:tc>
      </w:tr>
      <w:tr w:rsidR="006A1969" w:rsidRPr="00BA14E9" w14:paraId="7D829AF2" w14:textId="77777777" w:rsidTr="008819E9">
        <w:trPr>
          <w:trHeight w:val="300"/>
        </w:trPr>
        <w:tc>
          <w:tcPr>
            <w:tcW w:w="0" w:type="auto"/>
            <w:tcBorders>
              <w:top w:val="nil"/>
              <w:bottom w:val="nil"/>
            </w:tcBorders>
          </w:tcPr>
          <w:p w14:paraId="0E102660" w14:textId="77777777" w:rsidR="006A1969" w:rsidRPr="00BA14E9" w:rsidRDefault="006A1969" w:rsidP="000246F4">
            <w:pPr>
              <w:rPr>
                <w:rFonts w:eastAsia="Aptos" w:cs="Calibri"/>
              </w:rPr>
            </w:pPr>
          </w:p>
        </w:tc>
        <w:tc>
          <w:tcPr>
            <w:tcW w:w="1806" w:type="dxa"/>
            <w:tcBorders>
              <w:top w:val="nil"/>
              <w:bottom w:val="nil"/>
            </w:tcBorders>
          </w:tcPr>
          <w:p w14:paraId="1C9CF117" w14:textId="7EB19C1D" w:rsidR="006A1969" w:rsidRPr="00BA14E9" w:rsidRDefault="006A1969" w:rsidP="000246F4">
            <w:pPr>
              <w:rPr>
                <w:rFonts w:eastAsia="Aptos" w:cs="Calibri"/>
                <w:i/>
                <w:iCs/>
              </w:rPr>
            </w:pPr>
            <w:r>
              <w:rPr>
                <w:rFonts w:eastAsia="Aptos" w:cs="Calibri"/>
                <w:i/>
                <w:iCs/>
                <w:lang w:val="en-AU"/>
              </w:rPr>
              <w:t xml:space="preserve">Utilities Act 2000 </w:t>
            </w:r>
            <w:r>
              <w:rPr>
                <w:rFonts w:eastAsia="Aptos" w:cs="Calibri"/>
                <w:lang w:val="en-AU"/>
              </w:rPr>
              <w:t>(ACT)</w:t>
            </w:r>
          </w:p>
        </w:tc>
        <w:tc>
          <w:tcPr>
            <w:tcW w:w="5803" w:type="dxa"/>
            <w:tcBorders>
              <w:top w:val="nil"/>
              <w:bottom w:val="nil"/>
            </w:tcBorders>
          </w:tcPr>
          <w:p w14:paraId="4BD9CC62" w14:textId="118ADD8D" w:rsidR="006A1969" w:rsidRPr="00BA14E9" w:rsidRDefault="006A1969" w:rsidP="008819E9">
            <w:pPr>
              <w:spacing w:after="120"/>
              <w:rPr>
                <w:rFonts w:eastAsia="Aptos" w:cs="Calibri"/>
              </w:rPr>
            </w:pPr>
            <w:r>
              <w:rPr>
                <w:rFonts w:eastAsia="Aptos" w:cs="Calibri"/>
                <w:lang w:val="en-AU"/>
              </w:rPr>
              <w:t xml:space="preserve">The </w:t>
            </w:r>
            <w:r>
              <w:rPr>
                <w:rFonts w:eastAsia="Aptos" w:cs="Calibri"/>
                <w:i/>
                <w:iCs/>
                <w:lang w:val="en-AU"/>
              </w:rPr>
              <w:t xml:space="preserve">Utilities Act 2000 </w:t>
            </w:r>
            <w:r>
              <w:rPr>
                <w:rFonts w:eastAsia="Aptos" w:cs="Calibri"/>
                <w:lang w:val="en-AU"/>
              </w:rPr>
              <w:t>(ACT) requires a licence to provide utility services by a regulated utility. A utility service includes the transmission</w:t>
            </w:r>
            <w:r w:rsidR="000E1D59">
              <w:rPr>
                <w:rFonts w:eastAsia="Aptos" w:cs="Calibri"/>
                <w:lang w:val="en-AU"/>
              </w:rPr>
              <w:t xml:space="preserve"> </w:t>
            </w:r>
            <w:r>
              <w:rPr>
                <w:rFonts w:eastAsia="Aptos" w:cs="Calibri"/>
                <w:lang w:val="en-AU"/>
              </w:rPr>
              <w:t>/</w:t>
            </w:r>
            <w:r w:rsidR="000E1D59">
              <w:rPr>
                <w:rFonts w:eastAsia="Aptos" w:cs="Calibri"/>
                <w:lang w:val="en-AU"/>
              </w:rPr>
              <w:t xml:space="preserve"> </w:t>
            </w:r>
            <w:r>
              <w:rPr>
                <w:rFonts w:eastAsia="Aptos" w:cs="Calibri"/>
                <w:lang w:val="en-AU"/>
              </w:rPr>
              <w:t>distribution of gas through a gas transmission</w:t>
            </w:r>
            <w:r w:rsidR="000E1D59">
              <w:rPr>
                <w:rFonts w:eastAsia="Aptos" w:cs="Calibri"/>
                <w:lang w:val="en-AU"/>
              </w:rPr>
              <w:t xml:space="preserve"> </w:t>
            </w:r>
            <w:r>
              <w:rPr>
                <w:rFonts w:eastAsia="Aptos" w:cs="Calibri"/>
                <w:lang w:val="en-AU"/>
              </w:rPr>
              <w:t>/</w:t>
            </w:r>
            <w:r w:rsidR="000E1D59">
              <w:rPr>
                <w:rFonts w:eastAsia="Aptos" w:cs="Calibri"/>
                <w:lang w:val="en-AU"/>
              </w:rPr>
              <w:t xml:space="preserve"> </w:t>
            </w:r>
            <w:r>
              <w:rPr>
                <w:rFonts w:eastAsia="Aptos" w:cs="Calibri"/>
                <w:lang w:val="en-AU"/>
              </w:rPr>
              <w:t>distribution network.</w:t>
            </w:r>
          </w:p>
        </w:tc>
      </w:tr>
      <w:tr w:rsidR="006A1969" w:rsidRPr="00BA14E9" w14:paraId="14FC12B9" w14:textId="77777777" w:rsidTr="008819E9">
        <w:trPr>
          <w:trHeight w:val="300"/>
        </w:trPr>
        <w:tc>
          <w:tcPr>
            <w:tcW w:w="0" w:type="auto"/>
            <w:tcBorders>
              <w:top w:val="nil"/>
              <w:bottom w:val="nil"/>
            </w:tcBorders>
          </w:tcPr>
          <w:p w14:paraId="6C90E48F" w14:textId="77777777" w:rsidR="006A1969" w:rsidRPr="00BA14E9" w:rsidRDefault="006A1969" w:rsidP="000246F4">
            <w:pPr>
              <w:rPr>
                <w:rFonts w:eastAsia="Aptos" w:cs="Calibri"/>
              </w:rPr>
            </w:pPr>
          </w:p>
        </w:tc>
        <w:tc>
          <w:tcPr>
            <w:tcW w:w="1806" w:type="dxa"/>
            <w:tcBorders>
              <w:top w:val="nil"/>
              <w:bottom w:val="nil"/>
            </w:tcBorders>
          </w:tcPr>
          <w:p w14:paraId="0D9D3F15" w14:textId="5D294497" w:rsidR="006A1969" w:rsidRPr="008819E9" w:rsidRDefault="002164FE" w:rsidP="008819E9">
            <w:pPr>
              <w:spacing w:after="120"/>
              <w:rPr>
                <w:rFonts w:eastAsia="Aptos" w:cs="Calibri"/>
              </w:rPr>
            </w:pPr>
            <w:r w:rsidRPr="00DF702F">
              <w:rPr>
                <w:rFonts w:eastAsia="Aptos" w:cs="Calibri"/>
                <w:i/>
                <w:iCs/>
              </w:rPr>
              <w:t>Utilities (Technical Regulation) Act 2014</w:t>
            </w:r>
            <w:r w:rsidR="00AA6D0B">
              <w:rPr>
                <w:rFonts w:eastAsia="Aptos" w:cs="Calibri"/>
              </w:rPr>
              <w:t xml:space="preserve"> (ACT)</w:t>
            </w:r>
          </w:p>
        </w:tc>
        <w:tc>
          <w:tcPr>
            <w:tcW w:w="5803" w:type="dxa"/>
            <w:tcBorders>
              <w:top w:val="nil"/>
              <w:bottom w:val="nil"/>
            </w:tcBorders>
          </w:tcPr>
          <w:p w14:paraId="52031F5B" w14:textId="77777777" w:rsidR="00E77A41" w:rsidRDefault="00E77A41" w:rsidP="00E77A41">
            <w:pPr>
              <w:spacing w:line="259" w:lineRule="auto"/>
              <w:rPr>
                <w:rFonts w:eastAsia="Aptos" w:cs="Calibri"/>
              </w:rPr>
            </w:pPr>
            <w:r w:rsidRPr="00624C86">
              <w:rPr>
                <w:rFonts w:eastAsia="Aptos" w:cs="Calibri"/>
              </w:rPr>
              <w:t>Th</w:t>
            </w:r>
            <w:r>
              <w:rPr>
                <w:rFonts w:eastAsia="Aptos" w:cs="Calibri"/>
              </w:rPr>
              <w:t xml:space="preserve">is Act </w:t>
            </w:r>
            <w:r w:rsidRPr="00557B49">
              <w:rPr>
                <w:rFonts w:eastAsia="Aptos" w:cs="Calibri"/>
              </w:rPr>
              <w:t>ensure</w:t>
            </w:r>
            <w:r>
              <w:rPr>
                <w:rFonts w:eastAsia="Aptos" w:cs="Calibri"/>
              </w:rPr>
              <w:t>s</w:t>
            </w:r>
            <w:r w:rsidRPr="00557B49">
              <w:rPr>
                <w:rFonts w:eastAsia="Aptos" w:cs="Calibri"/>
              </w:rPr>
              <w:t xml:space="preserve"> the safe, reliable and efficient delivery of regulated utility services</w:t>
            </w:r>
            <w:r w:rsidRPr="00D822F3">
              <w:rPr>
                <w:rFonts w:eastAsia="Aptos" w:cs="Calibri"/>
              </w:rPr>
              <w:t xml:space="preserve"> </w:t>
            </w:r>
            <w:r>
              <w:rPr>
                <w:rFonts w:eastAsia="Aptos" w:cs="Calibri"/>
              </w:rPr>
              <w:t xml:space="preserve">delivering </w:t>
            </w:r>
            <w:r w:rsidRPr="00482E1F">
              <w:rPr>
                <w:rFonts w:eastAsia="Aptos" w:cs="Calibri"/>
                <w:b/>
                <w:bCs/>
                <w:i/>
                <w:iCs/>
              </w:rPr>
              <w:t>natural gas</w:t>
            </w:r>
            <w:r>
              <w:rPr>
                <w:rFonts w:eastAsia="Aptos" w:cs="Calibri"/>
                <w:b/>
                <w:bCs/>
                <w:i/>
                <w:iCs/>
              </w:rPr>
              <w:t xml:space="preserve"> </w:t>
            </w:r>
            <w:r w:rsidRPr="00D822F3">
              <w:rPr>
                <w:rFonts w:eastAsia="Aptos" w:cs="Calibri"/>
              </w:rPr>
              <w:t xml:space="preserve">in </w:t>
            </w:r>
            <w:r>
              <w:rPr>
                <w:rFonts w:eastAsia="Aptos" w:cs="Calibri"/>
              </w:rPr>
              <w:t>the ACT up to the network boundary.</w:t>
            </w:r>
          </w:p>
          <w:p w14:paraId="6489C94A" w14:textId="77777777" w:rsidR="006A1969" w:rsidRPr="00BA14E9" w:rsidRDefault="006A1969" w:rsidP="000246F4">
            <w:pPr>
              <w:rPr>
                <w:rFonts w:eastAsia="Aptos" w:cs="Calibri"/>
              </w:rPr>
            </w:pPr>
          </w:p>
        </w:tc>
      </w:tr>
      <w:tr w:rsidR="00E77A41" w:rsidRPr="00BA14E9" w14:paraId="2B9EB282" w14:textId="77777777" w:rsidTr="008819E9">
        <w:trPr>
          <w:trHeight w:val="300"/>
        </w:trPr>
        <w:tc>
          <w:tcPr>
            <w:tcW w:w="0" w:type="auto"/>
            <w:tcBorders>
              <w:top w:val="nil"/>
              <w:bottom w:val="nil"/>
            </w:tcBorders>
          </w:tcPr>
          <w:p w14:paraId="04372A97" w14:textId="77777777" w:rsidR="00E77A41" w:rsidRPr="00BA14E9" w:rsidRDefault="00E77A41" w:rsidP="000246F4">
            <w:pPr>
              <w:rPr>
                <w:rFonts w:eastAsia="Aptos" w:cs="Calibri"/>
              </w:rPr>
            </w:pPr>
          </w:p>
        </w:tc>
        <w:tc>
          <w:tcPr>
            <w:tcW w:w="1806" w:type="dxa"/>
            <w:tcBorders>
              <w:top w:val="nil"/>
              <w:bottom w:val="nil"/>
            </w:tcBorders>
          </w:tcPr>
          <w:p w14:paraId="53699FFF" w14:textId="6260A52A" w:rsidR="00E77A41" w:rsidRPr="00DF702F" w:rsidRDefault="001C6F1F" w:rsidP="000246F4">
            <w:pPr>
              <w:rPr>
                <w:rFonts w:eastAsia="Aptos" w:cs="Calibri"/>
                <w:i/>
                <w:iCs/>
              </w:rPr>
            </w:pPr>
            <w:r w:rsidRPr="00310EE6">
              <w:rPr>
                <w:rFonts w:eastAsia="Aptos" w:cs="Calibri"/>
                <w:i/>
                <w:iCs/>
              </w:rPr>
              <w:t>Gas Safety and Network Operation Code</w:t>
            </w:r>
          </w:p>
        </w:tc>
        <w:tc>
          <w:tcPr>
            <w:tcW w:w="5803" w:type="dxa"/>
            <w:tcBorders>
              <w:top w:val="nil"/>
              <w:bottom w:val="nil"/>
            </w:tcBorders>
          </w:tcPr>
          <w:p w14:paraId="1183702E" w14:textId="34A87C38" w:rsidR="00EF7C7D" w:rsidRDefault="00EF7C7D" w:rsidP="00EF7C7D">
            <w:pPr>
              <w:rPr>
                <w:rFonts w:eastAsia="Aptos" w:cs="Calibri"/>
              </w:rPr>
            </w:pPr>
            <w:r w:rsidRPr="00E76927">
              <w:rPr>
                <w:rFonts w:eastAsia="Aptos" w:cs="Calibri"/>
              </w:rPr>
              <w:t xml:space="preserve">This </w:t>
            </w:r>
            <w:r>
              <w:rPr>
                <w:rFonts w:eastAsia="Aptos" w:cs="Calibri"/>
              </w:rPr>
              <w:t>Code</w:t>
            </w:r>
            <w:r w:rsidRPr="00E76927">
              <w:rPr>
                <w:rFonts w:eastAsia="Aptos" w:cs="Calibri"/>
              </w:rPr>
              <w:t xml:space="preserve"> </w:t>
            </w:r>
            <w:r>
              <w:rPr>
                <w:rFonts w:eastAsia="Aptos" w:cs="Calibri"/>
              </w:rPr>
              <w:t xml:space="preserve">is made under the </w:t>
            </w:r>
            <w:r w:rsidRPr="00DF702F">
              <w:rPr>
                <w:rFonts w:eastAsia="Aptos" w:cs="Calibri"/>
                <w:i/>
                <w:iCs/>
              </w:rPr>
              <w:t xml:space="preserve">Utilities (Technical Regulation) Act </w:t>
            </w:r>
            <w:r w:rsidR="00574D48">
              <w:rPr>
                <w:rFonts w:eastAsia="Aptos" w:cs="Calibri"/>
                <w:i/>
                <w:iCs/>
              </w:rPr>
              <w:t xml:space="preserve">2014 </w:t>
            </w:r>
            <w:r w:rsidR="00574D48">
              <w:rPr>
                <w:rFonts w:eastAsia="Aptos" w:cs="Calibri"/>
              </w:rPr>
              <w:t>(ACT)</w:t>
            </w:r>
            <w:r w:rsidRPr="00DF702F">
              <w:rPr>
                <w:rFonts w:eastAsia="Aptos" w:cs="Calibri"/>
                <w:i/>
                <w:iCs/>
              </w:rPr>
              <w:t xml:space="preserve"> </w:t>
            </w:r>
            <w:r w:rsidRPr="00624C86">
              <w:rPr>
                <w:rFonts w:eastAsia="Aptos" w:cs="Calibri"/>
              </w:rPr>
              <w:t xml:space="preserve">and </w:t>
            </w:r>
            <w:r w:rsidRPr="00557B49">
              <w:rPr>
                <w:rFonts w:eastAsia="Aptos" w:cs="Calibri"/>
              </w:rPr>
              <w:t>ensure</w:t>
            </w:r>
            <w:r>
              <w:rPr>
                <w:rFonts w:eastAsia="Aptos" w:cs="Calibri"/>
              </w:rPr>
              <w:t>s</w:t>
            </w:r>
            <w:r w:rsidRPr="00557B49">
              <w:rPr>
                <w:rFonts w:eastAsia="Aptos" w:cs="Calibri"/>
              </w:rPr>
              <w:t xml:space="preserve"> the safe and reliable design, construction, maintenance and operation of gas networks in delivering gas to customers.</w:t>
            </w:r>
          </w:p>
          <w:p w14:paraId="7A734E1A" w14:textId="21DE17DC" w:rsidR="00EF7C7D" w:rsidRDefault="00EF7C7D" w:rsidP="00EF7C7D">
            <w:pPr>
              <w:rPr>
                <w:rFonts w:eastAsia="Aptos" w:cs="Calibri"/>
                <w:i/>
                <w:iCs/>
              </w:rPr>
            </w:pPr>
            <w:r>
              <w:rPr>
                <w:rFonts w:eastAsia="Aptos" w:cs="Calibri"/>
              </w:rPr>
              <w:t xml:space="preserve">The Code references </w:t>
            </w:r>
            <w:r w:rsidRPr="00624C86">
              <w:rPr>
                <w:rFonts w:eastAsia="Aptos" w:cs="Calibri"/>
                <w:i/>
                <w:iCs/>
              </w:rPr>
              <w:t xml:space="preserve">AS 4564 </w:t>
            </w:r>
            <w:r w:rsidR="00AA6D0B">
              <w:rPr>
                <w:rFonts w:eastAsia="Aptos" w:cs="Calibri"/>
                <w:i/>
                <w:iCs/>
              </w:rPr>
              <w:t>-</w:t>
            </w:r>
            <w:r w:rsidRPr="00624C86">
              <w:rPr>
                <w:rFonts w:eastAsia="Aptos" w:cs="Calibri"/>
                <w:i/>
                <w:iCs/>
              </w:rPr>
              <w:t xml:space="preserve"> Specification for general purpose natural gas</w:t>
            </w:r>
            <w:r>
              <w:rPr>
                <w:rFonts w:eastAsia="Aptos" w:cs="Calibri"/>
                <w:i/>
                <w:iCs/>
              </w:rPr>
              <w:t>.</w:t>
            </w:r>
          </w:p>
          <w:p w14:paraId="162BDBDF" w14:textId="77777777" w:rsidR="00E77A41" w:rsidRPr="00624C86" w:rsidRDefault="00E77A41" w:rsidP="00E77A41">
            <w:pPr>
              <w:rPr>
                <w:rFonts w:eastAsia="Aptos" w:cs="Calibri"/>
              </w:rPr>
            </w:pPr>
          </w:p>
        </w:tc>
      </w:tr>
      <w:tr w:rsidR="002A268A" w:rsidRPr="00BA14E9" w14:paraId="013F99F1" w14:textId="77777777" w:rsidTr="008819E9">
        <w:trPr>
          <w:trHeight w:val="300"/>
        </w:trPr>
        <w:tc>
          <w:tcPr>
            <w:tcW w:w="0" w:type="auto"/>
            <w:tcBorders>
              <w:top w:val="nil"/>
              <w:bottom w:val="single" w:sz="4" w:space="0" w:color="auto"/>
            </w:tcBorders>
          </w:tcPr>
          <w:p w14:paraId="4E890532" w14:textId="77777777" w:rsidR="002A268A" w:rsidRPr="00BA14E9" w:rsidRDefault="002A268A" w:rsidP="000246F4">
            <w:pPr>
              <w:rPr>
                <w:rFonts w:eastAsia="Aptos" w:cs="Calibri"/>
              </w:rPr>
            </w:pPr>
          </w:p>
        </w:tc>
        <w:tc>
          <w:tcPr>
            <w:tcW w:w="1806" w:type="dxa"/>
            <w:tcBorders>
              <w:top w:val="nil"/>
              <w:bottom w:val="single" w:sz="4" w:space="0" w:color="auto"/>
            </w:tcBorders>
          </w:tcPr>
          <w:p w14:paraId="799921F5" w14:textId="305D08BC" w:rsidR="002A268A" w:rsidRPr="008819E9" w:rsidRDefault="002A268A" w:rsidP="000246F4">
            <w:pPr>
              <w:rPr>
                <w:rFonts w:eastAsia="Aptos" w:cs="Calibri"/>
              </w:rPr>
            </w:pPr>
            <w:r w:rsidRPr="00557B49">
              <w:rPr>
                <w:rFonts w:eastAsia="Aptos" w:cs="Calibri"/>
                <w:i/>
                <w:iCs/>
              </w:rPr>
              <w:t>Gas Safety Act 2000</w:t>
            </w:r>
            <w:r w:rsidR="00AA6D0B">
              <w:rPr>
                <w:rFonts w:eastAsia="Aptos" w:cs="Calibri"/>
              </w:rPr>
              <w:t xml:space="preserve"> (ACT)</w:t>
            </w:r>
          </w:p>
        </w:tc>
        <w:tc>
          <w:tcPr>
            <w:tcW w:w="5803" w:type="dxa"/>
            <w:tcBorders>
              <w:top w:val="nil"/>
              <w:bottom w:val="single" w:sz="4" w:space="0" w:color="auto"/>
            </w:tcBorders>
          </w:tcPr>
          <w:p w14:paraId="5992D647" w14:textId="77777777" w:rsidR="000019AE" w:rsidRDefault="000019AE" w:rsidP="000019AE">
            <w:pPr>
              <w:rPr>
                <w:rFonts w:eastAsia="Aptos" w:cs="Calibri"/>
              </w:rPr>
            </w:pPr>
            <w:r w:rsidRPr="00557B49">
              <w:rPr>
                <w:rFonts w:eastAsia="Aptos" w:cs="Calibri"/>
              </w:rPr>
              <w:t xml:space="preserve">This </w:t>
            </w:r>
            <w:r>
              <w:rPr>
                <w:rFonts w:eastAsia="Aptos" w:cs="Calibri"/>
              </w:rPr>
              <w:t xml:space="preserve">Act </w:t>
            </w:r>
            <w:r w:rsidRPr="00557B49">
              <w:rPr>
                <w:rFonts w:eastAsia="Aptos" w:cs="Calibri"/>
              </w:rPr>
              <w:t>establish</w:t>
            </w:r>
            <w:r>
              <w:rPr>
                <w:rFonts w:eastAsia="Aptos" w:cs="Calibri"/>
              </w:rPr>
              <w:t>es</w:t>
            </w:r>
            <w:r w:rsidRPr="00557B49">
              <w:rPr>
                <w:rFonts w:eastAsia="Aptos" w:cs="Calibri"/>
              </w:rPr>
              <w:t xml:space="preserve"> a regulatory system for the</w:t>
            </w:r>
            <w:r>
              <w:rPr>
                <w:rFonts w:eastAsia="Aptos" w:cs="Calibri"/>
              </w:rPr>
              <w:t xml:space="preserve"> </w:t>
            </w:r>
            <w:r w:rsidRPr="00557B49">
              <w:rPr>
                <w:rFonts w:eastAsia="Aptos" w:cs="Calibri"/>
              </w:rPr>
              <w:t xml:space="preserve">installation, operation, maintenance and repair of </w:t>
            </w:r>
            <w:r>
              <w:rPr>
                <w:rFonts w:eastAsia="Aptos" w:cs="Calibri"/>
              </w:rPr>
              <w:t xml:space="preserve">gas </w:t>
            </w:r>
            <w:r w:rsidRPr="00557B49">
              <w:rPr>
                <w:rFonts w:eastAsia="Aptos" w:cs="Calibri"/>
              </w:rPr>
              <w:t>consumer piping systems</w:t>
            </w:r>
            <w:r>
              <w:rPr>
                <w:rFonts w:eastAsia="Aptos" w:cs="Calibri"/>
              </w:rPr>
              <w:t xml:space="preserve"> after the network boundary.</w:t>
            </w:r>
          </w:p>
          <w:p w14:paraId="02B8A932" w14:textId="7133430C" w:rsidR="002A268A" w:rsidRPr="00E76927" w:rsidRDefault="000019AE" w:rsidP="000019AE">
            <w:pPr>
              <w:rPr>
                <w:rFonts w:eastAsia="Aptos" w:cs="Calibri"/>
              </w:rPr>
            </w:pPr>
            <w:r w:rsidRPr="00DA549E">
              <w:rPr>
                <w:rFonts w:eastAsia="Aptos" w:cs="Calibri"/>
              </w:rPr>
              <w:t xml:space="preserve">In this Act, gas means </w:t>
            </w:r>
            <w:r w:rsidRPr="00624C86">
              <w:rPr>
                <w:rFonts w:eastAsia="Aptos" w:cs="Calibri"/>
                <w:b/>
                <w:bCs/>
                <w:i/>
                <w:iCs/>
              </w:rPr>
              <w:t>natural gas</w:t>
            </w:r>
            <w:r>
              <w:rPr>
                <w:rFonts w:eastAsia="Aptos" w:cs="Calibri"/>
              </w:rPr>
              <w:t xml:space="preserve"> or </w:t>
            </w:r>
            <w:r w:rsidRPr="00DA549E">
              <w:rPr>
                <w:rFonts w:eastAsia="Aptos" w:cs="Calibri"/>
              </w:rPr>
              <w:t>liquefied petroleum gas (LPG).</w:t>
            </w:r>
          </w:p>
        </w:tc>
      </w:tr>
      <w:tr w:rsidR="00D25DFD" w:rsidRPr="00BA14E9" w14:paraId="0489ED82" w14:textId="77777777" w:rsidTr="008819E9">
        <w:trPr>
          <w:trHeight w:val="300"/>
        </w:trPr>
        <w:tc>
          <w:tcPr>
            <w:tcW w:w="0" w:type="auto"/>
            <w:tcBorders>
              <w:top w:val="single" w:sz="4" w:space="0" w:color="auto"/>
            </w:tcBorders>
            <w:hideMark/>
          </w:tcPr>
          <w:p w14:paraId="17BDCEA5" w14:textId="77777777" w:rsidR="00D25DFD" w:rsidRPr="00BA14E9" w:rsidRDefault="00D25DFD" w:rsidP="000246F4">
            <w:pPr>
              <w:spacing w:line="259" w:lineRule="auto"/>
              <w:rPr>
                <w:rFonts w:eastAsia="Aptos" w:cs="Calibri"/>
                <w:lang w:val="en-AU"/>
              </w:rPr>
            </w:pPr>
            <w:r w:rsidRPr="00BA14E9">
              <w:rPr>
                <w:rFonts w:eastAsia="Aptos" w:cs="Calibri"/>
                <w:lang w:val="en-AU"/>
              </w:rPr>
              <w:t>NSW </w:t>
            </w:r>
          </w:p>
        </w:tc>
        <w:tc>
          <w:tcPr>
            <w:tcW w:w="1806" w:type="dxa"/>
            <w:tcBorders>
              <w:top w:val="single" w:sz="4" w:space="0" w:color="auto"/>
            </w:tcBorders>
            <w:hideMark/>
          </w:tcPr>
          <w:p w14:paraId="4B361F15" w14:textId="186F3A0D" w:rsidR="00D25DFD" w:rsidRPr="00BA14E9" w:rsidRDefault="00D25DFD" w:rsidP="00430300">
            <w:pPr>
              <w:spacing w:line="259" w:lineRule="auto"/>
              <w:rPr>
                <w:rFonts w:eastAsia="Aptos" w:cs="Calibri"/>
                <w:lang w:val="en-AU"/>
              </w:rPr>
            </w:pPr>
            <w:r w:rsidRPr="00BA14E9">
              <w:rPr>
                <w:rFonts w:eastAsia="Aptos" w:cs="Calibri"/>
                <w:i/>
                <w:iCs/>
                <w:lang w:val="en-AU"/>
              </w:rPr>
              <w:t>Pipelines Act 1967</w:t>
            </w:r>
            <w:r w:rsidRPr="00BA14E9">
              <w:rPr>
                <w:rFonts w:eastAsia="Aptos" w:cs="Calibri"/>
                <w:lang w:val="en-AU"/>
              </w:rPr>
              <w:t> (NSW)</w:t>
            </w:r>
          </w:p>
        </w:tc>
        <w:tc>
          <w:tcPr>
            <w:tcW w:w="5803" w:type="dxa"/>
            <w:tcBorders>
              <w:top w:val="single" w:sz="4" w:space="0" w:color="auto"/>
            </w:tcBorders>
            <w:hideMark/>
          </w:tcPr>
          <w:p w14:paraId="2AF7EE9E" w14:textId="01BBE482" w:rsidR="00D25DFD" w:rsidRPr="00F634FE" w:rsidRDefault="00D25DFD" w:rsidP="606C9B12">
            <w:pPr>
              <w:spacing w:line="259" w:lineRule="auto"/>
              <w:rPr>
                <w:rFonts w:eastAsia="Aptos" w:cs="Calibri"/>
                <w:lang w:val="en-AU"/>
              </w:rPr>
            </w:pPr>
            <w:r w:rsidRPr="00BA14E9">
              <w:rPr>
                <w:rFonts w:eastAsia="Aptos" w:cs="Calibri"/>
                <w:lang w:val="en-AU"/>
              </w:rPr>
              <w:t>The Act will apply to pipelines conveying hydrogen</w:t>
            </w:r>
            <w:r w:rsidR="00430300" w:rsidRPr="00BA14E9">
              <w:rPr>
                <w:rFonts w:eastAsia="Aptos" w:cs="Calibri"/>
                <w:lang w:val="en-AU"/>
              </w:rPr>
              <w:t xml:space="preserve"> and certain hydrogen blends</w:t>
            </w:r>
            <w:r w:rsidRPr="00BA14E9">
              <w:rPr>
                <w:rFonts w:eastAsia="Aptos" w:cs="Calibri"/>
                <w:lang w:val="en-AU"/>
              </w:rPr>
              <w:t>. </w:t>
            </w:r>
          </w:p>
        </w:tc>
      </w:tr>
      <w:tr w:rsidR="00D25DFD" w:rsidRPr="00BA14E9" w14:paraId="7D8644D1" w14:textId="77777777" w:rsidTr="008819E9">
        <w:trPr>
          <w:trHeight w:val="300"/>
        </w:trPr>
        <w:tc>
          <w:tcPr>
            <w:tcW w:w="0" w:type="auto"/>
            <w:hideMark/>
          </w:tcPr>
          <w:p w14:paraId="3A6939FE" w14:textId="77777777" w:rsidR="00D25DFD" w:rsidRPr="00BA14E9" w:rsidRDefault="00D25DFD" w:rsidP="000246F4">
            <w:pPr>
              <w:spacing w:line="259" w:lineRule="auto"/>
              <w:rPr>
                <w:rFonts w:eastAsia="Aptos" w:cs="Calibri"/>
                <w:lang w:val="en-AU"/>
              </w:rPr>
            </w:pPr>
            <w:r w:rsidRPr="00BA14E9">
              <w:rPr>
                <w:rFonts w:eastAsia="Aptos" w:cs="Calibri"/>
                <w:lang w:val="en-AU"/>
              </w:rPr>
              <w:t>NT </w:t>
            </w:r>
          </w:p>
        </w:tc>
        <w:tc>
          <w:tcPr>
            <w:tcW w:w="1806" w:type="dxa"/>
            <w:hideMark/>
          </w:tcPr>
          <w:p w14:paraId="79DF8CDF" w14:textId="7D5C3EF4" w:rsidR="00D25DFD" w:rsidRPr="00BA14E9" w:rsidRDefault="00D25DFD" w:rsidP="000246F4">
            <w:pPr>
              <w:spacing w:line="259" w:lineRule="auto"/>
              <w:rPr>
                <w:rFonts w:eastAsia="Aptos" w:cs="Calibri"/>
                <w:lang w:val="en-AU"/>
              </w:rPr>
            </w:pPr>
            <w:r w:rsidRPr="00BA14E9">
              <w:rPr>
                <w:rFonts w:eastAsia="Aptos" w:cs="Calibri"/>
                <w:i/>
                <w:iCs/>
                <w:lang w:val="en-AU"/>
              </w:rPr>
              <w:t>Energy Pipelines Act (1981)</w:t>
            </w:r>
            <w:r w:rsidRPr="00BA14E9">
              <w:rPr>
                <w:rFonts w:eastAsia="Aptos" w:cs="Calibri"/>
                <w:lang w:val="en-AU"/>
              </w:rPr>
              <w:t> </w:t>
            </w:r>
            <w:r w:rsidR="00693B6D">
              <w:rPr>
                <w:rFonts w:eastAsia="Aptos" w:cs="Calibri"/>
                <w:lang w:val="en-AU"/>
              </w:rPr>
              <w:t>(</w:t>
            </w:r>
            <w:r w:rsidRPr="00BA14E9">
              <w:rPr>
                <w:rFonts w:eastAsia="Aptos" w:cs="Calibri"/>
                <w:lang w:val="en-AU"/>
              </w:rPr>
              <w:t>NT</w:t>
            </w:r>
            <w:r w:rsidR="00693B6D">
              <w:rPr>
                <w:rFonts w:eastAsia="Aptos" w:cs="Calibri"/>
                <w:lang w:val="en-AU"/>
              </w:rPr>
              <w:t>)</w:t>
            </w:r>
          </w:p>
          <w:p w14:paraId="102C4964"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tc>
        <w:tc>
          <w:tcPr>
            <w:tcW w:w="5803" w:type="dxa"/>
            <w:hideMark/>
          </w:tcPr>
          <w:p w14:paraId="5C3878FC" w14:textId="270A9D27" w:rsidR="00D25DFD" w:rsidRPr="00BA14E9" w:rsidRDefault="00430300" w:rsidP="005B58FD">
            <w:pPr>
              <w:spacing w:line="259" w:lineRule="auto"/>
              <w:rPr>
                <w:rFonts w:eastAsia="Aptos" w:cs="Calibri"/>
                <w:lang w:val="en-AU"/>
              </w:rPr>
            </w:pPr>
            <w:r w:rsidRPr="00BA14E9">
              <w:rPr>
                <w:rFonts w:eastAsia="Aptos" w:cs="Calibri"/>
                <w:lang w:val="en-AU"/>
              </w:rPr>
              <w:t xml:space="preserve">The Act applies to </w:t>
            </w:r>
            <w:r w:rsidR="00D25DFD" w:rsidRPr="00BA14E9">
              <w:rPr>
                <w:rFonts w:eastAsia="Aptos" w:cs="Calibri"/>
                <w:lang w:val="en-AU"/>
              </w:rPr>
              <w:t xml:space="preserve">'Energy-producing </w:t>
            </w:r>
            <w:proofErr w:type="gramStart"/>
            <w:r w:rsidR="00D25DFD" w:rsidRPr="00BA14E9">
              <w:rPr>
                <w:rFonts w:eastAsia="Aptos" w:cs="Calibri"/>
                <w:lang w:val="en-AU"/>
              </w:rPr>
              <w:t>hydro-carbons</w:t>
            </w:r>
            <w:proofErr w:type="gramEnd"/>
            <w:r w:rsidR="00D25DFD" w:rsidRPr="00BA14E9">
              <w:rPr>
                <w:rFonts w:eastAsia="Aptos" w:cs="Calibri"/>
                <w:lang w:val="en-AU"/>
              </w:rPr>
              <w:t>' </w:t>
            </w:r>
            <w:r w:rsidRPr="00BA14E9">
              <w:rPr>
                <w:rFonts w:eastAsia="Aptos" w:cs="Calibri"/>
                <w:lang w:val="en-AU"/>
              </w:rPr>
              <w:t>and will only regulate certain hydrogen blends, but not pure hydrogen.</w:t>
            </w:r>
          </w:p>
        </w:tc>
      </w:tr>
      <w:tr w:rsidR="00D25DFD" w:rsidRPr="00BA14E9" w14:paraId="61932B7F" w14:textId="77777777" w:rsidTr="008819E9">
        <w:trPr>
          <w:trHeight w:val="300"/>
        </w:trPr>
        <w:tc>
          <w:tcPr>
            <w:tcW w:w="0" w:type="auto"/>
            <w:hideMark/>
          </w:tcPr>
          <w:p w14:paraId="230B0DFF" w14:textId="77777777" w:rsidR="00D25DFD" w:rsidRPr="00BA14E9" w:rsidRDefault="00D25DFD" w:rsidP="000246F4">
            <w:pPr>
              <w:spacing w:line="259" w:lineRule="auto"/>
              <w:rPr>
                <w:rFonts w:eastAsia="Aptos" w:cs="Calibri"/>
                <w:lang w:val="en-AU"/>
              </w:rPr>
            </w:pPr>
            <w:r w:rsidRPr="00BA14E9">
              <w:rPr>
                <w:rFonts w:eastAsia="Aptos" w:cs="Calibri"/>
                <w:lang w:val="en-AU"/>
              </w:rPr>
              <w:t>QLD </w:t>
            </w:r>
          </w:p>
        </w:tc>
        <w:tc>
          <w:tcPr>
            <w:tcW w:w="1806" w:type="dxa"/>
            <w:hideMark/>
          </w:tcPr>
          <w:p w14:paraId="0A16AD11" w14:textId="53B1BB2A" w:rsidR="00D25DFD" w:rsidRPr="00BA14E9" w:rsidRDefault="00D25DFD" w:rsidP="000246F4">
            <w:pPr>
              <w:spacing w:line="259" w:lineRule="auto"/>
              <w:rPr>
                <w:rFonts w:eastAsia="Aptos" w:cs="Calibri"/>
                <w:lang w:val="en-AU"/>
              </w:rPr>
            </w:pPr>
            <w:r w:rsidRPr="00BA14E9">
              <w:rPr>
                <w:rFonts w:eastAsia="Aptos" w:cs="Calibri"/>
                <w:i/>
                <w:iCs/>
                <w:lang w:val="en-AU"/>
              </w:rPr>
              <w:t>Petroleum and Gas (Production and Safety) Act 2004 </w:t>
            </w:r>
            <w:r w:rsidRPr="00BA14E9">
              <w:rPr>
                <w:rFonts w:eastAsia="Aptos" w:cs="Calibri"/>
                <w:lang w:val="en-AU"/>
              </w:rPr>
              <w:t>(P&amp;G Act)</w:t>
            </w:r>
            <w:r w:rsidR="00693B6D">
              <w:rPr>
                <w:rFonts w:eastAsia="Aptos" w:cs="Calibri"/>
                <w:lang w:val="en-AU"/>
              </w:rPr>
              <w:t xml:space="preserve"> (Qld)</w:t>
            </w:r>
          </w:p>
        </w:tc>
        <w:tc>
          <w:tcPr>
            <w:tcW w:w="5803" w:type="dxa"/>
            <w:hideMark/>
          </w:tcPr>
          <w:p w14:paraId="5DFA2CBD" w14:textId="5057F324" w:rsidR="00D25DFD" w:rsidRPr="00BA14E9" w:rsidRDefault="00D25DFD" w:rsidP="00430300">
            <w:pPr>
              <w:spacing w:line="259" w:lineRule="auto"/>
              <w:rPr>
                <w:rFonts w:eastAsia="Aptos" w:cs="Calibri"/>
                <w:lang w:val="en-AU"/>
              </w:rPr>
            </w:pPr>
            <w:r w:rsidRPr="00BA14E9">
              <w:rPr>
                <w:rFonts w:eastAsia="Aptos" w:cs="Calibri"/>
                <w:lang w:val="en-AU"/>
              </w:rPr>
              <w:t>Both hydrogen and hydrogen gas blends are captured as "fuel gas"</w:t>
            </w:r>
            <w:r w:rsidR="00203537">
              <w:rPr>
                <w:rFonts w:eastAsia="Aptos" w:cs="Calibri"/>
                <w:lang w:val="en-AU"/>
              </w:rPr>
              <w:t>. “R</w:t>
            </w:r>
            <w:r w:rsidR="00C84A16">
              <w:rPr>
                <w:rFonts w:eastAsia="Aptos" w:cs="Calibri"/>
                <w:lang w:val="en-AU"/>
              </w:rPr>
              <w:t>egulated hydrogen”</w:t>
            </w:r>
            <w:r w:rsidR="005A65D6">
              <w:rPr>
                <w:rFonts w:eastAsia="Aptos" w:cs="Calibri"/>
                <w:lang w:val="en-AU"/>
              </w:rPr>
              <w:t xml:space="preserve"> includes </w:t>
            </w:r>
            <w:r w:rsidR="00F20512">
              <w:rPr>
                <w:rFonts w:eastAsia="Aptos" w:cs="Calibri"/>
                <w:lang w:val="en-AU"/>
              </w:rPr>
              <w:t>ammonia, dimethyl-ether, methanol, methyl-cyclohexane (MCH) and toluene</w:t>
            </w:r>
            <w:r w:rsidR="00430300" w:rsidRPr="00BA14E9">
              <w:rPr>
                <w:rFonts w:eastAsia="Aptos" w:cs="Calibri"/>
                <w:lang w:val="en-AU"/>
              </w:rPr>
              <w:t>.</w:t>
            </w:r>
          </w:p>
        </w:tc>
      </w:tr>
      <w:tr w:rsidR="00D25DFD" w:rsidRPr="00BA14E9" w14:paraId="5C1FF3E5" w14:textId="77777777" w:rsidTr="008819E9">
        <w:trPr>
          <w:trHeight w:val="300"/>
        </w:trPr>
        <w:tc>
          <w:tcPr>
            <w:tcW w:w="0" w:type="auto"/>
            <w:hideMark/>
          </w:tcPr>
          <w:p w14:paraId="65F882FF" w14:textId="77777777" w:rsidR="00D25DFD" w:rsidRPr="00BA14E9" w:rsidRDefault="00D25DFD" w:rsidP="000246F4">
            <w:pPr>
              <w:spacing w:line="259" w:lineRule="auto"/>
              <w:rPr>
                <w:rFonts w:eastAsia="Aptos" w:cs="Calibri"/>
                <w:lang w:val="en-AU"/>
              </w:rPr>
            </w:pPr>
            <w:r w:rsidRPr="00BA14E9">
              <w:rPr>
                <w:rFonts w:eastAsia="Aptos" w:cs="Calibri"/>
                <w:lang w:val="en-AU"/>
              </w:rPr>
              <w:t>SA </w:t>
            </w:r>
          </w:p>
        </w:tc>
        <w:tc>
          <w:tcPr>
            <w:tcW w:w="1806" w:type="dxa"/>
            <w:hideMark/>
          </w:tcPr>
          <w:p w14:paraId="4D1D44E7" w14:textId="1228B1A5" w:rsidR="00D25DFD" w:rsidRPr="00BA14E9" w:rsidRDefault="003316ED" w:rsidP="00E40E03">
            <w:pPr>
              <w:spacing w:line="259" w:lineRule="auto"/>
              <w:rPr>
                <w:rFonts w:eastAsia="Aptos" w:cs="Calibri"/>
                <w:lang w:val="en-AU"/>
              </w:rPr>
            </w:pPr>
            <w:r w:rsidRPr="00BA14E9">
              <w:rPr>
                <w:rFonts w:eastAsia="Aptos" w:cs="Calibri"/>
                <w:i/>
                <w:iCs/>
                <w:lang w:val="en-AU"/>
              </w:rPr>
              <w:t>Energy Resources</w:t>
            </w:r>
            <w:r w:rsidR="00D25DFD" w:rsidRPr="00BA14E9">
              <w:rPr>
                <w:rFonts w:eastAsia="Aptos" w:cs="Calibri"/>
                <w:i/>
                <w:iCs/>
                <w:lang w:val="en-AU"/>
              </w:rPr>
              <w:t xml:space="preserve"> Act 2000</w:t>
            </w:r>
            <w:r w:rsidR="00D25DFD" w:rsidRPr="00BA14E9">
              <w:rPr>
                <w:rFonts w:eastAsia="Aptos" w:cs="Calibri"/>
                <w:lang w:val="en-AU"/>
              </w:rPr>
              <w:t> (SA)</w:t>
            </w:r>
          </w:p>
        </w:tc>
        <w:tc>
          <w:tcPr>
            <w:tcW w:w="5803" w:type="dxa"/>
            <w:hideMark/>
          </w:tcPr>
          <w:p w14:paraId="66DED7CB" w14:textId="7CD535C1" w:rsidR="00D25DFD" w:rsidRPr="00BA14E9" w:rsidRDefault="003316ED" w:rsidP="000246F4">
            <w:pPr>
              <w:spacing w:line="259" w:lineRule="auto"/>
              <w:rPr>
                <w:rFonts w:eastAsia="Aptos" w:cs="Calibri"/>
                <w:lang w:val="en-AU"/>
              </w:rPr>
            </w:pPr>
            <w:r w:rsidRPr="00BA14E9">
              <w:rPr>
                <w:rFonts w:eastAsia="Aptos" w:cs="Calibri"/>
                <w:lang w:val="en-AU"/>
              </w:rPr>
              <w:t>The Act will apply to pipelines conveying hydrogen and certain hydrogen blends. </w:t>
            </w:r>
          </w:p>
          <w:p w14:paraId="03CFF613" w14:textId="77777777" w:rsidR="00D25DFD" w:rsidRPr="00BA14E9" w:rsidRDefault="00D25DFD" w:rsidP="000246F4">
            <w:pPr>
              <w:spacing w:line="259" w:lineRule="auto"/>
              <w:rPr>
                <w:rFonts w:eastAsia="Aptos" w:cs="Calibri"/>
                <w:lang w:val="en-AU"/>
              </w:rPr>
            </w:pPr>
          </w:p>
        </w:tc>
      </w:tr>
      <w:tr w:rsidR="00D25DFD" w:rsidRPr="00BA14E9" w14:paraId="2875B602" w14:textId="77777777" w:rsidTr="008819E9">
        <w:trPr>
          <w:trHeight w:val="300"/>
        </w:trPr>
        <w:tc>
          <w:tcPr>
            <w:tcW w:w="0" w:type="auto"/>
            <w:hideMark/>
          </w:tcPr>
          <w:p w14:paraId="50DC6C7C" w14:textId="77777777" w:rsidR="00D25DFD" w:rsidRPr="00BA14E9" w:rsidRDefault="00D25DFD" w:rsidP="000246F4">
            <w:pPr>
              <w:spacing w:line="259" w:lineRule="auto"/>
              <w:rPr>
                <w:rFonts w:eastAsia="Aptos" w:cs="Calibri"/>
                <w:lang w:val="en-AU"/>
              </w:rPr>
            </w:pPr>
            <w:r w:rsidRPr="00BA14E9">
              <w:rPr>
                <w:rFonts w:eastAsia="Aptos" w:cs="Calibri"/>
                <w:lang w:val="en-AU"/>
              </w:rPr>
              <w:t>TAS </w:t>
            </w:r>
          </w:p>
        </w:tc>
        <w:tc>
          <w:tcPr>
            <w:tcW w:w="1806" w:type="dxa"/>
            <w:hideMark/>
          </w:tcPr>
          <w:p w14:paraId="139E214C" w14:textId="075121A1" w:rsidR="00D25DFD" w:rsidRPr="00BA14E9" w:rsidRDefault="00D25DFD" w:rsidP="00E40E03">
            <w:pPr>
              <w:spacing w:line="259" w:lineRule="auto"/>
              <w:rPr>
                <w:rFonts w:eastAsia="Aptos" w:cs="Calibri"/>
                <w:lang w:val="en-AU"/>
              </w:rPr>
            </w:pPr>
            <w:r w:rsidRPr="00BA14E9">
              <w:rPr>
                <w:rFonts w:eastAsia="Aptos" w:cs="Calibri"/>
                <w:i/>
                <w:iCs/>
                <w:lang w:val="en-AU"/>
              </w:rPr>
              <w:t xml:space="preserve">Gas </w:t>
            </w:r>
            <w:r w:rsidR="001E5A9C">
              <w:rPr>
                <w:rFonts w:eastAsia="Aptos" w:cs="Calibri"/>
                <w:i/>
                <w:iCs/>
                <w:lang w:val="en-AU"/>
              </w:rPr>
              <w:t>Industry</w:t>
            </w:r>
            <w:r w:rsidR="001E5A9C" w:rsidRPr="00BA14E9">
              <w:rPr>
                <w:rFonts w:eastAsia="Aptos" w:cs="Calibri"/>
                <w:i/>
                <w:iCs/>
                <w:lang w:val="en-AU"/>
              </w:rPr>
              <w:t xml:space="preserve"> </w:t>
            </w:r>
            <w:r w:rsidRPr="00BA14E9">
              <w:rPr>
                <w:rFonts w:eastAsia="Aptos" w:cs="Calibri"/>
                <w:i/>
                <w:iCs/>
                <w:lang w:val="en-AU"/>
              </w:rPr>
              <w:t xml:space="preserve">Act 2019 </w:t>
            </w:r>
            <w:r w:rsidRPr="00BA14E9">
              <w:rPr>
                <w:rFonts w:eastAsia="Aptos" w:cs="Calibri"/>
                <w:lang w:val="en-AU"/>
              </w:rPr>
              <w:t>(T</w:t>
            </w:r>
            <w:r w:rsidR="00EE476A">
              <w:rPr>
                <w:rFonts w:eastAsia="Aptos" w:cs="Calibri"/>
                <w:lang w:val="en-AU"/>
              </w:rPr>
              <w:t>as</w:t>
            </w:r>
            <w:r w:rsidRPr="00BA14E9">
              <w:rPr>
                <w:rFonts w:eastAsia="Aptos" w:cs="Calibri"/>
                <w:lang w:val="en-AU"/>
              </w:rPr>
              <w:t>) </w:t>
            </w:r>
          </w:p>
        </w:tc>
        <w:tc>
          <w:tcPr>
            <w:tcW w:w="5803" w:type="dxa"/>
            <w:hideMark/>
          </w:tcPr>
          <w:p w14:paraId="0DC3B7FA" w14:textId="62604D01" w:rsidR="00D25DFD" w:rsidRPr="00BA14E9" w:rsidRDefault="00151A54" w:rsidP="606C9B12">
            <w:pPr>
              <w:rPr>
                <w:rFonts w:eastAsia="Aptos" w:cs="Calibri"/>
                <w:lang w:val="en-AU"/>
              </w:rPr>
            </w:pPr>
            <w:r>
              <w:rPr>
                <w:lang w:val="en-AU"/>
              </w:rPr>
              <w:t xml:space="preserve">The Gas Industry Regulations 2024 declares hydrogen </w:t>
            </w:r>
            <w:r>
              <w:t>to</w:t>
            </w:r>
            <w:r>
              <w:rPr>
                <w:lang w:val="en-AU"/>
              </w:rPr>
              <w:t xml:space="preserve"> be a gas for the purposes of the Act.</w:t>
            </w:r>
          </w:p>
        </w:tc>
      </w:tr>
      <w:tr w:rsidR="00D25DFD" w:rsidRPr="00BA14E9" w14:paraId="5AAD9D7B" w14:textId="77777777" w:rsidTr="008819E9">
        <w:trPr>
          <w:trHeight w:val="300"/>
        </w:trPr>
        <w:tc>
          <w:tcPr>
            <w:tcW w:w="0" w:type="auto"/>
            <w:hideMark/>
          </w:tcPr>
          <w:p w14:paraId="46D44072" w14:textId="218E277D" w:rsidR="00D25DFD" w:rsidRPr="00BA14E9" w:rsidRDefault="00D25DFD" w:rsidP="000246F4">
            <w:pPr>
              <w:spacing w:line="259" w:lineRule="auto"/>
              <w:rPr>
                <w:rFonts w:eastAsia="Aptos" w:cs="Calibri"/>
                <w:lang w:val="en-AU"/>
              </w:rPr>
            </w:pPr>
            <w:r w:rsidRPr="00BA14E9">
              <w:rPr>
                <w:rFonts w:eastAsia="Aptos" w:cs="Calibri"/>
                <w:lang w:val="en-AU"/>
              </w:rPr>
              <w:lastRenderedPageBreak/>
              <w:t>VIC </w:t>
            </w:r>
          </w:p>
        </w:tc>
        <w:tc>
          <w:tcPr>
            <w:tcW w:w="1806" w:type="dxa"/>
            <w:hideMark/>
          </w:tcPr>
          <w:p w14:paraId="569F7872" w14:textId="77777777" w:rsidR="00B64F9D" w:rsidRPr="00BA14E9" w:rsidRDefault="00B64F9D" w:rsidP="00B64F9D">
            <w:pPr>
              <w:rPr>
                <w:rFonts w:eastAsia="Times New Roman" w:cs="Calibri"/>
                <w:color w:val="000000"/>
                <w:szCs w:val="24"/>
                <w:lang w:val="en-AU" w:eastAsia="en-AU"/>
              </w:rPr>
            </w:pPr>
            <w:r w:rsidRPr="00BA14E9">
              <w:rPr>
                <w:rFonts w:eastAsia="Times New Roman" w:cs="Calibri"/>
                <w:i/>
                <w:iCs/>
                <w:color w:val="000000"/>
                <w:szCs w:val="24"/>
                <w:lang w:val="en-AU" w:eastAsia="en-AU"/>
              </w:rPr>
              <w:t>Pipelines Act 2005</w:t>
            </w:r>
            <w:r w:rsidRPr="00BA14E9">
              <w:rPr>
                <w:rFonts w:eastAsia="Times New Roman" w:cs="Calibri"/>
                <w:color w:val="000000"/>
                <w:szCs w:val="24"/>
                <w:lang w:val="en-AU" w:eastAsia="en-AU"/>
              </w:rPr>
              <w:t xml:space="preserve"> (Vic)</w:t>
            </w:r>
          </w:p>
          <w:p w14:paraId="5FDF94A3" w14:textId="77777777" w:rsidR="00B64F9D" w:rsidRPr="00BA14E9" w:rsidRDefault="00B64F9D" w:rsidP="000246F4">
            <w:pPr>
              <w:spacing w:line="259" w:lineRule="auto"/>
              <w:rPr>
                <w:rFonts w:eastAsia="Aptos" w:cs="Calibri"/>
                <w:i/>
                <w:iCs/>
                <w:lang w:val="en-AU"/>
              </w:rPr>
            </w:pPr>
          </w:p>
          <w:p w14:paraId="43716411" w14:textId="77777777" w:rsidR="00B64F9D" w:rsidRPr="00BA14E9" w:rsidRDefault="00B64F9D" w:rsidP="000246F4">
            <w:pPr>
              <w:spacing w:line="259" w:lineRule="auto"/>
              <w:rPr>
                <w:rFonts w:eastAsia="Aptos" w:cs="Calibri"/>
                <w:i/>
                <w:iCs/>
                <w:lang w:val="en-AU"/>
              </w:rPr>
            </w:pPr>
          </w:p>
          <w:p w14:paraId="2D35AB07" w14:textId="77777777" w:rsidR="001505F0" w:rsidRPr="00BA14E9" w:rsidRDefault="001505F0" w:rsidP="000246F4">
            <w:pPr>
              <w:spacing w:line="259" w:lineRule="auto"/>
              <w:rPr>
                <w:rFonts w:eastAsia="Aptos" w:cs="Calibri"/>
                <w:i/>
                <w:iCs/>
                <w:lang w:val="en-AU"/>
              </w:rPr>
            </w:pPr>
          </w:p>
          <w:p w14:paraId="57B92776" w14:textId="1F560E5A" w:rsidR="00D25DFD" w:rsidRPr="00BA14E9" w:rsidRDefault="00D25DFD" w:rsidP="000246F4">
            <w:pPr>
              <w:spacing w:line="259" w:lineRule="auto"/>
              <w:rPr>
                <w:rFonts w:eastAsia="Aptos" w:cs="Calibri"/>
                <w:lang w:val="en-AU"/>
              </w:rPr>
            </w:pPr>
            <w:r w:rsidRPr="00BA14E9">
              <w:rPr>
                <w:rFonts w:eastAsia="Aptos" w:cs="Calibri"/>
                <w:i/>
                <w:iCs/>
                <w:lang w:val="en-AU"/>
              </w:rPr>
              <w:t>Gas Industry Act 2001</w:t>
            </w:r>
            <w:r w:rsidRPr="00BA14E9">
              <w:rPr>
                <w:rFonts w:eastAsia="Aptos" w:cs="Calibri"/>
                <w:lang w:val="en-AU"/>
              </w:rPr>
              <w:t> (Vic) </w:t>
            </w:r>
          </w:p>
          <w:p w14:paraId="0EF0B5BC"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140189F7" w14:textId="77777777" w:rsidR="00342EF5" w:rsidRPr="00BA14E9" w:rsidRDefault="00342EF5" w:rsidP="000246F4">
            <w:pPr>
              <w:spacing w:line="259" w:lineRule="auto"/>
              <w:rPr>
                <w:rFonts w:eastAsia="Aptos" w:cs="Calibri"/>
                <w:lang w:val="en-AU"/>
              </w:rPr>
            </w:pPr>
          </w:p>
          <w:p w14:paraId="6A23C062" w14:textId="77777777" w:rsidR="00342EF5" w:rsidRPr="00BA14E9" w:rsidRDefault="00342EF5" w:rsidP="000246F4">
            <w:pPr>
              <w:spacing w:line="259" w:lineRule="auto"/>
              <w:rPr>
                <w:rFonts w:eastAsia="Aptos" w:cs="Calibri"/>
                <w:lang w:val="en-AU"/>
              </w:rPr>
            </w:pPr>
          </w:p>
          <w:p w14:paraId="25B108F4" w14:textId="06CB8136" w:rsidR="00D25DFD" w:rsidRPr="00BA14E9" w:rsidRDefault="00D25DFD" w:rsidP="00E7654D">
            <w:pPr>
              <w:spacing w:line="259" w:lineRule="auto"/>
              <w:rPr>
                <w:rFonts w:eastAsia="Aptos" w:cs="Calibri"/>
                <w:lang w:val="en-AU"/>
              </w:rPr>
            </w:pPr>
            <w:r w:rsidRPr="00BA14E9">
              <w:rPr>
                <w:rFonts w:eastAsia="Aptos" w:cs="Calibri"/>
                <w:i/>
                <w:iCs/>
                <w:lang w:val="en-AU"/>
              </w:rPr>
              <w:t>Gas Safety Act 1997</w:t>
            </w:r>
            <w:r w:rsidRPr="00BA14E9">
              <w:rPr>
                <w:rFonts w:eastAsia="Aptos" w:cs="Calibri"/>
                <w:lang w:val="en-AU"/>
              </w:rPr>
              <w:t> (Vic) </w:t>
            </w:r>
          </w:p>
        </w:tc>
        <w:tc>
          <w:tcPr>
            <w:tcW w:w="5803" w:type="dxa"/>
            <w:hideMark/>
          </w:tcPr>
          <w:p w14:paraId="26D35C52" w14:textId="31168F64" w:rsidR="00B64F9D" w:rsidRPr="00BA14E9" w:rsidRDefault="001505F0" w:rsidP="000246F4">
            <w:pPr>
              <w:spacing w:line="259" w:lineRule="auto"/>
              <w:rPr>
                <w:rFonts w:eastAsia="Aptos" w:cs="Calibri"/>
                <w:lang w:val="en-AU"/>
              </w:rPr>
            </w:pPr>
            <w:r w:rsidRPr="00BA14E9">
              <w:rPr>
                <w:rFonts w:eastAsia="Times New Roman" w:cs="Calibri"/>
                <w:color w:val="000000"/>
                <w:szCs w:val="24"/>
                <w:lang w:val="en-AU" w:eastAsia="en-AU"/>
              </w:rPr>
              <w:t>The </w:t>
            </w:r>
            <w:r w:rsidRPr="00BA14E9">
              <w:rPr>
                <w:rFonts w:eastAsia="Times New Roman" w:cs="Calibri"/>
                <w:i/>
                <w:iCs/>
                <w:color w:val="000000"/>
                <w:szCs w:val="24"/>
                <w:lang w:val="en-AU" w:eastAsia="en-AU"/>
              </w:rPr>
              <w:t>Pipelines Act 2005</w:t>
            </w:r>
            <w:r w:rsidR="00622E5D">
              <w:rPr>
                <w:rFonts w:eastAsia="Times New Roman" w:cs="Calibri"/>
                <w:i/>
                <w:iCs/>
                <w:color w:val="000000"/>
                <w:szCs w:val="24"/>
                <w:lang w:val="en-AU" w:eastAsia="en-AU"/>
              </w:rPr>
              <w:t xml:space="preserve"> </w:t>
            </w:r>
            <w:r w:rsidR="00622E5D">
              <w:rPr>
                <w:rFonts w:eastAsia="Times New Roman" w:cs="Calibri"/>
                <w:color w:val="000000"/>
                <w:szCs w:val="24"/>
                <w:lang w:val="en-AU" w:eastAsia="en-AU"/>
              </w:rPr>
              <w:t>(Vic)</w:t>
            </w:r>
            <w:r w:rsidRPr="00BA14E9">
              <w:rPr>
                <w:rFonts w:eastAsia="Times New Roman" w:cs="Calibri"/>
                <w:color w:val="000000"/>
                <w:szCs w:val="24"/>
                <w:lang w:val="en-AU" w:eastAsia="en-AU"/>
              </w:rPr>
              <w:t> is the primary Act governing the construction and operation of pipelines carrying liquid and gaseous fuels and other industrial products at high pressure in Victoria.</w:t>
            </w:r>
          </w:p>
          <w:p w14:paraId="57D5468E" w14:textId="77777777" w:rsidR="00B64F9D" w:rsidRPr="00BA14E9" w:rsidRDefault="00B64F9D" w:rsidP="000246F4">
            <w:pPr>
              <w:spacing w:line="259" w:lineRule="auto"/>
              <w:rPr>
                <w:rFonts w:eastAsia="Aptos" w:cs="Calibri"/>
                <w:lang w:val="en-AU"/>
              </w:rPr>
            </w:pPr>
          </w:p>
          <w:p w14:paraId="74A5C850" w14:textId="1296F4A3" w:rsidR="00D25DFD" w:rsidRPr="00BA14E9" w:rsidRDefault="00342EF5" w:rsidP="00342EF5">
            <w:pPr>
              <w:rPr>
                <w:rFonts w:eastAsia="Aptos" w:cs="Calibri"/>
                <w:lang w:val="en-AU"/>
              </w:rPr>
            </w:pPr>
            <w:r w:rsidRPr="00BA14E9">
              <w:rPr>
                <w:rFonts w:cs="Calibri"/>
                <w:szCs w:val="24"/>
                <w:lang w:val="en-AU"/>
              </w:rPr>
              <w:t xml:space="preserve">The </w:t>
            </w:r>
            <w:r w:rsidRPr="00BA14E9">
              <w:rPr>
                <w:rFonts w:cs="Calibri"/>
                <w:i/>
                <w:iCs/>
                <w:szCs w:val="24"/>
                <w:lang w:val="en-AU"/>
              </w:rPr>
              <w:t>Gas Industry Act 2001</w:t>
            </w:r>
            <w:r w:rsidRPr="00BA14E9">
              <w:rPr>
                <w:rFonts w:cs="Calibri"/>
                <w:szCs w:val="24"/>
                <w:lang w:val="en-AU"/>
              </w:rPr>
              <w:t xml:space="preserve"> (Vic) regulates the operation of pipelines for the distribution of "gas," which includes hydrogen unless explicitly excluded. </w:t>
            </w:r>
            <w:r w:rsidR="00E7654D" w:rsidRPr="00BA14E9">
              <w:rPr>
                <w:rFonts w:eastAsia="Aptos" w:cs="Calibri"/>
                <w:lang w:val="en-AU"/>
              </w:rPr>
              <w:t>The Act applies to hydrogen and hydrogen blends.</w:t>
            </w:r>
          </w:p>
          <w:p w14:paraId="3AE3FBD8" w14:textId="77777777" w:rsidR="00D25DFD" w:rsidRPr="00BA14E9" w:rsidRDefault="00D25DFD" w:rsidP="000246F4">
            <w:pPr>
              <w:spacing w:line="259" w:lineRule="auto"/>
              <w:rPr>
                <w:rFonts w:eastAsia="Aptos" w:cs="Calibri"/>
                <w:lang w:val="en-AU"/>
              </w:rPr>
            </w:pPr>
          </w:p>
          <w:p w14:paraId="17029F80" w14:textId="01C9A9F9" w:rsidR="0045379F" w:rsidRPr="00BA14E9" w:rsidRDefault="0045379F" w:rsidP="0045379F">
            <w:pPr>
              <w:rPr>
                <w:rFonts w:eastAsia="Aptos" w:cs="Calibri"/>
                <w:lang w:val="en-AU"/>
              </w:rPr>
            </w:pPr>
            <w:r w:rsidRPr="00BA14E9">
              <w:rPr>
                <w:rFonts w:cs="Calibri"/>
                <w:szCs w:val="24"/>
                <w:lang w:val="en-AU"/>
              </w:rPr>
              <w:t xml:space="preserve">The </w:t>
            </w:r>
            <w:r w:rsidRPr="00BA14E9">
              <w:rPr>
                <w:rFonts w:cs="Calibri"/>
                <w:i/>
                <w:iCs/>
                <w:szCs w:val="24"/>
                <w:lang w:val="en-AU"/>
              </w:rPr>
              <w:t>Gas Safety Act 1997</w:t>
            </w:r>
            <w:r w:rsidRPr="00BA14E9">
              <w:rPr>
                <w:rFonts w:cs="Calibri"/>
                <w:szCs w:val="24"/>
                <w:lang w:val="en-AU"/>
              </w:rPr>
              <w:t xml:space="preserve"> (Vic) establishes a framework for the safe operation, conveyance, and management of gas 'facilities', which will include transmission and distribution pipelines, and 'gas installations', which would capture pipes downstream of gas supply points. </w:t>
            </w:r>
          </w:p>
        </w:tc>
      </w:tr>
      <w:tr w:rsidR="00D25DFD" w:rsidRPr="00BA14E9" w14:paraId="268E2499" w14:textId="77777777" w:rsidTr="008819E9">
        <w:trPr>
          <w:trHeight w:val="300"/>
        </w:trPr>
        <w:tc>
          <w:tcPr>
            <w:tcW w:w="0" w:type="auto"/>
            <w:hideMark/>
          </w:tcPr>
          <w:p w14:paraId="517F696D" w14:textId="77777777" w:rsidR="00D25DFD" w:rsidRPr="00BA14E9" w:rsidRDefault="00D25DFD" w:rsidP="000246F4">
            <w:pPr>
              <w:spacing w:line="259" w:lineRule="auto"/>
              <w:rPr>
                <w:rFonts w:eastAsia="Aptos" w:cs="Calibri"/>
                <w:lang w:val="en-AU"/>
              </w:rPr>
            </w:pPr>
            <w:r w:rsidRPr="00BA14E9">
              <w:rPr>
                <w:rFonts w:eastAsia="Aptos" w:cs="Calibri"/>
                <w:lang w:val="en-AU"/>
              </w:rPr>
              <w:t>WA </w:t>
            </w:r>
          </w:p>
        </w:tc>
        <w:tc>
          <w:tcPr>
            <w:tcW w:w="1806" w:type="dxa"/>
            <w:hideMark/>
          </w:tcPr>
          <w:p w14:paraId="1FFC4A19" w14:textId="77777777" w:rsidR="00D25DFD" w:rsidRPr="00BA14E9" w:rsidRDefault="00D25DFD" w:rsidP="000246F4">
            <w:pPr>
              <w:spacing w:line="259" w:lineRule="auto"/>
              <w:rPr>
                <w:rFonts w:eastAsia="Aptos" w:cs="Calibri"/>
                <w:lang w:val="en-AU"/>
              </w:rPr>
            </w:pPr>
            <w:r w:rsidRPr="00BA14E9">
              <w:rPr>
                <w:rFonts w:eastAsia="Aptos" w:cs="Calibri"/>
                <w:i/>
                <w:iCs/>
                <w:lang w:val="en-AU"/>
              </w:rPr>
              <w:t>Gas Standards Act 1972</w:t>
            </w:r>
            <w:r w:rsidRPr="00BA14E9">
              <w:rPr>
                <w:rFonts w:eastAsia="Aptos" w:cs="Calibri"/>
                <w:lang w:val="en-AU"/>
              </w:rPr>
              <w:t> (WA) </w:t>
            </w:r>
          </w:p>
          <w:p w14:paraId="2CB37035"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3D11EB60" w14:textId="77777777" w:rsidR="005611AD" w:rsidRPr="00BA14E9" w:rsidRDefault="005611AD" w:rsidP="000246F4">
            <w:pPr>
              <w:spacing w:line="259" w:lineRule="auto"/>
              <w:rPr>
                <w:rFonts w:eastAsia="Aptos" w:cs="Calibri"/>
                <w:lang w:val="en-AU"/>
              </w:rPr>
            </w:pPr>
          </w:p>
          <w:p w14:paraId="01716E10" w14:textId="77777777" w:rsidR="005611AD" w:rsidRPr="00BA14E9" w:rsidRDefault="005611AD" w:rsidP="000246F4">
            <w:pPr>
              <w:spacing w:line="259" w:lineRule="auto"/>
              <w:rPr>
                <w:rFonts w:eastAsia="Aptos" w:cs="Calibri"/>
                <w:lang w:val="en-AU"/>
              </w:rPr>
            </w:pPr>
          </w:p>
          <w:p w14:paraId="7AE473E6" w14:textId="77777777" w:rsidR="00D25DFD" w:rsidRPr="00BA14E9" w:rsidRDefault="00D25DFD" w:rsidP="000246F4">
            <w:pPr>
              <w:spacing w:line="259" w:lineRule="auto"/>
              <w:rPr>
                <w:rFonts w:eastAsia="Aptos" w:cs="Calibri"/>
                <w:lang w:val="en-AU"/>
              </w:rPr>
            </w:pPr>
            <w:r w:rsidRPr="00BA14E9">
              <w:rPr>
                <w:rFonts w:eastAsia="Aptos" w:cs="Calibri"/>
                <w:i/>
                <w:iCs/>
                <w:lang w:val="en-AU"/>
              </w:rPr>
              <w:t>Energy Coordination Act 1994</w:t>
            </w:r>
            <w:r w:rsidRPr="00BA14E9">
              <w:rPr>
                <w:rFonts w:eastAsia="Aptos" w:cs="Calibri"/>
                <w:lang w:val="en-AU"/>
              </w:rPr>
              <w:t> (WA) </w:t>
            </w:r>
          </w:p>
          <w:p w14:paraId="293F25CF"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769A355C"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14FE0F59" w14:textId="77777777" w:rsidR="00D25DFD" w:rsidRPr="00BA14E9" w:rsidRDefault="00D25DFD" w:rsidP="000246F4">
            <w:pPr>
              <w:spacing w:line="259" w:lineRule="auto"/>
              <w:rPr>
                <w:rFonts w:eastAsia="Aptos" w:cs="Calibri"/>
                <w:lang w:val="en-AU"/>
              </w:rPr>
            </w:pPr>
            <w:r w:rsidRPr="00BA14E9">
              <w:rPr>
                <w:rFonts w:eastAsia="Aptos" w:cs="Calibri"/>
                <w:lang w:val="en-AU"/>
              </w:rPr>
              <w:t> </w:t>
            </w:r>
            <w:r w:rsidRPr="00BA14E9">
              <w:rPr>
                <w:rFonts w:eastAsia="Aptos" w:cs="Calibri"/>
                <w:i/>
                <w:iCs/>
                <w:lang w:val="en-AU"/>
              </w:rPr>
              <w:t>Dangerous Goods Safety Act 2004</w:t>
            </w:r>
            <w:r w:rsidRPr="00BA14E9">
              <w:rPr>
                <w:rFonts w:eastAsia="Aptos" w:cs="Calibri"/>
                <w:lang w:val="en-AU"/>
              </w:rPr>
              <w:t> (WA) </w:t>
            </w:r>
          </w:p>
          <w:p w14:paraId="719F85CC"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0FDCD35B"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25A5016F"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4634BBB7"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701244C1"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07E481D3"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645529BB"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tc>
        <w:tc>
          <w:tcPr>
            <w:tcW w:w="5803" w:type="dxa"/>
            <w:hideMark/>
          </w:tcPr>
          <w:p w14:paraId="322EDFF9" w14:textId="37743201" w:rsidR="00D25DFD" w:rsidRPr="00BA14E9" w:rsidRDefault="00D25DFD" w:rsidP="000246F4">
            <w:pPr>
              <w:spacing w:line="259" w:lineRule="auto"/>
              <w:rPr>
                <w:rFonts w:eastAsia="Aptos" w:cs="Calibri"/>
                <w:lang w:val="en-AU"/>
              </w:rPr>
            </w:pPr>
            <w:r w:rsidRPr="00BA14E9">
              <w:rPr>
                <w:rFonts w:eastAsia="Aptos" w:cs="Calibri"/>
                <w:lang w:val="en-AU"/>
              </w:rPr>
              <w:t>Section 4 of the </w:t>
            </w:r>
            <w:r w:rsidRPr="00BA14E9">
              <w:rPr>
                <w:rFonts w:eastAsia="Aptos" w:cs="Calibri"/>
                <w:i/>
                <w:iCs/>
                <w:lang w:val="en-AU"/>
              </w:rPr>
              <w:t>Gas Standards Act 1972</w:t>
            </w:r>
            <w:r w:rsidR="001B1242">
              <w:rPr>
                <w:rFonts w:eastAsia="Aptos" w:cs="Calibri"/>
                <w:lang w:val="en-AU"/>
              </w:rPr>
              <w:t xml:space="preserve"> (WA)</w:t>
            </w:r>
            <w:r w:rsidRPr="00BA14E9">
              <w:rPr>
                <w:rFonts w:eastAsia="Aptos" w:cs="Calibri"/>
                <w:i/>
                <w:iCs/>
                <w:lang w:val="en-AU"/>
              </w:rPr>
              <w:t> </w:t>
            </w:r>
            <w:r w:rsidRPr="00BA14E9">
              <w:rPr>
                <w:rFonts w:eastAsia="Aptos" w:cs="Calibri"/>
                <w:lang w:val="en-AU"/>
              </w:rPr>
              <w:t xml:space="preserve">defines 'gas' to mean any gas or mixture of gases intended for use as fuel for gas appliances or for use in any chemical </w:t>
            </w:r>
            <w:proofErr w:type="gramStart"/>
            <w:r w:rsidRPr="00BA14E9">
              <w:rPr>
                <w:rFonts w:eastAsia="Aptos" w:cs="Calibri"/>
                <w:lang w:val="en-AU"/>
              </w:rPr>
              <w:t>process;</w:t>
            </w:r>
            <w:proofErr w:type="gramEnd"/>
            <w:r w:rsidRPr="00BA14E9">
              <w:rPr>
                <w:rFonts w:eastAsia="Aptos" w:cs="Calibri"/>
                <w:lang w:val="en-AU"/>
              </w:rPr>
              <w:t> </w:t>
            </w:r>
          </w:p>
          <w:p w14:paraId="4B5322A8" w14:textId="77777777" w:rsidR="00D25DFD" w:rsidRPr="00BA14E9" w:rsidRDefault="00D25DFD" w:rsidP="000246F4">
            <w:pPr>
              <w:spacing w:line="259" w:lineRule="auto"/>
              <w:rPr>
                <w:rFonts w:eastAsia="Aptos" w:cs="Calibri"/>
                <w:lang w:val="en-AU"/>
              </w:rPr>
            </w:pPr>
          </w:p>
          <w:p w14:paraId="4F6560A5" w14:textId="351ABCD6" w:rsidR="00D25DFD" w:rsidRPr="00BA14E9" w:rsidRDefault="00D25DFD" w:rsidP="000246F4">
            <w:pPr>
              <w:spacing w:line="259" w:lineRule="auto"/>
              <w:rPr>
                <w:rFonts w:eastAsia="Aptos" w:cs="Calibri"/>
                <w:lang w:val="en-AU"/>
              </w:rPr>
            </w:pPr>
            <w:r w:rsidRPr="00BA14E9">
              <w:rPr>
                <w:rFonts w:eastAsia="Aptos" w:cs="Calibri"/>
                <w:lang w:val="en-AU"/>
              </w:rPr>
              <w:t>Section 3 of the </w:t>
            </w:r>
            <w:r w:rsidRPr="00BA14E9">
              <w:rPr>
                <w:rFonts w:eastAsia="Aptos" w:cs="Calibri"/>
                <w:i/>
                <w:iCs/>
                <w:lang w:val="en-AU"/>
              </w:rPr>
              <w:t>Energy Coordination Act 1994</w:t>
            </w:r>
            <w:r w:rsidR="001B1242">
              <w:rPr>
                <w:rFonts w:eastAsia="Aptos" w:cs="Calibri"/>
                <w:lang w:val="en-AU"/>
              </w:rPr>
              <w:t xml:space="preserve"> (WA)</w:t>
            </w:r>
            <w:r w:rsidRPr="00BA14E9">
              <w:rPr>
                <w:rFonts w:eastAsia="Aptos" w:cs="Calibri"/>
                <w:i/>
                <w:iCs/>
                <w:lang w:val="en-AU"/>
              </w:rPr>
              <w:t> </w:t>
            </w:r>
            <w:r w:rsidRPr="00BA14E9">
              <w:rPr>
                <w:rFonts w:eastAsia="Aptos" w:cs="Calibri"/>
                <w:lang w:val="en-AU"/>
              </w:rPr>
              <w:t xml:space="preserve">defines gas to mean any gas or mixture of gases, whether naturally occurring or manufactured, intended for use — (a) as a fuel; or (b) in any chemical </w:t>
            </w:r>
            <w:proofErr w:type="gramStart"/>
            <w:r w:rsidRPr="00BA14E9">
              <w:rPr>
                <w:rFonts w:eastAsia="Aptos" w:cs="Calibri"/>
                <w:lang w:val="en-AU"/>
              </w:rPr>
              <w:t>process;</w:t>
            </w:r>
            <w:proofErr w:type="gramEnd"/>
            <w:r w:rsidRPr="00BA14E9">
              <w:rPr>
                <w:rFonts w:eastAsia="Aptos" w:cs="Calibri"/>
                <w:lang w:val="en-AU"/>
              </w:rPr>
              <w:t> </w:t>
            </w:r>
          </w:p>
          <w:p w14:paraId="7F397D11" w14:textId="77777777" w:rsidR="00D25DFD" w:rsidRPr="00BA14E9" w:rsidRDefault="00D25DFD" w:rsidP="000246F4">
            <w:pPr>
              <w:spacing w:line="259" w:lineRule="auto"/>
              <w:rPr>
                <w:rFonts w:eastAsia="Aptos" w:cs="Calibri"/>
                <w:lang w:val="en-AU"/>
              </w:rPr>
            </w:pPr>
            <w:r w:rsidRPr="00BA14E9">
              <w:rPr>
                <w:rFonts w:eastAsia="Aptos" w:cs="Calibri"/>
                <w:lang w:val="en-AU"/>
              </w:rPr>
              <w:t> </w:t>
            </w:r>
          </w:p>
          <w:p w14:paraId="5CC5AD17" w14:textId="14B2C923" w:rsidR="00D25DFD" w:rsidRPr="00BA14E9" w:rsidRDefault="00D25DFD" w:rsidP="000246F4">
            <w:pPr>
              <w:spacing w:line="259" w:lineRule="auto"/>
              <w:rPr>
                <w:rFonts w:eastAsia="Aptos" w:cs="Calibri"/>
                <w:lang w:val="en-AU"/>
              </w:rPr>
            </w:pPr>
            <w:r w:rsidRPr="00BA14E9">
              <w:rPr>
                <w:rFonts w:eastAsia="Aptos" w:cs="Calibri"/>
                <w:lang w:val="en-AU"/>
              </w:rPr>
              <w:t>Hydrogen is a "dangerous good" for the purposes of the </w:t>
            </w:r>
            <w:r w:rsidRPr="00BA14E9">
              <w:rPr>
                <w:rFonts w:eastAsia="Aptos" w:cs="Calibri"/>
                <w:i/>
                <w:iCs/>
                <w:lang w:val="en-AU"/>
              </w:rPr>
              <w:t>Dangerous Goods Safety Act 2004</w:t>
            </w:r>
            <w:r w:rsidRPr="00BA14E9">
              <w:rPr>
                <w:rFonts w:eastAsia="Aptos" w:cs="Calibri"/>
                <w:lang w:val="en-AU"/>
              </w:rPr>
              <w:t> </w:t>
            </w:r>
            <w:r w:rsidR="001B1242">
              <w:rPr>
                <w:rFonts w:eastAsia="Aptos" w:cs="Calibri"/>
                <w:lang w:val="en-AU"/>
              </w:rPr>
              <w:t xml:space="preserve">(WA) </w:t>
            </w:r>
            <w:r w:rsidRPr="00BA14E9">
              <w:rPr>
                <w:rFonts w:eastAsia="Aptos" w:cs="Calibri"/>
                <w:lang w:val="en-AU"/>
              </w:rPr>
              <w:t xml:space="preserve">as section 4 of the Dangerous Goods Safety (General) Regulations 2007 (WA) </w:t>
            </w:r>
            <w:r w:rsidR="00C15974">
              <w:rPr>
                <w:rFonts w:eastAsia="Aptos" w:cs="Calibri"/>
                <w:lang w:val="en-AU"/>
              </w:rPr>
              <w:t>as it is</w:t>
            </w:r>
            <w:r w:rsidRPr="00BA14E9">
              <w:rPr>
                <w:rFonts w:eastAsia="Aptos" w:cs="Calibri"/>
                <w:lang w:val="en-AU"/>
              </w:rPr>
              <w:t xml:space="preserve"> listed as </w:t>
            </w:r>
            <w:r w:rsidR="001D1593">
              <w:rPr>
                <w:rFonts w:eastAsia="Aptos" w:cs="Calibri"/>
                <w:lang w:val="en-AU"/>
              </w:rPr>
              <w:t>a</w:t>
            </w:r>
            <w:r w:rsidRPr="00BA14E9">
              <w:rPr>
                <w:rFonts w:eastAsia="Aptos" w:cs="Calibri"/>
                <w:lang w:val="en-AU"/>
              </w:rPr>
              <w:t xml:space="preserve"> </w:t>
            </w:r>
            <w:r w:rsidR="00083EFC">
              <w:rPr>
                <w:rFonts w:eastAsia="Aptos" w:cs="Calibri"/>
                <w:lang w:val="en-AU"/>
              </w:rPr>
              <w:t>Division</w:t>
            </w:r>
            <w:r w:rsidRPr="00BA14E9">
              <w:rPr>
                <w:rFonts w:eastAsia="Aptos" w:cs="Calibri"/>
                <w:lang w:val="en-AU"/>
              </w:rPr>
              <w:t xml:space="preserve"> 2</w:t>
            </w:r>
            <w:r w:rsidR="004357B6">
              <w:rPr>
                <w:rFonts w:eastAsia="Aptos" w:cs="Calibri"/>
                <w:lang w:val="en-AU"/>
              </w:rPr>
              <w:t>.1</w:t>
            </w:r>
            <w:r w:rsidRPr="00BA14E9">
              <w:rPr>
                <w:rFonts w:eastAsia="Aptos" w:cs="Calibri"/>
                <w:lang w:val="en-AU"/>
              </w:rPr>
              <w:t xml:space="preserve"> </w:t>
            </w:r>
            <w:r w:rsidR="00B14260">
              <w:rPr>
                <w:rFonts w:eastAsia="Aptos" w:cs="Calibri"/>
                <w:lang w:val="en-AU"/>
              </w:rPr>
              <w:t>flammable</w:t>
            </w:r>
            <w:r w:rsidRPr="00BA14E9">
              <w:rPr>
                <w:rFonts w:eastAsia="Aptos" w:cs="Calibri"/>
                <w:lang w:val="en-AU"/>
              </w:rPr>
              <w:t xml:space="preserve"> in the Australian Code for the Transport of Dangerous Goods by Road </w:t>
            </w:r>
            <w:r w:rsidR="00823939">
              <w:rPr>
                <w:rFonts w:eastAsia="Aptos" w:cs="Calibri"/>
                <w:lang w:val="en-AU"/>
              </w:rPr>
              <w:t>and</w:t>
            </w:r>
            <w:r w:rsidRPr="00BA14E9">
              <w:rPr>
                <w:rFonts w:eastAsia="Aptos" w:cs="Calibri"/>
                <w:lang w:val="en-AU"/>
              </w:rPr>
              <w:t xml:space="preserve"> Rail</w:t>
            </w:r>
            <w:r w:rsidR="007409AD">
              <w:rPr>
                <w:rFonts w:eastAsia="Aptos" w:cs="Calibri"/>
                <w:lang w:val="en-AU"/>
              </w:rPr>
              <w:t xml:space="preserve">. </w:t>
            </w:r>
            <w:r w:rsidR="00AB20C0">
              <w:rPr>
                <w:rFonts w:eastAsia="Times New Roman" w:cs="Calibri"/>
                <w:lang w:eastAsia="en-AU"/>
              </w:rPr>
              <w:t xml:space="preserve">The DGS Act </w:t>
            </w:r>
            <w:r w:rsidR="00AB20C0" w:rsidRPr="00A84258">
              <w:rPr>
                <w:rFonts w:eastAsia="Times New Roman" w:cs="Calibri"/>
                <w:lang w:eastAsia="en-AU"/>
              </w:rPr>
              <w:t xml:space="preserve">applies to </w:t>
            </w:r>
            <w:r w:rsidR="00AB20C0">
              <w:rPr>
                <w:rFonts w:eastAsia="Times New Roman" w:cs="Calibri"/>
                <w:lang w:eastAsia="en-AU"/>
              </w:rPr>
              <w:t xml:space="preserve">all aspects of </w:t>
            </w:r>
            <w:r w:rsidR="00AB20C0" w:rsidRPr="00A84258">
              <w:rPr>
                <w:rFonts w:eastAsia="Times New Roman" w:cs="Calibri"/>
                <w:lang w:eastAsia="en-AU"/>
              </w:rPr>
              <w:t xml:space="preserve">dangerous goods </w:t>
            </w:r>
            <w:r w:rsidR="00AB20C0">
              <w:rPr>
                <w:rFonts w:eastAsia="Times New Roman" w:cs="Calibri"/>
                <w:lang w:eastAsia="en-AU"/>
              </w:rPr>
              <w:t>management</w:t>
            </w:r>
            <w:r w:rsidR="00AB20C0" w:rsidRPr="00A84258">
              <w:rPr>
                <w:rFonts w:eastAsia="Times New Roman" w:cs="Calibri"/>
                <w:lang w:eastAsia="en-AU"/>
              </w:rPr>
              <w:t>, including</w:t>
            </w:r>
            <w:r w:rsidR="00AB20C0">
              <w:rPr>
                <w:rFonts w:eastAsia="Times New Roman" w:cs="Calibri"/>
                <w:lang w:eastAsia="en-AU"/>
              </w:rPr>
              <w:t xml:space="preserve"> </w:t>
            </w:r>
            <w:r w:rsidR="00AB20C0" w:rsidRPr="00A84258">
              <w:rPr>
                <w:rFonts w:eastAsia="Times New Roman" w:cs="Calibri"/>
                <w:lang w:eastAsia="en-AU"/>
              </w:rPr>
              <w:t>production, storage, handling, pip</w:t>
            </w:r>
            <w:r w:rsidR="00AB20C0">
              <w:rPr>
                <w:rFonts w:eastAsia="Times New Roman" w:cs="Calibri"/>
                <w:lang w:eastAsia="en-AU"/>
              </w:rPr>
              <w:t>elines</w:t>
            </w:r>
            <w:r w:rsidR="00AB20C0" w:rsidRPr="00A84258">
              <w:rPr>
                <w:rFonts w:eastAsia="Times New Roman" w:cs="Calibri"/>
                <w:lang w:eastAsia="en-AU"/>
              </w:rPr>
              <w:t xml:space="preserve"> and transport. </w:t>
            </w:r>
            <w:r w:rsidR="00AB20C0">
              <w:rPr>
                <w:rFonts w:eastAsia="Times New Roman" w:cs="Calibri"/>
                <w:lang w:eastAsia="en-AU"/>
              </w:rPr>
              <w:t xml:space="preserve"> However, t</w:t>
            </w:r>
            <w:r w:rsidR="00AB20C0">
              <w:rPr>
                <w:rFonts w:eastAsia="Aptos" w:cs="Calibri"/>
                <w:lang w:val="en-AU"/>
              </w:rPr>
              <w:t xml:space="preserve">his act </w:t>
            </w:r>
            <w:r w:rsidR="00AB20C0">
              <w:rPr>
                <w:rFonts w:eastAsia="Times New Roman" w:cs="Calibri"/>
                <w:lang w:eastAsia="en-AU"/>
              </w:rPr>
              <w:t xml:space="preserve">does not apply to a pipeline carrying dangerous goods to which the </w:t>
            </w:r>
            <w:r w:rsidR="00AB20C0" w:rsidRPr="00483711">
              <w:rPr>
                <w:rFonts w:eastAsia="Times New Roman" w:cs="Calibri"/>
                <w:i/>
                <w:iCs/>
                <w:lang w:eastAsia="en-AU"/>
              </w:rPr>
              <w:t>Gas Standards Act 1972</w:t>
            </w:r>
            <w:r w:rsidR="009D45CD">
              <w:rPr>
                <w:rFonts w:eastAsia="Times New Roman" w:cs="Calibri"/>
                <w:lang w:eastAsia="en-AU"/>
              </w:rPr>
              <w:t xml:space="preserve"> (WA)</w:t>
            </w:r>
            <w:r w:rsidR="00AB20C0">
              <w:rPr>
                <w:rFonts w:eastAsia="Times New Roman" w:cs="Calibri"/>
                <w:lang w:eastAsia="en-AU"/>
              </w:rPr>
              <w:t xml:space="preserve">, </w:t>
            </w:r>
            <w:r w:rsidR="00AB20C0" w:rsidRPr="00483711">
              <w:rPr>
                <w:rFonts w:eastAsia="Times New Roman" w:cs="Calibri"/>
                <w:i/>
                <w:iCs/>
                <w:lang w:eastAsia="en-AU"/>
              </w:rPr>
              <w:t>Petroleum Pipelines Act 1969</w:t>
            </w:r>
            <w:r w:rsidR="00AB20C0">
              <w:rPr>
                <w:rFonts w:eastAsia="Times New Roman" w:cs="Calibri"/>
                <w:lang w:eastAsia="en-AU"/>
              </w:rPr>
              <w:t xml:space="preserve"> </w:t>
            </w:r>
            <w:r w:rsidR="009D45CD">
              <w:rPr>
                <w:rFonts w:eastAsia="Times New Roman" w:cs="Calibri"/>
                <w:lang w:eastAsia="en-AU"/>
              </w:rPr>
              <w:t xml:space="preserve">(WA) </w:t>
            </w:r>
            <w:r w:rsidR="00AB20C0">
              <w:rPr>
                <w:rFonts w:eastAsia="Times New Roman" w:cs="Calibri"/>
                <w:lang w:eastAsia="en-AU"/>
              </w:rPr>
              <w:t xml:space="preserve">or </w:t>
            </w:r>
            <w:r w:rsidR="00AB20C0" w:rsidRPr="00483711">
              <w:rPr>
                <w:rFonts w:eastAsia="Times New Roman" w:cs="Calibri"/>
                <w:i/>
                <w:iCs/>
                <w:lang w:eastAsia="en-AU"/>
              </w:rPr>
              <w:t>Petroleum (Submerged Lands) Act 1982</w:t>
            </w:r>
            <w:r w:rsidR="00AB20C0">
              <w:rPr>
                <w:rFonts w:eastAsia="Times New Roman" w:cs="Calibri"/>
                <w:lang w:eastAsia="en-AU"/>
              </w:rPr>
              <w:t xml:space="preserve"> </w:t>
            </w:r>
            <w:r w:rsidR="009D45CD">
              <w:rPr>
                <w:rFonts w:eastAsia="Times New Roman" w:cs="Calibri"/>
                <w:lang w:eastAsia="en-AU"/>
              </w:rPr>
              <w:t xml:space="preserve">(WA) </w:t>
            </w:r>
            <w:r w:rsidR="00AB20C0">
              <w:rPr>
                <w:rFonts w:eastAsia="Times New Roman" w:cs="Calibri"/>
                <w:lang w:eastAsia="en-AU"/>
              </w:rPr>
              <w:t xml:space="preserve">applies.  </w:t>
            </w:r>
          </w:p>
        </w:tc>
      </w:tr>
    </w:tbl>
    <w:p w14:paraId="39D8D931" w14:textId="77777777" w:rsidR="002600DE" w:rsidRPr="00BA14E9" w:rsidRDefault="002600DE" w:rsidP="606C9B12">
      <w:pPr>
        <w:contextualSpacing/>
        <w:rPr>
          <w:rFonts w:cs="Calibri"/>
        </w:rPr>
      </w:pPr>
    </w:p>
    <w:p w14:paraId="76AED345" w14:textId="29351A24" w:rsidR="00095D60" w:rsidRDefault="00095D60" w:rsidP="00E83908">
      <w:pPr>
        <w:pStyle w:val="Heading2"/>
      </w:pPr>
      <w:bookmarkStart w:id="60" w:name="_Toc222925499"/>
      <w:r>
        <w:t>A</w:t>
      </w:r>
      <w:r w:rsidR="002B4F26">
        <w:t xml:space="preserve">ustralian Capital Territory: </w:t>
      </w:r>
      <w:r w:rsidR="002B4F26" w:rsidRPr="00F11145">
        <w:t>Utilities (Technical Regulation) Act</w:t>
      </w:r>
      <w:r w:rsidR="0068670A">
        <w:t xml:space="preserve"> </w:t>
      </w:r>
      <w:r w:rsidR="002B4F26">
        <w:t>2000</w:t>
      </w:r>
      <w:bookmarkEnd w:id="60"/>
    </w:p>
    <w:p w14:paraId="617529FE" w14:textId="70C9C510" w:rsidR="00627DF9" w:rsidRDefault="00627DF9" w:rsidP="00627DF9">
      <w:pPr>
        <w:rPr>
          <w:lang w:val="en-GB"/>
        </w:rPr>
      </w:pPr>
      <w:r>
        <w:rPr>
          <w:rFonts w:eastAsia="Aptos" w:cs="Calibri"/>
        </w:rPr>
        <w:t xml:space="preserve">The </w:t>
      </w:r>
      <w:r>
        <w:rPr>
          <w:rFonts w:eastAsia="Aptos" w:cs="Calibri"/>
          <w:i/>
          <w:iCs/>
        </w:rPr>
        <w:t xml:space="preserve">Utilities Act 2000 </w:t>
      </w:r>
      <w:r>
        <w:rPr>
          <w:rFonts w:eastAsia="Aptos" w:cs="Calibri"/>
        </w:rPr>
        <w:t>(ACT) requires a licence to provide utility services by a regulated utility. A utility service includes the transmission/distribution of gas through a gas transmission/distribution network.</w:t>
      </w:r>
    </w:p>
    <w:p w14:paraId="0AD37143" w14:textId="5BEEDCE0" w:rsidR="002B4F26" w:rsidRDefault="002B4F26" w:rsidP="00627DF9">
      <w:pPr>
        <w:rPr>
          <w:lang w:val="en-GB"/>
        </w:rPr>
      </w:pPr>
      <w:r w:rsidRPr="00F31656">
        <w:rPr>
          <w:lang w:val="en-GB"/>
        </w:rPr>
        <w:lastRenderedPageBreak/>
        <w:t>This Act is in addition to, and does not limit, any other Act</w:t>
      </w:r>
      <w:r w:rsidR="00627DF9">
        <w:rPr>
          <w:lang w:val="en-GB"/>
        </w:rPr>
        <w:t>, including</w:t>
      </w:r>
      <w:r w:rsidR="00DE471A">
        <w:rPr>
          <w:lang w:val="en-GB"/>
        </w:rPr>
        <w:t xml:space="preserve"> the</w:t>
      </w:r>
      <w:r w:rsidR="00627DF9">
        <w:rPr>
          <w:lang w:val="en-GB"/>
        </w:rPr>
        <w:t>:</w:t>
      </w:r>
    </w:p>
    <w:p w14:paraId="081491BB" w14:textId="56377EFF" w:rsidR="002B4F26" w:rsidRDefault="002B4F26" w:rsidP="008819E9">
      <w:pPr>
        <w:pStyle w:val="ListParagraph"/>
        <w:numPr>
          <w:ilvl w:val="1"/>
          <w:numId w:val="86"/>
        </w:numPr>
        <w:contextualSpacing w:val="0"/>
        <w:rPr>
          <w:lang w:val="en-GB"/>
        </w:rPr>
      </w:pPr>
      <w:r w:rsidRPr="008819E9">
        <w:rPr>
          <w:i/>
          <w:lang w:val="en-GB"/>
        </w:rPr>
        <w:t>Emergencies Act 2004</w:t>
      </w:r>
      <w:r w:rsidR="00DF054D">
        <w:rPr>
          <w:lang w:val="en-GB"/>
        </w:rPr>
        <w:t xml:space="preserve"> (ACT</w:t>
      </w:r>
      <w:proofErr w:type="gramStart"/>
      <w:r w:rsidR="00DF054D">
        <w:rPr>
          <w:lang w:val="en-GB"/>
        </w:rPr>
        <w:t>)</w:t>
      </w:r>
      <w:r w:rsidRPr="00F31656">
        <w:rPr>
          <w:lang w:val="en-GB"/>
        </w:rPr>
        <w:t>;</w:t>
      </w:r>
      <w:proofErr w:type="gramEnd"/>
    </w:p>
    <w:p w14:paraId="18276FA1" w14:textId="1E50F002" w:rsidR="002B4F26" w:rsidRDefault="002B4F26" w:rsidP="008819E9">
      <w:pPr>
        <w:pStyle w:val="ListParagraph"/>
        <w:numPr>
          <w:ilvl w:val="1"/>
          <w:numId w:val="86"/>
        </w:numPr>
        <w:contextualSpacing w:val="0"/>
        <w:rPr>
          <w:lang w:val="en-GB"/>
        </w:rPr>
      </w:pPr>
      <w:r w:rsidRPr="008819E9">
        <w:rPr>
          <w:i/>
          <w:lang w:val="en-GB"/>
        </w:rPr>
        <w:t>Environment Protection Act 1997</w:t>
      </w:r>
      <w:r w:rsidR="00E830B1">
        <w:rPr>
          <w:lang w:val="en-GB"/>
        </w:rPr>
        <w:t xml:space="preserve"> (ACT</w:t>
      </w:r>
      <w:proofErr w:type="gramStart"/>
      <w:r w:rsidR="00E830B1">
        <w:rPr>
          <w:lang w:val="en-GB"/>
        </w:rPr>
        <w:t>)</w:t>
      </w:r>
      <w:r w:rsidRPr="00F31656">
        <w:rPr>
          <w:lang w:val="en-GB"/>
        </w:rPr>
        <w:t>;</w:t>
      </w:r>
      <w:proofErr w:type="gramEnd"/>
    </w:p>
    <w:p w14:paraId="3BF22BE9" w14:textId="3068187B" w:rsidR="002B4F26" w:rsidRDefault="002B4F26" w:rsidP="008819E9">
      <w:pPr>
        <w:pStyle w:val="ListParagraph"/>
        <w:numPr>
          <w:ilvl w:val="1"/>
          <w:numId w:val="86"/>
        </w:numPr>
        <w:contextualSpacing w:val="0"/>
        <w:rPr>
          <w:lang w:val="en-GB"/>
        </w:rPr>
      </w:pPr>
      <w:r w:rsidRPr="008819E9">
        <w:rPr>
          <w:i/>
          <w:lang w:val="en-GB"/>
        </w:rPr>
        <w:t>Environment Protection and Biodiversity Conservation Act 1999</w:t>
      </w:r>
      <w:r w:rsidRPr="00F31656">
        <w:rPr>
          <w:lang w:val="en-GB"/>
        </w:rPr>
        <w:t xml:space="preserve"> (</w:t>
      </w:r>
      <w:proofErr w:type="spellStart"/>
      <w:r w:rsidRPr="00F31656">
        <w:rPr>
          <w:lang w:val="en-GB"/>
        </w:rPr>
        <w:t>Cth</w:t>
      </w:r>
      <w:proofErr w:type="spellEnd"/>
      <w:proofErr w:type="gramStart"/>
      <w:r w:rsidRPr="00F31656">
        <w:rPr>
          <w:lang w:val="en-GB"/>
        </w:rPr>
        <w:t>);</w:t>
      </w:r>
      <w:proofErr w:type="gramEnd"/>
    </w:p>
    <w:p w14:paraId="548B5ADE" w14:textId="5F7AE653" w:rsidR="002B4F26" w:rsidRDefault="002B4F26" w:rsidP="008819E9">
      <w:pPr>
        <w:pStyle w:val="ListParagraph"/>
        <w:numPr>
          <w:ilvl w:val="1"/>
          <w:numId w:val="86"/>
        </w:numPr>
        <w:contextualSpacing w:val="0"/>
        <w:rPr>
          <w:lang w:val="en-GB"/>
        </w:rPr>
      </w:pPr>
      <w:r w:rsidRPr="008819E9">
        <w:rPr>
          <w:i/>
          <w:lang w:val="en-GB"/>
        </w:rPr>
        <w:t>Gas Safety Act 2000</w:t>
      </w:r>
      <w:r w:rsidR="00DD15F3">
        <w:rPr>
          <w:lang w:val="en-GB"/>
        </w:rPr>
        <w:t xml:space="preserve"> (ACT</w:t>
      </w:r>
      <w:proofErr w:type="gramStart"/>
      <w:r w:rsidR="00DD15F3">
        <w:rPr>
          <w:lang w:val="en-GB"/>
        </w:rPr>
        <w:t>)</w:t>
      </w:r>
      <w:r w:rsidRPr="00F31656">
        <w:rPr>
          <w:lang w:val="en-GB"/>
        </w:rPr>
        <w:t>;</w:t>
      </w:r>
      <w:proofErr w:type="gramEnd"/>
    </w:p>
    <w:p w14:paraId="0129CC98" w14:textId="3C172530" w:rsidR="002B4F26" w:rsidRDefault="002B4F26" w:rsidP="008819E9">
      <w:pPr>
        <w:pStyle w:val="ListParagraph"/>
        <w:numPr>
          <w:ilvl w:val="1"/>
          <w:numId w:val="86"/>
        </w:numPr>
        <w:contextualSpacing w:val="0"/>
        <w:rPr>
          <w:lang w:val="en-GB"/>
        </w:rPr>
      </w:pPr>
      <w:r w:rsidRPr="008819E9">
        <w:rPr>
          <w:i/>
          <w:lang w:val="en-GB"/>
        </w:rPr>
        <w:t>National Gas Act 2008</w:t>
      </w:r>
      <w:r w:rsidR="00FC37A2">
        <w:rPr>
          <w:lang w:val="en-GB"/>
        </w:rPr>
        <w:t xml:space="preserve"> (ACT</w:t>
      </w:r>
      <w:proofErr w:type="gramStart"/>
      <w:r w:rsidR="00FC37A2">
        <w:rPr>
          <w:lang w:val="en-GB"/>
        </w:rPr>
        <w:t>)</w:t>
      </w:r>
      <w:r w:rsidRPr="00F31656">
        <w:rPr>
          <w:lang w:val="en-GB"/>
        </w:rPr>
        <w:t>;</w:t>
      </w:r>
      <w:proofErr w:type="gramEnd"/>
    </w:p>
    <w:p w14:paraId="3B9AA3CF" w14:textId="3A442804" w:rsidR="002B4F26" w:rsidRDefault="002B4F26" w:rsidP="008819E9">
      <w:pPr>
        <w:pStyle w:val="ListParagraph"/>
        <w:numPr>
          <w:ilvl w:val="1"/>
          <w:numId w:val="86"/>
        </w:numPr>
        <w:contextualSpacing w:val="0"/>
        <w:rPr>
          <w:lang w:val="en-GB"/>
        </w:rPr>
      </w:pPr>
      <w:r w:rsidRPr="008819E9">
        <w:rPr>
          <w:i/>
          <w:lang w:val="en-GB"/>
        </w:rPr>
        <w:t>National Gas Law</w:t>
      </w:r>
      <w:r w:rsidR="00FC37A2">
        <w:rPr>
          <w:lang w:val="en-GB"/>
        </w:rPr>
        <w:t xml:space="preserve"> (ACT</w:t>
      </w:r>
      <w:proofErr w:type="gramStart"/>
      <w:r w:rsidR="00FC37A2">
        <w:rPr>
          <w:lang w:val="en-GB"/>
        </w:rPr>
        <w:t>)</w:t>
      </w:r>
      <w:r w:rsidRPr="00F31656">
        <w:rPr>
          <w:lang w:val="en-GB"/>
        </w:rPr>
        <w:t>;</w:t>
      </w:r>
      <w:proofErr w:type="gramEnd"/>
    </w:p>
    <w:p w14:paraId="368B05B5" w14:textId="298AD547" w:rsidR="002B4F26" w:rsidRDefault="002B4F26" w:rsidP="008819E9">
      <w:pPr>
        <w:pStyle w:val="ListParagraph"/>
        <w:numPr>
          <w:ilvl w:val="1"/>
          <w:numId w:val="86"/>
        </w:numPr>
        <w:contextualSpacing w:val="0"/>
        <w:rPr>
          <w:lang w:val="en-GB"/>
        </w:rPr>
      </w:pPr>
      <w:r w:rsidRPr="00F31656">
        <w:rPr>
          <w:lang w:val="en-GB"/>
        </w:rPr>
        <w:t>National Gas Regulation</w:t>
      </w:r>
      <w:r w:rsidR="000119B4">
        <w:rPr>
          <w:lang w:val="en-GB"/>
        </w:rPr>
        <w:t xml:space="preserve"> (ACT</w:t>
      </w:r>
      <w:proofErr w:type="gramStart"/>
      <w:r w:rsidR="000119B4">
        <w:rPr>
          <w:lang w:val="en-GB"/>
        </w:rPr>
        <w:t>)</w:t>
      </w:r>
      <w:r w:rsidRPr="00F31656">
        <w:rPr>
          <w:lang w:val="en-GB"/>
        </w:rPr>
        <w:t>;</w:t>
      </w:r>
      <w:proofErr w:type="gramEnd"/>
    </w:p>
    <w:p w14:paraId="1585DCC7" w14:textId="284DB4D7" w:rsidR="002B4F26" w:rsidRDefault="002B4F26" w:rsidP="008819E9">
      <w:pPr>
        <w:pStyle w:val="ListParagraph"/>
        <w:numPr>
          <w:ilvl w:val="1"/>
          <w:numId w:val="86"/>
        </w:numPr>
        <w:contextualSpacing w:val="0"/>
        <w:rPr>
          <w:lang w:val="en-GB"/>
        </w:rPr>
      </w:pPr>
      <w:r w:rsidRPr="008819E9">
        <w:rPr>
          <w:i/>
          <w:lang w:val="en-GB"/>
        </w:rPr>
        <w:t>Utilities Act 2000</w:t>
      </w:r>
      <w:r w:rsidR="00D119E3">
        <w:rPr>
          <w:lang w:val="en-GB"/>
        </w:rPr>
        <w:t xml:space="preserve"> (ACT</w:t>
      </w:r>
      <w:proofErr w:type="gramStart"/>
      <w:r w:rsidR="00D119E3">
        <w:rPr>
          <w:lang w:val="en-GB"/>
        </w:rPr>
        <w:t>)</w:t>
      </w:r>
      <w:r w:rsidRPr="00F31656">
        <w:rPr>
          <w:lang w:val="en-GB"/>
        </w:rPr>
        <w:t>;</w:t>
      </w:r>
      <w:proofErr w:type="gramEnd"/>
    </w:p>
    <w:p w14:paraId="5426721D" w14:textId="425D349D" w:rsidR="002B4F26" w:rsidRPr="008819E9" w:rsidRDefault="002B4F26" w:rsidP="008819E9">
      <w:pPr>
        <w:pStyle w:val="ListParagraph"/>
        <w:numPr>
          <w:ilvl w:val="1"/>
          <w:numId w:val="86"/>
        </w:numPr>
        <w:contextualSpacing w:val="0"/>
      </w:pPr>
      <w:r w:rsidRPr="008819E9">
        <w:rPr>
          <w:i/>
          <w:lang w:val="en-GB"/>
        </w:rPr>
        <w:t>Work Health and Safety Act 2011</w:t>
      </w:r>
      <w:r w:rsidRPr="008819E9">
        <w:rPr>
          <w:lang w:val="en-GB"/>
        </w:rPr>
        <w:t>.</w:t>
      </w:r>
    </w:p>
    <w:p w14:paraId="0233A8A0" w14:textId="32A7266F" w:rsidR="002B4F26" w:rsidRPr="00624C86" w:rsidRDefault="002B4F26" w:rsidP="002B4F26">
      <w:pPr>
        <w:rPr>
          <w:lang w:val="en-GB"/>
        </w:rPr>
      </w:pPr>
      <w:r>
        <w:rPr>
          <w:lang w:val="en-GB"/>
        </w:rPr>
        <w:t xml:space="preserve">The </w:t>
      </w:r>
      <w:r w:rsidRPr="00702D32">
        <w:rPr>
          <w:i/>
          <w:iCs/>
          <w:lang w:val="en-GB"/>
        </w:rPr>
        <w:t>Utilities (Technical Regulation) (Gas Safety and Network Operation Code) Approval 2021</w:t>
      </w:r>
      <w:r>
        <w:rPr>
          <w:lang w:val="en-GB"/>
        </w:rPr>
        <w:t xml:space="preserve"> has been developed under the </w:t>
      </w:r>
      <w:r w:rsidRPr="00624C86">
        <w:rPr>
          <w:i/>
          <w:iCs/>
          <w:lang w:val="en-GB"/>
        </w:rPr>
        <w:t>Utilities (Technical Regulation) Act 2014</w:t>
      </w:r>
      <w:r w:rsidR="00125C5E">
        <w:rPr>
          <w:lang w:val="en-GB"/>
        </w:rPr>
        <w:t xml:space="preserve"> (ACT)</w:t>
      </w:r>
      <w:r w:rsidRPr="00624C86">
        <w:rPr>
          <w:i/>
          <w:iCs/>
          <w:lang w:val="en-GB"/>
        </w:rPr>
        <w:t>.</w:t>
      </w:r>
      <w:r w:rsidR="00B90506">
        <w:rPr>
          <w:i/>
          <w:iCs/>
          <w:lang w:val="en-GB"/>
        </w:rPr>
        <w:t xml:space="preserve"> </w:t>
      </w:r>
      <w:r w:rsidRPr="00624C86">
        <w:rPr>
          <w:lang w:val="en-GB"/>
        </w:rPr>
        <w:t>The purpose of th</w:t>
      </w:r>
      <w:r>
        <w:rPr>
          <w:lang w:val="en-GB"/>
        </w:rPr>
        <w:t>is</w:t>
      </w:r>
      <w:r w:rsidRPr="00624C86">
        <w:rPr>
          <w:lang w:val="en-GB"/>
        </w:rPr>
        <w:t xml:space="preserve"> </w:t>
      </w:r>
      <w:r w:rsidRPr="00702D32">
        <w:rPr>
          <w:lang w:val="en-GB"/>
        </w:rPr>
        <w:t>Code</w:t>
      </w:r>
      <w:r w:rsidRPr="00624C86">
        <w:rPr>
          <w:lang w:val="en-GB"/>
        </w:rPr>
        <w:t xml:space="preserve"> is to ensure the safe and reliable design, construction, </w:t>
      </w:r>
      <w:r>
        <w:rPr>
          <w:lang w:val="en-GB"/>
        </w:rPr>
        <w:t>m</w:t>
      </w:r>
      <w:r w:rsidRPr="00624C86">
        <w:rPr>
          <w:lang w:val="en-GB"/>
        </w:rPr>
        <w:t>aintenance and operation of gas networks in delivering gas to customers.</w:t>
      </w:r>
    </w:p>
    <w:p w14:paraId="12D8BA06" w14:textId="13D6672A" w:rsidR="002B4F26" w:rsidRDefault="002B4F26" w:rsidP="002B4F26">
      <w:pPr>
        <w:rPr>
          <w:lang w:val="en-GB"/>
        </w:rPr>
      </w:pPr>
      <w:r w:rsidRPr="00624C86">
        <w:rPr>
          <w:lang w:val="en-GB"/>
        </w:rPr>
        <w:t>A key requirement in achieving this purpose is conformance with AS/NZS 4645 with respect to gas distribution and AS 2885 with respect to gas transmission including the creation of and conformance with a Safety and Operating Plan or Pipeline Management System that is approved under this Code together with the Formal Safety Assessment or Safety Management Study undertaken in conformance with AS/NZS 4645 and AS 2885.</w:t>
      </w:r>
    </w:p>
    <w:p w14:paraId="0A2E5358" w14:textId="175648A5" w:rsidR="002B4F26" w:rsidRDefault="002B4F26" w:rsidP="008819E9">
      <w:pPr>
        <w:rPr>
          <w:lang w:val="en-GB"/>
        </w:rPr>
      </w:pPr>
      <w:r w:rsidRPr="004452A1">
        <w:rPr>
          <w:lang w:val="en-GB"/>
        </w:rPr>
        <w:t xml:space="preserve">A utility is required where relevant, to conform </w:t>
      </w:r>
      <w:r w:rsidRPr="00624C86">
        <w:rPr>
          <w:b/>
          <w:bCs/>
          <w:lang w:val="en-GB"/>
        </w:rPr>
        <w:t xml:space="preserve">at a minimum </w:t>
      </w:r>
      <w:r w:rsidRPr="004452A1">
        <w:rPr>
          <w:lang w:val="en-GB"/>
        </w:rPr>
        <w:t xml:space="preserve">with the following </w:t>
      </w:r>
      <w:r w:rsidR="009C22DB">
        <w:rPr>
          <w:lang w:val="en-GB"/>
        </w:rPr>
        <w:t>s</w:t>
      </w:r>
      <w:r w:rsidRPr="004452A1">
        <w:rPr>
          <w:lang w:val="en-GB"/>
        </w:rPr>
        <w:t>tandards under this Code:</w:t>
      </w:r>
    </w:p>
    <w:p w14:paraId="2E400BDF" w14:textId="7DCDEDFB" w:rsidR="002B4F26" w:rsidRDefault="002B4F26" w:rsidP="008819E9">
      <w:pPr>
        <w:pStyle w:val="ListParagraph"/>
        <w:numPr>
          <w:ilvl w:val="1"/>
          <w:numId w:val="87"/>
        </w:numPr>
        <w:contextualSpacing w:val="0"/>
        <w:rPr>
          <w:lang w:val="en-GB"/>
        </w:rPr>
      </w:pPr>
      <w:r w:rsidRPr="004452A1">
        <w:rPr>
          <w:lang w:val="en-GB"/>
        </w:rPr>
        <w:t xml:space="preserve">AS/NZS 4645 </w:t>
      </w:r>
      <w:r w:rsidR="00446891">
        <w:rPr>
          <w:lang w:val="en-GB"/>
        </w:rPr>
        <w:t>–</w:t>
      </w:r>
      <w:r w:rsidRPr="004452A1">
        <w:rPr>
          <w:lang w:val="en-GB"/>
        </w:rPr>
        <w:t xml:space="preserve"> Gas distribution networks</w:t>
      </w:r>
    </w:p>
    <w:p w14:paraId="6A1426A0" w14:textId="32665DBD" w:rsidR="002B4F26" w:rsidRDefault="002B4F26" w:rsidP="008819E9">
      <w:pPr>
        <w:pStyle w:val="ListParagraph"/>
        <w:numPr>
          <w:ilvl w:val="1"/>
          <w:numId w:val="87"/>
        </w:numPr>
        <w:contextualSpacing w:val="0"/>
        <w:rPr>
          <w:lang w:val="en-GB"/>
        </w:rPr>
      </w:pPr>
      <w:r w:rsidRPr="004452A1">
        <w:rPr>
          <w:lang w:val="en-GB"/>
        </w:rPr>
        <w:t xml:space="preserve">AS 2885 </w:t>
      </w:r>
      <w:r w:rsidR="00446891">
        <w:rPr>
          <w:lang w:val="en-GB"/>
        </w:rPr>
        <w:t>–</w:t>
      </w:r>
      <w:r w:rsidRPr="004452A1">
        <w:rPr>
          <w:lang w:val="en-GB"/>
        </w:rPr>
        <w:t xml:space="preserve"> Pipelines</w:t>
      </w:r>
      <w:r w:rsidR="00446891">
        <w:rPr>
          <w:lang w:val="en-GB"/>
        </w:rPr>
        <w:t>:</w:t>
      </w:r>
      <w:r w:rsidRPr="004452A1">
        <w:rPr>
          <w:lang w:val="en-GB"/>
        </w:rPr>
        <w:t xml:space="preserve"> gas and liquid petroleum</w:t>
      </w:r>
    </w:p>
    <w:p w14:paraId="221AC64E" w14:textId="633B1EE4" w:rsidR="002B4F26" w:rsidRDefault="002B4F26" w:rsidP="008819E9">
      <w:pPr>
        <w:pStyle w:val="ListParagraph"/>
        <w:numPr>
          <w:ilvl w:val="1"/>
          <w:numId w:val="87"/>
        </w:numPr>
        <w:contextualSpacing w:val="0"/>
        <w:rPr>
          <w:lang w:val="en-GB"/>
        </w:rPr>
      </w:pPr>
      <w:r w:rsidRPr="004452A1">
        <w:rPr>
          <w:lang w:val="en-GB"/>
        </w:rPr>
        <w:t xml:space="preserve">AS 4564 </w:t>
      </w:r>
      <w:r w:rsidR="00446891">
        <w:rPr>
          <w:lang w:val="en-GB"/>
        </w:rPr>
        <w:t xml:space="preserve">– </w:t>
      </w:r>
      <w:r w:rsidRPr="004452A1">
        <w:rPr>
          <w:lang w:val="en-GB"/>
        </w:rPr>
        <w:t>Specification for general purpose natural gas</w:t>
      </w:r>
    </w:p>
    <w:p w14:paraId="783673AD" w14:textId="6C6E6253" w:rsidR="002B4F26" w:rsidRPr="00D643EC" w:rsidRDefault="002B4F26" w:rsidP="002B4F26">
      <w:pPr>
        <w:rPr>
          <w:lang w:val="en-GB"/>
        </w:rPr>
      </w:pPr>
      <w:r w:rsidRPr="00D643EC">
        <w:rPr>
          <w:lang w:val="en-GB"/>
        </w:rPr>
        <w:t>Proponents should have regard to the information in Table 2.6 of Annexure 2 and Table</w:t>
      </w:r>
      <w:r>
        <w:rPr>
          <w:lang w:val="en-GB"/>
        </w:rPr>
        <w:t>s</w:t>
      </w:r>
      <w:r w:rsidRPr="00D643EC">
        <w:rPr>
          <w:lang w:val="en-GB"/>
        </w:rPr>
        <w:t xml:space="preserve"> 5.2 with a high degree of relevance to hydrogen pipelines of Annexure </w:t>
      </w:r>
      <w:r w:rsidR="00116638">
        <w:rPr>
          <w:lang w:val="en-GB"/>
        </w:rPr>
        <w:t>4</w:t>
      </w:r>
      <w:r w:rsidRPr="00D643EC">
        <w:rPr>
          <w:lang w:val="en-GB"/>
        </w:rPr>
        <w:t xml:space="preserve"> Legislation Summaries.</w:t>
      </w:r>
    </w:p>
    <w:p w14:paraId="759E5EDE" w14:textId="04C456B8" w:rsidR="00E63E48" w:rsidRPr="00BA14E9" w:rsidRDefault="00851F9D" w:rsidP="00E83908">
      <w:pPr>
        <w:pStyle w:val="Heading2"/>
      </w:pPr>
      <w:bookmarkStart w:id="61" w:name="_Toc222925500"/>
      <w:r w:rsidRPr="00BA14E9">
        <w:t xml:space="preserve">New South Wales: </w:t>
      </w:r>
      <w:r w:rsidRPr="00BA14E9">
        <w:rPr>
          <w:i/>
          <w:iCs/>
        </w:rPr>
        <w:t>Pipelines Act 1967</w:t>
      </w:r>
      <w:r w:rsidRPr="00BA14E9">
        <w:t xml:space="preserve"> </w:t>
      </w:r>
      <w:r w:rsidR="00FD71A1" w:rsidRPr="00BA14E9">
        <w:t>(as applied in the ACT)</w:t>
      </w:r>
      <w:bookmarkEnd w:id="61"/>
    </w:p>
    <w:p w14:paraId="42E34029" w14:textId="1FF2B4EE" w:rsidR="00C25CD5" w:rsidRPr="00BA14E9" w:rsidRDefault="000E6EB1" w:rsidP="00C25CD5">
      <w:pPr>
        <w:rPr>
          <w:rFonts w:eastAsia="Times New Roman" w:cs="Calibri"/>
          <w:color w:val="000000"/>
          <w:szCs w:val="24"/>
          <w:lang w:eastAsia="en-AU"/>
        </w:rPr>
      </w:pPr>
      <w:r w:rsidRPr="00BA14E9">
        <w:rPr>
          <w:rFonts w:eastAsia="Times New Roman" w:cs="Calibri"/>
          <w:color w:val="000000"/>
          <w:szCs w:val="24"/>
          <w:lang w:eastAsia="en-AU"/>
        </w:rPr>
        <w:t>The NSW pipelines legislation</w:t>
      </w:r>
      <w:r w:rsidR="00FD71A1" w:rsidRPr="00BA14E9">
        <w:rPr>
          <w:rFonts w:eastAsia="Times New Roman" w:cs="Calibri"/>
          <w:color w:val="000000"/>
          <w:szCs w:val="24"/>
          <w:lang w:eastAsia="en-AU"/>
        </w:rPr>
        <w:t xml:space="preserve"> (also as applied in the ACT)</w:t>
      </w:r>
      <w:r w:rsidRPr="00BA14E9">
        <w:rPr>
          <w:rFonts w:eastAsia="Times New Roman" w:cs="Calibri"/>
          <w:color w:val="000000"/>
          <w:szCs w:val="24"/>
          <w:lang w:eastAsia="en-AU"/>
        </w:rPr>
        <w:t xml:space="preserve"> contains requirements in relation to the construction, operation and maintenance of pipelines. The key obligation is that a licence is required to construct and operate pipelines. It is an offence to construct, alter, reconstruct, or operate a pipeline without holding a licence as required under section 11 of the </w:t>
      </w:r>
      <w:r w:rsidRPr="00BA14E9">
        <w:rPr>
          <w:rFonts w:eastAsia="Times New Roman" w:cs="Calibri"/>
          <w:i/>
          <w:iCs/>
          <w:color w:val="000000"/>
          <w:szCs w:val="24"/>
          <w:lang w:eastAsia="en-AU"/>
        </w:rPr>
        <w:t>Pipelines Act 1967</w:t>
      </w:r>
      <w:r w:rsidR="00467EF1">
        <w:rPr>
          <w:rFonts w:eastAsia="Times New Roman" w:cs="Calibri"/>
          <w:i/>
          <w:iCs/>
          <w:color w:val="000000"/>
          <w:szCs w:val="24"/>
          <w:lang w:eastAsia="en-AU"/>
        </w:rPr>
        <w:t xml:space="preserve"> </w:t>
      </w:r>
      <w:r w:rsidR="00467EF1">
        <w:rPr>
          <w:rFonts w:eastAsia="Times New Roman" w:cs="Calibri"/>
          <w:color w:val="000000"/>
          <w:szCs w:val="24"/>
          <w:lang w:eastAsia="en-AU"/>
        </w:rPr>
        <w:t>(NSW)</w:t>
      </w:r>
      <w:r w:rsidRPr="00BA14E9">
        <w:rPr>
          <w:rFonts w:eastAsia="Times New Roman" w:cs="Calibri"/>
          <w:color w:val="000000"/>
          <w:szCs w:val="24"/>
          <w:lang w:eastAsia="en-AU"/>
        </w:rPr>
        <w:t>.</w:t>
      </w:r>
    </w:p>
    <w:p w14:paraId="70A1CE17" w14:textId="65A23D24" w:rsidR="00454939" w:rsidRPr="00BA14E9" w:rsidRDefault="00454939" w:rsidP="00454939">
      <w:pPr>
        <w:rPr>
          <w:rFonts w:eastAsia="Times New Roman" w:cs="Calibri"/>
          <w:color w:val="000000"/>
          <w:szCs w:val="24"/>
          <w:lang w:eastAsia="en-AU"/>
        </w:rPr>
      </w:pPr>
      <w:r w:rsidRPr="00BA14E9">
        <w:rPr>
          <w:rFonts w:eastAsia="Times New Roman" w:cs="Calibri"/>
          <w:color w:val="000000"/>
          <w:szCs w:val="24"/>
          <w:lang w:eastAsia="en-AU"/>
        </w:rPr>
        <w:t xml:space="preserve">Section 3, of the </w:t>
      </w:r>
      <w:r w:rsidRPr="00BA14E9">
        <w:rPr>
          <w:rFonts w:eastAsia="Times New Roman" w:cs="Calibri"/>
          <w:i/>
          <w:iCs/>
          <w:color w:val="000000"/>
          <w:szCs w:val="24"/>
          <w:lang w:eastAsia="en-AU"/>
        </w:rPr>
        <w:t>Pipelines Act 1967</w:t>
      </w:r>
      <w:r w:rsidRPr="00BA14E9">
        <w:rPr>
          <w:rFonts w:eastAsia="Times New Roman" w:cs="Calibri"/>
          <w:color w:val="000000"/>
          <w:szCs w:val="24"/>
          <w:lang w:eastAsia="en-AU"/>
        </w:rPr>
        <w:t xml:space="preserve"> (NSW) defines pipeline to mean a pipe or system of pipes for the conveyance of any substance, whether in a gaseous, liquid or solid state but </w:t>
      </w:r>
      <w:r w:rsidRPr="00BA14E9">
        <w:rPr>
          <w:rFonts w:eastAsia="Times New Roman" w:cs="Calibri"/>
          <w:color w:val="000000"/>
          <w:szCs w:val="24"/>
          <w:lang w:eastAsia="en-AU"/>
        </w:rPr>
        <w:lastRenderedPageBreak/>
        <w:t xml:space="preserve">does not include a pipe or system of pipes for the conveyance of petroleum within the adjacent area, as defined in the </w:t>
      </w:r>
      <w:hyperlink r:id="rId24" w:history="1">
        <w:r w:rsidRPr="00BA14E9">
          <w:rPr>
            <w:rStyle w:val="Hyperlink"/>
            <w:rFonts w:eastAsia="Times New Roman" w:cs="Calibri"/>
            <w:i/>
            <w:iCs/>
            <w:color w:val="000000" w:themeColor="text1"/>
            <w:szCs w:val="24"/>
            <w:u w:val="none"/>
            <w:lang w:eastAsia="en-AU"/>
          </w:rPr>
          <w:t>Petroleum (Offshore) Act 1982</w:t>
        </w:r>
      </w:hyperlink>
      <w:r w:rsidR="00930F9E" w:rsidRPr="00BA14E9">
        <w:t xml:space="preserve"> (NSW)</w:t>
      </w:r>
      <w:r w:rsidRPr="00BA14E9">
        <w:rPr>
          <w:rFonts w:eastAsia="Times New Roman" w:cs="Calibri"/>
          <w:color w:val="000000" w:themeColor="text1"/>
          <w:szCs w:val="24"/>
          <w:lang w:eastAsia="en-AU"/>
        </w:rPr>
        <w:t>.</w:t>
      </w:r>
      <w:r w:rsidRPr="00BA14E9">
        <w:rPr>
          <w:rFonts w:eastAsia="Times New Roman" w:cs="Calibri"/>
          <w:color w:val="000000"/>
          <w:szCs w:val="24"/>
          <w:lang w:eastAsia="en-AU"/>
        </w:rPr>
        <w:t xml:space="preserve"> The Act will apply to</w:t>
      </w:r>
      <w:r w:rsidRPr="00BA14E9" w:rsidDel="00D6124B">
        <w:rPr>
          <w:rFonts w:eastAsia="Times New Roman" w:cs="Calibri"/>
          <w:color w:val="000000"/>
          <w:szCs w:val="24"/>
          <w:lang w:eastAsia="en-AU"/>
        </w:rPr>
        <w:t xml:space="preserve"> </w:t>
      </w:r>
      <w:r w:rsidRPr="00BA14E9">
        <w:rPr>
          <w:rFonts w:eastAsia="Times New Roman" w:cs="Calibri"/>
          <w:color w:val="000000"/>
          <w:szCs w:val="24"/>
          <w:lang w:eastAsia="en-AU"/>
        </w:rPr>
        <w:t xml:space="preserve">pipelines conveying hydrogen. </w:t>
      </w:r>
    </w:p>
    <w:p w14:paraId="65BCE9F1" w14:textId="77777777" w:rsidR="00B80E05" w:rsidRPr="00BA14E9" w:rsidRDefault="00B80E05" w:rsidP="00B80E05">
      <w:pPr>
        <w:rPr>
          <w:rFonts w:eastAsia="Times New Roman" w:cs="Calibri"/>
          <w:color w:val="000000"/>
          <w:szCs w:val="24"/>
          <w:lang w:eastAsia="en-AU"/>
        </w:rPr>
      </w:pPr>
      <w:r w:rsidRPr="00BA14E9">
        <w:rPr>
          <w:rFonts w:eastAsia="Times New Roman" w:cs="Calibri"/>
          <w:color w:val="000000"/>
          <w:szCs w:val="24"/>
          <w:lang w:eastAsia="en-AU"/>
        </w:rPr>
        <w:t xml:space="preserve">Licensees must: </w:t>
      </w:r>
    </w:p>
    <w:p w14:paraId="717173CA" w14:textId="0AEC5B1D"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 xml:space="preserve">Ensure that the design, construction, operation, </w:t>
      </w:r>
      <w:r w:rsidR="00DA1A36">
        <w:rPr>
          <w:rFonts w:eastAsia="Times New Roman" w:cs="Calibri"/>
          <w:color w:val="000000"/>
          <w:szCs w:val="24"/>
          <w:lang w:eastAsia="en-AU"/>
        </w:rPr>
        <w:t xml:space="preserve">and </w:t>
      </w:r>
      <w:r w:rsidRPr="00BA14E9">
        <w:rPr>
          <w:rFonts w:eastAsia="Times New Roman" w:cs="Calibri"/>
          <w:color w:val="000000"/>
          <w:szCs w:val="24"/>
          <w:lang w:eastAsia="en-AU"/>
        </w:rPr>
        <w:t>maintenance of pipelines is accordance with:</w:t>
      </w:r>
    </w:p>
    <w:p w14:paraId="28740625" w14:textId="26C03398" w:rsidR="00B80E05" w:rsidRPr="00BA14E9" w:rsidRDefault="00B80E05" w:rsidP="008819E9">
      <w:pPr>
        <w:pStyle w:val="ListParagraph"/>
        <w:numPr>
          <w:ilvl w:val="1"/>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AS 2885 for pipelines for high-pressure gas; or</w:t>
      </w:r>
    </w:p>
    <w:p w14:paraId="061C735D" w14:textId="779EB283" w:rsidR="00B80E05" w:rsidRPr="00BA14E9" w:rsidRDefault="00B80E05" w:rsidP="008819E9">
      <w:pPr>
        <w:pStyle w:val="ListParagraph"/>
        <w:numPr>
          <w:ilvl w:val="1"/>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 xml:space="preserve">otherwise, either AS 2885 or a standard approved by the Secretary  </w:t>
      </w:r>
    </w:p>
    <w:p w14:paraId="0C8279ED" w14:textId="211C0B99"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Implement a pipeline management system which complies with relevant provisions of AS 2885</w:t>
      </w:r>
    </w:p>
    <w:p w14:paraId="048C22FD" w14:textId="5738957E"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Appoint an auditor for the pipeline management system and notify the Secretary of the appointment. The role of the auditor is to conduct regular audits and prepare reports for the Secretary, including regarding compliance with AS 2885</w:t>
      </w:r>
    </w:p>
    <w:p w14:paraId="0F26E5A2" w14:textId="56490B2A"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Provide a pipeline management plan to the Secretary and implement the plan</w:t>
      </w:r>
    </w:p>
    <w:p w14:paraId="62442149" w14:textId="77777777"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various notification and reporting requirements to the Secretary, including in relation to pipeline alterations, certain incidents, repairs, activities and annual reporting requirements</w:t>
      </w:r>
    </w:p>
    <w:p w14:paraId="6ABDD884" w14:textId="77777777"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Appoint a person in charge and notify the Secretary of the appointment</w:t>
      </w:r>
    </w:p>
    <w:p w14:paraId="1028287B" w14:textId="77777777" w:rsidR="00B80E05" w:rsidRPr="00BA14E9" w:rsidRDefault="00B80E05" w:rsidP="008819E9">
      <w:pPr>
        <w:pStyle w:val="ListParagraph"/>
        <w:numPr>
          <w:ilvl w:val="0"/>
          <w:numId w:val="65"/>
        </w:numPr>
        <w:spacing w:line="278" w:lineRule="auto"/>
        <w:contextualSpacing w:val="0"/>
        <w:rPr>
          <w:rFonts w:cs="Calibri"/>
          <w:szCs w:val="24"/>
        </w:rPr>
      </w:pPr>
      <w:r w:rsidRPr="00BA14E9">
        <w:rPr>
          <w:rFonts w:eastAsia="Times New Roman" w:cs="Calibri"/>
          <w:color w:val="000000"/>
          <w:szCs w:val="24"/>
          <w:lang w:eastAsia="en-AU"/>
        </w:rPr>
        <w:t>Comply with various signage and marking requirements</w:t>
      </w:r>
    </w:p>
    <w:p w14:paraId="71ED8638" w14:textId="77777777" w:rsidR="00B80E05"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cyber security requirements, and</w:t>
      </w:r>
    </w:p>
    <w:p w14:paraId="5D9A35D3" w14:textId="7CFF8711" w:rsidR="000E6EB1" w:rsidRPr="00BA14E9" w:rsidRDefault="00B80E05"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land acquisition and compensation requirements.</w:t>
      </w:r>
    </w:p>
    <w:p w14:paraId="638B0BE3" w14:textId="50795EE3" w:rsidR="00B80E05" w:rsidRPr="00BA14E9" w:rsidRDefault="00B80E05" w:rsidP="00B80E05">
      <w:pPr>
        <w:spacing w:line="278" w:lineRule="auto"/>
        <w:rPr>
          <w:rFonts w:eastAsia="Times New Roman" w:cs="Calibri"/>
          <w:color w:val="000000"/>
          <w:szCs w:val="24"/>
          <w:lang w:eastAsia="en-AU"/>
        </w:rPr>
      </w:pPr>
      <w:r w:rsidRPr="00BA14E9">
        <w:rPr>
          <w:rFonts w:eastAsia="Times New Roman" w:cs="Calibri"/>
          <w:color w:val="000000"/>
          <w:szCs w:val="24"/>
          <w:lang w:eastAsia="en-AU"/>
        </w:rPr>
        <w:t xml:space="preserve">Proponents should have regard to the information in Table 2.6 </w:t>
      </w:r>
      <w:r w:rsidR="00396E1A" w:rsidRPr="00BA14E9">
        <w:rPr>
          <w:rFonts w:eastAsia="Times New Roman" w:cs="Calibri"/>
          <w:color w:val="000000"/>
          <w:szCs w:val="24"/>
          <w:lang w:eastAsia="en-AU"/>
        </w:rPr>
        <w:t xml:space="preserve">of Annexure 2 and </w:t>
      </w:r>
      <w:r w:rsidR="00320408" w:rsidRPr="00BA14E9">
        <w:rPr>
          <w:rFonts w:eastAsia="Times New Roman" w:cs="Calibri"/>
          <w:color w:val="000000"/>
          <w:szCs w:val="24"/>
          <w:lang w:eastAsia="en-AU"/>
        </w:rPr>
        <w:t>Table</w:t>
      </w:r>
      <w:r w:rsidR="00FD71A1" w:rsidRPr="00BA14E9">
        <w:rPr>
          <w:rFonts w:eastAsia="Times New Roman" w:cs="Calibri"/>
          <w:color w:val="000000"/>
          <w:szCs w:val="24"/>
          <w:lang w:eastAsia="en-AU"/>
        </w:rPr>
        <w:t xml:space="preserve">s 5.2 (ACT) and </w:t>
      </w:r>
      <w:r w:rsidR="00320408" w:rsidRPr="00BA14E9">
        <w:rPr>
          <w:rFonts w:eastAsia="Times New Roman" w:cs="Calibri"/>
          <w:color w:val="000000"/>
          <w:szCs w:val="24"/>
          <w:lang w:eastAsia="en-AU"/>
        </w:rPr>
        <w:t>5.4</w:t>
      </w:r>
      <w:r w:rsidR="00FD71A1" w:rsidRPr="00BA14E9">
        <w:rPr>
          <w:rFonts w:eastAsia="Times New Roman" w:cs="Calibri"/>
          <w:color w:val="000000"/>
          <w:szCs w:val="24"/>
          <w:lang w:eastAsia="en-AU"/>
        </w:rPr>
        <w:t xml:space="preserve"> (NSW)</w:t>
      </w:r>
      <w:r w:rsidR="00320408" w:rsidRPr="00BA14E9">
        <w:rPr>
          <w:rFonts w:eastAsia="Times New Roman" w:cs="Calibri"/>
          <w:color w:val="000000"/>
          <w:szCs w:val="24"/>
          <w:lang w:eastAsia="en-AU"/>
        </w:rPr>
        <w:t xml:space="preserve"> </w:t>
      </w:r>
      <w:r w:rsidR="005D35EB" w:rsidRPr="00BA14E9">
        <w:t xml:space="preserve">legislation with a </w:t>
      </w:r>
      <w:r w:rsidR="005D35EB" w:rsidRPr="00BA14E9">
        <w:rPr>
          <w:bCs/>
        </w:rPr>
        <w:t>high</w:t>
      </w:r>
      <w:r w:rsidR="005D35EB" w:rsidRPr="00BA14E9">
        <w:t xml:space="preserve"> degree of relevance to hydrogen pipelines</w:t>
      </w:r>
      <w:r w:rsidR="005D35EB" w:rsidRPr="00BA14E9">
        <w:rPr>
          <w:rFonts w:eastAsia="Times New Roman" w:cs="Calibri"/>
          <w:color w:val="000000"/>
          <w:szCs w:val="24"/>
          <w:lang w:eastAsia="en-AU"/>
        </w:rPr>
        <w:t xml:space="preserve"> of Annexure </w:t>
      </w:r>
      <w:r w:rsidR="00116638">
        <w:rPr>
          <w:rFonts w:eastAsia="Times New Roman" w:cs="Calibri"/>
          <w:color w:val="000000"/>
          <w:szCs w:val="24"/>
          <w:lang w:eastAsia="en-AU"/>
        </w:rPr>
        <w:t>4</w:t>
      </w:r>
      <w:r w:rsidR="005D35EB" w:rsidRPr="00BA14E9">
        <w:rPr>
          <w:rFonts w:eastAsia="Times New Roman" w:cs="Calibri"/>
          <w:color w:val="000000"/>
          <w:szCs w:val="24"/>
          <w:lang w:eastAsia="en-AU"/>
        </w:rPr>
        <w:t xml:space="preserve"> </w:t>
      </w:r>
      <w:r w:rsidR="00320408" w:rsidRPr="00BA14E9">
        <w:rPr>
          <w:rFonts w:eastAsia="Times New Roman" w:cs="Calibri"/>
          <w:color w:val="000000"/>
          <w:szCs w:val="24"/>
          <w:lang w:eastAsia="en-AU"/>
        </w:rPr>
        <w:t>Legislation Summaries</w:t>
      </w:r>
      <w:r w:rsidR="005D35EB" w:rsidRPr="00BA14E9">
        <w:rPr>
          <w:rFonts w:eastAsia="Times New Roman" w:cs="Calibri"/>
          <w:color w:val="000000"/>
          <w:szCs w:val="24"/>
          <w:lang w:eastAsia="en-AU"/>
        </w:rPr>
        <w:t>.</w:t>
      </w:r>
    </w:p>
    <w:p w14:paraId="0E3DFB44" w14:textId="617EE2BD" w:rsidR="00194052" w:rsidRPr="00BA14E9" w:rsidRDefault="00F87984" w:rsidP="00E83908">
      <w:pPr>
        <w:pStyle w:val="Heading2"/>
        <w:rPr>
          <w:lang w:eastAsia="en-AU"/>
        </w:rPr>
      </w:pPr>
      <w:bookmarkStart w:id="62" w:name="_Toc222925501"/>
      <w:r w:rsidRPr="00BA14E9">
        <w:t>Northern</w:t>
      </w:r>
      <w:r w:rsidRPr="00BA14E9">
        <w:rPr>
          <w:lang w:eastAsia="en-AU"/>
        </w:rPr>
        <w:t xml:space="preserve"> Territory: </w:t>
      </w:r>
      <w:r w:rsidRPr="008819E9">
        <w:rPr>
          <w:i/>
          <w:lang w:eastAsia="en-AU"/>
        </w:rPr>
        <w:t>Energy Pipelines Act 1981</w:t>
      </w:r>
      <w:bookmarkEnd w:id="62"/>
    </w:p>
    <w:p w14:paraId="3ABD059F" w14:textId="7F88094B" w:rsidR="00E37B0D" w:rsidRPr="00BA14E9" w:rsidRDefault="00E37B0D" w:rsidP="00E37B0D">
      <w:pPr>
        <w:rPr>
          <w:rFonts w:eastAsia="Times New Roman" w:cs="Calibri"/>
          <w:color w:val="000000"/>
          <w:szCs w:val="24"/>
          <w:lang w:eastAsia="en-AU"/>
        </w:rPr>
      </w:pPr>
      <w:r w:rsidRPr="00BA14E9">
        <w:rPr>
          <w:rFonts w:eastAsia="Times New Roman" w:cs="Calibri"/>
          <w:color w:val="000000"/>
          <w:szCs w:val="24"/>
          <w:lang w:eastAsia="en-AU"/>
        </w:rPr>
        <w:t xml:space="preserve">The </w:t>
      </w:r>
      <w:r w:rsidR="006D3574" w:rsidRPr="00BA14E9">
        <w:rPr>
          <w:rFonts w:eastAsia="Times New Roman" w:cs="Calibri"/>
          <w:i/>
          <w:iCs/>
          <w:color w:val="000000"/>
          <w:szCs w:val="24"/>
          <w:lang w:eastAsia="en-AU"/>
        </w:rPr>
        <w:t>Energy Pipelines Act 1981</w:t>
      </w:r>
      <w:r w:rsidR="006D3574" w:rsidRPr="00BA14E9">
        <w:rPr>
          <w:rFonts w:eastAsia="Times New Roman" w:cs="Calibri"/>
          <w:color w:val="000000"/>
          <w:szCs w:val="24"/>
          <w:lang w:eastAsia="en-AU"/>
        </w:rPr>
        <w:t xml:space="preserve"> (NT) </w:t>
      </w:r>
      <w:r w:rsidRPr="00BA14E9">
        <w:rPr>
          <w:rFonts w:eastAsia="Times New Roman" w:cs="Calibri"/>
          <w:color w:val="000000"/>
          <w:szCs w:val="24"/>
          <w:lang w:eastAsia="en-AU"/>
        </w:rPr>
        <w:t xml:space="preserve">makes provision for the construction, operation, maintenance and cessation of use or abandonment of pipelines for the conveyance of energy-producing </w:t>
      </w:r>
      <w:r w:rsidR="009F1AF7" w:rsidRPr="00BA14E9">
        <w:rPr>
          <w:rFonts w:eastAsia="Times New Roman" w:cs="Calibri"/>
          <w:color w:val="000000"/>
          <w:szCs w:val="24"/>
          <w:lang w:eastAsia="en-AU"/>
        </w:rPr>
        <w:t>hydrocarbons</w:t>
      </w:r>
      <w:r w:rsidRPr="00BA14E9">
        <w:rPr>
          <w:rFonts w:eastAsia="Times New Roman" w:cs="Calibri"/>
          <w:color w:val="000000"/>
          <w:szCs w:val="24"/>
          <w:lang w:eastAsia="en-AU"/>
        </w:rPr>
        <w:t xml:space="preserve">, and for related purposes. Energy-producing </w:t>
      </w:r>
      <w:r w:rsidR="009F1AF7" w:rsidRPr="00BA14E9">
        <w:rPr>
          <w:rFonts w:eastAsia="Times New Roman" w:cs="Calibri"/>
          <w:color w:val="000000"/>
          <w:szCs w:val="24"/>
          <w:lang w:eastAsia="en-AU"/>
        </w:rPr>
        <w:t>hydrocarbons</w:t>
      </w:r>
      <w:r w:rsidRPr="00BA14E9">
        <w:rPr>
          <w:rFonts w:eastAsia="Times New Roman" w:cs="Calibri"/>
          <w:color w:val="000000"/>
          <w:szCs w:val="24"/>
          <w:lang w:eastAsia="en-AU"/>
        </w:rPr>
        <w:t xml:space="preserve"> mean "a naturally occurring or </w:t>
      </w:r>
      <w:r w:rsidR="008869DE" w:rsidRPr="00BA14E9">
        <w:rPr>
          <w:rFonts w:eastAsia="Times New Roman" w:cs="Calibri"/>
          <w:color w:val="000000"/>
          <w:szCs w:val="24"/>
          <w:lang w:eastAsia="en-AU"/>
        </w:rPr>
        <w:t>r</w:t>
      </w:r>
      <w:r w:rsidRPr="00BA14E9">
        <w:rPr>
          <w:rFonts w:eastAsia="Times New Roman" w:cs="Calibri"/>
          <w:color w:val="000000"/>
          <w:szCs w:val="24"/>
          <w:lang w:eastAsia="en-AU"/>
        </w:rPr>
        <w:t xml:space="preserve">efined </w:t>
      </w:r>
      <w:r w:rsidR="009F1AF7" w:rsidRPr="00BA14E9">
        <w:rPr>
          <w:rFonts w:eastAsia="Times New Roman" w:cs="Calibri"/>
          <w:color w:val="000000"/>
          <w:szCs w:val="24"/>
          <w:lang w:eastAsia="en-AU"/>
        </w:rPr>
        <w:t>hydrocarbon</w:t>
      </w:r>
      <w:r w:rsidRPr="00BA14E9">
        <w:rPr>
          <w:rFonts w:eastAsia="Times New Roman" w:cs="Calibri"/>
          <w:color w:val="000000"/>
          <w:szCs w:val="24"/>
          <w:lang w:eastAsia="en-AU"/>
        </w:rPr>
        <w:t xml:space="preserve"> or mixture of hydrocarbons, whether in a liquid, solid or gaseous state, or such a hydrocarbon or mixture of </w:t>
      </w:r>
      <w:r w:rsidR="009F1AF7" w:rsidRPr="00BA14E9">
        <w:rPr>
          <w:rFonts w:eastAsia="Times New Roman" w:cs="Calibri"/>
          <w:color w:val="000000"/>
          <w:szCs w:val="24"/>
          <w:lang w:eastAsia="en-AU"/>
        </w:rPr>
        <w:t>hydrocarbons</w:t>
      </w:r>
      <w:r w:rsidRPr="00BA14E9">
        <w:rPr>
          <w:rFonts w:eastAsia="Times New Roman" w:cs="Calibri"/>
          <w:color w:val="000000"/>
          <w:szCs w:val="24"/>
          <w:lang w:eastAsia="en-AU"/>
        </w:rPr>
        <w:t xml:space="preserve"> mixed with such other substances as may be present". Therefore, the Act only applies to blended hydrogen that falls within the definition of energy-producing </w:t>
      </w:r>
      <w:r w:rsidR="009F1AF7" w:rsidRPr="00BA14E9">
        <w:rPr>
          <w:rFonts w:eastAsia="Times New Roman" w:cs="Calibri"/>
          <w:color w:val="000000"/>
          <w:szCs w:val="24"/>
          <w:lang w:eastAsia="en-AU"/>
        </w:rPr>
        <w:t>hydrocarbons</w:t>
      </w:r>
      <w:r w:rsidRPr="00BA14E9">
        <w:rPr>
          <w:rFonts w:eastAsia="Times New Roman" w:cs="Calibri"/>
          <w:color w:val="000000"/>
          <w:szCs w:val="24"/>
          <w:lang w:eastAsia="en-AU"/>
        </w:rPr>
        <w:t>.</w:t>
      </w:r>
    </w:p>
    <w:p w14:paraId="61C0D177" w14:textId="694F54AC" w:rsidR="008869DE" w:rsidRPr="00BA14E9" w:rsidRDefault="00E37B0D" w:rsidP="008869DE">
      <w:pPr>
        <w:rPr>
          <w:rFonts w:eastAsia="Times New Roman" w:cs="Calibri"/>
          <w:color w:val="000000"/>
          <w:szCs w:val="24"/>
          <w:lang w:eastAsia="en-AU"/>
        </w:rPr>
      </w:pPr>
      <w:r w:rsidRPr="00BA14E9">
        <w:rPr>
          <w:rFonts w:eastAsia="Times New Roman" w:cs="Calibri"/>
          <w:color w:val="000000"/>
          <w:szCs w:val="24"/>
          <w:lang w:eastAsia="en-AU"/>
        </w:rPr>
        <w:lastRenderedPageBreak/>
        <w:t>The Act requires pipeline construction and alterations to be licensed and follows a similar safety regime to WHS primary duties, just specifically for pipelines, in addition to land access</w:t>
      </w:r>
      <w:r w:rsidR="00977916" w:rsidRPr="00BA14E9">
        <w:rPr>
          <w:rFonts w:eastAsia="Times New Roman" w:cs="Calibri"/>
          <w:color w:val="000000"/>
          <w:szCs w:val="24"/>
          <w:lang w:eastAsia="en-AU"/>
        </w:rPr>
        <w:t> </w:t>
      </w:r>
      <w:r w:rsidRPr="00BA14E9">
        <w:rPr>
          <w:rFonts w:eastAsia="Times New Roman" w:cs="Calibri"/>
          <w:color w:val="000000"/>
          <w:szCs w:val="24"/>
          <w:lang w:eastAsia="en-AU"/>
        </w:rPr>
        <w:t>/ tenure.</w:t>
      </w:r>
      <w:r w:rsidR="006F4BDC" w:rsidRPr="00BA14E9">
        <w:rPr>
          <w:rFonts w:eastAsia="Times New Roman" w:cs="Calibri"/>
          <w:color w:val="000000"/>
          <w:szCs w:val="24"/>
          <w:lang w:eastAsia="en-AU"/>
        </w:rPr>
        <w:t xml:space="preserve"> </w:t>
      </w:r>
      <w:r w:rsidR="008869DE" w:rsidRPr="00BA14E9">
        <w:rPr>
          <w:rFonts w:eastAsia="Times New Roman" w:cs="Calibri"/>
          <w:color w:val="000000"/>
          <w:szCs w:val="24"/>
          <w:lang w:eastAsia="en-AU"/>
        </w:rPr>
        <w:t xml:space="preserve">Licensees must, under the Act and the </w:t>
      </w:r>
      <w:r w:rsidR="006F4BDC" w:rsidRPr="00BA14E9">
        <w:rPr>
          <w:rFonts w:eastAsia="Times New Roman" w:cs="Calibri"/>
          <w:color w:val="000000"/>
          <w:szCs w:val="24"/>
          <w:lang w:eastAsia="en-AU"/>
        </w:rPr>
        <w:t>r</w:t>
      </w:r>
      <w:r w:rsidR="008869DE" w:rsidRPr="00BA14E9">
        <w:rPr>
          <w:rFonts w:eastAsia="Times New Roman" w:cs="Calibri"/>
          <w:color w:val="000000"/>
          <w:szCs w:val="24"/>
          <w:lang w:eastAsia="en-AU"/>
        </w:rPr>
        <w:t xml:space="preserve">egulations: </w:t>
      </w:r>
    </w:p>
    <w:p w14:paraId="3D30AAAE" w14:textId="55341298"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Obtain the consent of the minister to commence construction or commence operating a pipeline</w:t>
      </w:r>
      <w:r w:rsidR="00FA6E54">
        <w:rPr>
          <w:rFonts w:eastAsia="Times New Roman" w:cs="Calibri"/>
          <w:color w:val="000000"/>
          <w:szCs w:val="24"/>
          <w:lang w:eastAsia="en-AU"/>
        </w:rPr>
        <w:t>.</w:t>
      </w:r>
      <w:r w:rsidRPr="00BA14E9">
        <w:rPr>
          <w:rFonts w:eastAsia="Times New Roman" w:cs="Calibri"/>
          <w:color w:val="000000"/>
          <w:szCs w:val="24"/>
          <w:lang w:eastAsia="en-AU"/>
        </w:rPr>
        <w:t xml:space="preserve"> It is an offence to construct or operate a pipeline without the consent of the Minister</w:t>
      </w:r>
    </w:p>
    <w:p w14:paraId="0F10B6FF" w14:textId="7F694E1E"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Prepare a pipeline management plan meeting the requirements set out in the Regulations</w:t>
      </w:r>
    </w:p>
    <w:p w14:paraId="0F4909B0" w14:textId="05E6D867"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modification and decommissioning requirements</w:t>
      </w:r>
    </w:p>
    <w:p w14:paraId="00056F7F" w14:textId="7EDB47EC"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 xml:space="preserve">Comply with application requirements, which include notification obligations towards </w:t>
      </w:r>
      <w:r w:rsidR="00D801AC" w:rsidRPr="00BA14E9">
        <w:rPr>
          <w:rFonts w:eastAsia="Times New Roman" w:cs="Calibri"/>
          <w:color w:val="000000"/>
          <w:szCs w:val="24"/>
          <w:lang w:eastAsia="en-AU"/>
        </w:rPr>
        <w:t>landowners</w:t>
      </w:r>
      <w:r w:rsidRPr="00BA14E9">
        <w:rPr>
          <w:rFonts w:eastAsia="Times New Roman" w:cs="Calibri"/>
          <w:color w:val="000000"/>
          <w:szCs w:val="24"/>
          <w:lang w:eastAsia="en-AU"/>
        </w:rPr>
        <w:t xml:space="preserve"> and native title claimants</w:t>
      </w:r>
    </w:p>
    <w:p w14:paraId="6B930458" w14:textId="4D820335"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any conditions imposed by the minister, including with respect to required security amounts, timeframes for construction, environmental measures or measures to minimise impact to native title rights and interests. It is an offence to fail to comply with a condition of a licence or permit</w:t>
      </w:r>
    </w:p>
    <w:p w14:paraId="021AA06E" w14:textId="3FA7592A"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prescribed standards for construction. It is an offence to fail to construct a pipeline in accordance with prescribed standards</w:t>
      </w:r>
    </w:p>
    <w:p w14:paraId="528951FC" w14:textId="4715272A"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Restore agricultural land after construction. It is an offence to fail to restore agricultural land after construction of a pipeline</w:t>
      </w:r>
    </w:p>
    <w:p w14:paraId="791B08F6" w14:textId="118C3F04"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the third-party access directions from the Minister</w:t>
      </w:r>
    </w:p>
    <w:p w14:paraId="1D33C319" w14:textId="4C5A3E3D"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Comply with environmental management provisions</w:t>
      </w:r>
    </w:p>
    <w:p w14:paraId="65D06820" w14:textId="239FB4EB" w:rsidR="008869DE" w:rsidRPr="00BA14E9" w:rsidRDefault="008869DE" w:rsidP="008819E9">
      <w:pPr>
        <w:pStyle w:val="ListParagraph"/>
        <w:numPr>
          <w:ilvl w:val="0"/>
          <w:numId w:val="65"/>
        </w:numPr>
        <w:spacing w:line="278" w:lineRule="auto"/>
        <w:contextualSpacing w:val="0"/>
        <w:rPr>
          <w:rFonts w:eastAsia="Times New Roman" w:cs="Calibri"/>
          <w:color w:val="000000"/>
          <w:szCs w:val="24"/>
          <w:lang w:eastAsia="en-AU"/>
        </w:rPr>
      </w:pPr>
      <w:r w:rsidRPr="00BA14E9">
        <w:rPr>
          <w:rFonts w:eastAsia="Times New Roman" w:cs="Calibri"/>
          <w:color w:val="000000"/>
          <w:szCs w:val="24"/>
          <w:lang w:eastAsia="en-AU"/>
        </w:rPr>
        <w:t>Compensate affected native title holders and</w:t>
      </w:r>
      <w:r w:rsidR="00C819B4">
        <w:rPr>
          <w:rFonts w:eastAsia="Times New Roman" w:cs="Calibri"/>
          <w:color w:val="000000"/>
          <w:szCs w:val="24"/>
          <w:lang w:eastAsia="en-AU"/>
        </w:rPr>
        <w:t xml:space="preserve"> </w:t>
      </w:r>
      <w:r w:rsidRPr="00BA14E9">
        <w:rPr>
          <w:rFonts w:eastAsia="Times New Roman" w:cs="Calibri"/>
          <w:color w:val="000000"/>
          <w:szCs w:val="24"/>
          <w:lang w:eastAsia="en-AU"/>
        </w:rPr>
        <w:t>/</w:t>
      </w:r>
      <w:r w:rsidR="00C819B4">
        <w:rPr>
          <w:rFonts w:eastAsia="Times New Roman" w:cs="Calibri"/>
          <w:color w:val="000000"/>
          <w:szCs w:val="24"/>
          <w:lang w:eastAsia="en-AU"/>
        </w:rPr>
        <w:t xml:space="preserve"> </w:t>
      </w:r>
      <w:r w:rsidRPr="00BA14E9">
        <w:rPr>
          <w:rFonts w:eastAsia="Times New Roman" w:cs="Calibri"/>
          <w:color w:val="000000"/>
          <w:szCs w:val="24"/>
          <w:lang w:eastAsia="en-AU"/>
        </w:rPr>
        <w:t xml:space="preserve">or </w:t>
      </w:r>
      <w:r w:rsidR="00D801AC" w:rsidRPr="00BA14E9">
        <w:rPr>
          <w:rFonts w:eastAsia="Times New Roman" w:cs="Calibri"/>
          <w:color w:val="000000"/>
          <w:szCs w:val="24"/>
          <w:lang w:eastAsia="en-AU"/>
        </w:rPr>
        <w:t>landowners</w:t>
      </w:r>
      <w:r w:rsidRPr="00BA14E9">
        <w:rPr>
          <w:rFonts w:eastAsia="Times New Roman" w:cs="Calibri"/>
          <w:color w:val="000000"/>
          <w:szCs w:val="24"/>
          <w:lang w:eastAsia="en-AU"/>
        </w:rPr>
        <w:t xml:space="preserve"> of affected land or waters.</w:t>
      </w:r>
    </w:p>
    <w:p w14:paraId="2E083D1B" w14:textId="43195726" w:rsidR="006F4BDC" w:rsidRPr="00BA14E9" w:rsidRDefault="006F4BDC" w:rsidP="006F4BDC">
      <w:pPr>
        <w:spacing w:line="278" w:lineRule="auto"/>
        <w:rPr>
          <w:rFonts w:eastAsia="Times New Roman" w:cs="Calibri"/>
          <w:color w:val="000000"/>
          <w:szCs w:val="24"/>
          <w:lang w:eastAsia="en-AU"/>
        </w:rPr>
      </w:pPr>
      <w:r w:rsidRPr="00BA14E9">
        <w:rPr>
          <w:rFonts w:eastAsia="Times New Roman" w:cs="Calibri"/>
          <w:color w:val="000000"/>
          <w:szCs w:val="24"/>
          <w:lang w:eastAsia="en-AU"/>
        </w:rPr>
        <w:t xml:space="preserve">Proponents should have regard to the information in Table 2.6 of Annexure 2 and Tables 5.6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szCs w:val="24"/>
          <w:lang w:eastAsia="en-AU"/>
        </w:rPr>
        <w:t xml:space="preserve"> of Annexure </w:t>
      </w:r>
      <w:r w:rsidR="00116638">
        <w:rPr>
          <w:rFonts w:eastAsia="Times New Roman" w:cs="Calibri"/>
          <w:color w:val="000000"/>
          <w:szCs w:val="24"/>
          <w:lang w:eastAsia="en-AU"/>
        </w:rPr>
        <w:t>4</w:t>
      </w:r>
      <w:r w:rsidRPr="00BA14E9">
        <w:rPr>
          <w:rFonts w:eastAsia="Times New Roman" w:cs="Calibri"/>
          <w:color w:val="000000"/>
          <w:szCs w:val="24"/>
          <w:lang w:eastAsia="en-AU"/>
        </w:rPr>
        <w:t xml:space="preserve"> Legislation Summaries.</w:t>
      </w:r>
    </w:p>
    <w:p w14:paraId="3BBB640B" w14:textId="643F43DE" w:rsidR="00CF5699" w:rsidRPr="00BA14E9" w:rsidRDefault="00CF5699" w:rsidP="00E83908">
      <w:pPr>
        <w:pStyle w:val="Heading2"/>
        <w:rPr>
          <w:lang w:eastAsia="en-AU"/>
        </w:rPr>
      </w:pPr>
      <w:bookmarkStart w:id="63" w:name="_Toc222925502"/>
      <w:r w:rsidRPr="00BA14E9">
        <w:rPr>
          <w:lang w:eastAsia="en-AU"/>
        </w:rPr>
        <w:t xml:space="preserve">Queensland: </w:t>
      </w:r>
      <w:r w:rsidRPr="008819E9">
        <w:rPr>
          <w:i/>
          <w:lang w:eastAsia="en-AU"/>
        </w:rPr>
        <w:t>Petroleum and Gas (Production and Safety) Act</w:t>
      </w:r>
      <w:r w:rsidR="0068670A" w:rsidRPr="004F3628">
        <w:rPr>
          <w:i/>
          <w:lang w:eastAsia="en-AU"/>
        </w:rPr>
        <w:t xml:space="preserve"> 2004</w:t>
      </w:r>
      <w:bookmarkEnd w:id="63"/>
    </w:p>
    <w:p w14:paraId="1EF9D470" w14:textId="77777777" w:rsidR="00CF5699" w:rsidRPr="00BA14E9" w:rsidRDefault="00CF5699" w:rsidP="606C9B12">
      <w:pPr>
        <w:rPr>
          <w:rFonts w:eastAsia="Times New Roman" w:cs="Calibri"/>
          <w:color w:val="000000"/>
          <w:szCs w:val="24"/>
          <w:lang w:eastAsia="en-AU"/>
        </w:rPr>
      </w:pPr>
      <w:r w:rsidRPr="00BA14E9">
        <w:rPr>
          <w:rFonts w:cs="Calibri"/>
          <w:szCs w:val="24"/>
        </w:rPr>
        <w:t xml:space="preserve">The </w:t>
      </w:r>
      <w:r w:rsidRPr="00BA14E9">
        <w:rPr>
          <w:rFonts w:cs="Calibri"/>
          <w:i/>
          <w:iCs/>
          <w:szCs w:val="24"/>
        </w:rPr>
        <w:t>Petroleum and Gas (Production and Safety) Act 2004</w:t>
      </w:r>
      <w:r w:rsidRPr="00BA14E9">
        <w:rPr>
          <w:rFonts w:cs="Calibri"/>
          <w:szCs w:val="24"/>
        </w:rPr>
        <w:t xml:space="preserve"> (QLD) (P&amp;G Act) regulates the technical and safety aspects of operating plant (which can include hydrogen pipelines), gas production, distribution systems and fuel gas delivery networks. </w:t>
      </w:r>
      <w:r w:rsidRPr="00BA14E9">
        <w:rPr>
          <w:rFonts w:eastAsia="Times New Roman" w:cs="Calibri"/>
          <w:color w:val="000000" w:themeColor="text1"/>
          <w:lang w:eastAsia="en-AU"/>
        </w:rPr>
        <w:t xml:space="preserve">The Act: </w:t>
      </w:r>
    </w:p>
    <w:p w14:paraId="71578960" w14:textId="77777777" w:rsidR="00CF5699" w:rsidRPr="00BA14E9" w:rsidRDefault="00CF5699" w:rsidP="008819E9">
      <w:pPr>
        <w:pStyle w:val="ListParagraph"/>
        <w:numPr>
          <w:ilvl w:val="0"/>
          <w:numId w:val="50"/>
        </w:numPr>
        <w:spacing w:line="278" w:lineRule="auto"/>
        <w:contextualSpacing w:val="0"/>
        <w:rPr>
          <w:rFonts w:eastAsia="Times New Roman" w:cs="Calibri"/>
          <w:color w:val="000000"/>
          <w:szCs w:val="24"/>
          <w:lang w:eastAsia="en-AU"/>
        </w:rPr>
      </w:pPr>
      <w:r w:rsidRPr="00BA14E9">
        <w:rPr>
          <w:rFonts w:eastAsia="Times New Roman" w:cs="Calibri"/>
          <w:color w:val="000000" w:themeColor="text1"/>
          <w:lang w:eastAsia="en-AU"/>
        </w:rPr>
        <w:t xml:space="preserve">requires a performance </w:t>
      </w:r>
      <w:proofErr w:type="gramStart"/>
      <w:r w:rsidRPr="00BA14E9">
        <w:rPr>
          <w:rFonts w:eastAsia="Times New Roman" w:cs="Calibri"/>
          <w:color w:val="000000" w:themeColor="text1"/>
          <w:lang w:eastAsia="en-AU"/>
        </w:rPr>
        <w:t>risk based</w:t>
      </w:r>
      <w:proofErr w:type="gramEnd"/>
      <w:r w:rsidRPr="00BA14E9">
        <w:rPr>
          <w:rFonts w:eastAsia="Times New Roman" w:cs="Calibri"/>
          <w:color w:val="000000" w:themeColor="text1"/>
          <w:lang w:eastAsia="en-AU"/>
        </w:rPr>
        <w:t xml:space="preserve"> safety and health management system approach to addressing regulation; and </w:t>
      </w:r>
    </w:p>
    <w:p w14:paraId="463E2D06" w14:textId="09FC2490" w:rsidR="00CF5699" w:rsidRPr="00BA14E9" w:rsidRDefault="00CF5699" w:rsidP="008819E9">
      <w:pPr>
        <w:pStyle w:val="ListParagraph"/>
        <w:numPr>
          <w:ilvl w:val="0"/>
          <w:numId w:val="50"/>
        </w:numPr>
        <w:spacing w:line="278" w:lineRule="auto"/>
        <w:contextualSpacing w:val="0"/>
        <w:rPr>
          <w:rFonts w:cs="Calibri"/>
          <w:szCs w:val="24"/>
        </w:rPr>
      </w:pPr>
      <w:r w:rsidRPr="00BA14E9">
        <w:rPr>
          <w:rFonts w:eastAsia="Times New Roman" w:cs="Calibri"/>
          <w:color w:val="000000" w:themeColor="text1"/>
          <w:lang w:eastAsia="en-AU"/>
        </w:rPr>
        <w:lastRenderedPageBreak/>
        <w:t>defines "operating plant", which is defined as facilities, places, activities or things which fall into one or more of the prescribed categories, and which includes distribution pipelines and authorised activities under a pipeline licen</w:t>
      </w:r>
      <w:r w:rsidR="00FC1D71">
        <w:rPr>
          <w:rFonts w:eastAsia="Times New Roman" w:cs="Calibri"/>
          <w:color w:val="000000" w:themeColor="text1"/>
          <w:lang w:eastAsia="en-AU"/>
        </w:rPr>
        <w:t>c</w:t>
      </w:r>
      <w:r w:rsidRPr="00BA14E9">
        <w:rPr>
          <w:rFonts w:eastAsia="Times New Roman" w:cs="Calibri"/>
          <w:color w:val="000000" w:themeColor="text1"/>
          <w:lang w:eastAsia="en-AU"/>
        </w:rPr>
        <w:t>e.</w:t>
      </w:r>
    </w:p>
    <w:p w14:paraId="5A52107A" w14:textId="77777777" w:rsidR="00CF5699" w:rsidRPr="00BA14E9" w:rsidRDefault="00CF5699" w:rsidP="606C9B12">
      <w:pPr>
        <w:rPr>
          <w:rFonts w:eastAsia="Times New Roman" w:cs="Calibri"/>
          <w:color w:val="000000"/>
          <w:szCs w:val="24"/>
          <w:lang w:eastAsia="en-AU"/>
        </w:rPr>
      </w:pPr>
      <w:r w:rsidRPr="00BA14E9">
        <w:rPr>
          <w:rFonts w:eastAsia="Times New Roman" w:cs="Calibri"/>
          <w:color w:val="000000" w:themeColor="text1"/>
          <w:lang w:eastAsia="en-AU"/>
        </w:rPr>
        <w:t xml:space="preserve">The </w:t>
      </w:r>
      <w:r w:rsidRPr="00BA14E9">
        <w:rPr>
          <w:rFonts w:cs="Calibri"/>
        </w:rPr>
        <w:t xml:space="preserve">P&amp;G </w:t>
      </w:r>
      <w:r w:rsidRPr="00BA14E9">
        <w:rPr>
          <w:rFonts w:eastAsia="Times New Roman" w:cs="Calibri"/>
          <w:color w:val="000000" w:themeColor="text1"/>
          <w:lang w:eastAsia="en-AU"/>
        </w:rPr>
        <w:t>Act specifically regulates pipelines through the definitions of operating plant, fuel gas and fuel gas delivery network. In general (and subject to the details below), the P&amp;G Act regulates both hydrogen transmission and distribution pipelines.</w:t>
      </w:r>
    </w:p>
    <w:p w14:paraId="194EF53C" w14:textId="230F2D42" w:rsidR="00CF5699" w:rsidRPr="00BA14E9" w:rsidRDefault="00CF5699" w:rsidP="008819E9">
      <w:pPr>
        <w:pStyle w:val="ListParagraph"/>
        <w:numPr>
          <w:ilvl w:val="0"/>
          <w:numId w:val="51"/>
        </w:numPr>
        <w:contextualSpacing w:val="0"/>
        <w:rPr>
          <w:rFonts w:eastAsia="Times New Roman" w:cs="Calibri"/>
          <w:color w:val="000000"/>
          <w:szCs w:val="24"/>
          <w:lang w:eastAsia="en-AU"/>
        </w:rPr>
      </w:pPr>
      <w:r w:rsidRPr="00BA14E9">
        <w:rPr>
          <w:rFonts w:eastAsia="Times New Roman" w:cs="Calibri"/>
          <w:color w:val="000000" w:themeColor="text1"/>
          <w:lang w:eastAsia="en-AU"/>
        </w:rPr>
        <w:t>Hydrogen transmission pipelines will require a pipeline licence and are also regulated as “operating plant”</w:t>
      </w:r>
    </w:p>
    <w:p w14:paraId="0522BB45" w14:textId="658DBD40" w:rsidR="00CF5699" w:rsidRPr="00BA14E9" w:rsidRDefault="00CF5699" w:rsidP="008819E9">
      <w:pPr>
        <w:pStyle w:val="ListParagraph"/>
        <w:numPr>
          <w:ilvl w:val="0"/>
          <w:numId w:val="51"/>
        </w:numPr>
        <w:contextualSpacing w:val="0"/>
        <w:rPr>
          <w:rFonts w:eastAsia="Times New Roman" w:cs="Calibri"/>
          <w:color w:val="000000"/>
          <w:szCs w:val="24"/>
          <w:lang w:eastAsia="en-AU"/>
        </w:rPr>
      </w:pPr>
      <w:r w:rsidRPr="00BA14E9">
        <w:rPr>
          <w:rFonts w:eastAsia="Times New Roman" w:cs="Calibri"/>
          <w:color w:val="000000" w:themeColor="text1"/>
          <w:lang w:eastAsia="en-AU"/>
        </w:rPr>
        <w:t>Hydrogen distribution pipelines do not require a pipeline licence and will only be regulated as “operating plant”.</w:t>
      </w:r>
    </w:p>
    <w:p w14:paraId="2076E996" w14:textId="1B06BA2A" w:rsidR="00CF5699" w:rsidRPr="00BA14E9" w:rsidRDefault="00CF5699" w:rsidP="606C9B12">
      <w:pPr>
        <w:rPr>
          <w:rFonts w:eastAsia="Times New Roman" w:cs="Calibri"/>
          <w:color w:val="000000"/>
          <w:szCs w:val="24"/>
          <w:lang w:eastAsia="en-AU"/>
        </w:rPr>
      </w:pPr>
      <w:r w:rsidRPr="00BA14E9">
        <w:rPr>
          <w:rFonts w:eastAsia="Times New Roman" w:cs="Calibri"/>
          <w:color w:val="000000" w:themeColor="text1"/>
          <w:lang w:eastAsia="en-AU"/>
        </w:rPr>
        <w:t>The P&amp;G Act regulates the construction, commissioning, operation and decommissioning of pipelines in Queensland that convey hydrogen and hydrogen blends</w:t>
      </w:r>
      <w:r w:rsidR="008D5A7C">
        <w:rPr>
          <w:rFonts w:eastAsia="Times New Roman" w:cs="Calibri"/>
          <w:color w:val="000000" w:themeColor="text1"/>
          <w:lang w:eastAsia="en-AU"/>
        </w:rPr>
        <w:t xml:space="preserve"> and “regulated hydrogen”</w:t>
      </w:r>
      <w:r w:rsidRPr="00BA14E9">
        <w:rPr>
          <w:rFonts w:eastAsia="Times New Roman" w:cs="Calibri"/>
          <w:color w:val="000000" w:themeColor="text1"/>
          <w:lang w:eastAsia="en-AU"/>
        </w:rPr>
        <w:t>. Both hydrogen and hydrogen gas blends are captured as "fuel gas" (if the hydrogen is used or intended to be used as a fuel to produce heat, light or power) and "regulated hydrogen" for the purposes of the P&amp;G Act.</w:t>
      </w:r>
    </w:p>
    <w:p w14:paraId="5F83C49D" w14:textId="7B23896A" w:rsidR="002C1028" w:rsidRDefault="002C1028" w:rsidP="00CF5699">
      <w:pPr>
        <w:rPr>
          <w:rFonts w:eastAsia="Times New Roman" w:cs="Calibri"/>
          <w:color w:val="000000" w:themeColor="text1"/>
          <w:lang w:eastAsia="en-AU"/>
        </w:rPr>
      </w:pPr>
      <w:r>
        <w:rPr>
          <w:rFonts w:eastAsia="Times New Roman" w:cs="Calibri"/>
          <w:color w:val="000000" w:themeColor="text1"/>
          <w:lang w:eastAsia="en-AU"/>
        </w:rPr>
        <w:t>Hydrogen pipelines will be regulated by the P&amp;G Act where:</w:t>
      </w:r>
    </w:p>
    <w:p w14:paraId="368CF10A" w14:textId="276D77AD" w:rsidR="002C1028" w:rsidRDefault="00CF5699" w:rsidP="008819E9">
      <w:pPr>
        <w:pStyle w:val="ListParagraph"/>
        <w:numPr>
          <w:ilvl w:val="0"/>
          <w:numId w:val="75"/>
        </w:numPr>
        <w:contextualSpacing w:val="0"/>
        <w:rPr>
          <w:rFonts w:eastAsia="Times New Roman" w:cs="Calibri"/>
          <w:color w:val="000000" w:themeColor="text1"/>
          <w:lang w:eastAsia="en-AU"/>
        </w:rPr>
      </w:pPr>
      <w:r w:rsidRPr="008819E9">
        <w:rPr>
          <w:rFonts w:eastAsia="Times New Roman" w:cs="Calibri"/>
          <w:color w:val="000000" w:themeColor="text1"/>
          <w:lang w:eastAsia="en-AU"/>
        </w:rPr>
        <w:t>pipelines carry hydrogen for the purposes of fuel gas</w:t>
      </w:r>
      <w:r w:rsidR="002C1028">
        <w:rPr>
          <w:rFonts w:eastAsia="Times New Roman" w:cs="Calibri"/>
          <w:color w:val="000000" w:themeColor="text1"/>
          <w:lang w:eastAsia="en-AU"/>
        </w:rPr>
        <w:t>; and</w:t>
      </w:r>
    </w:p>
    <w:p w14:paraId="25275FA0" w14:textId="4FBA22EA" w:rsidR="008F15FD" w:rsidRPr="008819E9" w:rsidRDefault="002C1028" w:rsidP="008819E9">
      <w:pPr>
        <w:pStyle w:val="ListParagraph"/>
        <w:numPr>
          <w:ilvl w:val="0"/>
          <w:numId w:val="75"/>
        </w:numPr>
        <w:contextualSpacing w:val="0"/>
        <w:rPr>
          <w:rFonts w:eastAsia="Times New Roman" w:cs="Calibri"/>
          <w:color w:val="000000" w:themeColor="text1"/>
          <w:lang w:eastAsia="en-AU"/>
        </w:rPr>
      </w:pPr>
      <w:r>
        <w:rPr>
          <w:rFonts w:eastAsia="Times New Roman" w:cs="Calibri"/>
          <w:color w:val="000000" w:themeColor="text1"/>
          <w:lang w:eastAsia="en-AU"/>
        </w:rPr>
        <w:t>Pipelines are carrying “regulated hydrogen” (</w:t>
      </w:r>
      <w:r w:rsidR="00035CE2">
        <w:rPr>
          <w:rFonts w:eastAsia="Times New Roman" w:cs="Calibri"/>
          <w:color w:val="000000" w:themeColor="text1"/>
          <w:lang w:eastAsia="en-AU"/>
        </w:rPr>
        <w:t>for example ammonia and methanol)</w:t>
      </w:r>
      <w:r w:rsidR="00CF5699" w:rsidRPr="008819E9">
        <w:rPr>
          <w:rFonts w:eastAsia="Times New Roman" w:cs="Calibri"/>
          <w:color w:val="000000" w:themeColor="text1"/>
          <w:lang w:eastAsia="en-AU"/>
        </w:rPr>
        <w:t xml:space="preserve"> </w:t>
      </w:r>
    </w:p>
    <w:p w14:paraId="0CEBD6B8" w14:textId="661F349F" w:rsidR="00CF5699" w:rsidRPr="00BA14E9" w:rsidRDefault="00CF5699" w:rsidP="00CF5699">
      <w:pPr>
        <w:rPr>
          <w:rFonts w:eastAsia="Times New Roman" w:cs="Calibri"/>
          <w:color w:val="000000"/>
          <w:lang w:eastAsia="en-AU"/>
        </w:rPr>
      </w:pPr>
      <w:r w:rsidRPr="00BA14E9">
        <w:rPr>
          <w:rFonts w:eastAsia="Times New Roman" w:cs="Calibri"/>
          <w:color w:val="000000" w:themeColor="text1"/>
          <w:lang w:eastAsia="en-AU"/>
        </w:rPr>
        <w:t xml:space="preserve">There is overlap </w:t>
      </w:r>
      <w:r w:rsidR="000C3916">
        <w:rPr>
          <w:rFonts w:eastAsia="Times New Roman" w:cs="Calibri"/>
          <w:color w:val="000000" w:themeColor="text1"/>
          <w:lang w:eastAsia="en-AU"/>
        </w:rPr>
        <w:t xml:space="preserve">between </w:t>
      </w:r>
      <w:r w:rsidRPr="00BA14E9">
        <w:rPr>
          <w:rFonts w:eastAsia="Times New Roman" w:cs="Calibri"/>
          <w:color w:val="000000" w:themeColor="text1"/>
          <w:lang w:eastAsia="en-AU"/>
        </w:rPr>
        <w:t xml:space="preserve">Health &amp; Safety Legislation and the </w:t>
      </w:r>
      <w:r w:rsidRPr="00BA14E9">
        <w:rPr>
          <w:rFonts w:cs="Calibri"/>
        </w:rPr>
        <w:t xml:space="preserve">P&amp;G Act </w:t>
      </w:r>
      <w:r>
        <w:rPr>
          <w:rFonts w:cs="Calibri"/>
        </w:rPr>
        <w:t xml:space="preserve">and </w:t>
      </w:r>
      <w:r w:rsidR="000C3916">
        <w:rPr>
          <w:rFonts w:cs="Calibri"/>
        </w:rPr>
        <w:t>overlap with the associated regulators.</w:t>
      </w:r>
      <w:r w:rsidRPr="00BA14E9">
        <w:rPr>
          <w:rFonts w:cs="Calibri"/>
        </w:rPr>
        <w:t xml:space="preserve"> </w:t>
      </w:r>
      <w:r w:rsidR="000C3916">
        <w:rPr>
          <w:rFonts w:eastAsia="Times New Roman" w:cs="Calibri"/>
          <w:color w:val="000000" w:themeColor="text1"/>
          <w:lang w:eastAsia="en-AU"/>
        </w:rPr>
        <w:t>W</w:t>
      </w:r>
      <w:r w:rsidRPr="00BA14E9">
        <w:rPr>
          <w:rFonts w:eastAsia="Times New Roman" w:cs="Calibri"/>
          <w:color w:val="000000" w:themeColor="text1"/>
          <w:lang w:eastAsia="en-AU"/>
        </w:rPr>
        <w:t>here hydrogen is not being carried for the purposes of fuel gas</w:t>
      </w:r>
      <w:r w:rsidR="00035CE2">
        <w:rPr>
          <w:rFonts w:eastAsia="Times New Roman" w:cs="Calibri"/>
          <w:color w:val="000000" w:themeColor="text1"/>
          <w:lang w:eastAsia="en-AU"/>
        </w:rPr>
        <w:t xml:space="preserve"> and is not “regulated hydrogen”</w:t>
      </w:r>
      <w:r w:rsidRPr="00BA14E9">
        <w:rPr>
          <w:rFonts w:eastAsia="Times New Roman" w:cs="Calibri"/>
          <w:color w:val="000000" w:themeColor="text1"/>
          <w:lang w:eastAsia="en-AU"/>
        </w:rPr>
        <w:t>, it will be regulated by the Health &amp; Safety Legislation</w:t>
      </w:r>
      <w:r w:rsidR="00441DA9">
        <w:rPr>
          <w:rFonts w:eastAsia="Times New Roman" w:cs="Calibri"/>
          <w:color w:val="000000" w:themeColor="text1"/>
          <w:lang w:eastAsia="en-AU"/>
        </w:rPr>
        <w:t xml:space="preserve"> rather than the P&amp;G Act</w:t>
      </w:r>
      <w:r w:rsidR="00577BD5">
        <w:rPr>
          <w:rFonts w:eastAsia="Times New Roman" w:cs="Calibri"/>
          <w:color w:val="000000" w:themeColor="text1"/>
          <w:lang w:eastAsia="en-AU"/>
        </w:rPr>
        <w:t>.</w:t>
      </w:r>
    </w:p>
    <w:p w14:paraId="4E98FF4C" w14:textId="6BB27670" w:rsidR="00CF5699" w:rsidRPr="00BA14E9" w:rsidRDefault="00CF5699" w:rsidP="00CF5699">
      <w:pPr>
        <w:rPr>
          <w:rFonts w:cs="Calibri"/>
        </w:rPr>
      </w:pPr>
      <w:r w:rsidRPr="00BA14E9">
        <w:rPr>
          <w:rFonts w:eastAsia="Times New Roman" w:cs="Calibri"/>
          <w:lang w:eastAsia="en-AU"/>
        </w:rPr>
        <w:t>Section</w:t>
      </w:r>
      <w:r w:rsidRPr="00BA14E9">
        <w:rPr>
          <w:rFonts w:eastAsia="Times New Roman" w:cs="Calibri"/>
          <w:color w:val="000000" w:themeColor="text1"/>
          <w:lang w:eastAsia="en-AU"/>
        </w:rPr>
        <w:t xml:space="preserve"> 674 of the </w:t>
      </w:r>
      <w:r w:rsidRPr="00BA14E9">
        <w:rPr>
          <w:rFonts w:cs="Calibri"/>
        </w:rPr>
        <w:t xml:space="preserve">P&amp;G Act requires the operator of an operating plant to make or adopt a compliant safety management system. Section 675 provides the content requirements for safety management systems. Paragraph 675(1)(t) </w:t>
      </w:r>
      <w:r w:rsidRPr="00BA14E9">
        <w:rPr>
          <w:rFonts w:eastAsia="Times New Roman" w:cs="Calibri"/>
          <w:color w:val="000000" w:themeColor="text1"/>
          <w:lang w:eastAsia="en-AU"/>
        </w:rPr>
        <w:t xml:space="preserve">of the </w:t>
      </w:r>
      <w:r w:rsidRPr="00BA14E9">
        <w:rPr>
          <w:rFonts w:cs="Calibri"/>
        </w:rPr>
        <w:t xml:space="preserve">P&amp;G Act provides that if the operating plant is a MHF under the </w:t>
      </w:r>
      <w:hyperlink r:id="rId25">
        <w:r w:rsidRPr="00BA14E9">
          <w:rPr>
            <w:rStyle w:val="Hyperlink"/>
            <w:rFonts w:cs="Calibri"/>
            <w:color w:val="auto"/>
            <w:u w:val="none"/>
          </w:rPr>
          <w:t>Work Health and Safety Regulation 2011</w:t>
        </w:r>
      </w:hyperlink>
      <w:r w:rsidRPr="00BA14E9">
        <w:rPr>
          <w:rFonts w:cs="Calibri"/>
        </w:rPr>
        <w:t xml:space="preserve"> (Qld) the safety management systems must address each matter not mentioned in paragraphs 675(1)(b) to (r) that is mentioned in schedule 16, 17 or 18 of the </w:t>
      </w:r>
      <w:hyperlink r:id="rId26">
        <w:r w:rsidRPr="00BA14E9">
          <w:rPr>
            <w:rStyle w:val="Hyperlink"/>
            <w:rFonts w:cs="Calibri"/>
            <w:color w:val="auto"/>
            <w:u w:val="none"/>
          </w:rPr>
          <w:t>Work Health and Safety Regulation 2011</w:t>
        </w:r>
      </w:hyperlink>
      <w:r w:rsidRPr="00BA14E9">
        <w:rPr>
          <w:rFonts w:cs="Calibri"/>
        </w:rPr>
        <w:t>.</w:t>
      </w:r>
    </w:p>
    <w:p w14:paraId="5E86F820" w14:textId="429463A8" w:rsidR="00CF5699" w:rsidRPr="00BA14E9" w:rsidRDefault="00CF5699" w:rsidP="00CF5699">
      <w:pPr>
        <w:rPr>
          <w:rFonts w:cs="Calibri"/>
        </w:rPr>
      </w:pPr>
      <w:r w:rsidRPr="00BA14E9">
        <w:rPr>
          <w:rFonts w:cs="Calibri"/>
        </w:rPr>
        <w:t xml:space="preserve">Resources Safety and Health Queensland </w:t>
      </w:r>
      <w:r w:rsidR="00F36AB7">
        <w:rPr>
          <w:rFonts w:cs="Calibri"/>
        </w:rPr>
        <w:t xml:space="preserve">(RSHQ) </w:t>
      </w:r>
      <w:proofErr w:type="gramStart"/>
      <w:r w:rsidRPr="00BA14E9">
        <w:rPr>
          <w:rFonts w:cs="Calibri"/>
        </w:rPr>
        <w:t>has</w:t>
      </w:r>
      <w:proofErr w:type="gramEnd"/>
      <w:r w:rsidRPr="00BA14E9">
        <w:rPr>
          <w:rFonts w:cs="Calibri"/>
        </w:rPr>
        <w:t xml:space="preserve"> published a Hydrogen Safety Code of Practice </w:t>
      </w:r>
      <w:r w:rsidR="003E268F">
        <w:rPr>
          <w:rFonts w:cs="Calibri"/>
        </w:rPr>
        <w:t xml:space="preserve">which includes hydrogen pipelines </w:t>
      </w:r>
      <w:r w:rsidRPr="00BA14E9">
        <w:rPr>
          <w:rFonts w:cs="Calibri"/>
        </w:rPr>
        <w:t xml:space="preserve">to inform industry stakeholders about safety requirements and approvals. The </w:t>
      </w:r>
      <w:r w:rsidR="003E268F">
        <w:rPr>
          <w:rFonts w:cs="Calibri"/>
        </w:rPr>
        <w:t>C</w:t>
      </w:r>
      <w:r w:rsidRPr="00BA14E9">
        <w:rPr>
          <w:rFonts w:cs="Calibri"/>
        </w:rPr>
        <w:t>ode has been published for the purposes of providing a consolidated and accessible reference point for fuel gas requirements that apply to hydrogen applications. The Code provides certainty about legislative requirements for hydrogen as a fuel gas and guidance for compliance under the P&amp;G Act and Regulations. The Code includes guidance as to when the P&amp;G Act and Regulations do not apply including when the storage of hydrogen at a facility is determined to be an MHF.</w:t>
      </w:r>
    </w:p>
    <w:p w14:paraId="7AE9C494" w14:textId="3361447C" w:rsidR="00CF5699" w:rsidRPr="00BA14E9" w:rsidRDefault="00CF5699" w:rsidP="00CF5699">
      <w:pPr>
        <w:rPr>
          <w:rFonts w:cs="Calibri"/>
        </w:rPr>
      </w:pPr>
      <w:r w:rsidRPr="00BA14E9">
        <w:rPr>
          <w:rFonts w:cs="Calibri"/>
        </w:rPr>
        <w:lastRenderedPageBreak/>
        <w:t xml:space="preserve">The Code of Practice relevantly provides guidance including that section 67(2) of the </w:t>
      </w:r>
      <w:r w:rsidRPr="00BA14E9">
        <w:rPr>
          <w:rFonts w:eastAsia="Times New Roman" w:cs="Calibri"/>
          <w:color w:val="000000" w:themeColor="text1"/>
          <w:lang w:eastAsia="en-AU"/>
        </w:rPr>
        <w:t>Petroleum and Gas (Safety) Regulation 2018 (Q</w:t>
      </w:r>
      <w:r w:rsidR="00474F7A">
        <w:rPr>
          <w:rFonts w:eastAsia="Times New Roman" w:cs="Calibri"/>
          <w:color w:val="000000" w:themeColor="text1"/>
          <w:lang w:eastAsia="en-AU"/>
        </w:rPr>
        <w:t>ld</w:t>
      </w:r>
      <w:r w:rsidRPr="00BA14E9">
        <w:rPr>
          <w:rFonts w:eastAsia="Times New Roman" w:cs="Calibri"/>
          <w:color w:val="000000" w:themeColor="text1"/>
          <w:lang w:eastAsia="en-AU"/>
        </w:rPr>
        <w:t xml:space="preserve">) </w:t>
      </w:r>
      <w:r w:rsidRPr="00BA14E9">
        <w:rPr>
          <w:rFonts w:cs="Calibri"/>
        </w:rPr>
        <w:t xml:space="preserve">specifies that the operator of the pipeline must ensure the design, construction, operation, maintenance and abandonment of the pipeline comply with one of the listed standards. Standards relevant for hydrogen and regulated hydrogen in pipelines will be the AS/NZS 4645 Series and the AS 2885 Series. It also confirms that </w:t>
      </w:r>
      <w:r w:rsidR="00A53C55">
        <w:rPr>
          <w:rFonts w:cs="Calibri"/>
        </w:rPr>
        <w:t>h</w:t>
      </w:r>
      <w:r w:rsidRPr="00BA14E9">
        <w:rPr>
          <w:rFonts w:cs="Calibri"/>
        </w:rPr>
        <w:t>ydrogen and regulated hydrogen pipelines are defined as operating plant and require a Safety Management System that complies with subsection 675(1) of the P&amp;G Act.</w:t>
      </w:r>
    </w:p>
    <w:p w14:paraId="7527639D" w14:textId="1161C32E" w:rsidR="00CF5699" w:rsidRPr="00BA14E9" w:rsidRDefault="00CF5699" w:rsidP="606C9B12">
      <w:pPr>
        <w:spacing w:line="278" w:lineRule="auto"/>
        <w:rPr>
          <w:rFonts w:eastAsia="Times New Roman" w:cs="Calibri"/>
          <w:color w:val="000000"/>
          <w:szCs w:val="24"/>
          <w:lang w:eastAsia="en-AU"/>
        </w:rPr>
      </w:pPr>
      <w:r w:rsidRPr="00BA14E9">
        <w:rPr>
          <w:rFonts w:eastAsia="Times New Roman" w:cs="Calibri"/>
          <w:color w:val="000000" w:themeColor="text1"/>
          <w:lang w:eastAsia="en-AU"/>
        </w:rPr>
        <w:t xml:space="preserve">Proponents should have regard to the information in Table 2.6 of Annexure 2 and Table 5.8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themeColor="text1"/>
          <w:lang w:eastAsia="en-AU"/>
        </w:rPr>
        <w:t xml:space="preserve"> of Annexure </w:t>
      </w:r>
      <w:r w:rsidR="00116638">
        <w:rPr>
          <w:rFonts w:eastAsia="Times New Roman" w:cs="Calibri"/>
          <w:color w:val="000000" w:themeColor="text1"/>
          <w:lang w:eastAsia="en-AU"/>
        </w:rPr>
        <w:t>4</w:t>
      </w:r>
      <w:r w:rsidRPr="00BA14E9">
        <w:rPr>
          <w:rFonts w:eastAsia="Times New Roman" w:cs="Calibri"/>
          <w:color w:val="000000" w:themeColor="text1"/>
          <w:lang w:eastAsia="en-AU"/>
        </w:rPr>
        <w:t xml:space="preserve"> Legislation Summaries.</w:t>
      </w:r>
    </w:p>
    <w:p w14:paraId="79DB2096" w14:textId="1659AACA" w:rsidR="005A371B" w:rsidRPr="00BA14E9" w:rsidDel="005751CB" w:rsidRDefault="00C3369F" w:rsidP="00E83908">
      <w:pPr>
        <w:pStyle w:val="Heading2"/>
        <w:rPr>
          <w:lang w:eastAsia="en-AU"/>
        </w:rPr>
      </w:pPr>
      <w:bookmarkStart w:id="64" w:name="_Toc200490173"/>
      <w:bookmarkStart w:id="65" w:name="_Toc222925503"/>
      <w:bookmarkEnd w:id="28"/>
      <w:r w:rsidRPr="00BA14E9">
        <w:rPr>
          <w:lang w:eastAsia="en-AU"/>
        </w:rPr>
        <w:t xml:space="preserve">South Australia: </w:t>
      </w:r>
      <w:r w:rsidR="000643D7" w:rsidRPr="008819E9">
        <w:rPr>
          <w:i/>
          <w:lang w:eastAsia="en-AU"/>
        </w:rPr>
        <w:t>Energy Resources Act 2000</w:t>
      </w:r>
      <w:bookmarkEnd w:id="65"/>
      <w:r w:rsidR="000643D7" w:rsidRPr="00BA14E9">
        <w:rPr>
          <w:lang w:eastAsia="en-AU"/>
        </w:rPr>
        <w:t xml:space="preserve"> </w:t>
      </w:r>
    </w:p>
    <w:p w14:paraId="667E1692" w14:textId="77777777" w:rsidR="000643D7" w:rsidRPr="00BA14E9" w:rsidRDefault="000643D7" w:rsidP="606C9B12">
      <w:pPr>
        <w:rPr>
          <w:rFonts w:eastAsia="Times New Roman" w:cs="Calibri"/>
          <w:color w:val="000000"/>
          <w:szCs w:val="24"/>
          <w:lang w:eastAsia="en-AU"/>
        </w:rPr>
      </w:pPr>
      <w:r w:rsidRPr="00BA14E9">
        <w:rPr>
          <w:rFonts w:eastAsia="Times New Roman" w:cs="Calibri"/>
          <w:color w:val="000000" w:themeColor="text1"/>
          <w:lang w:eastAsia="en-AU"/>
        </w:rPr>
        <w:t xml:space="preserve">This legislation contains provisions that apply to hydrogen pipelines. This legislation imposes licensing requirements in relation to certain activities, including transmission by pipeline, carried out in relation to a range of substances, including hydrogen. </w:t>
      </w:r>
    </w:p>
    <w:p w14:paraId="79E0B956" w14:textId="3D331D9D" w:rsidR="00C3369F" w:rsidRPr="00BA14E9" w:rsidRDefault="00C3369F" w:rsidP="606C9B12">
      <w:pPr>
        <w:rPr>
          <w:rFonts w:eastAsia="Times New Roman" w:cs="Calibri"/>
          <w:color w:val="000000"/>
          <w:szCs w:val="24"/>
          <w:lang w:eastAsia="en-AU"/>
        </w:rPr>
      </w:pPr>
      <w:r w:rsidRPr="00BA14E9">
        <w:rPr>
          <w:rFonts w:cs="Calibri"/>
        </w:rPr>
        <w:t xml:space="preserve">South Australia amended its </w:t>
      </w:r>
      <w:r w:rsidRPr="00BA14E9">
        <w:rPr>
          <w:rFonts w:cs="Calibri"/>
          <w:i/>
          <w:iCs/>
        </w:rPr>
        <w:t xml:space="preserve">Energy Resources Act 2000 </w:t>
      </w:r>
      <w:r w:rsidRPr="00BA14E9">
        <w:rPr>
          <w:rFonts w:cs="Calibri"/>
        </w:rPr>
        <w:t>(SA) (</w:t>
      </w:r>
      <w:r w:rsidRPr="00F634FE">
        <w:rPr>
          <w:rFonts w:cs="Calibri"/>
        </w:rPr>
        <w:t>formerly</w:t>
      </w:r>
      <w:r w:rsidRPr="00BA14E9">
        <w:rPr>
          <w:rFonts w:cs="Calibri"/>
          <w:i/>
          <w:iCs/>
        </w:rPr>
        <w:t xml:space="preserve"> </w:t>
      </w:r>
      <w:r w:rsidRPr="00F634FE">
        <w:rPr>
          <w:rFonts w:cs="Calibri"/>
        </w:rPr>
        <w:t>the</w:t>
      </w:r>
      <w:r w:rsidRPr="00BA14E9">
        <w:rPr>
          <w:rFonts w:cs="Calibri"/>
          <w:i/>
          <w:iCs/>
        </w:rPr>
        <w:t xml:space="preserve"> Petroleum and Geothermal Energy Act 2000</w:t>
      </w:r>
      <w:r w:rsidRPr="00BA14E9">
        <w:rPr>
          <w:rFonts w:cs="Calibri"/>
        </w:rPr>
        <w:t xml:space="preserve"> (SA)) to include hydrogen pipelines, providing a clear legal pathway for developers. </w:t>
      </w:r>
      <w:r w:rsidRPr="00BA14E9">
        <w:rPr>
          <w:rFonts w:eastAsia="Times New Roman" w:cs="Calibri"/>
          <w:color w:val="000000" w:themeColor="text1"/>
          <w:lang w:eastAsia="en-AU"/>
        </w:rPr>
        <w:t xml:space="preserve">This legislation imposes licensing requirements in relation to certain activities, including transmission by pipeline, carried out in relation to a range of substances, including hydrogen. </w:t>
      </w:r>
      <w:r w:rsidRPr="00BA14E9">
        <w:rPr>
          <w:rFonts w:cs="Calibri"/>
        </w:rPr>
        <w:t>Hydrogen related activities including exploring for hydrogen, recovering naturally occurring hydrogen from the ground and the operation of hydrogen transmission pipelines used to convey hydrogen from place to place will be subject to the licensing requirements under the legislation. Pipelines used purely for storage purposes at a hydrogen production or refuelling facility are unlikely to be captured.</w:t>
      </w:r>
    </w:p>
    <w:p w14:paraId="0E34D774" w14:textId="77777777" w:rsidR="000643D7" w:rsidRPr="00BA14E9" w:rsidRDefault="000643D7" w:rsidP="606C9B12">
      <w:pPr>
        <w:rPr>
          <w:rFonts w:eastAsia="Times New Roman" w:cs="Calibri"/>
          <w:color w:val="000000"/>
          <w:szCs w:val="24"/>
          <w:lang w:eastAsia="en-AU"/>
        </w:rPr>
      </w:pPr>
      <w:r w:rsidRPr="00BA14E9">
        <w:rPr>
          <w:rFonts w:eastAsia="Times New Roman" w:cs="Calibri"/>
          <w:color w:val="000000" w:themeColor="text1"/>
          <w:lang w:eastAsia="en-AU"/>
        </w:rPr>
        <w:t xml:space="preserve">Under the Act: </w:t>
      </w:r>
    </w:p>
    <w:p w14:paraId="1C3A2CA6" w14:textId="2C6C7FEB" w:rsidR="000643D7" w:rsidRPr="00BA14E9" w:rsidRDefault="000643D7" w:rsidP="00A06442">
      <w:pPr>
        <w:pStyle w:val="ListParagraph"/>
        <w:numPr>
          <w:ilvl w:val="0"/>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'pipeline' means '</w:t>
      </w:r>
      <w:r w:rsidRPr="00BA14E9">
        <w:rPr>
          <w:rFonts w:eastAsia="Times New Roman" w:cs="Calibri"/>
          <w:i/>
          <w:iCs/>
          <w:color w:val="000000" w:themeColor="text1"/>
          <w:lang w:eastAsia="en-AU"/>
        </w:rPr>
        <w:t>a pipe or system of pipes for conveying a regulated substance from place to place and includes— (a) tanks, machinery and equipment necessary for, or associated with, its operation; and (b) a part of a pipeline'</w:t>
      </w:r>
    </w:p>
    <w:p w14:paraId="7ECF95EC" w14:textId="597437CE" w:rsidR="000643D7" w:rsidRPr="00BA14E9" w:rsidRDefault="000643D7" w:rsidP="00A06442">
      <w:pPr>
        <w:pStyle w:val="ListParagraph"/>
        <w:numPr>
          <w:ilvl w:val="0"/>
          <w:numId w:val="49"/>
        </w:numPr>
        <w:contextualSpacing w:val="0"/>
        <w:rPr>
          <w:rFonts w:cs="Calibri"/>
          <w:szCs w:val="24"/>
        </w:rPr>
      </w:pPr>
      <w:r w:rsidRPr="00BA14E9">
        <w:rPr>
          <w:rFonts w:cs="Calibri"/>
          <w:szCs w:val="24"/>
        </w:rPr>
        <w:t>'</w:t>
      </w:r>
      <w:proofErr w:type="gramStart"/>
      <w:r w:rsidRPr="00BA14E9">
        <w:rPr>
          <w:rFonts w:eastAsia="Times New Roman" w:cs="Calibri"/>
          <w:color w:val="000000" w:themeColor="text1"/>
          <w:lang w:eastAsia="en-AU"/>
        </w:rPr>
        <w:t>regulated</w:t>
      </w:r>
      <w:proofErr w:type="gramEnd"/>
      <w:r w:rsidRPr="00BA14E9">
        <w:rPr>
          <w:rFonts w:cs="Calibri"/>
          <w:szCs w:val="24"/>
        </w:rPr>
        <w:t xml:space="preserve"> substance' expressly includes '</w:t>
      </w:r>
      <w:r w:rsidRPr="00BA14E9">
        <w:rPr>
          <w:rFonts w:cs="Calibri"/>
          <w:i/>
          <w:iCs/>
          <w:szCs w:val="24"/>
        </w:rPr>
        <w:t>hydrogen, including a hydrogen compound or other substance that is a by-product of the creation of hydrogen</w:t>
      </w:r>
      <w:r w:rsidRPr="00BA14E9">
        <w:rPr>
          <w:rFonts w:cs="Calibri"/>
          <w:szCs w:val="24"/>
        </w:rPr>
        <w:t>'</w:t>
      </w:r>
    </w:p>
    <w:p w14:paraId="7CB772B8" w14:textId="77777777" w:rsidR="000643D7" w:rsidRPr="00BA14E9" w:rsidRDefault="000643D7" w:rsidP="00A06442">
      <w:pPr>
        <w:pStyle w:val="ListParagraph"/>
        <w:numPr>
          <w:ilvl w:val="0"/>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w:t>
      </w:r>
      <w:proofErr w:type="gramStart"/>
      <w:r w:rsidRPr="00BA14E9">
        <w:rPr>
          <w:rFonts w:eastAsia="Times New Roman" w:cs="Calibri"/>
          <w:color w:val="000000" w:themeColor="text1"/>
          <w:lang w:eastAsia="en-AU"/>
        </w:rPr>
        <w:t>transmission</w:t>
      </w:r>
      <w:proofErr w:type="gramEnd"/>
      <w:r w:rsidRPr="00BA14E9">
        <w:rPr>
          <w:rFonts w:eastAsia="Times New Roman" w:cs="Calibri"/>
          <w:color w:val="000000" w:themeColor="text1"/>
          <w:lang w:eastAsia="en-AU"/>
        </w:rPr>
        <w:t xml:space="preserve"> pipeline' means a pipeline for conveying a regulated substance from place to place, but does not include:</w:t>
      </w:r>
    </w:p>
    <w:p w14:paraId="24B903F1" w14:textId="5A8DC715" w:rsidR="000643D7" w:rsidRPr="00BA14E9" w:rsidRDefault="000643D7" w:rsidP="00A06442">
      <w:pPr>
        <w:pStyle w:val="ListParagraph"/>
        <w:numPr>
          <w:ilvl w:val="1"/>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 xml:space="preserve">a pipeline located within the site of an industrial plant </w:t>
      </w:r>
    </w:p>
    <w:p w14:paraId="68D8FB35" w14:textId="0C1B4407" w:rsidR="000643D7" w:rsidRPr="00BA14E9" w:rsidRDefault="000643D7" w:rsidP="00A06442">
      <w:pPr>
        <w:pStyle w:val="ListParagraph"/>
        <w:numPr>
          <w:ilvl w:val="1"/>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 xml:space="preserve">a pipeline that forms part of a gas distribution system within a city, town or other centre of population or industry </w:t>
      </w:r>
    </w:p>
    <w:p w14:paraId="672A051B" w14:textId="3FBDF9D6" w:rsidR="000643D7" w:rsidRPr="00BA14E9" w:rsidRDefault="000643D7" w:rsidP="00A06442">
      <w:pPr>
        <w:pStyle w:val="ListParagraph"/>
        <w:numPr>
          <w:ilvl w:val="1"/>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 xml:space="preserve">if a pipeline extends beyond </w:t>
      </w:r>
      <w:r w:rsidR="003232CF">
        <w:rPr>
          <w:rFonts w:eastAsia="Times New Roman" w:cs="Calibri"/>
          <w:color w:val="000000" w:themeColor="text1"/>
          <w:lang w:eastAsia="en-AU"/>
        </w:rPr>
        <w:t>s</w:t>
      </w:r>
      <w:r w:rsidRPr="00BA14E9">
        <w:rPr>
          <w:rFonts w:eastAsia="Times New Roman" w:cs="Calibri"/>
          <w:color w:val="000000" w:themeColor="text1"/>
          <w:lang w:eastAsia="en-AU"/>
        </w:rPr>
        <w:t>tate boundaries</w:t>
      </w:r>
      <w:r w:rsidR="003232CF">
        <w:rPr>
          <w:rFonts w:eastAsia="Times New Roman" w:cs="Calibri"/>
          <w:color w:val="000000" w:themeColor="text1"/>
          <w:lang w:eastAsia="en-AU"/>
        </w:rPr>
        <w:t xml:space="preserve">, </w:t>
      </w:r>
      <w:r w:rsidRPr="00BA14E9">
        <w:rPr>
          <w:rFonts w:eastAsia="Times New Roman" w:cs="Calibri"/>
          <w:color w:val="000000" w:themeColor="text1"/>
          <w:lang w:eastAsia="en-AU"/>
        </w:rPr>
        <w:t xml:space="preserve">the parts of the pipeline located outside the </w:t>
      </w:r>
      <w:r w:rsidR="003232CF">
        <w:rPr>
          <w:rFonts w:eastAsia="Times New Roman" w:cs="Calibri"/>
          <w:color w:val="000000" w:themeColor="text1"/>
          <w:lang w:eastAsia="en-AU"/>
        </w:rPr>
        <w:t>s</w:t>
      </w:r>
      <w:r w:rsidRPr="00BA14E9">
        <w:rPr>
          <w:rFonts w:eastAsia="Times New Roman" w:cs="Calibri"/>
          <w:color w:val="000000" w:themeColor="text1"/>
          <w:lang w:eastAsia="en-AU"/>
        </w:rPr>
        <w:t>tate</w:t>
      </w:r>
      <w:r w:rsidR="005372E6" w:rsidRPr="00BA14E9">
        <w:rPr>
          <w:rFonts w:eastAsia="Times New Roman" w:cs="Calibri"/>
          <w:color w:val="000000" w:themeColor="text1"/>
          <w:lang w:eastAsia="en-AU"/>
        </w:rPr>
        <w:t>,</w:t>
      </w:r>
      <w:r w:rsidRPr="00BA14E9">
        <w:rPr>
          <w:rFonts w:eastAsia="Times New Roman" w:cs="Calibri"/>
          <w:color w:val="000000" w:themeColor="text1"/>
          <w:lang w:eastAsia="en-AU"/>
        </w:rPr>
        <w:t xml:space="preserve"> or</w:t>
      </w:r>
    </w:p>
    <w:p w14:paraId="5212C961" w14:textId="77777777" w:rsidR="000643D7" w:rsidRPr="00BA14E9" w:rsidRDefault="000643D7" w:rsidP="00A06442">
      <w:pPr>
        <w:pStyle w:val="ListParagraph"/>
        <w:numPr>
          <w:ilvl w:val="1"/>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lastRenderedPageBreak/>
        <w:t>a pipeline of a kind excluded from the ambit of this definition by the regulations (noting that no kinds of pipelines are currently excluded under the regulations).</w:t>
      </w:r>
    </w:p>
    <w:p w14:paraId="35C46FA5" w14:textId="77777777" w:rsidR="000643D7" w:rsidRPr="00BA14E9" w:rsidRDefault="000643D7" w:rsidP="606C9B12">
      <w:pPr>
        <w:rPr>
          <w:rFonts w:cs="Calibri"/>
          <w:szCs w:val="24"/>
        </w:rPr>
      </w:pPr>
      <w:r w:rsidRPr="00BA14E9">
        <w:rPr>
          <w:rFonts w:cs="Calibri"/>
          <w:szCs w:val="24"/>
        </w:rPr>
        <w:t>The Act provides for a licencing regime to enable a proponent to:</w:t>
      </w:r>
    </w:p>
    <w:p w14:paraId="4BFBEBE0" w14:textId="0E8A08F0" w:rsidR="000643D7" w:rsidRPr="00BA14E9" w:rsidRDefault="000643D7" w:rsidP="00A06442">
      <w:pPr>
        <w:pStyle w:val="ListParagraph"/>
        <w:numPr>
          <w:ilvl w:val="0"/>
          <w:numId w:val="49"/>
        </w:numPr>
        <w:contextualSpacing w:val="0"/>
        <w:rPr>
          <w:rFonts w:eastAsia="Times New Roman" w:cs="Calibri"/>
          <w:color w:val="000000"/>
          <w:szCs w:val="24"/>
          <w:lang w:eastAsia="en-AU"/>
        </w:rPr>
      </w:pPr>
      <w:r w:rsidRPr="00BA14E9">
        <w:rPr>
          <w:rFonts w:cs="Calibri"/>
          <w:szCs w:val="24"/>
        </w:rPr>
        <w:t xml:space="preserve">access land for preliminary pipeline </w:t>
      </w:r>
      <w:r w:rsidRPr="00BA14E9">
        <w:rPr>
          <w:rFonts w:eastAsia="Times New Roman" w:cs="Calibri"/>
          <w:color w:val="000000" w:themeColor="text1"/>
          <w:lang w:eastAsia="en-AU"/>
        </w:rPr>
        <w:t>activities</w:t>
      </w:r>
      <w:r w:rsidR="005372E6" w:rsidRPr="00BA14E9">
        <w:rPr>
          <w:rFonts w:eastAsia="Times New Roman" w:cs="Calibri"/>
          <w:color w:val="000000" w:themeColor="text1"/>
          <w:lang w:eastAsia="en-AU"/>
        </w:rPr>
        <w:t>,</w:t>
      </w:r>
      <w:r w:rsidRPr="00BA14E9">
        <w:rPr>
          <w:rFonts w:eastAsia="Times New Roman" w:cs="Calibri"/>
          <w:color w:val="000000" w:themeColor="text1"/>
          <w:lang w:eastAsia="en-AU"/>
        </w:rPr>
        <w:t xml:space="preserve"> and</w:t>
      </w:r>
    </w:p>
    <w:p w14:paraId="1A94CF89" w14:textId="77777777" w:rsidR="000643D7" w:rsidRPr="00BA14E9" w:rsidRDefault="000643D7" w:rsidP="00A06442">
      <w:pPr>
        <w:pStyle w:val="ListParagraph"/>
        <w:numPr>
          <w:ilvl w:val="0"/>
          <w:numId w:val="49"/>
        </w:numPr>
        <w:contextualSpacing w:val="0"/>
        <w:rPr>
          <w:rFonts w:eastAsia="Times New Roman" w:cs="Calibri"/>
          <w:color w:val="000000"/>
          <w:szCs w:val="24"/>
          <w:lang w:eastAsia="en-AU"/>
        </w:rPr>
      </w:pPr>
      <w:r w:rsidRPr="00BA14E9">
        <w:rPr>
          <w:rFonts w:eastAsia="Times New Roman" w:cs="Calibri"/>
          <w:color w:val="000000" w:themeColor="text1"/>
          <w:lang w:eastAsia="en-AU"/>
        </w:rPr>
        <w:t>construct, operate and maintain a pipeline.</w:t>
      </w:r>
    </w:p>
    <w:p w14:paraId="59EA8878" w14:textId="77777777" w:rsidR="000643D7" w:rsidRPr="00BA14E9" w:rsidRDefault="000643D7" w:rsidP="606C9B12">
      <w:pPr>
        <w:rPr>
          <w:rFonts w:cs="Calibri"/>
          <w:szCs w:val="24"/>
        </w:rPr>
      </w:pPr>
      <w:r w:rsidRPr="00BA14E9">
        <w:rPr>
          <w:rFonts w:cs="Calibri"/>
          <w:szCs w:val="24"/>
        </w:rPr>
        <w:t xml:space="preserve">Pursuant to sections 10 and 11, the construction, operation, maintenance, modification or decommissioning of a transmission pipeline (being a pipeline for conveying a regulated substance from place to place but excludes any distribution pipeline) is a regulated activity requiring a pipeline licence. </w:t>
      </w:r>
      <w:r w:rsidRPr="00BA14E9">
        <w:rPr>
          <w:rFonts w:eastAsia="Times New Roman" w:cs="Calibri"/>
          <w:color w:val="000000" w:themeColor="text1"/>
          <w:lang w:eastAsia="en-AU"/>
        </w:rPr>
        <w:t xml:space="preserve">Pipelines used purely for storage purposes at a production or refuelling facility are not captured. </w:t>
      </w:r>
    </w:p>
    <w:p w14:paraId="15824B4C" w14:textId="034A5B65" w:rsidR="000643D7" w:rsidRPr="00BA14E9" w:rsidRDefault="000643D7" w:rsidP="606C9B12">
      <w:pPr>
        <w:rPr>
          <w:rFonts w:eastAsia="Times New Roman" w:cs="Calibri"/>
          <w:color w:val="000000"/>
          <w:szCs w:val="24"/>
          <w:lang w:eastAsia="en-AU"/>
        </w:rPr>
      </w:pPr>
      <w:r w:rsidRPr="00BA14E9">
        <w:rPr>
          <w:rFonts w:cs="Calibri"/>
          <w:szCs w:val="24"/>
        </w:rPr>
        <w:t>Under the Energy Resources Regulations 2013 (SA), applications for pipeline licences or their renewal must meet specific requirements and oblige the licensee to provide prescribed information (regulations 4 and 9). These include details of the applicant and their capabilities, technical details of the proposed pipeline and associated infrastructure and, unless an existing statement of environmental objectives applies</w:t>
      </w:r>
      <w:r w:rsidR="00425020">
        <w:rPr>
          <w:rFonts w:cs="Calibri"/>
          <w:szCs w:val="24"/>
        </w:rPr>
        <w:t xml:space="preserve">, </w:t>
      </w:r>
      <w:r w:rsidRPr="00BA14E9">
        <w:rPr>
          <w:rFonts w:cs="Calibri"/>
          <w:szCs w:val="24"/>
        </w:rPr>
        <w:t xml:space="preserve">an environmental impact report and a draft statement of environmental objectives. </w:t>
      </w:r>
      <w:r w:rsidRPr="00BA14E9">
        <w:rPr>
          <w:rFonts w:cs="Calibri"/>
          <w:szCs w:val="24"/>
          <w:highlight w:val="yellow"/>
        </w:rPr>
        <w:t xml:space="preserve"> </w:t>
      </w:r>
    </w:p>
    <w:p w14:paraId="428F6512" w14:textId="77777777" w:rsidR="000643D7" w:rsidRPr="00BA14E9" w:rsidRDefault="000643D7" w:rsidP="606C9B12">
      <w:pPr>
        <w:rPr>
          <w:rFonts w:cs="Calibri"/>
          <w:szCs w:val="24"/>
        </w:rPr>
      </w:pPr>
      <w:r w:rsidRPr="00BA14E9">
        <w:rPr>
          <w:rFonts w:cs="Calibri"/>
          <w:szCs w:val="24"/>
        </w:rPr>
        <w:t>A proponent seeking to enter land to carry out preliminary pipeline activities in South Australia may obtain a preliminary survey licence (to carry out surveys, environmental evaluations, or other preparatory assessments) or a speculative survey licence (to conduct specified exploratory operations, which shall not include drilling beyond a depth of 300m). The conditions of these licences are determined at the discretion of the Minister and may include mandatory and discretionary conditions. The licences are initially granted for one year and may be renewed for further terms as needed, see sections 14 – 20.</w:t>
      </w:r>
    </w:p>
    <w:p w14:paraId="40A1BAB9" w14:textId="5A80C381" w:rsidR="005D35EB" w:rsidRPr="00BA14E9" w:rsidRDefault="005D35EB" w:rsidP="606C9B12">
      <w:pPr>
        <w:spacing w:line="278" w:lineRule="auto"/>
        <w:rPr>
          <w:rFonts w:eastAsia="Times New Roman" w:cs="Calibri"/>
          <w:color w:val="000000"/>
          <w:szCs w:val="24"/>
          <w:lang w:eastAsia="en-AU"/>
        </w:rPr>
      </w:pPr>
      <w:r w:rsidRPr="00BA14E9">
        <w:rPr>
          <w:rFonts w:eastAsia="Times New Roman" w:cs="Calibri"/>
          <w:color w:val="000000" w:themeColor="text1"/>
          <w:lang w:eastAsia="en-AU"/>
        </w:rPr>
        <w:t xml:space="preserve">Proponents should have regard to the information in Table 2.6 of Annexure 2 and Table 5.10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themeColor="text1"/>
          <w:lang w:eastAsia="en-AU"/>
        </w:rPr>
        <w:t xml:space="preserve"> of Annexure </w:t>
      </w:r>
      <w:r w:rsidR="00116638">
        <w:rPr>
          <w:rFonts w:eastAsia="Times New Roman" w:cs="Calibri"/>
          <w:color w:val="000000" w:themeColor="text1"/>
          <w:lang w:eastAsia="en-AU"/>
        </w:rPr>
        <w:t>4</w:t>
      </w:r>
      <w:r w:rsidRPr="00BA14E9">
        <w:rPr>
          <w:rFonts w:eastAsia="Times New Roman" w:cs="Calibri"/>
          <w:color w:val="000000" w:themeColor="text1"/>
          <w:lang w:eastAsia="en-AU"/>
        </w:rPr>
        <w:t xml:space="preserve"> Legislation Summaries.</w:t>
      </w:r>
    </w:p>
    <w:p w14:paraId="6B1B8AC4" w14:textId="02E44340" w:rsidR="00765D8A" w:rsidRPr="00BA14E9" w:rsidRDefault="00765D8A" w:rsidP="00E83908">
      <w:pPr>
        <w:pStyle w:val="Heading2"/>
        <w:rPr>
          <w:lang w:eastAsia="en-AU"/>
        </w:rPr>
      </w:pPr>
      <w:bookmarkStart w:id="66" w:name="_Toc222925504"/>
      <w:r w:rsidRPr="00BA14E9">
        <w:rPr>
          <w:lang w:eastAsia="en-AU"/>
        </w:rPr>
        <w:t xml:space="preserve">Tasmania: </w:t>
      </w:r>
      <w:r w:rsidRPr="00A06442">
        <w:rPr>
          <w:i/>
          <w:lang w:eastAsia="en-AU"/>
        </w:rPr>
        <w:t xml:space="preserve">Gas Safety Act </w:t>
      </w:r>
      <w:r w:rsidR="0068670A" w:rsidRPr="00A06442">
        <w:rPr>
          <w:i/>
          <w:iCs/>
          <w:lang w:eastAsia="en-AU"/>
        </w:rPr>
        <w:t>2019</w:t>
      </w:r>
      <w:r w:rsidR="0068670A">
        <w:rPr>
          <w:lang w:eastAsia="en-AU"/>
        </w:rPr>
        <w:t xml:space="preserve"> </w:t>
      </w:r>
      <w:r w:rsidRPr="00BA14E9">
        <w:rPr>
          <w:lang w:eastAsia="en-AU"/>
        </w:rPr>
        <w:t xml:space="preserve">and </w:t>
      </w:r>
      <w:r w:rsidRPr="00A06442">
        <w:rPr>
          <w:i/>
          <w:lang w:eastAsia="en-AU"/>
        </w:rPr>
        <w:t>Gas Industry Act</w:t>
      </w:r>
      <w:r w:rsidR="0068670A" w:rsidRPr="004F3628">
        <w:rPr>
          <w:i/>
          <w:lang w:eastAsia="en-AU"/>
        </w:rPr>
        <w:t xml:space="preserve"> </w:t>
      </w:r>
      <w:r w:rsidR="0068670A" w:rsidRPr="00A06442">
        <w:rPr>
          <w:i/>
          <w:iCs/>
          <w:lang w:eastAsia="en-AU"/>
        </w:rPr>
        <w:t>2019</w:t>
      </w:r>
      <w:bookmarkEnd w:id="66"/>
    </w:p>
    <w:p w14:paraId="24C09FB0" w14:textId="55E56DED" w:rsidR="00765D8A" w:rsidRPr="00BA14E9" w:rsidRDefault="00765D8A" w:rsidP="606C9B12">
      <w:pPr>
        <w:rPr>
          <w:i/>
          <w:lang w:eastAsia="en-AU"/>
        </w:rPr>
      </w:pPr>
      <w:r w:rsidRPr="00BA14E9">
        <w:rPr>
          <w:lang w:eastAsia="en-AU"/>
        </w:rPr>
        <w:t xml:space="preserve">The </w:t>
      </w:r>
      <w:r w:rsidRPr="00BA14E9">
        <w:rPr>
          <w:i/>
          <w:lang w:eastAsia="en-AU"/>
        </w:rPr>
        <w:t>Gas Safety Act 2019</w:t>
      </w:r>
      <w:r w:rsidRPr="00BA14E9">
        <w:rPr>
          <w:rFonts w:cs="Calibri"/>
        </w:rPr>
        <w:t xml:space="preserve"> (Tas) </w:t>
      </w:r>
      <w:r w:rsidR="0032067D" w:rsidRPr="00BA14E9">
        <w:rPr>
          <w:rFonts w:cs="Calibri"/>
        </w:rPr>
        <w:t>defines</w:t>
      </w:r>
      <w:r w:rsidRPr="00BA14E9">
        <w:rPr>
          <w:lang w:eastAsia="en-AU"/>
        </w:rPr>
        <w:t xml:space="preserve"> ‘gas’ </w:t>
      </w:r>
      <w:r w:rsidR="0032067D" w:rsidRPr="00BA14E9">
        <w:rPr>
          <w:lang w:eastAsia="en-AU"/>
        </w:rPr>
        <w:t xml:space="preserve">to </w:t>
      </w:r>
      <w:r w:rsidRPr="00BA14E9">
        <w:rPr>
          <w:lang w:eastAsia="en-AU"/>
        </w:rPr>
        <w:t xml:space="preserve">include hydrogen as hydrogen is a permanent gas. </w:t>
      </w:r>
    </w:p>
    <w:p w14:paraId="38D177AB" w14:textId="77777777" w:rsidR="00DA421F" w:rsidRPr="00BA14E9" w:rsidRDefault="00DA421F" w:rsidP="00DA421F">
      <w:pPr>
        <w:rPr>
          <w:rFonts w:cs="Calibri"/>
        </w:rPr>
      </w:pPr>
      <w:r w:rsidRPr="00BA14E9">
        <w:rPr>
          <w:rFonts w:cs="Calibri"/>
        </w:rPr>
        <w:t xml:space="preserve">In Tasmania under the </w:t>
      </w:r>
      <w:r w:rsidRPr="00BA14E9">
        <w:rPr>
          <w:rFonts w:cs="Calibri"/>
          <w:i/>
          <w:iCs/>
        </w:rPr>
        <w:t>Gas Safety Act 2019</w:t>
      </w:r>
      <w:r w:rsidRPr="00BA14E9">
        <w:rPr>
          <w:rFonts w:cs="Calibri"/>
        </w:rPr>
        <w:t xml:space="preserve"> (Tas) gas is a 'regulated substance' and is defined as 'any or all of the following: (a) natural gas; (b) liquefied petroleum gas; (c) compressed natural gas; (d) liquefied natural gas; (e) simulated natural gas; (f) tempered liquefied petroleum gas; (g) biogas; (h) petrochemical feed stock; (</w:t>
      </w:r>
      <w:proofErr w:type="spellStart"/>
      <w:r w:rsidRPr="00BA14E9">
        <w:rPr>
          <w:rFonts w:cs="Calibri"/>
        </w:rPr>
        <w:t>i</w:t>
      </w:r>
      <w:proofErr w:type="spellEnd"/>
      <w:r w:rsidRPr="00BA14E9">
        <w:rPr>
          <w:rFonts w:cs="Calibri"/>
        </w:rPr>
        <w:t>) any other permanent or liquefied gas that is not declared by the regulations to be excluded from the operation of this Act'. The definition of "gas" therefore includes hydrogen, which is a permanent gas and has not been declared by the regulations to be excluded from operation of the Act.</w:t>
      </w:r>
    </w:p>
    <w:p w14:paraId="460E975C" w14:textId="43C38388" w:rsidR="00DA421F" w:rsidRPr="003B58FF" w:rsidRDefault="00BA2442" w:rsidP="00765D8A">
      <w:pPr>
        <w:rPr>
          <w:rFonts w:eastAsia="Times New Roman" w:cs="Calibri"/>
          <w:iCs/>
          <w:color w:val="000000"/>
          <w:lang w:eastAsia="en-AU"/>
        </w:rPr>
      </w:pPr>
      <w:r w:rsidRPr="00BA14E9">
        <w:rPr>
          <w:lang w:eastAsia="en-AU"/>
        </w:rPr>
        <w:lastRenderedPageBreak/>
        <w:t xml:space="preserve">The definitions of </w:t>
      </w:r>
      <w:r w:rsidR="00901793">
        <w:rPr>
          <w:lang w:eastAsia="en-AU"/>
        </w:rPr>
        <w:t>gas pipeline in the</w:t>
      </w:r>
      <w:r w:rsidRPr="00BA14E9">
        <w:rPr>
          <w:lang w:eastAsia="en-AU"/>
        </w:rPr>
        <w:t xml:space="preserve"> </w:t>
      </w:r>
      <w:r w:rsidRPr="00BA14E9">
        <w:rPr>
          <w:i/>
          <w:lang w:eastAsia="en-AU"/>
        </w:rPr>
        <w:t>Gas Safety Act 2019</w:t>
      </w:r>
      <w:r w:rsidR="003B58FF">
        <w:rPr>
          <w:lang w:eastAsia="en-AU"/>
        </w:rPr>
        <w:t xml:space="preserve"> </w:t>
      </w:r>
      <w:r w:rsidR="007D1ABE">
        <w:rPr>
          <w:iCs/>
          <w:lang w:eastAsia="en-AU"/>
        </w:rPr>
        <w:t>(Tas)</w:t>
      </w:r>
      <w:r w:rsidR="003B58FF">
        <w:rPr>
          <w:i/>
          <w:lang w:eastAsia="en-AU"/>
        </w:rPr>
        <w:t xml:space="preserve"> </w:t>
      </w:r>
      <w:r w:rsidR="003B58FF">
        <w:rPr>
          <w:iCs/>
          <w:lang w:eastAsia="en-AU"/>
        </w:rPr>
        <w:t>includes a transmission pipeline</w:t>
      </w:r>
      <w:r w:rsidRPr="00BA14E9">
        <w:rPr>
          <w:i/>
          <w:lang w:eastAsia="en-AU"/>
        </w:rPr>
        <w:t>.</w:t>
      </w:r>
      <w:r w:rsidR="003B58FF">
        <w:rPr>
          <w:i/>
          <w:lang w:eastAsia="en-AU"/>
        </w:rPr>
        <w:t xml:space="preserve"> </w:t>
      </w:r>
      <w:r w:rsidR="003B58FF">
        <w:rPr>
          <w:iCs/>
          <w:lang w:eastAsia="en-AU"/>
        </w:rPr>
        <w:t xml:space="preserve">Schedule 2 of the Gas Safety Regulations </w:t>
      </w:r>
      <w:r w:rsidR="00743EBA">
        <w:rPr>
          <w:iCs/>
          <w:lang w:eastAsia="en-AU"/>
        </w:rPr>
        <w:t>includes AS 2885 as a standard applicable to gas pipelines.</w:t>
      </w:r>
    </w:p>
    <w:p w14:paraId="0CBAF25D" w14:textId="33416C47" w:rsidR="00765D8A" w:rsidRPr="00BA14E9" w:rsidRDefault="00765D8A" w:rsidP="00765D8A">
      <w:pPr>
        <w:rPr>
          <w:rFonts w:eastAsia="Times New Roman" w:cs="Calibri"/>
          <w:lang w:eastAsia="en-AU"/>
        </w:rPr>
      </w:pPr>
      <w:r w:rsidRPr="00BA14E9">
        <w:rPr>
          <w:lang w:eastAsia="en-AU"/>
        </w:rPr>
        <w:t xml:space="preserve">While separate from the Tasmanian Health &amp; Safety Legislation in regulating MHF’s there are similar requirements including section 23 of the </w:t>
      </w:r>
      <w:r w:rsidRPr="00BA14E9">
        <w:rPr>
          <w:i/>
          <w:lang w:eastAsia="en-AU"/>
        </w:rPr>
        <w:t>Gas Safety Act 2019</w:t>
      </w:r>
      <w:r>
        <w:rPr>
          <w:lang w:eastAsia="en-AU"/>
        </w:rPr>
        <w:t xml:space="preserve"> </w:t>
      </w:r>
      <w:r w:rsidR="007D1ABE">
        <w:rPr>
          <w:iCs/>
          <w:lang w:eastAsia="en-AU"/>
        </w:rPr>
        <w:t>(Tas)</w:t>
      </w:r>
      <w:r w:rsidRPr="00BA14E9">
        <w:rPr>
          <w:i/>
          <w:lang w:eastAsia="en-AU"/>
        </w:rPr>
        <w:t xml:space="preserve"> </w:t>
      </w:r>
      <w:r w:rsidRPr="00BA14E9">
        <w:rPr>
          <w:lang w:eastAsia="en-AU"/>
        </w:rPr>
        <w:t>which</w:t>
      </w:r>
      <w:r w:rsidRPr="00BA14E9">
        <w:rPr>
          <w:i/>
          <w:lang w:eastAsia="en-AU"/>
        </w:rPr>
        <w:t xml:space="preserve"> </w:t>
      </w:r>
      <w:r w:rsidRPr="00BA14E9">
        <w:rPr>
          <w:lang w:eastAsia="en-AU"/>
        </w:rPr>
        <w:t xml:space="preserve">requires a licensee to submit a safety case and have that safety case accepted or provisionally accepted prior to the pipeline being commissioned. Section 7 of the </w:t>
      </w:r>
      <w:r w:rsidRPr="00BA14E9">
        <w:rPr>
          <w:i/>
          <w:iCs/>
          <w:lang w:eastAsia="en-AU"/>
        </w:rPr>
        <w:t>Gas Safety Act 2019</w:t>
      </w:r>
      <w:r w:rsidRPr="00BA14E9">
        <w:rPr>
          <w:rFonts w:cs="Calibri"/>
        </w:rPr>
        <w:t xml:space="preserve"> </w:t>
      </w:r>
      <w:r w:rsidR="00F20D08">
        <w:rPr>
          <w:rFonts w:cs="Calibri"/>
        </w:rPr>
        <w:t>(Tas)</w:t>
      </w:r>
      <w:r w:rsidRPr="00BA14E9">
        <w:rPr>
          <w:rFonts w:cs="Calibri"/>
        </w:rPr>
        <w:t xml:space="preserve"> indicates that this Act is in addi</w:t>
      </w:r>
      <w:r w:rsidRPr="00BA14E9">
        <w:rPr>
          <w:rFonts w:eastAsia="Times New Roman" w:cs="Calibri"/>
          <w:lang w:eastAsia="en-AU"/>
        </w:rPr>
        <w:t xml:space="preserve">tion to, and does not derogate from, the </w:t>
      </w:r>
      <w:hyperlink r:id="rId27">
        <w:r w:rsidRPr="00BA14E9">
          <w:rPr>
            <w:rStyle w:val="Hyperlink"/>
            <w:rFonts w:eastAsia="Times New Roman" w:cs="Calibri"/>
            <w:i/>
            <w:iCs/>
            <w:color w:val="auto"/>
            <w:u w:val="none"/>
            <w:lang w:eastAsia="en-AU"/>
          </w:rPr>
          <w:t>Gas Industry Act 2019</w:t>
        </w:r>
      </w:hyperlink>
      <w:r w:rsidRPr="00BA14E9">
        <w:rPr>
          <w:rFonts w:eastAsia="Times New Roman" w:cs="Calibri"/>
          <w:i/>
          <w:iCs/>
          <w:lang w:eastAsia="en-AU"/>
        </w:rPr>
        <w:t xml:space="preserve"> </w:t>
      </w:r>
      <w:r w:rsidRPr="00BA14E9">
        <w:rPr>
          <w:rFonts w:cs="Calibri"/>
        </w:rPr>
        <w:t>(Tas)</w:t>
      </w:r>
      <w:r w:rsidRPr="00BA14E9">
        <w:rPr>
          <w:rFonts w:eastAsia="Times New Roman" w:cs="Calibri"/>
          <w:lang w:eastAsia="en-AU"/>
        </w:rPr>
        <w:t xml:space="preserve">, the </w:t>
      </w:r>
      <w:hyperlink r:id="rId28">
        <w:r w:rsidRPr="00BA14E9">
          <w:rPr>
            <w:rStyle w:val="Hyperlink"/>
            <w:rFonts w:eastAsia="Times New Roman" w:cs="Calibri"/>
            <w:i/>
            <w:iCs/>
            <w:color w:val="auto"/>
            <w:u w:val="none"/>
            <w:lang w:eastAsia="en-AU"/>
          </w:rPr>
          <w:t>Work Health and Safety Act 2012</w:t>
        </w:r>
      </w:hyperlink>
      <w:r w:rsidRPr="00BA14E9">
        <w:rPr>
          <w:rFonts w:eastAsia="Times New Roman" w:cs="Calibri"/>
          <w:i/>
          <w:iCs/>
          <w:lang w:eastAsia="en-AU"/>
        </w:rPr>
        <w:t xml:space="preserve"> </w:t>
      </w:r>
      <w:r w:rsidRPr="00BA14E9">
        <w:rPr>
          <w:rFonts w:cs="Calibri"/>
        </w:rPr>
        <w:t>(Tas)</w:t>
      </w:r>
      <w:r w:rsidRPr="00BA14E9">
        <w:rPr>
          <w:rFonts w:eastAsia="Times New Roman" w:cs="Calibri"/>
          <w:i/>
          <w:iCs/>
          <w:lang w:eastAsia="en-AU"/>
        </w:rPr>
        <w:t xml:space="preserve"> </w:t>
      </w:r>
      <w:r w:rsidRPr="00BA14E9">
        <w:rPr>
          <w:rFonts w:eastAsia="Times New Roman" w:cs="Calibri"/>
          <w:lang w:eastAsia="en-AU"/>
        </w:rPr>
        <w:t xml:space="preserve">and the </w:t>
      </w:r>
      <w:hyperlink r:id="rId29">
        <w:r w:rsidRPr="00BA14E9">
          <w:rPr>
            <w:rStyle w:val="Hyperlink"/>
            <w:rFonts w:eastAsia="Times New Roman" w:cs="Calibri"/>
            <w:i/>
            <w:iCs/>
            <w:color w:val="auto"/>
            <w:u w:val="none"/>
            <w:lang w:eastAsia="en-AU"/>
          </w:rPr>
          <w:t>Dangerous Goods (Road and Rail Transport) Act 2010</w:t>
        </w:r>
      </w:hyperlink>
      <w:r w:rsidRPr="00BA14E9">
        <w:rPr>
          <w:rFonts w:eastAsia="Times New Roman" w:cs="Calibri"/>
          <w:i/>
          <w:iCs/>
          <w:lang w:eastAsia="en-AU"/>
        </w:rPr>
        <w:t xml:space="preserve"> </w:t>
      </w:r>
      <w:r w:rsidRPr="00BA14E9">
        <w:rPr>
          <w:rFonts w:cs="Calibri"/>
        </w:rPr>
        <w:t>(Tas)</w:t>
      </w:r>
      <w:r w:rsidRPr="00BA14E9">
        <w:rPr>
          <w:rFonts w:eastAsia="Times New Roman" w:cs="Calibri"/>
          <w:lang w:eastAsia="en-AU"/>
        </w:rPr>
        <w:t>.</w:t>
      </w:r>
    </w:p>
    <w:p w14:paraId="7AF0A1F0" w14:textId="503B1C72" w:rsidR="00765D8A" w:rsidRPr="00BA14E9" w:rsidRDefault="00607E84" w:rsidP="606C9B12">
      <w:pPr>
        <w:rPr>
          <w:rFonts w:eastAsia="Times New Roman" w:cs="Calibri"/>
          <w:color w:val="000000"/>
          <w:szCs w:val="24"/>
          <w:lang w:eastAsia="en-AU"/>
        </w:rPr>
      </w:pPr>
      <w:r w:rsidRPr="00BA14E9">
        <w:rPr>
          <w:rFonts w:eastAsia="Times New Roman" w:cs="Calibri"/>
          <w:lang w:eastAsia="en-AU"/>
        </w:rPr>
        <w:t>T</w:t>
      </w:r>
      <w:r w:rsidR="00765D8A" w:rsidRPr="00BA14E9">
        <w:rPr>
          <w:rFonts w:eastAsia="Times New Roman" w:cs="Calibri"/>
          <w:lang w:eastAsia="en-AU"/>
        </w:rPr>
        <w:t xml:space="preserve">he </w:t>
      </w:r>
      <w:r w:rsidR="00765D8A" w:rsidRPr="00BA14E9">
        <w:rPr>
          <w:rFonts w:eastAsia="Times New Roman" w:cs="Calibri"/>
          <w:i/>
          <w:iCs/>
          <w:lang w:eastAsia="en-AU"/>
        </w:rPr>
        <w:t>Gas Industry Act 2019</w:t>
      </w:r>
      <w:r w:rsidR="00765D8A" w:rsidRPr="00BA14E9">
        <w:rPr>
          <w:rFonts w:eastAsia="Times New Roman" w:cs="Calibri"/>
          <w:lang w:eastAsia="en-AU"/>
        </w:rPr>
        <w:t xml:space="preserve"> </w:t>
      </w:r>
      <w:r w:rsidR="00F20D08">
        <w:rPr>
          <w:rFonts w:eastAsia="Times New Roman" w:cs="Calibri"/>
          <w:lang w:eastAsia="en-AU"/>
        </w:rPr>
        <w:t>(Tas)</w:t>
      </w:r>
      <w:r w:rsidR="00765D8A" w:rsidRPr="00BA14E9">
        <w:rPr>
          <w:rFonts w:eastAsia="Times New Roman" w:cs="Calibri"/>
          <w:lang w:eastAsia="en-AU"/>
        </w:rPr>
        <w:t xml:space="preserve"> </w:t>
      </w:r>
      <w:r w:rsidR="00765D8A" w:rsidRPr="00BA14E9">
        <w:rPr>
          <w:rFonts w:eastAsia="Times New Roman" w:cs="Calibri"/>
          <w:color w:val="000000" w:themeColor="text1"/>
          <w:lang w:eastAsia="en-AU"/>
        </w:rPr>
        <w:t xml:space="preserve">applies to transmission and distribution pipelines and could apply to blending facilities. Pipelines are considered 'gas infrastructure' and are regulated as 'gas infrastructure activities' and 'gas activities'. The primary obligations in relation to pipeline conveying are in Part 3 (Licensing). </w:t>
      </w:r>
      <w:proofErr w:type="gramStart"/>
      <w:r w:rsidR="00765D8A" w:rsidRPr="00BA14E9">
        <w:rPr>
          <w:rFonts w:eastAsia="Times New Roman" w:cs="Calibri"/>
          <w:color w:val="000000" w:themeColor="text1"/>
          <w:lang w:eastAsia="en-AU"/>
        </w:rPr>
        <w:t>In particular, a</w:t>
      </w:r>
      <w:proofErr w:type="gramEnd"/>
      <w:r w:rsidR="00765D8A" w:rsidRPr="00BA14E9">
        <w:rPr>
          <w:rFonts w:eastAsia="Times New Roman" w:cs="Calibri"/>
          <w:color w:val="000000" w:themeColor="text1"/>
          <w:lang w:eastAsia="en-AU"/>
        </w:rPr>
        <w:t xml:space="preserve"> licence is required </w:t>
      </w:r>
      <w:proofErr w:type="gramStart"/>
      <w:r w:rsidR="00765D8A" w:rsidRPr="00BA14E9">
        <w:rPr>
          <w:rFonts w:eastAsia="Times New Roman" w:cs="Calibri"/>
          <w:color w:val="000000" w:themeColor="text1"/>
          <w:lang w:eastAsia="en-AU"/>
        </w:rPr>
        <w:t>in order to</w:t>
      </w:r>
      <w:proofErr w:type="gramEnd"/>
      <w:r w:rsidR="00765D8A" w:rsidRPr="00BA14E9">
        <w:rPr>
          <w:rFonts w:eastAsia="Times New Roman" w:cs="Calibri"/>
          <w:color w:val="000000" w:themeColor="text1"/>
          <w:lang w:eastAsia="en-AU"/>
        </w:rPr>
        <w:t xml:space="preserve"> carry out a gas activity (section 20). A licence that authorises the carrying out of gas infrastructure activities is called a 'gas infrastructure licence'.</w:t>
      </w:r>
      <w:r w:rsidR="00BF5E16">
        <w:rPr>
          <w:rFonts w:eastAsia="Times New Roman" w:cs="Calibri"/>
          <w:color w:val="000000" w:themeColor="text1"/>
          <w:lang w:eastAsia="en-AU"/>
        </w:rPr>
        <w:t xml:space="preserve"> L</w:t>
      </w:r>
      <w:r w:rsidR="00BF5E16" w:rsidRPr="00BF5E16">
        <w:rPr>
          <w:rFonts w:eastAsia="Times New Roman" w:cs="Calibri"/>
          <w:color w:val="000000" w:themeColor="text1"/>
          <w:lang w:eastAsia="en-AU"/>
        </w:rPr>
        <w:t xml:space="preserve">icensees are required to comply with relevant Codes issued under Section 97 of the Act. </w:t>
      </w:r>
      <w:r w:rsidR="001A0844">
        <w:rPr>
          <w:rFonts w:eastAsia="Times New Roman" w:cs="Calibri"/>
          <w:color w:val="000000" w:themeColor="text1"/>
          <w:lang w:eastAsia="en-AU"/>
        </w:rPr>
        <w:t>Codes</w:t>
      </w:r>
      <w:r w:rsidR="00BF5E16" w:rsidRPr="00BF5E16">
        <w:rPr>
          <w:rFonts w:eastAsia="Times New Roman" w:cs="Calibri"/>
          <w:color w:val="000000" w:themeColor="text1"/>
          <w:lang w:eastAsia="en-AU"/>
        </w:rPr>
        <w:t xml:space="preserve"> are published on the website of the Tasmanian Economic Regulator.</w:t>
      </w:r>
    </w:p>
    <w:p w14:paraId="4B6E9DA9" w14:textId="1F3C41D6" w:rsidR="005D35EB" w:rsidRPr="00BA14E9" w:rsidRDefault="005D35EB" w:rsidP="005D35EB">
      <w:pPr>
        <w:spacing w:line="278" w:lineRule="auto"/>
        <w:rPr>
          <w:rFonts w:eastAsia="Times New Roman" w:cs="Calibri"/>
          <w:color w:val="000000"/>
          <w:szCs w:val="24"/>
          <w:lang w:eastAsia="en-AU"/>
        </w:rPr>
      </w:pPr>
      <w:r w:rsidRPr="00BA14E9">
        <w:rPr>
          <w:rFonts w:eastAsia="Times New Roman" w:cs="Calibri"/>
          <w:color w:val="000000"/>
          <w:szCs w:val="24"/>
          <w:lang w:eastAsia="en-AU"/>
        </w:rPr>
        <w:t xml:space="preserve">Proponents should have regard to the information in Table 2.6 of Annexure 2 and Table 5.12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szCs w:val="24"/>
          <w:lang w:eastAsia="en-AU"/>
        </w:rPr>
        <w:t xml:space="preserve"> of Annexure </w:t>
      </w:r>
      <w:r w:rsidR="00116638">
        <w:rPr>
          <w:rFonts w:eastAsia="Times New Roman" w:cs="Calibri"/>
          <w:color w:val="000000"/>
          <w:szCs w:val="24"/>
          <w:lang w:eastAsia="en-AU"/>
        </w:rPr>
        <w:t>4</w:t>
      </w:r>
      <w:r w:rsidR="00116638" w:rsidRPr="00BA14E9">
        <w:rPr>
          <w:rFonts w:eastAsia="Times New Roman" w:cs="Calibri"/>
          <w:color w:val="000000"/>
          <w:szCs w:val="24"/>
          <w:lang w:eastAsia="en-AU"/>
        </w:rPr>
        <w:t xml:space="preserve"> </w:t>
      </w:r>
      <w:r w:rsidRPr="00BA14E9">
        <w:rPr>
          <w:rFonts w:eastAsia="Times New Roman" w:cs="Calibri"/>
          <w:color w:val="000000"/>
          <w:szCs w:val="24"/>
          <w:lang w:eastAsia="en-AU"/>
        </w:rPr>
        <w:t>Legislation Summaries.</w:t>
      </w:r>
    </w:p>
    <w:p w14:paraId="070DB5D5" w14:textId="20055DD6" w:rsidR="006F4BDC" w:rsidRPr="00BA14E9" w:rsidRDefault="001F69B7" w:rsidP="00E83908">
      <w:pPr>
        <w:pStyle w:val="Heading2"/>
        <w:rPr>
          <w:lang w:eastAsia="en-AU"/>
        </w:rPr>
      </w:pPr>
      <w:bookmarkStart w:id="67" w:name="_Toc222925505"/>
      <w:r w:rsidRPr="00BA14E9">
        <w:rPr>
          <w:lang w:eastAsia="en-AU"/>
        </w:rPr>
        <w:t xml:space="preserve">Victoria: </w:t>
      </w:r>
      <w:r w:rsidR="000E70E2" w:rsidRPr="0072367E">
        <w:rPr>
          <w:i/>
          <w:lang w:eastAsia="en-AU"/>
        </w:rPr>
        <w:t>Pipelines Act 2005</w:t>
      </w:r>
      <w:bookmarkEnd w:id="67"/>
    </w:p>
    <w:p w14:paraId="4B1F7788" w14:textId="77777777" w:rsidR="003E76DE" w:rsidRPr="00BA14E9" w:rsidRDefault="009E7F38" w:rsidP="003E76DE">
      <w:pPr>
        <w:rPr>
          <w:rFonts w:eastAsia="Times New Roman" w:cs="Calibri"/>
          <w:color w:val="000000"/>
          <w:szCs w:val="24"/>
          <w:lang w:eastAsia="en-AU"/>
        </w:rPr>
      </w:pPr>
      <w:r w:rsidRPr="00BA14E9">
        <w:rPr>
          <w:rFonts w:eastAsia="Times New Roman" w:cs="Calibri"/>
          <w:color w:val="000000"/>
          <w:szCs w:val="24"/>
          <w:lang w:eastAsia="en-AU"/>
        </w:rPr>
        <w:t xml:space="preserve">The </w:t>
      </w:r>
      <w:r w:rsidRPr="00BA14E9">
        <w:rPr>
          <w:rFonts w:eastAsia="Times New Roman" w:cs="Calibri"/>
          <w:i/>
          <w:iCs/>
          <w:color w:val="000000"/>
          <w:szCs w:val="24"/>
          <w:lang w:eastAsia="en-AU"/>
        </w:rPr>
        <w:t xml:space="preserve">Pipelines Act 2005 </w:t>
      </w:r>
      <w:r w:rsidRPr="00BA14E9">
        <w:rPr>
          <w:rFonts w:eastAsia="Times New Roman" w:cs="Calibri"/>
          <w:color w:val="000000"/>
          <w:szCs w:val="24"/>
          <w:lang w:eastAsia="en-AU"/>
        </w:rPr>
        <w:t>(Vic) regulates the construction and operation of pipelines in Victoria.</w:t>
      </w:r>
      <w:r w:rsidR="003E76DE" w:rsidRPr="00BA14E9">
        <w:rPr>
          <w:rFonts w:eastAsia="Times New Roman" w:cs="Calibri"/>
          <w:color w:val="000000"/>
          <w:szCs w:val="24"/>
          <w:lang w:eastAsia="en-AU"/>
        </w:rPr>
        <w:t xml:space="preserve"> This Act has a unique set of definitions for pipelines, which are broad:</w:t>
      </w:r>
    </w:p>
    <w:p w14:paraId="11396F48" w14:textId="2EB4983B" w:rsidR="003E76DE" w:rsidRPr="00BA14E9" w:rsidRDefault="003E76DE" w:rsidP="00D33BE1">
      <w:pPr>
        <w:pStyle w:val="ListParagraph"/>
        <w:numPr>
          <w:ilvl w:val="0"/>
          <w:numId w:val="66"/>
        </w:numPr>
        <w:spacing w:line="278" w:lineRule="auto"/>
        <w:rPr>
          <w:rFonts w:eastAsia="Times New Roman" w:cs="Calibri"/>
          <w:color w:val="000000"/>
          <w:szCs w:val="24"/>
          <w:lang w:eastAsia="en-AU"/>
        </w:rPr>
      </w:pPr>
      <w:r w:rsidRPr="00BA14E9">
        <w:rPr>
          <w:rFonts w:eastAsia="Times New Roman" w:cs="Calibri"/>
          <w:color w:val="000000"/>
          <w:szCs w:val="24"/>
          <w:lang w:eastAsia="en-AU"/>
        </w:rPr>
        <w:t>a 'pipeline' means "a pipe or system of pipes for the conveyance of anything through the pipe or system of pipes". Subsection 9(a) of Part 2 of the Act explicitly provides that the Act applies to pipelines for the conveyance of hydrogen.</w:t>
      </w:r>
      <w:r w:rsidRPr="00BA14E9">
        <w:rPr>
          <w:rFonts w:cs="Calibri"/>
          <w:szCs w:val="24"/>
        </w:rPr>
        <w:t xml:space="preserve"> </w:t>
      </w:r>
      <w:r w:rsidRPr="00BA14E9">
        <w:rPr>
          <w:rFonts w:eastAsia="Times New Roman" w:cs="Calibri"/>
          <w:color w:val="000000"/>
          <w:szCs w:val="24"/>
          <w:lang w:eastAsia="en-AU"/>
        </w:rPr>
        <w:t>Despite this, section 10 of Part 2 of the Act</w:t>
      </w:r>
      <w:r w:rsidRPr="00BA14E9">
        <w:rPr>
          <w:rFonts w:cs="Calibri"/>
          <w:szCs w:val="24"/>
        </w:rPr>
        <w:t xml:space="preserve"> </w:t>
      </w:r>
      <w:r w:rsidRPr="00BA14E9">
        <w:rPr>
          <w:rFonts w:eastAsia="Times New Roman" w:cs="Calibri"/>
          <w:color w:val="000000"/>
          <w:szCs w:val="24"/>
          <w:lang w:eastAsia="en-AU"/>
        </w:rPr>
        <w:t>also expressly exempts certain pipelines from the application of the Act</w:t>
      </w:r>
    </w:p>
    <w:p w14:paraId="636ECC96" w14:textId="77777777" w:rsidR="003E76DE" w:rsidRPr="00BA14E9" w:rsidRDefault="003E76DE" w:rsidP="00D33BE1">
      <w:pPr>
        <w:pStyle w:val="ListParagraph"/>
        <w:numPr>
          <w:ilvl w:val="0"/>
          <w:numId w:val="66"/>
        </w:numPr>
        <w:spacing w:line="278" w:lineRule="auto"/>
        <w:rPr>
          <w:rFonts w:eastAsia="Times New Roman" w:cs="Calibri"/>
          <w:color w:val="000000"/>
          <w:szCs w:val="24"/>
          <w:lang w:eastAsia="en-AU"/>
        </w:rPr>
      </w:pPr>
      <w:r w:rsidRPr="00BA14E9">
        <w:rPr>
          <w:rFonts w:eastAsia="Times New Roman" w:cs="Calibri"/>
          <w:color w:val="000000"/>
          <w:szCs w:val="24"/>
          <w:lang w:eastAsia="en-AU"/>
        </w:rPr>
        <w:t>a 'pipe' or 'system of pipes' includes all apparatus and works associated with the pipe or system of pipes and a part of the pipe or system of pipes.</w:t>
      </w:r>
    </w:p>
    <w:p w14:paraId="489AE72B" w14:textId="12976C6B" w:rsidR="00563CE7" w:rsidRPr="00BA14E9" w:rsidRDefault="00563CE7" w:rsidP="00563CE7">
      <w:pPr>
        <w:rPr>
          <w:rFonts w:eastAsia="Times New Roman" w:cs="Calibri"/>
          <w:color w:val="000000"/>
          <w:szCs w:val="24"/>
          <w:lang w:eastAsia="en-AU"/>
        </w:rPr>
      </w:pPr>
      <w:r w:rsidRPr="00BA14E9">
        <w:rPr>
          <w:rFonts w:eastAsia="Times New Roman" w:cs="Calibri"/>
          <w:color w:val="000000"/>
          <w:szCs w:val="24"/>
          <w:lang w:eastAsia="en-AU"/>
        </w:rPr>
        <w:t>Part 3 of the Act makes it an offence to construct or operate a pipeline without a licence. Part 4 sets out a pre-licence process requiring consultation, notice and consent requirements to enter land for surveys and notice requirements before applying for a licence.</w:t>
      </w:r>
    </w:p>
    <w:p w14:paraId="15FACF5F" w14:textId="0F675416" w:rsidR="00C31722" w:rsidRPr="00BA14E9" w:rsidRDefault="00C31722" w:rsidP="00C31722">
      <w:pPr>
        <w:rPr>
          <w:rFonts w:cs="Calibri"/>
          <w:szCs w:val="24"/>
        </w:rPr>
      </w:pPr>
      <w:r w:rsidRPr="00BA14E9">
        <w:rPr>
          <w:rFonts w:cs="Calibri"/>
          <w:szCs w:val="24"/>
        </w:rPr>
        <w:t xml:space="preserve">The Pipelines Regulations 2017 </w:t>
      </w:r>
      <w:r w:rsidR="00FC617C">
        <w:rPr>
          <w:rFonts w:cs="Calibri"/>
          <w:szCs w:val="24"/>
        </w:rPr>
        <w:t>(Vic)</w:t>
      </w:r>
      <w:r w:rsidRPr="00BA14E9">
        <w:rPr>
          <w:rFonts w:cs="Calibri"/>
          <w:szCs w:val="24"/>
        </w:rPr>
        <w:t xml:space="preserve"> also set out obligations for </w:t>
      </w:r>
      <w:proofErr w:type="spellStart"/>
      <w:r w:rsidRPr="00BA14E9">
        <w:rPr>
          <w:rFonts w:cs="Calibri"/>
          <w:szCs w:val="24"/>
        </w:rPr>
        <w:t>licencees</w:t>
      </w:r>
      <w:proofErr w:type="spellEnd"/>
      <w:r w:rsidRPr="00BA14E9">
        <w:rPr>
          <w:rFonts w:cs="Calibri"/>
          <w:szCs w:val="24"/>
        </w:rPr>
        <w:t>, including among other things:</w:t>
      </w:r>
    </w:p>
    <w:p w14:paraId="51F22A7B" w14:textId="3CD59D17" w:rsidR="00C31722" w:rsidRPr="00BA14E9" w:rsidRDefault="00C31722" w:rsidP="0072367E">
      <w:pPr>
        <w:pStyle w:val="ListParagraph"/>
        <w:numPr>
          <w:ilvl w:val="0"/>
          <w:numId w:val="67"/>
        </w:numPr>
        <w:contextualSpacing w:val="0"/>
        <w:rPr>
          <w:rFonts w:eastAsia="Times New Roman" w:cs="Calibri"/>
          <w:color w:val="000000"/>
          <w:szCs w:val="24"/>
          <w:lang w:eastAsia="en-AU"/>
        </w:rPr>
      </w:pPr>
      <w:r w:rsidRPr="00BA14E9">
        <w:rPr>
          <w:rFonts w:eastAsia="Times New Roman" w:cs="Calibri"/>
          <w:color w:val="000000"/>
          <w:szCs w:val="24"/>
          <w:lang w:eastAsia="en-AU"/>
        </w:rPr>
        <w:lastRenderedPageBreak/>
        <w:t>Part 5: Compliance with standards AS 2885.1</w:t>
      </w:r>
      <w:r w:rsidR="00087B7C">
        <w:rPr>
          <w:rFonts w:eastAsia="Times New Roman" w:cs="Calibri"/>
          <w:color w:val="000000"/>
          <w:szCs w:val="24"/>
          <w:lang w:eastAsia="en-AU"/>
        </w:rPr>
        <w:t>:2018</w:t>
      </w:r>
      <w:r w:rsidRPr="00BA14E9">
        <w:rPr>
          <w:rFonts w:eastAsia="Times New Roman" w:cs="Calibri"/>
          <w:color w:val="000000"/>
          <w:szCs w:val="24"/>
          <w:lang w:eastAsia="en-AU"/>
        </w:rPr>
        <w:t xml:space="preserve"> and AS 2885.3</w:t>
      </w:r>
      <w:r w:rsidR="008902F8">
        <w:rPr>
          <w:rFonts w:eastAsia="Times New Roman" w:cs="Calibri"/>
          <w:color w:val="000000"/>
          <w:szCs w:val="24"/>
          <w:lang w:eastAsia="en-AU"/>
        </w:rPr>
        <w:t>:</w:t>
      </w:r>
      <w:r w:rsidRPr="00BA14E9">
        <w:rPr>
          <w:rFonts w:eastAsia="Times New Roman" w:cs="Calibri"/>
          <w:color w:val="000000"/>
          <w:szCs w:val="24"/>
          <w:lang w:eastAsia="en-AU"/>
        </w:rPr>
        <w:t>2</w:t>
      </w:r>
      <w:r w:rsidR="008902F8">
        <w:rPr>
          <w:rFonts w:eastAsia="Times New Roman" w:cs="Calibri"/>
          <w:color w:val="000000"/>
          <w:szCs w:val="24"/>
          <w:lang w:eastAsia="en-AU"/>
        </w:rPr>
        <w:t>022</w:t>
      </w:r>
      <w:r w:rsidRPr="00BA14E9">
        <w:rPr>
          <w:rFonts w:eastAsia="Times New Roman" w:cs="Calibri"/>
          <w:color w:val="000000"/>
          <w:szCs w:val="24"/>
          <w:lang w:eastAsia="en-AU"/>
        </w:rPr>
        <w:t xml:space="preserve"> governing the design, construction, and operation of pipelines (regulation 22)</w:t>
      </w:r>
    </w:p>
    <w:p w14:paraId="525488A6" w14:textId="483B5928" w:rsidR="00C31722" w:rsidRPr="00BA14E9" w:rsidRDefault="00C31722" w:rsidP="0072367E">
      <w:pPr>
        <w:pStyle w:val="ListParagraph"/>
        <w:numPr>
          <w:ilvl w:val="0"/>
          <w:numId w:val="67"/>
        </w:numPr>
        <w:contextualSpacing w:val="0"/>
        <w:rPr>
          <w:rFonts w:eastAsia="Times New Roman" w:cs="Calibri"/>
          <w:color w:val="000000"/>
          <w:szCs w:val="24"/>
          <w:lang w:eastAsia="en-AU"/>
        </w:rPr>
      </w:pPr>
      <w:r w:rsidRPr="00BA14E9">
        <w:rPr>
          <w:rFonts w:eastAsia="Times New Roman" w:cs="Calibri"/>
          <w:color w:val="000000"/>
          <w:szCs w:val="24"/>
          <w:lang w:eastAsia="en-AU"/>
        </w:rPr>
        <w:t>Part 5: Mandatory incident based and annual reporting obligations</w:t>
      </w:r>
    </w:p>
    <w:p w14:paraId="100B2B97" w14:textId="77777777" w:rsidR="00C31722" w:rsidRPr="00BA14E9" w:rsidRDefault="00C31722" w:rsidP="0072367E">
      <w:pPr>
        <w:pStyle w:val="ListParagraph"/>
        <w:numPr>
          <w:ilvl w:val="0"/>
          <w:numId w:val="67"/>
        </w:numPr>
        <w:contextualSpacing w:val="0"/>
        <w:rPr>
          <w:rFonts w:eastAsia="Times New Roman" w:cs="Calibri"/>
          <w:color w:val="000000"/>
          <w:szCs w:val="24"/>
          <w:lang w:eastAsia="en-AU"/>
        </w:rPr>
      </w:pPr>
      <w:r w:rsidRPr="00BA14E9">
        <w:rPr>
          <w:rFonts w:eastAsia="Times New Roman" w:cs="Calibri"/>
          <w:color w:val="000000"/>
          <w:szCs w:val="24"/>
          <w:lang w:eastAsia="en-AU"/>
        </w:rPr>
        <w:t>Part 6: Minimum requirements for the Safety Management Plan and associated safety management system and record and reporting obligations, and</w:t>
      </w:r>
    </w:p>
    <w:p w14:paraId="1793E6D2" w14:textId="77777777" w:rsidR="00C31722" w:rsidRPr="00BA14E9" w:rsidRDefault="00C31722" w:rsidP="0072367E">
      <w:pPr>
        <w:pStyle w:val="ListParagraph"/>
        <w:numPr>
          <w:ilvl w:val="0"/>
          <w:numId w:val="67"/>
        </w:numPr>
        <w:contextualSpacing w:val="0"/>
        <w:rPr>
          <w:rFonts w:eastAsia="Times New Roman" w:cs="Calibri"/>
          <w:color w:val="000000"/>
          <w:szCs w:val="24"/>
          <w:lang w:eastAsia="en-AU"/>
        </w:rPr>
      </w:pPr>
      <w:r w:rsidRPr="00BA14E9">
        <w:rPr>
          <w:rFonts w:eastAsia="Times New Roman" w:cs="Calibri"/>
          <w:color w:val="000000"/>
          <w:szCs w:val="24"/>
          <w:lang w:eastAsia="en-AU"/>
        </w:rPr>
        <w:t>Part 7: Minimum requirements for the Environment Management Plan and record and reporting obligations.</w:t>
      </w:r>
    </w:p>
    <w:p w14:paraId="07AC8921" w14:textId="2DDC369F" w:rsidR="00C31722" w:rsidRPr="00BA14E9" w:rsidRDefault="00C31722" w:rsidP="00C31722">
      <w:pPr>
        <w:spacing w:line="278" w:lineRule="auto"/>
        <w:rPr>
          <w:rFonts w:eastAsia="Times New Roman" w:cs="Calibri"/>
          <w:color w:val="000000"/>
          <w:szCs w:val="24"/>
          <w:lang w:eastAsia="en-AU"/>
        </w:rPr>
      </w:pPr>
      <w:r w:rsidRPr="00BA14E9">
        <w:rPr>
          <w:rFonts w:eastAsia="Times New Roman" w:cs="Calibri"/>
          <w:color w:val="000000"/>
          <w:szCs w:val="24"/>
          <w:lang w:eastAsia="en-AU"/>
        </w:rPr>
        <w:t xml:space="preserve">Proponents should have regard to the information in Table 2.6 of Annexure 2 and Table 5.14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szCs w:val="24"/>
          <w:lang w:eastAsia="en-AU"/>
        </w:rPr>
        <w:t xml:space="preserve"> of Annexure </w:t>
      </w:r>
      <w:r w:rsidR="00116638">
        <w:rPr>
          <w:rFonts w:eastAsia="Times New Roman" w:cs="Calibri"/>
          <w:color w:val="000000"/>
          <w:szCs w:val="24"/>
          <w:lang w:eastAsia="en-AU"/>
        </w:rPr>
        <w:t>4</w:t>
      </w:r>
      <w:r w:rsidR="00116638" w:rsidRPr="00BA14E9">
        <w:rPr>
          <w:rFonts w:eastAsia="Times New Roman" w:cs="Calibri"/>
          <w:color w:val="000000"/>
          <w:szCs w:val="24"/>
          <w:lang w:eastAsia="en-AU"/>
        </w:rPr>
        <w:t xml:space="preserve"> </w:t>
      </w:r>
      <w:r w:rsidRPr="00BA14E9">
        <w:rPr>
          <w:rFonts w:eastAsia="Times New Roman" w:cs="Calibri"/>
          <w:color w:val="000000"/>
          <w:szCs w:val="24"/>
          <w:lang w:eastAsia="en-AU"/>
        </w:rPr>
        <w:t>Legislation Summaries.</w:t>
      </w:r>
    </w:p>
    <w:p w14:paraId="60E27F38" w14:textId="004E4907" w:rsidR="00656654" w:rsidRPr="00F11145" w:rsidRDefault="00656654" w:rsidP="00E83908">
      <w:pPr>
        <w:pStyle w:val="Heading2"/>
        <w:rPr>
          <w:lang w:eastAsia="en-AU"/>
        </w:rPr>
      </w:pPr>
      <w:bookmarkStart w:id="68" w:name="_Toc222925506"/>
      <w:r w:rsidRPr="00BA14E9">
        <w:rPr>
          <w:lang w:eastAsia="en-AU"/>
        </w:rPr>
        <w:t xml:space="preserve">Western Australia: </w:t>
      </w:r>
      <w:r w:rsidR="00980D4A" w:rsidRPr="0072367E">
        <w:rPr>
          <w:rFonts w:eastAsia="Times New Roman"/>
          <w:i/>
          <w:szCs w:val="24"/>
          <w:lang w:eastAsia="en-AU"/>
        </w:rPr>
        <w:t>Gas Standards Act 1972</w:t>
      </w:r>
      <w:r w:rsidR="00980D4A" w:rsidRPr="00BA14E9">
        <w:rPr>
          <w:rFonts w:eastAsia="Times New Roman"/>
          <w:szCs w:val="24"/>
          <w:lang w:eastAsia="en-AU"/>
        </w:rPr>
        <w:t xml:space="preserve"> and </w:t>
      </w:r>
      <w:r w:rsidRPr="0072367E">
        <w:rPr>
          <w:i/>
          <w:lang w:eastAsia="en-AU"/>
        </w:rPr>
        <w:t>Dangerous Goods Safety Ac</w:t>
      </w:r>
      <w:r w:rsidR="00980D4A" w:rsidRPr="0072367E">
        <w:rPr>
          <w:i/>
          <w:lang w:eastAsia="en-AU"/>
        </w:rPr>
        <w:t>t</w:t>
      </w:r>
      <w:r w:rsidR="004A1F70" w:rsidRPr="0072367E">
        <w:rPr>
          <w:i/>
          <w:lang w:eastAsia="en-AU"/>
        </w:rPr>
        <w:t xml:space="preserve"> 2004</w:t>
      </w:r>
      <w:bookmarkEnd w:id="68"/>
    </w:p>
    <w:p w14:paraId="4DD393CC" w14:textId="77777777" w:rsidR="00656654" w:rsidRPr="00BA14E9" w:rsidRDefault="00656654" w:rsidP="606C9B12">
      <w:pPr>
        <w:rPr>
          <w:rFonts w:cs="Calibri"/>
          <w:szCs w:val="24"/>
        </w:rPr>
      </w:pPr>
      <w:r w:rsidRPr="00BA14E9">
        <w:rPr>
          <w:lang w:eastAsia="en-AU"/>
        </w:rPr>
        <w:t xml:space="preserve">The </w:t>
      </w:r>
      <w:r w:rsidRPr="00BA14E9">
        <w:rPr>
          <w:rFonts w:eastAsia="Times New Roman" w:cs="Calibri"/>
          <w:i/>
          <w:iCs/>
          <w:szCs w:val="24"/>
          <w:lang w:eastAsia="en-AU"/>
        </w:rPr>
        <w:t>Gas Standards Act 1972</w:t>
      </w:r>
      <w:r w:rsidRPr="00BA14E9">
        <w:rPr>
          <w:rFonts w:eastAsia="Times New Roman" w:cs="Calibri"/>
          <w:szCs w:val="24"/>
          <w:lang w:eastAsia="en-AU"/>
        </w:rPr>
        <w:t xml:space="preserve"> (WA) contains provisions that apply to hydrogen pipelines. This Act regulates the safety, installation, and use of gas and gas-related infrastructure, including pipelines. </w:t>
      </w:r>
      <w:r w:rsidRPr="00BA14E9">
        <w:rPr>
          <w:rFonts w:cs="Calibri"/>
          <w:szCs w:val="24"/>
        </w:rPr>
        <w:t xml:space="preserve">The term 'gas' is defined and means any gas or mixture of gases intended for use as fuel for gas appliances or for use in any chemical process. In relation to pipelines, the Act applies to 'undertakers' and 'pipeline licensees'. An undertaker means any licensee within the meaning of the </w:t>
      </w:r>
      <w:r w:rsidRPr="00BA14E9">
        <w:rPr>
          <w:rFonts w:cs="Calibri"/>
          <w:i/>
          <w:iCs/>
          <w:szCs w:val="24"/>
        </w:rPr>
        <w:t>Energy Coordination Act 1994</w:t>
      </w:r>
      <w:r w:rsidRPr="00BA14E9">
        <w:rPr>
          <w:rFonts w:cs="Calibri"/>
          <w:szCs w:val="24"/>
        </w:rPr>
        <w:t xml:space="preserve"> </w:t>
      </w:r>
      <w:r w:rsidRPr="00BA14E9">
        <w:rPr>
          <w:rFonts w:eastAsia="Times New Roman" w:cs="Calibri"/>
          <w:szCs w:val="24"/>
          <w:lang w:eastAsia="en-AU"/>
        </w:rPr>
        <w:t xml:space="preserve">(WA) </w:t>
      </w:r>
      <w:r w:rsidRPr="00BA14E9">
        <w:rPr>
          <w:rFonts w:cs="Calibri"/>
          <w:szCs w:val="24"/>
        </w:rPr>
        <w:t>and any local government, regional local government, body corporate, firm or person making or supplying gas other than solely for its or his own use.</w:t>
      </w:r>
    </w:p>
    <w:p w14:paraId="3891B94C" w14:textId="007247AA" w:rsidR="00CF5699" w:rsidRPr="00BA14E9" w:rsidRDefault="006C6EA6" w:rsidP="00CF5699">
      <w:pPr>
        <w:rPr>
          <w:rFonts w:eastAsia="Times New Roman" w:cs="Calibri"/>
          <w:szCs w:val="24"/>
          <w:lang w:eastAsia="en-AU"/>
        </w:rPr>
      </w:pPr>
      <w:r w:rsidRPr="00BA14E9">
        <w:rPr>
          <w:rFonts w:eastAsia="Times New Roman" w:cs="Calibri"/>
          <w:szCs w:val="24"/>
          <w:lang w:eastAsia="en-AU"/>
        </w:rPr>
        <w:t xml:space="preserve">The </w:t>
      </w:r>
      <w:r w:rsidRPr="00BA14E9">
        <w:rPr>
          <w:rFonts w:eastAsia="Times New Roman" w:cs="Calibri"/>
          <w:i/>
          <w:iCs/>
          <w:szCs w:val="24"/>
          <w:lang w:eastAsia="en-AU"/>
        </w:rPr>
        <w:t>Dangerous Goods Safety Act 2004</w:t>
      </w:r>
      <w:r w:rsidRPr="00BA14E9">
        <w:rPr>
          <w:rFonts w:eastAsia="Times New Roman" w:cs="Calibri"/>
          <w:szCs w:val="24"/>
          <w:lang w:eastAsia="en-AU"/>
        </w:rPr>
        <w:t xml:space="preserve"> (WA) applies to </w:t>
      </w:r>
      <w:r w:rsidR="002551FB">
        <w:rPr>
          <w:rFonts w:eastAsia="Times New Roman" w:cs="Calibri"/>
          <w:lang w:eastAsia="en-AU"/>
        </w:rPr>
        <w:t xml:space="preserve">all aspects of </w:t>
      </w:r>
      <w:r w:rsidR="002551FB" w:rsidRPr="00A84258">
        <w:rPr>
          <w:rFonts w:eastAsia="Times New Roman" w:cs="Calibri"/>
          <w:lang w:eastAsia="en-AU"/>
        </w:rPr>
        <w:t xml:space="preserve">dangerous goods </w:t>
      </w:r>
      <w:r w:rsidR="002551FB">
        <w:rPr>
          <w:rFonts w:eastAsia="Times New Roman" w:cs="Calibri"/>
          <w:lang w:eastAsia="en-AU"/>
        </w:rPr>
        <w:t>management</w:t>
      </w:r>
      <w:r w:rsidR="002551FB" w:rsidRPr="00A84258">
        <w:rPr>
          <w:rFonts w:eastAsia="Times New Roman" w:cs="Calibri"/>
          <w:lang w:eastAsia="en-AU"/>
        </w:rPr>
        <w:t>, including</w:t>
      </w:r>
      <w:r w:rsidR="002551FB">
        <w:rPr>
          <w:rFonts w:eastAsia="Times New Roman" w:cs="Calibri"/>
          <w:lang w:eastAsia="en-AU"/>
        </w:rPr>
        <w:t xml:space="preserve"> </w:t>
      </w:r>
      <w:r w:rsidR="002551FB" w:rsidRPr="00A84258">
        <w:rPr>
          <w:rFonts w:eastAsia="Times New Roman" w:cs="Calibri"/>
          <w:lang w:eastAsia="en-AU"/>
        </w:rPr>
        <w:t>production, storage, handling, pip</w:t>
      </w:r>
      <w:r w:rsidR="002551FB">
        <w:rPr>
          <w:rFonts w:eastAsia="Times New Roman" w:cs="Calibri"/>
          <w:lang w:eastAsia="en-AU"/>
        </w:rPr>
        <w:t>elines</w:t>
      </w:r>
      <w:r w:rsidR="002551FB" w:rsidRPr="00A84258">
        <w:rPr>
          <w:rFonts w:eastAsia="Times New Roman" w:cs="Calibri"/>
          <w:lang w:eastAsia="en-AU"/>
        </w:rPr>
        <w:t xml:space="preserve"> and transport. </w:t>
      </w:r>
      <w:r w:rsidR="002551FB">
        <w:rPr>
          <w:rFonts w:eastAsia="Times New Roman" w:cs="Calibri"/>
          <w:lang w:eastAsia="en-AU"/>
        </w:rPr>
        <w:t xml:space="preserve"> </w:t>
      </w:r>
      <w:r w:rsidR="002551FB" w:rsidRPr="00A84258">
        <w:rPr>
          <w:rFonts w:eastAsia="Times New Roman" w:cs="Calibri"/>
          <w:lang w:eastAsia="en-AU"/>
        </w:rPr>
        <w:t>It is independent of, but operates in parallel with, the WA WHS Act.</w:t>
      </w:r>
      <w:r w:rsidR="002551FB">
        <w:rPr>
          <w:rFonts w:eastAsia="Times New Roman" w:cs="Calibri"/>
          <w:lang w:eastAsia="en-AU"/>
        </w:rPr>
        <w:t xml:space="preserve"> The DGS Act does not apply to a pipeline carrying dangerous goods to which the </w:t>
      </w:r>
      <w:r w:rsidR="002551FB" w:rsidRPr="00483711">
        <w:rPr>
          <w:rFonts w:eastAsia="Times New Roman" w:cs="Calibri"/>
          <w:i/>
          <w:iCs/>
          <w:lang w:eastAsia="en-AU"/>
        </w:rPr>
        <w:t>Gas Standards Act 1972</w:t>
      </w:r>
      <w:r w:rsidR="005054A7">
        <w:rPr>
          <w:rFonts w:eastAsia="Times New Roman" w:cs="Calibri"/>
          <w:lang w:eastAsia="en-AU"/>
        </w:rPr>
        <w:t xml:space="preserve"> (WA)</w:t>
      </w:r>
      <w:r w:rsidR="002551FB">
        <w:rPr>
          <w:rFonts w:eastAsia="Times New Roman" w:cs="Calibri"/>
          <w:lang w:eastAsia="en-AU"/>
        </w:rPr>
        <w:t xml:space="preserve">, </w:t>
      </w:r>
      <w:r w:rsidR="002551FB" w:rsidRPr="00483711">
        <w:rPr>
          <w:rFonts w:eastAsia="Times New Roman" w:cs="Calibri"/>
          <w:i/>
          <w:iCs/>
          <w:lang w:eastAsia="en-AU"/>
        </w:rPr>
        <w:t>Petroleum Pipelines Act 1969</w:t>
      </w:r>
      <w:r w:rsidR="002551FB">
        <w:rPr>
          <w:rFonts w:eastAsia="Times New Roman" w:cs="Calibri"/>
          <w:lang w:eastAsia="en-AU"/>
        </w:rPr>
        <w:t xml:space="preserve"> </w:t>
      </w:r>
      <w:r w:rsidR="005054A7">
        <w:rPr>
          <w:rFonts w:eastAsia="Times New Roman" w:cs="Calibri"/>
          <w:lang w:eastAsia="en-AU"/>
        </w:rPr>
        <w:t xml:space="preserve">(WA) </w:t>
      </w:r>
      <w:r w:rsidR="002551FB">
        <w:rPr>
          <w:rFonts w:eastAsia="Times New Roman" w:cs="Calibri"/>
          <w:lang w:eastAsia="en-AU"/>
        </w:rPr>
        <w:t xml:space="preserve">or </w:t>
      </w:r>
      <w:r w:rsidR="002551FB" w:rsidRPr="00483711">
        <w:rPr>
          <w:rFonts w:eastAsia="Times New Roman" w:cs="Calibri"/>
          <w:i/>
          <w:iCs/>
          <w:lang w:eastAsia="en-AU"/>
        </w:rPr>
        <w:t>Petroleum (Submerged Lands) Act 1982</w:t>
      </w:r>
      <w:r w:rsidR="002551FB">
        <w:rPr>
          <w:rFonts w:eastAsia="Times New Roman" w:cs="Calibri"/>
          <w:lang w:eastAsia="en-AU"/>
        </w:rPr>
        <w:t xml:space="preserve"> </w:t>
      </w:r>
      <w:r w:rsidR="005054A7">
        <w:rPr>
          <w:rFonts w:eastAsia="Times New Roman" w:cs="Calibri"/>
          <w:lang w:eastAsia="en-AU"/>
        </w:rPr>
        <w:t xml:space="preserve">(WA) </w:t>
      </w:r>
      <w:r w:rsidR="002551FB">
        <w:rPr>
          <w:rFonts w:eastAsia="Times New Roman" w:cs="Calibri"/>
          <w:lang w:eastAsia="en-AU"/>
        </w:rPr>
        <w:t>applies.  S</w:t>
      </w:r>
      <w:r w:rsidR="002551FB" w:rsidRPr="005227F6">
        <w:rPr>
          <w:rFonts w:eastAsia="Times New Roman" w:cs="Calibri"/>
          <w:lang w:eastAsia="en-AU"/>
        </w:rPr>
        <w:t>ee subsection 6.1 for f</w:t>
      </w:r>
      <w:r w:rsidR="002551FB">
        <w:rPr>
          <w:rFonts w:eastAsia="Times New Roman" w:cs="Calibri"/>
          <w:lang w:eastAsia="en-AU"/>
        </w:rPr>
        <w:t>urther</w:t>
      </w:r>
      <w:r w:rsidR="002551FB" w:rsidRPr="005227F6">
        <w:rPr>
          <w:rFonts w:eastAsia="Times New Roman" w:cs="Calibri"/>
          <w:lang w:eastAsia="en-AU"/>
        </w:rPr>
        <w:t xml:space="preserve"> details</w:t>
      </w:r>
      <w:r w:rsidR="002551FB">
        <w:rPr>
          <w:rFonts w:eastAsia="Times New Roman" w:cs="Calibri"/>
          <w:lang w:eastAsia="en-AU"/>
        </w:rPr>
        <w:t>.</w:t>
      </w:r>
    </w:p>
    <w:p w14:paraId="79E44D61" w14:textId="2EAD9216" w:rsidR="00CF5699" w:rsidRPr="00BA14E9" w:rsidRDefault="00CF5699" w:rsidP="606C9B12">
      <w:pPr>
        <w:rPr>
          <w:rFonts w:eastAsia="Times New Roman" w:cs="Calibri"/>
          <w:color w:val="000000"/>
          <w:szCs w:val="24"/>
          <w:lang w:eastAsia="en-AU"/>
        </w:rPr>
      </w:pPr>
      <w:r w:rsidRPr="00BA14E9">
        <w:rPr>
          <w:rFonts w:eastAsia="Times New Roman" w:cs="Calibri"/>
          <w:color w:val="000000"/>
          <w:szCs w:val="24"/>
          <w:lang w:eastAsia="en-AU"/>
        </w:rPr>
        <w:t xml:space="preserve">Proponents should have regard to the information in Table 2.6 of Annexure 2 and Table 5.16 </w:t>
      </w:r>
      <w:r w:rsidRPr="00BA14E9">
        <w:t xml:space="preserve">legislation with a </w:t>
      </w:r>
      <w:r w:rsidRPr="00BA14E9">
        <w:rPr>
          <w:bCs/>
        </w:rPr>
        <w:t>high</w:t>
      </w:r>
      <w:r w:rsidRPr="00BA14E9">
        <w:t xml:space="preserve"> degree of relevance to hydrogen pipelines</w:t>
      </w:r>
      <w:r w:rsidRPr="00BA14E9">
        <w:rPr>
          <w:rFonts w:eastAsia="Times New Roman" w:cs="Calibri"/>
          <w:color w:val="000000"/>
          <w:szCs w:val="24"/>
          <w:lang w:eastAsia="en-AU"/>
        </w:rPr>
        <w:t xml:space="preserve"> of Annexure </w:t>
      </w:r>
      <w:r w:rsidR="00116638">
        <w:rPr>
          <w:rFonts w:eastAsia="Times New Roman" w:cs="Calibri"/>
          <w:color w:val="000000"/>
          <w:szCs w:val="24"/>
          <w:lang w:eastAsia="en-AU"/>
        </w:rPr>
        <w:t>4</w:t>
      </w:r>
      <w:r w:rsidRPr="00BA14E9">
        <w:rPr>
          <w:rFonts w:eastAsia="Times New Roman" w:cs="Calibri"/>
          <w:color w:val="000000"/>
          <w:szCs w:val="24"/>
          <w:lang w:eastAsia="en-AU"/>
        </w:rPr>
        <w:t xml:space="preserve"> Legislation Summaries.</w:t>
      </w:r>
    </w:p>
    <w:p w14:paraId="1CA30701" w14:textId="77777777" w:rsidR="00401DAF" w:rsidRDefault="00401DAF">
      <w:pPr>
        <w:rPr>
          <w:rFonts w:eastAsiaTheme="majorEastAsia" w:cstheme="majorBidi"/>
          <w:color w:val="0F4761" w:themeColor="accent1" w:themeShade="BF"/>
          <w:sz w:val="40"/>
          <w:szCs w:val="40"/>
        </w:rPr>
      </w:pPr>
      <w:r>
        <w:br w:type="page"/>
      </w:r>
    </w:p>
    <w:p w14:paraId="4CF36AD6" w14:textId="15A67057" w:rsidR="00B00226" w:rsidRPr="00BA14E9" w:rsidRDefault="00E154B7" w:rsidP="606C9B12">
      <w:pPr>
        <w:pStyle w:val="Heading1"/>
      </w:pPr>
      <w:bookmarkStart w:id="69" w:name="_Toc222925507"/>
      <w:r w:rsidRPr="00BA14E9">
        <w:lastRenderedPageBreak/>
        <w:t xml:space="preserve">Chapter </w:t>
      </w:r>
      <w:r w:rsidR="0068670A">
        <w:t>6</w:t>
      </w:r>
      <w:r w:rsidRPr="00BA14E9">
        <w:t xml:space="preserve"> - </w:t>
      </w:r>
      <w:r w:rsidR="005A371B" w:rsidRPr="00BA14E9">
        <w:t>Work (Occupational) health and safety</w:t>
      </w:r>
      <w:bookmarkEnd w:id="64"/>
      <w:bookmarkEnd w:id="69"/>
      <w:r w:rsidR="005A371B" w:rsidRPr="00BA14E9">
        <w:t xml:space="preserve"> </w:t>
      </w:r>
      <w:bookmarkStart w:id="70" w:name="_Toc201248116"/>
      <w:bookmarkStart w:id="71" w:name="_Toc203492278"/>
      <w:bookmarkStart w:id="72" w:name="_Toc201248125"/>
      <w:bookmarkStart w:id="73" w:name="_Toc203492287"/>
      <w:bookmarkStart w:id="74" w:name="_Toc200490174"/>
      <w:bookmarkEnd w:id="70"/>
      <w:bookmarkEnd w:id="71"/>
      <w:bookmarkEnd w:id="72"/>
      <w:bookmarkEnd w:id="73"/>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7"/>
      </w:tblGrid>
      <w:tr w:rsidR="00EB70BE" w14:paraId="103C8FB0" w14:textId="77777777" w:rsidTr="0072367E">
        <w:trPr>
          <w:trHeight w:val="420"/>
        </w:trPr>
        <w:tc>
          <w:tcPr>
            <w:tcW w:w="8997" w:type="dxa"/>
            <w:shd w:val="clear" w:color="auto" w:fill="FAE2D5" w:themeFill="accent2" w:themeFillTint="33"/>
          </w:tcPr>
          <w:p w14:paraId="58FE0A8E" w14:textId="77777777" w:rsidR="00EB70BE" w:rsidRPr="00BA14E9" w:rsidRDefault="00EB70BE" w:rsidP="00EB70BE">
            <w:pPr>
              <w:rPr>
                <w:b/>
              </w:rPr>
            </w:pPr>
            <w:r w:rsidRPr="00BA14E9">
              <w:rPr>
                <w:b/>
              </w:rPr>
              <w:t>Key points:</w:t>
            </w:r>
          </w:p>
          <w:p w14:paraId="24E7DCAE" w14:textId="77777777" w:rsidR="00EB70BE" w:rsidRPr="00BA14E9" w:rsidRDefault="00EB70BE" w:rsidP="00EB70BE">
            <w:pPr>
              <w:rPr>
                <w:rFonts w:eastAsiaTheme="minorEastAsia" w:cs="Calibri"/>
              </w:rPr>
            </w:pPr>
            <w:r w:rsidRPr="00BA14E9">
              <w:rPr>
                <w:rFonts w:eastAsiaTheme="minorEastAsia" w:cs="Calibri"/>
              </w:rPr>
              <w:t>Australia’s Safety laws:</w:t>
            </w:r>
          </w:p>
          <w:p w14:paraId="6E09B2AF" w14:textId="77777777" w:rsidR="00EB70BE" w:rsidRPr="00BA14E9" w:rsidRDefault="00EB70BE" w:rsidP="00EB70BE">
            <w:pPr>
              <w:pStyle w:val="ListParagraph"/>
              <w:numPr>
                <w:ilvl w:val="0"/>
                <w:numId w:val="11"/>
              </w:numPr>
              <w:spacing w:after="80"/>
              <w:ind w:left="714" w:hanging="357"/>
              <w:contextualSpacing w:val="0"/>
              <w:rPr>
                <w:rFonts w:eastAsiaTheme="minorEastAsia" w:cs="Calibri"/>
              </w:rPr>
            </w:pPr>
            <w:r w:rsidRPr="00BA14E9">
              <w:rPr>
                <w:rFonts w:eastAsiaTheme="minorEastAsia" w:cs="Calibri"/>
              </w:rPr>
              <w:t>include workplace health and safety regulatory obligations that apply to hydrogen pipelines including design, construction, operation, maintenance and decommissioning</w:t>
            </w:r>
          </w:p>
          <w:p w14:paraId="0518DB9D" w14:textId="77777777" w:rsidR="00EB70BE" w:rsidRPr="00BA14E9" w:rsidRDefault="00EB70BE" w:rsidP="00EB70BE">
            <w:pPr>
              <w:pStyle w:val="ListParagraph"/>
              <w:numPr>
                <w:ilvl w:val="0"/>
                <w:numId w:val="11"/>
              </w:numPr>
              <w:spacing w:after="80"/>
              <w:ind w:left="714" w:hanging="357"/>
              <w:contextualSpacing w:val="0"/>
              <w:rPr>
                <w:rFonts w:eastAsiaTheme="minorEastAsia" w:cs="Calibri"/>
              </w:rPr>
            </w:pPr>
            <w:r w:rsidRPr="00BA14E9">
              <w:rPr>
                <w:rFonts w:eastAsiaTheme="minorEastAsia" w:cs="Calibri"/>
              </w:rPr>
              <w:t xml:space="preserve">are </w:t>
            </w:r>
            <w:r w:rsidRPr="00BA14E9">
              <w:rPr>
                <w:rFonts w:cs="Calibri"/>
              </w:rPr>
              <w:t>designed to promote safe practices and prevent incidents and injuries by requiring compliance with safety standards, protecting workers and the public</w:t>
            </w:r>
          </w:p>
          <w:p w14:paraId="25ADC937" w14:textId="77777777" w:rsidR="00EB70BE" w:rsidRPr="00BA14E9" w:rsidRDefault="00EB70BE" w:rsidP="00EB70BE">
            <w:pPr>
              <w:pStyle w:val="ListParagraph"/>
              <w:numPr>
                <w:ilvl w:val="0"/>
                <w:numId w:val="11"/>
              </w:numPr>
              <w:spacing w:after="80"/>
              <w:ind w:left="714" w:hanging="357"/>
              <w:contextualSpacing w:val="0"/>
              <w:rPr>
                <w:rFonts w:eastAsiaTheme="minorEastAsia" w:cs="Calibri"/>
              </w:rPr>
            </w:pPr>
            <w:r w:rsidRPr="00BA14E9">
              <w:rPr>
                <w:rFonts w:cs="Calibri"/>
              </w:rPr>
              <w:t>require proponents to identify hazards, assess associated risks, and implement control measures to eliminate these risks so far as is reasonably practicable, and where they cannot be eliminated, to minimise them so far as is reasonably practicable</w:t>
            </w:r>
          </w:p>
          <w:p w14:paraId="74D45137" w14:textId="3B35CDBA" w:rsidR="00EB70BE" w:rsidRDefault="00EB70BE" w:rsidP="0072367E">
            <w:pPr>
              <w:pStyle w:val="ListParagraph"/>
              <w:numPr>
                <w:ilvl w:val="0"/>
                <w:numId w:val="11"/>
              </w:numPr>
              <w:spacing w:after="80"/>
              <w:ind w:left="714" w:hanging="357"/>
              <w:contextualSpacing w:val="0"/>
            </w:pPr>
            <w:r w:rsidRPr="00C92404">
              <w:rPr>
                <w:rFonts w:cs="Calibri"/>
              </w:rPr>
              <w:t>Annexure 3, table 3.0</w:t>
            </w:r>
            <w:r w:rsidRPr="00BA14E9">
              <w:rPr>
                <w:rFonts w:cs="Calibri"/>
              </w:rPr>
              <w:t xml:space="preserve"> summarises the specific work health and safety / occupational health and safety legislation enacted in each Australian jurisdiction.</w:t>
            </w:r>
            <w:r w:rsidRPr="00BA14E9">
              <w:rPr>
                <w:rFonts w:cs="Calibri"/>
                <w:szCs w:val="24"/>
              </w:rPr>
              <w:t xml:space="preserve"> </w:t>
            </w:r>
          </w:p>
        </w:tc>
      </w:tr>
    </w:tbl>
    <w:p w14:paraId="613941EC" w14:textId="5EFEE481" w:rsidR="005565AC" w:rsidRPr="00BA14E9" w:rsidRDefault="005565AC" w:rsidP="005565AC"/>
    <w:p w14:paraId="66E821A4" w14:textId="4F109B75" w:rsidR="00D8725E" w:rsidRPr="00BA14E9" w:rsidRDefault="00D8725E" w:rsidP="00E83908">
      <w:pPr>
        <w:pStyle w:val="Heading2"/>
      </w:pPr>
      <w:bookmarkStart w:id="75" w:name="_Toc222925508"/>
      <w:r w:rsidRPr="00BA14E9">
        <w:t xml:space="preserve">Chapter </w:t>
      </w:r>
      <w:r w:rsidR="0068670A">
        <w:t>6</w:t>
      </w:r>
      <w:r w:rsidRPr="00BA14E9">
        <w:t xml:space="preserve"> glossary</w:t>
      </w:r>
      <w:bookmarkEnd w:id="75"/>
    </w:p>
    <w:p w14:paraId="725F8BD5" w14:textId="77777777" w:rsidR="00D8725E" w:rsidRPr="00BA14E9" w:rsidRDefault="00D8725E" w:rsidP="00D8725E">
      <w:r w:rsidRPr="00BA14E9">
        <w:t>In this chapter 3:</w:t>
      </w:r>
    </w:p>
    <w:p w14:paraId="568462DD" w14:textId="0DDF3CAE" w:rsidR="00D8725E" w:rsidRPr="00BA14E9" w:rsidRDefault="00D8725E" w:rsidP="00D8725E">
      <w:pPr>
        <w:rPr>
          <w:rFonts w:cs="Calibri"/>
        </w:rPr>
      </w:pPr>
      <w:r w:rsidRPr="00BA14E9">
        <w:rPr>
          <w:rFonts w:cs="Calibri"/>
          <w:b/>
        </w:rPr>
        <w:t>WHS</w:t>
      </w:r>
      <w:r w:rsidRPr="00BA14E9">
        <w:rPr>
          <w:rFonts w:cs="Calibri"/>
        </w:rPr>
        <w:t xml:space="preserve"> means work health and safety</w:t>
      </w:r>
    </w:p>
    <w:p w14:paraId="2FD1951F" w14:textId="77777777" w:rsidR="00D8725E" w:rsidRPr="00BA14E9" w:rsidRDefault="00D8725E" w:rsidP="00D8725E">
      <w:pPr>
        <w:rPr>
          <w:rFonts w:cs="Calibri"/>
        </w:rPr>
      </w:pPr>
      <w:r w:rsidRPr="00BA14E9">
        <w:rPr>
          <w:rFonts w:cs="Calibri"/>
          <w:b/>
        </w:rPr>
        <w:t>OHS</w:t>
      </w:r>
      <w:r w:rsidRPr="00BA14E9">
        <w:rPr>
          <w:rFonts w:cs="Calibri"/>
        </w:rPr>
        <w:t xml:space="preserve"> means occupational health and safety</w:t>
      </w:r>
    </w:p>
    <w:p w14:paraId="1652A220" w14:textId="77777777" w:rsidR="00D8725E" w:rsidRPr="00BA14E9" w:rsidRDefault="00D8725E" w:rsidP="00D8725E">
      <w:pPr>
        <w:rPr>
          <w:rFonts w:cs="Calibri"/>
        </w:rPr>
      </w:pPr>
      <w:r w:rsidRPr="00BA14E9">
        <w:rPr>
          <w:rFonts w:cs="Calibri"/>
          <w:b/>
          <w:bCs/>
        </w:rPr>
        <w:t xml:space="preserve">model Health &amp; Safety Legislation </w:t>
      </w:r>
      <w:r w:rsidRPr="00BA14E9">
        <w:rPr>
          <w:rFonts w:cs="Calibri"/>
        </w:rPr>
        <w:t>means the model WHS Act, model WHS regulations and model codes of practice made under those laws</w:t>
      </w:r>
    </w:p>
    <w:p w14:paraId="7B22739F" w14:textId="77777777" w:rsidR="00D8725E" w:rsidRPr="00BA14E9" w:rsidRDefault="00D8725E" w:rsidP="00D8725E">
      <w:pPr>
        <w:rPr>
          <w:rFonts w:cs="Calibri"/>
        </w:rPr>
      </w:pPr>
      <w:r w:rsidRPr="00BA14E9">
        <w:rPr>
          <w:rFonts w:cs="Calibri"/>
          <w:b/>
          <w:bCs/>
        </w:rPr>
        <w:t xml:space="preserve">OHS laws (Vic) </w:t>
      </w:r>
      <w:r w:rsidRPr="00BA14E9">
        <w:rPr>
          <w:rFonts w:cs="Calibri"/>
        </w:rPr>
        <w:t xml:space="preserve">means the </w:t>
      </w:r>
      <w:r w:rsidRPr="00BA14E9">
        <w:rPr>
          <w:rFonts w:eastAsiaTheme="minorEastAsia" w:cs="Calibri"/>
          <w:i/>
        </w:rPr>
        <w:t>Occupational Health and Safety Act 2004</w:t>
      </w:r>
      <w:r w:rsidRPr="00BA14E9">
        <w:rPr>
          <w:rFonts w:eastAsiaTheme="minorEastAsia" w:cs="Calibri"/>
        </w:rPr>
        <w:t xml:space="preserve"> (Vic), regulations and Compliance Codes</w:t>
      </w:r>
    </w:p>
    <w:p w14:paraId="73BA9E55" w14:textId="77777777" w:rsidR="00D8725E" w:rsidRPr="00BA14E9" w:rsidRDefault="00D8725E" w:rsidP="00D8725E">
      <w:pPr>
        <w:rPr>
          <w:rFonts w:cs="Calibri"/>
        </w:rPr>
      </w:pPr>
      <w:r w:rsidRPr="00BA14E9">
        <w:rPr>
          <w:rFonts w:cs="Calibri"/>
          <w:b/>
          <w:bCs/>
        </w:rPr>
        <w:t>Health &amp; Safety Legislation</w:t>
      </w:r>
      <w:r w:rsidRPr="00BA14E9">
        <w:rPr>
          <w:rFonts w:cs="Calibri"/>
        </w:rPr>
        <w:t xml:space="preserve"> means collectively the model Health &amp; Safety Legislation as enacted by most Australia jurisdictions and the OHS laws (Victoria)</w:t>
      </w:r>
    </w:p>
    <w:p w14:paraId="59592195" w14:textId="77777777" w:rsidR="00D8725E" w:rsidRPr="00BA14E9" w:rsidRDefault="00D8725E" w:rsidP="00D8725E">
      <w:pPr>
        <w:rPr>
          <w:rFonts w:cs="Calibri"/>
        </w:rPr>
      </w:pPr>
      <w:r w:rsidRPr="00BA14E9">
        <w:rPr>
          <w:rFonts w:cs="Calibri"/>
          <w:b/>
        </w:rPr>
        <w:t>MHF</w:t>
      </w:r>
      <w:r w:rsidRPr="00BA14E9">
        <w:rPr>
          <w:rFonts w:cs="Calibri"/>
        </w:rPr>
        <w:t xml:space="preserve"> means major hazard facility</w:t>
      </w:r>
    </w:p>
    <w:p w14:paraId="601EC794" w14:textId="699660BF" w:rsidR="005A371B" w:rsidRPr="00BA14E9" w:rsidRDefault="005A371B" w:rsidP="00E83908">
      <w:pPr>
        <w:pStyle w:val="Heading2"/>
      </w:pPr>
      <w:bookmarkStart w:id="76" w:name="_Toc222925509"/>
      <w:r w:rsidRPr="00BA14E9">
        <w:t xml:space="preserve">Application of </w:t>
      </w:r>
      <w:r w:rsidR="00C7480A" w:rsidRPr="00BA14E9">
        <w:t>Health &amp; Safety Legislation</w:t>
      </w:r>
      <w:r w:rsidRPr="00BA14E9">
        <w:t xml:space="preserve"> across Australia</w:t>
      </w:r>
      <w:bookmarkEnd w:id="74"/>
      <w:bookmarkEnd w:id="76"/>
    </w:p>
    <w:p w14:paraId="1C3AD438" w14:textId="36084CB4" w:rsidR="00225688" w:rsidRPr="00BA14E9" w:rsidRDefault="00225688" w:rsidP="606C9B12">
      <w:pPr>
        <w:rPr>
          <w:rFonts w:cs="Calibri"/>
        </w:rPr>
      </w:pPr>
      <w:r>
        <w:t xml:space="preserve">Health &amp; Safety Legislation provides a framework to protect </w:t>
      </w:r>
      <w:r>
        <w:rPr>
          <w:rFonts w:eastAsiaTheme="minorEastAsia" w:cs="Calibri"/>
        </w:rPr>
        <w:t xml:space="preserve">the health and safety of workers and other persons at the workplace </w:t>
      </w:r>
      <w:r w:rsidRPr="364B4883">
        <w:rPr>
          <w:rFonts w:eastAsiaTheme="minorEastAsia" w:cs="Calibri"/>
        </w:rPr>
        <w:t>who might be affected by the work</w:t>
      </w:r>
      <w:r>
        <w:rPr>
          <w:rFonts w:eastAsiaTheme="minorEastAsia" w:cs="Calibri"/>
        </w:rPr>
        <w:t xml:space="preserve">. </w:t>
      </w:r>
      <w:r w:rsidR="00657DD0">
        <w:rPr>
          <w:rFonts w:eastAsiaTheme="minorEastAsia" w:cs="Calibri"/>
        </w:rPr>
        <w:t xml:space="preserve">For dangerous goods such as hydrogen, </w:t>
      </w:r>
      <w:r w:rsidR="00F00113">
        <w:rPr>
          <w:rFonts w:eastAsiaTheme="minorEastAsia" w:cs="Calibri"/>
        </w:rPr>
        <w:t>WHS Laws</w:t>
      </w:r>
      <w:r w:rsidR="00F00113" w:rsidRPr="00F00113">
        <w:rPr>
          <w:rFonts w:eastAsiaTheme="minorEastAsia" w:cs="Calibri"/>
        </w:rPr>
        <w:t xml:space="preserve"> </w:t>
      </w:r>
      <w:r w:rsidR="00F00113">
        <w:rPr>
          <w:rFonts w:eastAsiaTheme="minorEastAsia" w:cs="Calibri"/>
        </w:rPr>
        <w:t xml:space="preserve">apply </w:t>
      </w:r>
      <w:r w:rsidR="00F00113" w:rsidRPr="00F00113">
        <w:rPr>
          <w:rFonts w:eastAsiaTheme="minorEastAsia" w:cs="Calibri"/>
        </w:rPr>
        <w:t>to the storage and handling of dangerous goods even if the dangerous goods are not at a workplace or for use in carrying out work.</w:t>
      </w:r>
    </w:p>
    <w:p w14:paraId="3588C561" w14:textId="093007A7" w:rsidR="00B34E64" w:rsidRPr="00BA14E9" w:rsidRDefault="003E077E" w:rsidP="606C9B12">
      <w:pPr>
        <w:rPr>
          <w:rFonts w:eastAsiaTheme="minorEastAsia" w:cs="Calibri"/>
        </w:rPr>
      </w:pPr>
      <w:r>
        <w:t xml:space="preserve">Health &amp; Safety Legislation provides a framework to protect </w:t>
      </w:r>
      <w:r>
        <w:rPr>
          <w:rFonts w:eastAsiaTheme="minorEastAsia" w:cs="Calibri"/>
        </w:rPr>
        <w:t xml:space="preserve">the health and safety of workers and other persons at the workplace </w:t>
      </w:r>
      <w:r w:rsidRPr="364B4883">
        <w:rPr>
          <w:rFonts w:eastAsiaTheme="minorEastAsia" w:cs="Calibri"/>
        </w:rPr>
        <w:t>who might be affected by the work</w:t>
      </w:r>
      <w:r>
        <w:rPr>
          <w:rFonts w:eastAsiaTheme="minorEastAsia" w:cs="Calibri"/>
        </w:rPr>
        <w:t xml:space="preserve"> </w:t>
      </w:r>
      <w:r w:rsidR="005A371B" w:rsidRPr="00BA14E9">
        <w:rPr>
          <w:rFonts w:eastAsiaTheme="minorEastAsia" w:cs="Calibri"/>
        </w:rPr>
        <w:t>(with some variations in Northern Territory, South Australia, Queensland and Western</w:t>
      </w:r>
      <w:r w:rsidR="003521C9">
        <w:rPr>
          <w:rFonts w:eastAsiaTheme="minorEastAsia" w:cs="Calibri"/>
        </w:rPr>
        <w:t xml:space="preserve"> Australia</w:t>
      </w:r>
      <w:r>
        <w:rPr>
          <w:rFonts w:eastAsiaTheme="minorEastAsia" w:cs="Calibri"/>
        </w:rPr>
        <w:t>)</w:t>
      </w:r>
      <w:r w:rsidR="005A371B" w:rsidRPr="00BA14E9">
        <w:rPr>
          <w:rFonts w:eastAsiaTheme="minorEastAsia" w:cs="Calibri"/>
        </w:rPr>
        <w:t xml:space="preserve">. </w:t>
      </w:r>
    </w:p>
    <w:tbl>
      <w:tblPr>
        <w:tblW w:w="90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413A46" w14:paraId="76CBA1F9" w14:textId="77777777" w:rsidTr="0072367E">
        <w:trPr>
          <w:trHeight w:val="300"/>
        </w:trPr>
        <w:tc>
          <w:tcPr>
            <w:tcW w:w="9060" w:type="dxa"/>
            <w:shd w:val="clear" w:color="auto" w:fill="CAEDFB" w:themeFill="accent4" w:themeFillTint="33"/>
          </w:tcPr>
          <w:p w14:paraId="2F65FDBE" w14:textId="77777777" w:rsidR="00413A46" w:rsidRPr="00BA14E9" w:rsidRDefault="00413A46" w:rsidP="00413A46">
            <w:pPr>
              <w:rPr>
                <w:b/>
                <w:bCs/>
              </w:rPr>
            </w:pPr>
            <w:r w:rsidRPr="00BA14E9">
              <w:rPr>
                <w:b/>
                <w:bCs/>
              </w:rPr>
              <w:lastRenderedPageBreak/>
              <w:t>Further reading</w:t>
            </w:r>
          </w:p>
          <w:p w14:paraId="5EC0FB68" w14:textId="77777777" w:rsidR="00413A46" w:rsidRPr="00BA14E9" w:rsidRDefault="00413A46" w:rsidP="00413A46">
            <w:r w:rsidRPr="00BA14E9">
              <w:t xml:space="preserve">This Guidebook focuses on those parts of Health &amp; Safety Legislation that are most relevant to pipelines. The </w:t>
            </w:r>
            <w:r w:rsidRPr="00F634FE">
              <w:rPr>
                <w:i/>
              </w:rPr>
              <w:t>National Hydrogen Regulatory Guidebook: Production Facilities</w:t>
            </w:r>
            <w:r w:rsidRPr="00BA14E9">
              <w:t xml:space="preserve"> provides the following additional information on Australia’s Health &amp; Safety Legislation as it applies to hydrogen more generally:</w:t>
            </w:r>
          </w:p>
          <w:p w14:paraId="2C79B699" w14:textId="77777777" w:rsidR="00413A46" w:rsidRPr="00BA14E9" w:rsidRDefault="00413A46" w:rsidP="00413A46">
            <w:pPr>
              <w:pStyle w:val="ListParagraph"/>
              <w:numPr>
                <w:ilvl w:val="0"/>
                <w:numId w:val="62"/>
              </w:numPr>
            </w:pPr>
            <w:r w:rsidRPr="00BA14E9">
              <w:t>Chapter 3.3.1 - Application of Health &amp; Safety Legislation across Australia: An overview of the structure of Health &amp; Safety Legislation and jurisdictional differences.</w:t>
            </w:r>
          </w:p>
          <w:p w14:paraId="545EE20C" w14:textId="77777777" w:rsidR="00413A46" w:rsidRPr="00BA14E9" w:rsidRDefault="00413A46" w:rsidP="00413A46">
            <w:pPr>
              <w:pStyle w:val="ListParagraph"/>
              <w:numPr>
                <w:ilvl w:val="0"/>
                <w:numId w:val="62"/>
              </w:numPr>
            </w:pPr>
            <w:r w:rsidRPr="00BA14E9">
              <w:t>Chapter 3.3.2 – WHS Codes of Practice</w:t>
            </w:r>
          </w:p>
          <w:p w14:paraId="5712D7BA" w14:textId="77777777" w:rsidR="00413A46" w:rsidRPr="00BA14E9" w:rsidRDefault="00413A46" w:rsidP="00413A46">
            <w:pPr>
              <w:pStyle w:val="ListParagraph"/>
              <w:numPr>
                <w:ilvl w:val="0"/>
                <w:numId w:val="62"/>
              </w:numPr>
            </w:pPr>
            <w:r w:rsidRPr="00BA14E9">
              <w:t>Chapter 3.3.3 – Who is subject to Health &amp; Safety Legislation</w:t>
            </w:r>
          </w:p>
          <w:p w14:paraId="08EACD98" w14:textId="77777777" w:rsidR="00413A46" w:rsidRPr="00BA14E9" w:rsidRDefault="00413A46" w:rsidP="00413A46">
            <w:pPr>
              <w:pStyle w:val="ListParagraph"/>
              <w:numPr>
                <w:ilvl w:val="0"/>
                <w:numId w:val="62"/>
              </w:numPr>
            </w:pPr>
            <w:r w:rsidRPr="00BA14E9">
              <w:t>Chapter 3.4.1 Primary and General duties of care</w:t>
            </w:r>
          </w:p>
          <w:p w14:paraId="32DDFD96" w14:textId="77777777" w:rsidR="00413A46" w:rsidRPr="00BA14E9" w:rsidRDefault="00413A46" w:rsidP="00413A46">
            <w:pPr>
              <w:pStyle w:val="ListParagraph"/>
              <w:numPr>
                <w:ilvl w:val="0"/>
                <w:numId w:val="62"/>
              </w:numPr>
            </w:pPr>
            <w:r w:rsidRPr="00BA14E9">
              <w:t>Chapter 3.4.4 Standard of care: what is reasonably practicable</w:t>
            </w:r>
          </w:p>
          <w:p w14:paraId="09563445" w14:textId="77777777" w:rsidR="00413A46" w:rsidRPr="00BA14E9" w:rsidRDefault="00413A46" w:rsidP="00413A46">
            <w:pPr>
              <w:pStyle w:val="ListParagraph"/>
              <w:numPr>
                <w:ilvl w:val="0"/>
                <w:numId w:val="62"/>
              </w:numPr>
            </w:pPr>
            <w:r w:rsidRPr="00BA14E9">
              <w:t>Chapter 3.4.5 Managing and evidencing compliance</w:t>
            </w:r>
          </w:p>
          <w:p w14:paraId="4B1FE733" w14:textId="77777777" w:rsidR="00413A46" w:rsidRPr="00BA14E9" w:rsidRDefault="00413A46" w:rsidP="00413A46">
            <w:pPr>
              <w:pStyle w:val="ListParagraph"/>
              <w:numPr>
                <w:ilvl w:val="0"/>
                <w:numId w:val="62"/>
              </w:numPr>
            </w:pPr>
            <w:r w:rsidRPr="00BA14E9">
              <w:t>Chapter 3.4.6 Enforcement of primary and general duties</w:t>
            </w:r>
          </w:p>
          <w:p w14:paraId="21F568D8" w14:textId="77777777" w:rsidR="00413A46" w:rsidRPr="00BA14E9" w:rsidRDefault="00413A46" w:rsidP="00413A46">
            <w:pPr>
              <w:pStyle w:val="ListParagraph"/>
              <w:numPr>
                <w:ilvl w:val="0"/>
                <w:numId w:val="62"/>
              </w:numPr>
            </w:pPr>
            <w:r w:rsidRPr="00BA14E9">
              <w:t>Chapter 3.5.3 Requirements for Safety Cases, Safety Management Systems and Emergency Plans</w:t>
            </w:r>
          </w:p>
          <w:p w14:paraId="5EC3EDB9" w14:textId="77777777" w:rsidR="00413A46" w:rsidRPr="00BA14E9" w:rsidRDefault="00413A46" w:rsidP="00413A46">
            <w:pPr>
              <w:pStyle w:val="ListParagraph"/>
              <w:numPr>
                <w:ilvl w:val="0"/>
                <w:numId w:val="62"/>
              </w:numPr>
            </w:pPr>
            <w:r w:rsidRPr="00BA14E9">
              <w:t>Annexure 3, Table 3.0 – summary of each jurisdiction’s application of WHS and OHS laws.</w:t>
            </w:r>
          </w:p>
          <w:p w14:paraId="1D83C872" w14:textId="77777777" w:rsidR="00413A46" w:rsidRPr="00BA14E9" w:rsidRDefault="00413A46" w:rsidP="00413A46">
            <w:pPr>
              <w:pStyle w:val="ListParagraph"/>
              <w:numPr>
                <w:ilvl w:val="0"/>
                <w:numId w:val="62"/>
              </w:numPr>
            </w:pPr>
            <w:r w:rsidRPr="00BA14E9">
              <w:t>Annexure 3, Table 3.1 – summary of each jurisdiction’s health and safety regulators.</w:t>
            </w:r>
          </w:p>
          <w:p w14:paraId="63AD8904" w14:textId="77777777" w:rsidR="00413A46" w:rsidRPr="00BA14E9" w:rsidRDefault="00413A46" w:rsidP="00413A46">
            <w:pPr>
              <w:pStyle w:val="ListParagraph"/>
              <w:numPr>
                <w:ilvl w:val="0"/>
                <w:numId w:val="62"/>
              </w:numPr>
            </w:pPr>
            <w:r w:rsidRPr="00BA14E9">
              <w:t>Annexure 3, Table 3.2 – WHS and OHS primary and general duties</w:t>
            </w:r>
          </w:p>
          <w:p w14:paraId="136E42DC" w14:textId="77777777" w:rsidR="00413A46" w:rsidRPr="00BA14E9" w:rsidRDefault="00413A46" w:rsidP="00413A46">
            <w:pPr>
              <w:pStyle w:val="ListParagraph"/>
              <w:numPr>
                <w:ilvl w:val="0"/>
                <w:numId w:val="62"/>
              </w:numPr>
            </w:pPr>
            <w:r w:rsidRPr="00BA14E9">
              <w:t>Annexure 3, Table 3.3 – Subject-specific general duties (other than pipelines licensing regulations)</w:t>
            </w:r>
          </w:p>
          <w:p w14:paraId="0807B4B0" w14:textId="77777777" w:rsidR="00413A46" w:rsidRPr="00BA14E9" w:rsidRDefault="00413A46" w:rsidP="00413A46">
            <w:pPr>
              <w:pStyle w:val="ListParagraph"/>
              <w:numPr>
                <w:ilvl w:val="0"/>
                <w:numId w:val="62"/>
              </w:numPr>
            </w:pPr>
            <w:r w:rsidRPr="00BA14E9">
              <w:t>Annexure 3, Table 3.4 – Powers under WHS Laws</w:t>
            </w:r>
          </w:p>
          <w:p w14:paraId="3C251CB8" w14:textId="4BB6DB14" w:rsidR="00413A46" w:rsidRPr="00413A46" w:rsidRDefault="00413A46" w:rsidP="0072367E">
            <w:pPr>
              <w:pStyle w:val="ListParagraph"/>
              <w:numPr>
                <w:ilvl w:val="0"/>
                <w:numId w:val="62"/>
              </w:numPr>
            </w:pPr>
            <w:r w:rsidRPr="00BA14E9">
              <w:t>Annexure 3, Table 3.5 – Legislative requirements for safety case and SMS (other than pipelines licensing regulations)</w:t>
            </w:r>
          </w:p>
        </w:tc>
      </w:tr>
    </w:tbl>
    <w:p w14:paraId="235ECC55" w14:textId="4AF6048F" w:rsidR="00F65200" w:rsidRPr="00BA14E9" w:rsidRDefault="00F65200" w:rsidP="005A371B">
      <w:pPr>
        <w:rPr>
          <w:rFonts w:eastAsiaTheme="minorEastAsia" w:cs="Calibri"/>
        </w:rPr>
      </w:pPr>
    </w:p>
    <w:p w14:paraId="6AB13471" w14:textId="43F151D7" w:rsidR="005A371B" w:rsidRPr="00BA14E9" w:rsidRDefault="005A371B" w:rsidP="606C9B12">
      <w:pPr>
        <w:rPr>
          <w:rFonts w:eastAsiaTheme="minorEastAsia" w:cs="Calibri"/>
        </w:rPr>
      </w:pPr>
      <w:r w:rsidRPr="00C92404">
        <w:rPr>
          <w:rFonts w:eastAsiaTheme="minorEastAsia" w:cs="Calibri"/>
        </w:rPr>
        <w:t xml:space="preserve">Annexure </w:t>
      </w:r>
      <w:r w:rsidR="00116638" w:rsidRPr="00C92404">
        <w:rPr>
          <w:rFonts w:eastAsiaTheme="minorEastAsia" w:cs="Calibri"/>
        </w:rPr>
        <w:t>2</w:t>
      </w:r>
      <w:r w:rsidRPr="00C92404">
        <w:rPr>
          <w:rFonts w:eastAsiaTheme="minorEastAsia" w:cs="Calibri"/>
        </w:rPr>
        <w:t xml:space="preserve">, </w:t>
      </w:r>
      <w:r w:rsidR="00116638" w:rsidRPr="00C92404">
        <w:rPr>
          <w:rFonts w:eastAsiaTheme="minorEastAsia" w:cs="Calibri"/>
        </w:rPr>
        <w:t>T</w:t>
      </w:r>
      <w:r w:rsidRPr="00C92404">
        <w:rPr>
          <w:rFonts w:eastAsiaTheme="minorEastAsia" w:cs="Calibri"/>
        </w:rPr>
        <w:t xml:space="preserve">able </w:t>
      </w:r>
      <w:r w:rsidR="00116638">
        <w:rPr>
          <w:rFonts w:eastAsiaTheme="minorEastAsia" w:cs="Calibri"/>
        </w:rPr>
        <w:t>2.7</w:t>
      </w:r>
      <w:r w:rsidRPr="00BA14E9">
        <w:rPr>
          <w:rFonts w:eastAsiaTheme="minorEastAsia" w:cs="Calibri"/>
        </w:rPr>
        <w:t xml:space="preserve"> provides a summary of each jurisdiction’s application of WHS and OHS laws.</w:t>
      </w:r>
    </w:p>
    <w:p w14:paraId="2B35B68F" w14:textId="3D17DF21" w:rsidR="005A371B" w:rsidRPr="00BA14E9" w:rsidRDefault="005A371B" w:rsidP="005A371B">
      <w:pPr>
        <w:rPr>
          <w:lang w:eastAsia="en-AU"/>
        </w:rPr>
      </w:pPr>
      <w:r w:rsidRPr="00BA14E9">
        <w:rPr>
          <w:lang w:eastAsia="en-AU"/>
        </w:rPr>
        <w:t>Safe Work Australia is responsible for maintaining the model WHS regime, but it does not regulate or enforce the</w:t>
      </w:r>
      <w:r w:rsidR="0000301C" w:rsidRPr="00BA14E9">
        <w:rPr>
          <w:lang w:eastAsia="en-AU"/>
        </w:rPr>
        <w:t xml:space="preserve"> legislation</w:t>
      </w:r>
      <w:r w:rsidRPr="00BA14E9">
        <w:rPr>
          <w:lang w:eastAsia="en-AU"/>
        </w:rPr>
        <w:t xml:space="preserve">. Regulation and enforcement </w:t>
      </w:r>
      <w:r w:rsidR="0006151D" w:rsidRPr="00BA14E9">
        <w:rPr>
          <w:lang w:eastAsia="en-AU"/>
        </w:rPr>
        <w:t>are</w:t>
      </w:r>
      <w:r w:rsidRPr="00BA14E9">
        <w:rPr>
          <w:lang w:eastAsia="en-AU"/>
        </w:rPr>
        <w:t xml:space="preserve"> undertaken by the relevant jurisdiction’s separate regulatory authority and under that jurisdiction’s enactment of the model </w:t>
      </w:r>
      <w:r w:rsidR="009D5837" w:rsidRPr="00BA14E9">
        <w:rPr>
          <w:lang w:eastAsia="en-AU"/>
        </w:rPr>
        <w:t>Health &amp; Safety Legislation</w:t>
      </w:r>
      <w:r w:rsidRPr="00BA14E9">
        <w:rPr>
          <w:lang w:eastAsia="en-AU"/>
        </w:rPr>
        <w:t xml:space="preserve"> or the OHS Laws (Vic)</w:t>
      </w:r>
      <w:r w:rsidR="009D39C9" w:rsidRPr="00BA14E9">
        <w:rPr>
          <w:lang w:eastAsia="en-AU"/>
        </w:rPr>
        <w:t>.</w:t>
      </w:r>
    </w:p>
    <w:p w14:paraId="253ED67A" w14:textId="1EC9284C" w:rsidR="00B31773" w:rsidRPr="00BA14E9" w:rsidRDefault="00B31773" w:rsidP="00E83908">
      <w:pPr>
        <w:pStyle w:val="Heading2"/>
      </w:pPr>
      <w:bookmarkStart w:id="77" w:name="_Toc222925510"/>
      <w:r w:rsidRPr="00BA14E9">
        <w:t>Interaction between Health &amp; Safety Legislation and subject specific laws</w:t>
      </w:r>
      <w:bookmarkEnd w:id="77"/>
    </w:p>
    <w:p w14:paraId="46A947D1" w14:textId="4B79C6D1" w:rsidR="005A371B" w:rsidRPr="00BA14E9" w:rsidRDefault="005A371B" w:rsidP="005C6CAE">
      <w:pPr>
        <w:rPr>
          <w:rFonts w:cs="Calibri"/>
        </w:rPr>
      </w:pPr>
      <w:r w:rsidRPr="00BA14E9">
        <w:rPr>
          <w:rFonts w:cs="Calibri"/>
        </w:rPr>
        <w:t xml:space="preserve">The interaction between </w:t>
      </w:r>
      <w:r w:rsidR="00A53854" w:rsidRPr="00BA14E9">
        <w:rPr>
          <w:rFonts w:cs="Calibri"/>
        </w:rPr>
        <w:t xml:space="preserve">Health &amp; Safety </w:t>
      </w:r>
      <w:r w:rsidR="00305681" w:rsidRPr="00BA14E9">
        <w:rPr>
          <w:rFonts w:cs="Calibri"/>
        </w:rPr>
        <w:t>L</w:t>
      </w:r>
      <w:r w:rsidR="00A53854" w:rsidRPr="00BA14E9">
        <w:rPr>
          <w:rFonts w:cs="Calibri"/>
        </w:rPr>
        <w:t>egislation</w:t>
      </w:r>
      <w:r w:rsidRPr="00BA14E9">
        <w:rPr>
          <w:rFonts w:cs="Calibri"/>
        </w:rPr>
        <w:t xml:space="preserve"> and </w:t>
      </w:r>
      <w:r w:rsidR="003D2CA0" w:rsidRPr="00BA14E9">
        <w:rPr>
          <w:rFonts w:cs="Calibri"/>
        </w:rPr>
        <w:t>subject</w:t>
      </w:r>
      <w:r w:rsidRPr="00BA14E9">
        <w:rPr>
          <w:rFonts w:cs="Calibri"/>
        </w:rPr>
        <w:t xml:space="preserve"> specific laws (</w:t>
      </w:r>
      <w:r w:rsidR="00F53323">
        <w:rPr>
          <w:rFonts w:cs="Calibri"/>
        </w:rPr>
        <w:t>for example,</w:t>
      </w:r>
      <w:r w:rsidRPr="00BA14E9">
        <w:rPr>
          <w:rFonts w:cs="Calibri"/>
        </w:rPr>
        <w:t xml:space="preserve"> </w:t>
      </w:r>
      <w:r w:rsidR="003C04B4" w:rsidRPr="00BA14E9">
        <w:rPr>
          <w:rFonts w:cs="Calibri"/>
        </w:rPr>
        <w:t xml:space="preserve">pipeline, </w:t>
      </w:r>
      <w:r w:rsidRPr="00BA14E9">
        <w:rPr>
          <w:rFonts w:cs="Calibri"/>
        </w:rPr>
        <w:t>electrical safety, gas safety or dangerous goods l</w:t>
      </w:r>
      <w:r w:rsidR="002F335F" w:rsidRPr="00BA14E9">
        <w:rPr>
          <w:rFonts w:cs="Calibri"/>
        </w:rPr>
        <w:t>egislation</w:t>
      </w:r>
      <w:r w:rsidRPr="00BA14E9">
        <w:rPr>
          <w:rFonts w:cs="Calibri"/>
        </w:rPr>
        <w:t xml:space="preserve">) varies between jurisdictions. In some instances, </w:t>
      </w:r>
      <w:r w:rsidR="009D5837" w:rsidRPr="00BA14E9">
        <w:rPr>
          <w:rFonts w:cs="Calibri"/>
        </w:rPr>
        <w:t>Health &amp; Safety Legislation</w:t>
      </w:r>
      <w:r w:rsidRPr="00BA14E9">
        <w:rPr>
          <w:rFonts w:cs="Calibri"/>
        </w:rPr>
        <w:t xml:space="preserve"> </w:t>
      </w:r>
      <w:r w:rsidR="001705E5" w:rsidRPr="00BA14E9">
        <w:rPr>
          <w:rFonts w:cs="Calibri"/>
        </w:rPr>
        <w:t xml:space="preserve">may </w:t>
      </w:r>
      <w:r w:rsidR="00FA42AA" w:rsidRPr="00BA14E9">
        <w:rPr>
          <w:rFonts w:cs="Calibri"/>
        </w:rPr>
        <w:t xml:space="preserve">be </w:t>
      </w:r>
      <w:r w:rsidRPr="00BA14E9">
        <w:rPr>
          <w:rFonts w:cs="Calibri"/>
        </w:rPr>
        <w:t xml:space="preserve">expressly excluded from applying where there </w:t>
      </w:r>
      <w:proofErr w:type="gramStart"/>
      <w:r w:rsidRPr="00BA14E9">
        <w:rPr>
          <w:rFonts w:cs="Calibri"/>
        </w:rPr>
        <w:t>is</w:t>
      </w:r>
      <w:proofErr w:type="gramEnd"/>
      <w:r w:rsidRPr="00BA14E9">
        <w:rPr>
          <w:rFonts w:cs="Calibri"/>
        </w:rPr>
        <w:t xml:space="preserve"> more </w:t>
      </w:r>
      <w:r w:rsidR="00D44486" w:rsidRPr="00BA14E9">
        <w:rPr>
          <w:rFonts w:cs="Calibri"/>
        </w:rPr>
        <w:t>subject-specific laws</w:t>
      </w:r>
      <w:r w:rsidRPr="00BA14E9">
        <w:rPr>
          <w:rStyle w:val="CommentReference"/>
          <w:rFonts w:cs="Calibri"/>
        </w:rPr>
        <w:t>.</w:t>
      </w:r>
      <w:r w:rsidRPr="00BA14E9">
        <w:rPr>
          <w:rFonts w:cs="Calibri"/>
        </w:rPr>
        <w:t xml:space="preserve"> In other instances, </w:t>
      </w:r>
      <w:r w:rsidR="009D5837" w:rsidRPr="00BA14E9">
        <w:rPr>
          <w:rFonts w:cs="Calibri"/>
        </w:rPr>
        <w:t xml:space="preserve">Health &amp; Safety </w:t>
      </w:r>
      <w:r w:rsidR="00305681" w:rsidRPr="00BA14E9">
        <w:rPr>
          <w:rFonts w:cs="Calibri"/>
        </w:rPr>
        <w:t>L</w:t>
      </w:r>
      <w:r w:rsidR="009D5837" w:rsidRPr="00BA14E9">
        <w:rPr>
          <w:rFonts w:cs="Calibri"/>
        </w:rPr>
        <w:t xml:space="preserve">egislation </w:t>
      </w:r>
      <w:r w:rsidR="00857138" w:rsidRPr="00BA14E9">
        <w:rPr>
          <w:rFonts w:cs="Calibri"/>
        </w:rPr>
        <w:t>is</w:t>
      </w:r>
      <w:r w:rsidRPr="00BA14E9">
        <w:rPr>
          <w:rFonts w:cs="Calibri"/>
        </w:rPr>
        <w:t xml:space="preserve"> given priority. However, in many cases the </w:t>
      </w:r>
      <w:r w:rsidR="009D5837" w:rsidRPr="00BA14E9">
        <w:rPr>
          <w:rFonts w:cs="Calibri"/>
        </w:rPr>
        <w:t>Health &amp; Safety Legislation will</w:t>
      </w:r>
      <w:r w:rsidRPr="00BA14E9">
        <w:rPr>
          <w:rFonts w:cs="Calibri"/>
        </w:rPr>
        <w:t xml:space="preserve"> </w:t>
      </w:r>
      <w:r w:rsidRPr="00BA14E9">
        <w:rPr>
          <w:rFonts w:cs="Calibri"/>
        </w:rPr>
        <w:lastRenderedPageBreak/>
        <w:t xml:space="preserve">operate concurrently with other </w:t>
      </w:r>
      <w:r w:rsidR="00857138" w:rsidRPr="00BA14E9">
        <w:rPr>
          <w:rFonts w:cs="Calibri"/>
        </w:rPr>
        <w:t>subject</w:t>
      </w:r>
      <w:r w:rsidR="000A521A" w:rsidRPr="00BA14E9">
        <w:rPr>
          <w:rFonts w:cs="Calibri"/>
        </w:rPr>
        <w:t>-</w:t>
      </w:r>
      <w:r w:rsidRPr="00BA14E9">
        <w:rPr>
          <w:rFonts w:cs="Calibri"/>
        </w:rPr>
        <w:t xml:space="preserve">specific legislation and proponents will need to be aware that their hydrogen </w:t>
      </w:r>
      <w:r w:rsidR="00D1422F" w:rsidRPr="00BA14E9">
        <w:rPr>
          <w:rFonts w:cs="Calibri"/>
        </w:rPr>
        <w:t>pipelines</w:t>
      </w:r>
      <w:r w:rsidRPr="00BA14E9">
        <w:rPr>
          <w:rFonts w:cs="Calibri"/>
        </w:rPr>
        <w:t xml:space="preserve"> will </w:t>
      </w:r>
      <w:r w:rsidR="0027782B" w:rsidRPr="00BA14E9">
        <w:rPr>
          <w:rFonts w:cs="Calibri"/>
        </w:rPr>
        <w:t>incur</w:t>
      </w:r>
      <w:r w:rsidRPr="00BA14E9" w:rsidDel="006733D4">
        <w:rPr>
          <w:rFonts w:cs="Calibri"/>
        </w:rPr>
        <w:t xml:space="preserve"> </w:t>
      </w:r>
      <w:r w:rsidRPr="00BA14E9">
        <w:rPr>
          <w:rFonts w:cs="Calibri"/>
        </w:rPr>
        <w:t xml:space="preserve">obligations under both </w:t>
      </w:r>
      <w:r w:rsidR="009D5837" w:rsidRPr="00BA14E9">
        <w:rPr>
          <w:rFonts w:cs="Calibri"/>
        </w:rPr>
        <w:t>Health &amp; Safety Legislation</w:t>
      </w:r>
      <w:r w:rsidRPr="00BA14E9">
        <w:rPr>
          <w:rFonts w:cs="Calibri"/>
        </w:rPr>
        <w:t xml:space="preserve"> and other </w:t>
      </w:r>
      <w:r w:rsidR="00D44486" w:rsidRPr="00BA14E9">
        <w:rPr>
          <w:rFonts w:cs="Calibri"/>
        </w:rPr>
        <w:t>subject-specific</w:t>
      </w:r>
      <w:r w:rsidRPr="00BA14E9">
        <w:rPr>
          <w:rFonts w:cs="Calibri"/>
        </w:rPr>
        <w:t xml:space="preserve"> safety regimes (see </w:t>
      </w:r>
      <w:r w:rsidRPr="00C801D8">
        <w:rPr>
          <w:rFonts w:cs="Calibri"/>
        </w:rPr>
        <w:t xml:space="preserve">chapters </w:t>
      </w:r>
      <w:r w:rsidR="00B34E64" w:rsidRPr="00C801D8">
        <w:rPr>
          <w:rFonts w:cs="Calibri"/>
        </w:rPr>
        <w:t>5</w:t>
      </w:r>
      <w:r w:rsidRPr="00C801D8">
        <w:rPr>
          <w:rFonts w:cs="Calibri"/>
        </w:rPr>
        <w:t xml:space="preserve">.3 to </w:t>
      </w:r>
      <w:r w:rsidR="00B34E64" w:rsidRPr="00C801D8">
        <w:rPr>
          <w:rFonts w:cs="Calibri"/>
        </w:rPr>
        <w:t>5</w:t>
      </w:r>
      <w:r w:rsidRPr="00C801D8">
        <w:rPr>
          <w:rFonts w:cs="Calibri"/>
        </w:rPr>
        <w:t>.</w:t>
      </w:r>
      <w:r w:rsidR="00CB0EBA" w:rsidRPr="00C801D8">
        <w:rPr>
          <w:rFonts w:cs="Calibri"/>
        </w:rPr>
        <w:t>4</w:t>
      </w:r>
      <w:r w:rsidRPr="00BA14E9">
        <w:rPr>
          <w:rFonts w:cs="Calibri"/>
        </w:rPr>
        <w:t>).</w:t>
      </w:r>
      <w:r w:rsidR="00381FF3">
        <w:rPr>
          <w:rFonts w:cs="Calibri"/>
        </w:rPr>
        <w:t xml:space="preserve"> Table 2.8 </w:t>
      </w:r>
      <w:r w:rsidR="004217F1">
        <w:rPr>
          <w:rFonts w:cs="Calibri"/>
        </w:rPr>
        <w:t xml:space="preserve">summarises the </w:t>
      </w:r>
      <w:r w:rsidR="00381405">
        <w:rPr>
          <w:rFonts w:cs="Calibri"/>
        </w:rPr>
        <w:t xml:space="preserve">application of Health &amp; Safety Legislation </w:t>
      </w:r>
      <w:r w:rsidR="006E119D">
        <w:rPr>
          <w:rFonts w:cs="Calibri"/>
        </w:rPr>
        <w:t>to hydrogen pipelines.</w:t>
      </w:r>
    </w:p>
    <w:p w14:paraId="5F827B02" w14:textId="776BB38F" w:rsidR="00A4456B" w:rsidRPr="00BA14E9" w:rsidRDefault="00912C05" w:rsidP="00B04E88">
      <w:r w:rsidRPr="00BA14E9">
        <w:rPr>
          <w:rFonts w:cs="Calibri"/>
        </w:rPr>
        <w:t>Depending on</w:t>
      </w:r>
      <w:r w:rsidR="005A371B" w:rsidRPr="00BA14E9">
        <w:rPr>
          <w:rFonts w:cs="Calibri"/>
        </w:rPr>
        <w:t xml:space="preserve"> the </w:t>
      </w:r>
      <w:r w:rsidRPr="00BA14E9">
        <w:rPr>
          <w:rFonts w:cs="Calibri"/>
        </w:rPr>
        <w:t xml:space="preserve">requirements </w:t>
      </w:r>
      <w:r w:rsidR="005A371B" w:rsidRPr="00BA14E9">
        <w:rPr>
          <w:rFonts w:cs="Calibri"/>
        </w:rPr>
        <w:t>of a particular jurisdiction, if proponents are aware of the</w:t>
      </w:r>
      <w:r w:rsidR="00EB4176" w:rsidRPr="00BA14E9">
        <w:rPr>
          <w:rFonts w:cs="Calibri"/>
        </w:rPr>
        <w:t>ir</w:t>
      </w:r>
      <w:r w:rsidR="005A371B" w:rsidRPr="00BA14E9">
        <w:rPr>
          <w:rFonts w:cs="Calibri"/>
        </w:rPr>
        <w:t xml:space="preserve"> concurrent obligations, </w:t>
      </w:r>
      <w:r w:rsidR="00EB4176" w:rsidRPr="00BA14E9">
        <w:rPr>
          <w:rFonts w:cs="Calibri"/>
        </w:rPr>
        <w:t>they</w:t>
      </w:r>
      <w:r w:rsidR="005A371B" w:rsidRPr="00BA14E9">
        <w:rPr>
          <w:rFonts w:cs="Calibri"/>
        </w:rPr>
        <w:t xml:space="preserve"> may be able to use the same compliance activities (</w:t>
      </w:r>
      <w:r w:rsidR="00CB5421">
        <w:rPr>
          <w:rFonts w:cs="Calibri"/>
        </w:rPr>
        <w:t>for example</w:t>
      </w:r>
      <w:r w:rsidR="002A25B7">
        <w:rPr>
          <w:rFonts w:cs="Calibri"/>
        </w:rPr>
        <w:t>,</w:t>
      </w:r>
      <w:r w:rsidR="005A371B" w:rsidRPr="00BA14E9">
        <w:rPr>
          <w:rFonts w:cs="Calibri"/>
        </w:rPr>
        <w:t xml:space="preserve"> completing and documenting a safety audit and hazard</w:t>
      </w:r>
      <w:r w:rsidR="00AD6001" w:rsidRPr="00BA14E9">
        <w:rPr>
          <w:rFonts w:cs="Calibri"/>
        </w:rPr>
        <w:t xml:space="preserve"> </w:t>
      </w:r>
      <w:r w:rsidR="005A371B" w:rsidRPr="00BA14E9">
        <w:rPr>
          <w:rFonts w:cs="Calibri"/>
        </w:rPr>
        <w:t>/</w:t>
      </w:r>
      <w:r w:rsidR="00AD6001" w:rsidRPr="00BA14E9">
        <w:rPr>
          <w:rFonts w:cs="Calibri"/>
        </w:rPr>
        <w:t xml:space="preserve"> </w:t>
      </w:r>
      <w:r w:rsidR="005A371B" w:rsidRPr="00BA14E9">
        <w:rPr>
          <w:rFonts w:cs="Calibri"/>
        </w:rPr>
        <w:t>risk assessment) to meet the</w:t>
      </w:r>
      <w:r w:rsidR="00F3704B" w:rsidRPr="00BA14E9">
        <w:rPr>
          <w:rFonts w:cs="Calibri"/>
        </w:rPr>
        <w:t>ir</w:t>
      </w:r>
      <w:r w:rsidR="005A371B" w:rsidRPr="00BA14E9">
        <w:rPr>
          <w:rFonts w:cs="Calibri"/>
        </w:rPr>
        <w:t xml:space="preserve"> obligations across both </w:t>
      </w:r>
      <w:r w:rsidR="009D5837" w:rsidRPr="00BA14E9">
        <w:rPr>
          <w:rFonts w:cs="Calibri"/>
        </w:rPr>
        <w:t>Health &amp; Safety Legislation</w:t>
      </w:r>
      <w:r w:rsidR="005A371B" w:rsidRPr="00BA14E9">
        <w:rPr>
          <w:rFonts w:cs="Calibri"/>
        </w:rPr>
        <w:t xml:space="preserve"> and other more </w:t>
      </w:r>
      <w:r w:rsidR="00402DFD" w:rsidRPr="00BA14E9">
        <w:rPr>
          <w:rFonts w:cs="Calibri"/>
        </w:rPr>
        <w:t>subject-</w:t>
      </w:r>
      <w:r w:rsidR="005A371B" w:rsidRPr="00BA14E9">
        <w:rPr>
          <w:rFonts w:cs="Calibri"/>
        </w:rPr>
        <w:t>specific laws.</w:t>
      </w:r>
      <w:bookmarkStart w:id="78" w:name="_Toc201248128"/>
      <w:bookmarkStart w:id="79" w:name="_Toc203492290"/>
      <w:bookmarkStart w:id="80" w:name="_Toc200490175"/>
      <w:bookmarkEnd w:id="78"/>
      <w:bookmarkEnd w:id="79"/>
    </w:p>
    <w:p w14:paraId="62C0ABBC" w14:textId="34B089BF" w:rsidR="005A371B" w:rsidRPr="00BA14E9" w:rsidRDefault="005A371B" w:rsidP="00E83908">
      <w:pPr>
        <w:pStyle w:val="Heading2"/>
      </w:pPr>
      <w:bookmarkStart w:id="81" w:name="_Toc215810339"/>
      <w:bookmarkStart w:id="82" w:name="_Toc200490176"/>
      <w:bookmarkStart w:id="83" w:name="_Toc222925511"/>
      <w:bookmarkEnd w:id="80"/>
      <w:bookmarkEnd w:id="81"/>
      <w:r w:rsidRPr="00BA14E9">
        <w:t xml:space="preserve">Who is subject to </w:t>
      </w:r>
      <w:r w:rsidR="009D5837" w:rsidRPr="00BA14E9">
        <w:t>Health &amp; Safety Legislation</w:t>
      </w:r>
      <w:r w:rsidRPr="00BA14E9">
        <w:t>?</w:t>
      </w:r>
      <w:bookmarkEnd w:id="82"/>
      <w:bookmarkEnd w:id="83"/>
      <w:r w:rsidRPr="00BA14E9">
        <w:rPr>
          <w:shd w:val="clear" w:color="auto" w:fill="FFFFFF"/>
        </w:rPr>
        <w:t xml:space="preserve"> </w:t>
      </w:r>
    </w:p>
    <w:p w14:paraId="43A9D348" w14:textId="51F85EC8" w:rsidR="00CD038D" w:rsidRPr="00BA14E9" w:rsidRDefault="005A371B" w:rsidP="005C6CAE">
      <w:pPr>
        <w:rPr>
          <w:lang w:eastAsia="en-AU"/>
        </w:rPr>
      </w:pPr>
      <w:r w:rsidRPr="00BA14E9">
        <w:rPr>
          <w:lang w:eastAsia="en-AU"/>
        </w:rPr>
        <w:t xml:space="preserve">The model WHS regime uses the term </w:t>
      </w:r>
      <w:r w:rsidR="0008271D" w:rsidRPr="00BA14E9">
        <w:rPr>
          <w:lang w:eastAsia="en-AU"/>
        </w:rPr>
        <w:t>“</w:t>
      </w:r>
      <w:r w:rsidR="00C41F14" w:rsidRPr="00BA14E9">
        <w:rPr>
          <w:lang w:eastAsia="en-AU"/>
        </w:rPr>
        <w:t>p</w:t>
      </w:r>
      <w:r w:rsidRPr="00BA14E9">
        <w:rPr>
          <w:lang w:eastAsia="en-AU"/>
        </w:rPr>
        <w:t xml:space="preserve">ersons </w:t>
      </w:r>
      <w:r w:rsidR="00C41F14" w:rsidRPr="00BA14E9">
        <w:rPr>
          <w:lang w:eastAsia="en-AU"/>
        </w:rPr>
        <w:t>c</w:t>
      </w:r>
      <w:r w:rsidRPr="00BA14E9">
        <w:rPr>
          <w:lang w:eastAsia="en-AU"/>
        </w:rPr>
        <w:t xml:space="preserve">onducting a </w:t>
      </w:r>
      <w:r w:rsidR="00C41F14" w:rsidRPr="00BA14E9">
        <w:rPr>
          <w:lang w:eastAsia="en-AU"/>
        </w:rPr>
        <w:t>b</w:t>
      </w:r>
      <w:r w:rsidRPr="00BA14E9">
        <w:rPr>
          <w:lang w:eastAsia="en-AU"/>
        </w:rPr>
        <w:t xml:space="preserve">usiness or </w:t>
      </w:r>
      <w:r w:rsidR="00C41F14" w:rsidRPr="00BA14E9">
        <w:rPr>
          <w:lang w:eastAsia="en-AU"/>
        </w:rPr>
        <w:t>u</w:t>
      </w:r>
      <w:r w:rsidRPr="00BA14E9">
        <w:rPr>
          <w:lang w:eastAsia="en-AU"/>
        </w:rPr>
        <w:t>ndertaking</w:t>
      </w:r>
      <w:r w:rsidR="0008271D" w:rsidRPr="00BA14E9">
        <w:rPr>
          <w:lang w:eastAsia="en-AU"/>
        </w:rPr>
        <w:t>”</w:t>
      </w:r>
      <w:r w:rsidRPr="00BA14E9">
        <w:rPr>
          <w:lang w:eastAsia="en-AU"/>
        </w:rPr>
        <w:t xml:space="preserve"> (PCBUs) and the OHS Act (Vic) uses </w:t>
      </w:r>
      <w:r w:rsidR="004A04FB" w:rsidRPr="00BA14E9">
        <w:rPr>
          <w:lang w:eastAsia="en-AU"/>
        </w:rPr>
        <w:t>“</w:t>
      </w:r>
      <w:r w:rsidRPr="00BA14E9">
        <w:rPr>
          <w:lang w:eastAsia="en-AU"/>
        </w:rPr>
        <w:t>employers</w:t>
      </w:r>
      <w:r w:rsidR="004A04FB" w:rsidRPr="00BA14E9">
        <w:rPr>
          <w:lang w:eastAsia="en-AU"/>
        </w:rPr>
        <w:t>”</w:t>
      </w:r>
      <w:r w:rsidRPr="00BA14E9">
        <w:rPr>
          <w:lang w:eastAsia="en-AU"/>
        </w:rPr>
        <w:t xml:space="preserve">. Both </w:t>
      </w:r>
      <w:r w:rsidR="00592160" w:rsidRPr="00BA14E9">
        <w:rPr>
          <w:lang w:eastAsia="en-AU"/>
        </w:rPr>
        <w:t>concepts</w:t>
      </w:r>
      <w:r w:rsidRPr="00BA14E9">
        <w:rPr>
          <w:lang w:eastAsia="en-AU"/>
        </w:rPr>
        <w:t xml:space="preserve"> </w:t>
      </w:r>
      <w:r w:rsidR="00592160" w:rsidRPr="00BA14E9">
        <w:rPr>
          <w:lang w:eastAsia="en-AU"/>
        </w:rPr>
        <w:t>(</w:t>
      </w:r>
      <w:r w:rsidRPr="00BA14E9">
        <w:rPr>
          <w:lang w:eastAsia="en-AU"/>
        </w:rPr>
        <w:t>PCBU and employer</w:t>
      </w:r>
      <w:r w:rsidR="00592160" w:rsidRPr="00BA14E9">
        <w:rPr>
          <w:lang w:eastAsia="en-AU"/>
        </w:rPr>
        <w:t>)</w:t>
      </w:r>
      <w:r w:rsidRPr="00BA14E9">
        <w:rPr>
          <w:lang w:eastAsia="en-AU"/>
        </w:rPr>
        <w:t xml:space="preserve"> </w:t>
      </w:r>
      <w:r w:rsidR="00D84D05" w:rsidRPr="00BA14E9">
        <w:rPr>
          <w:lang w:eastAsia="en-AU"/>
        </w:rPr>
        <w:t>include</w:t>
      </w:r>
      <w:r w:rsidR="00E869A2">
        <w:rPr>
          <w:lang w:eastAsia="en-AU"/>
        </w:rPr>
        <w:t>, but are not necessarily limited to,</w:t>
      </w:r>
      <w:r w:rsidRPr="00BA14E9">
        <w:rPr>
          <w:lang w:eastAsia="en-AU"/>
        </w:rPr>
        <w:t xml:space="preserve"> a company, organisation or partnership, sole trader, unincorporated association or not-for-profit organisation. </w:t>
      </w:r>
    </w:p>
    <w:p w14:paraId="6D037A24" w14:textId="58BB961D" w:rsidR="005A371B" w:rsidRPr="00BA14E9" w:rsidRDefault="00CB077F" w:rsidP="606C9B12">
      <w:pPr>
        <w:rPr>
          <w:lang w:eastAsia="en-AU"/>
        </w:rPr>
      </w:pPr>
      <w:r w:rsidRPr="00BA14E9">
        <w:rPr>
          <w:lang w:eastAsia="en-AU"/>
        </w:rPr>
        <w:t>M</w:t>
      </w:r>
      <w:r w:rsidR="006128D3" w:rsidRPr="00BA14E9">
        <w:rPr>
          <w:lang w:eastAsia="en-AU"/>
        </w:rPr>
        <w:t>ost, if not all</w:t>
      </w:r>
      <w:r w:rsidR="005A371B" w:rsidRPr="00BA14E9">
        <w:rPr>
          <w:lang w:eastAsia="en-AU"/>
        </w:rPr>
        <w:t xml:space="preserve"> entities involved in the design, construction, operation and decommissioning of a hydrogen p</w:t>
      </w:r>
      <w:r w:rsidR="00213FEA" w:rsidRPr="00BA14E9">
        <w:rPr>
          <w:lang w:eastAsia="en-AU"/>
        </w:rPr>
        <w:t>ipeline</w:t>
      </w:r>
      <w:r w:rsidR="005A371B" w:rsidRPr="00BA14E9">
        <w:rPr>
          <w:lang w:eastAsia="en-AU"/>
        </w:rPr>
        <w:t xml:space="preserve"> </w:t>
      </w:r>
      <w:r w:rsidR="00213FEA" w:rsidRPr="00BA14E9">
        <w:rPr>
          <w:lang w:eastAsia="en-AU"/>
        </w:rPr>
        <w:t xml:space="preserve">project </w:t>
      </w:r>
      <w:r w:rsidR="005A371B" w:rsidRPr="00BA14E9">
        <w:rPr>
          <w:lang w:eastAsia="en-AU"/>
        </w:rPr>
        <w:t>will be considered PCBUs</w:t>
      </w:r>
      <w:r w:rsidR="0012120A" w:rsidRPr="00BA14E9">
        <w:rPr>
          <w:lang w:eastAsia="en-AU"/>
        </w:rPr>
        <w:t xml:space="preserve"> (under the WHS Acts)</w:t>
      </w:r>
      <w:r w:rsidR="005A371B" w:rsidRPr="00BA14E9">
        <w:rPr>
          <w:lang w:eastAsia="en-AU"/>
        </w:rPr>
        <w:t xml:space="preserve"> or employers</w:t>
      </w:r>
      <w:r w:rsidR="0091766E" w:rsidRPr="00BA14E9">
        <w:rPr>
          <w:lang w:eastAsia="en-AU"/>
        </w:rPr>
        <w:t xml:space="preserve"> (under the OHS Laws (Vic))</w:t>
      </w:r>
      <w:r w:rsidR="005A371B" w:rsidRPr="00BA14E9">
        <w:rPr>
          <w:lang w:eastAsia="en-AU"/>
        </w:rPr>
        <w:t>. This could include the head project company, design consultants, construction contractors, manufacturers and importers of equipment, entities installing or commissioning equipment, and persons operating or servicing plant and equipment.</w:t>
      </w:r>
      <w:r w:rsidR="00DF18C7" w:rsidRPr="00BA14E9">
        <w:rPr>
          <w:lang w:eastAsia="en-AU"/>
        </w:rPr>
        <w:t xml:space="preserve"> This </w:t>
      </w:r>
      <w:r w:rsidR="00B57986" w:rsidRPr="00BA14E9">
        <w:rPr>
          <w:lang w:eastAsia="en-AU"/>
        </w:rPr>
        <w:t>Guidebook</w:t>
      </w:r>
      <w:r w:rsidR="00DF18C7" w:rsidRPr="00BA14E9">
        <w:rPr>
          <w:lang w:eastAsia="en-AU"/>
        </w:rPr>
        <w:t xml:space="preserve"> uses the term "proponent" as an umbrella term to refer to PCBUs and employers in the context of a hydrogen </w:t>
      </w:r>
      <w:r w:rsidR="00213FEA" w:rsidRPr="00BA14E9">
        <w:rPr>
          <w:lang w:eastAsia="en-AU"/>
        </w:rPr>
        <w:t xml:space="preserve">pipeline </w:t>
      </w:r>
      <w:r w:rsidR="00DF18C7" w:rsidRPr="00BA14E9">
        <w:rPr>
          <w:lang w:eastAsia="en-AU"/>
        </w:rPr>
        <w:t>project.</w:t>
      </w:r>
    </w:p>
    <w:p w14:paraId="7D08170E" w14:textId="3E0B0AED" w:rsidR="005A371B" w:rsidRPr="00916D92" w:rsidDel="004B5BC8" w:rsidRDefault="005A371B" w:rsidP="00F634FE">
      <w:pPr>
        <w:spacing w:after="80"/>
        <w:rPr>
          <w:rFonts w:eastAsia="Times New Roman" w:cs="Calibri"/>
          <w:color w:val="000000"/>
          <w:lang w:eastAsia="en-AU"/>
        </w:rPr>
      </w:pPr>
      <w:r w:rsidRPr="00BA14E9" w:rsidDel="00141CBF">
        <w:rPr>
          <w:lang w:eastAsia="en-AU"/>
        </w:rPr>
        <w:t>T</w:t>
      </w:r>
      <w:r w:rsidRPr="00BA14E9">
        <w:rPr>
          <w:lang w:eastAsia="en-AU"/>
        </w:rPr>
        <w:t>his Guidebook does not provide guidance on the apportionment of obligations or responsibilities between entities and or people involved on a project. Proponents should refer to existing WHS and OHS guidance on these matters.</w:t>
      </w:r>
    </w:p>
    <w:p w14:paraId="3A697185" w14:textId="4A8A6322" w:rsidR="005A371B" w:rsidRPr="00BA14E9" w:rsidRDefault="005A371B" w:rsidP="00E83908">
      <w:pPr>
        <w:pStyle w:val="Heading2"/>
      </w:pPr>
      <w:r w:rsidRPr="00BA14E9">
        <w:t xml:space="preserve"> </w:t>
      </w:r>
      <w:bookmarkStart w:id="84" w:name="_Toc200490177"/>
      <w:bookmarkStart w:id="85" w:name="_Toc222925512"/>
      <w:r w:rsidRPr="00BA14E9">
        <w:t xml:space="preserve">Summary of </w:t>
      </w:r>
      <w:bookmarkEnd w:id="84"/>
      <w:r w:rsidR="009D5837" w:rsidRPr="00BA14E9">
        <w:t>Health &amp; Safety Legislation</w:t>
      </w:r>
      <w:bookmarkEnd w:id="85"/>
    </w:p>
    <w:p w14:paraId="7A34C86A" w14:textId="508ED8C7" w:rsidR="005A371B" w:rsidRPr="00BA14E9" w:rsidRDefault="005A371B" w:rsidP="005C6CAE">
      <w:pPr>
        <w:rPr>
          <w:rFonts w:cs="Calibri"/>
        </w:rPr>
      </w:pPr>
      <w:r w:rsidRPr="00BA14E9">
        <w:rPr>
          <w:rFonts w:cs="Calibri"/>
        </w:rPr>
        <w:t xml:space="preserve">This </w:t>
      </w:r>
      <w:r w:rsidR="00FA7825" w:rsidRPr="00BA14E9">
        <w:rPr>
          <w:rFonts w:cs="Calibri"/>
        </w:rPr>
        <w:t>chapter</w:t>
      </w:r>
      <w:r w:rsidRPr="00BA14E9">
        <w:rPr>
          <w:rFonts w:cs="Calibri"/>
        </w:rPr>
        <w:t xml:space="preserve"> summarises some of the key elements of the </w:t>
      </w:r>
      <w:r w:rsidR="009D5837" w:rsidRPr="00BA14E9">
        <w:rPr>
          <w:rFonts w:cs="Calibri"/>
        </w:rPr>
        <w:t>Health &amp; Safety Legislation</w:t>
      </w:r>
      <w:r w:rsidRPr="00BA14E9">
        <w:rPr>
          <w:rFonts w:cs="Calibri"/>
        </w:rPr>
        <w:t xml:space="preserve"> relevant to hydrogen </w:t>
      </w:r>
      <w:r w:rsidR="0014390B" w:rsidRPr="00BA14E9">
        <w:rPr>
          <w:rFonts w:cs="Calibri"/>
        </w:rPr>
        <w:t>pipelines.</w:t>
      </w:r>
      <w:r w:rsidR="00E60BAC" w:rsidRPr="00BA14E9">
        <w:rPr>
          <w:rFonts w:cs="Calibri"/>
        </w:rPr>
        <w:t xml:space="preserve"> </w:t>
      </w:r>
      <w:r w:rsidR="00803636" w:rsidRPr="00BA14E9">
        <w:rPr>
          <w:rFonts w:cs="Calibri"/>
        </w:rPr>
        <w:t>T</w:t>
      </w:r>
      <w:r w:rsidR="00E60BAC" w:rsidRPr="00BA14E9">
        <w:rPr>
          <w:rFonts w:cs="Calibri"/>
        </w:rPr>
        <w:t>his Guidebook seeks to focus particularly on WHS obligations with specific relevance to hydrogen, proponents should note that there are other WHS obligations</w:t>
      </w:r>
      <w:r w:rsidR="00490976" w:rsidRPr="00BA14E9">
        <w:rPr>
          <w:rFonts w:cs="Calibri"/>
        </w:rPr>
        <w:t>, not addressed here,</w:t>
      </w:r>
      <w:r w:rsidR="00E60BAC" w:rsidRPr="00BA14E9">
        <w:rPr>
          <w:rFonts w:cs="Calibri"/>
        </w:rPr>
        <w:t xml:space="preserve"> </w:t>
      </w:r>
      <w:r w:rsidR="00490976" w:rsidRPr="00BA14E9">
        <w:rPr>
          <w:rFonts w:cs="Calibri"/>
        </w:rPr>
        <w:t>that must be complied with</w:t>
      </w:r>
      <w:r w:rsidRPr="00BA14E9">
        <w:rPr>
          <w:rFonts w:cs="Calibri"/>
        </w:rPr>
        <w:t xml:space="preserve">. While there is </w:t>
      </w:r>
      <w:r w:rsidR="00173B8F" w:rsidRPr="00BA14E9">
        <w:rPr>
          <w:rFonts w:cs="Calibri"/>
        </w:rPr>
        <w:t xml:space="preserve">important </w:t>
      </w:r>
      <w:r w:rsidRPr="00BA14E9">
        <w:rPr>
          <w:rFonts w:cs="Calibri"/>
        </w:rPr>
        <w:t xml:space="preserve">variation between jurisdictions, there are also similar obligations. </w:t>
      </w:r>
    </w:p>
    <w:p w14:paraId="55F98730" w14:textId="2D9CAC68" w:rsidR="005A371B" w:rsidRPr="00BA14E9" w:rsidRDefault="00321016" w:rsidP="005A371B">
      <w:pPr>
        <w:rPr>
          <w:b/>
        </w:rPr>
      </w:pPr>
      <w:r w:rsidRPr="00BA14E9">
        <w:rPr>
          <w:b/>
        </w:rPr>
        <w:t xml:space="preserve">Table </w:t>
      </w:r>
      <w:r w:rsidR="004E035A">
        <w:rPr>
          <w:b/>
        </w:rPr>
        <w:t>6</w:t>
      </w:r>
      <w:r w:rsidRPr="00BA14E9">
        <w:rPr>
          <w:b/>
        </w:rPr>
        <w:t xml:space="preserve">.1: </w:t>
      </w:r>
      <w:r w:rsidR="005A371B" w:rsidRPr="00BA14E9">
        <w:rPr>
          <w:b/>
        </w:rPr>
        <w:t xml:space="preserve">Summary of </w:t>
      </w:r>
      <w:r w:rsidR="00490976" w:rsidRPr="00BA14E9">
        <w:rPr>
          <w:b/>
        </w:rPr>
        <w:t xml:space="preserve">some </w:t>
      </w:r>
      <w:r w:rsidR="005A371B" w:rsidRPr="00BA14E9">
        <w:rPr>
          <w:b/>
        </w:rPr>
        <w:t xml:space="preserve">key </w:t>
      </w:r>
      <w:r w:rsidR="009D5837" w:rsidRPr="00BA14E9">
        <w:rPr>
          <w:b/>
        </w:rPr>
        <w:t>Health &amp; Safety Legislation</w:t>
      </w:r>
      <w:r w:rsidR="005A371B" w:rsidRPr="00BA14E9">
        <w:rPr>
          <w:b/>
        </w:rPr>
        <w:t xml:space="preserve"> obligations</w:t>
      </w:r>
    </w:p>
    <w:tbl>
      <w:tblPr>
        <w:tblStyle w:val="TableGrid"/>
        <w:tblW w:w="0" w:type="auto"/>
        <w:tblInd w:w="-3" w:type="dxa"/>
        <w:tblLook w:val="04A0" w:firstRow="1" w:lastRow="0" w:firstColumn="1" w:lastColumn="0" w:noHBand="0" w:noVBand="1"/>
      </w:tblPr>
      <w:tblGrid>
        <w:gridCol w:w="3397"/>
        <w:gridCol w:w="5619"/>
      </w:tblGrid>
      <w:tr w:rsidR="005A371B" w:rsidRPr="00BA14E9" w14:paraId="396A67A0" w14:textId="77777777" w:rsidTr="0072367E">
        <w:trPr>
          <w:tblHeader/>
        </w:trPr>
        <w:tc>
          <w:tcPr>
            <w:tcW w:w="3397" w:type="dxa"/>
            <w:tcBorders>
              <w:top w:val="single" w:sz="4" w:space="0" w:color="auto"/>
              <w:left w:val="single" w:sz="4" w:space="0" w:color="auto"/>
              <w:bottom w:val="single" w:sz="4" w:space="0" w:color="auto"/>
              <w:right w:val="single" w:sz="4" w:space="0" w:color="auto"/>
            </w:tcBorders>
            <w:hideMark/>
          </w:tcPr>
          <w:p w14:paraId="60C41FDE" w14:textId="77777777" w:rsidR="005A371B" w:rsidRPr="00BA14E9" w:rsidRDefault="005A371B" w:rsidP="005C6CAE">
            <w:pPr>
              <w:rPr>
                <w:b/>
                <w:lang w:val="en-AU"/>
              </w:rPr>
            </w:pPr>
            <w:r w:rsidRPr="00BA14E9">
              <w:rPr>
                <w:b/>
                <w:lang w:val="en-AU"/>
              </w:rPr>
              <w:t>WHS regulatory element</w:t>
            </w:r>
          </w:p>
        </w:tc>
        <w:tc>
          <w:tcPr>
            <w:tcW w:w="5619" w:type="dxa"/>
            <w:tcBorders>
              <w:top w:val="single" w:sz="4" w:space="0" w:color="auto"/>
              <w:left w:val="single" w:sz="4" w:space="0" w:color="auto"/>
              <w:bottom w:val="single" w:sz="4" w:space="0" w:color="auto"/>
              <w:right w:val="single" w:sz="4" w:space="0" w:color="auto"/>
            </w:tcBorders>
            <w:hideMark/>
          </w:tcPr>
          <w:p w14:paraId="5F0762E9" w14:textId="6B0879A6" w:rsidR="005A371B" w:rsidRPr="00BA14E9" w:rsidRDefault="005A371B">
            <w:pPr>
              <w:rPr>
                <w:b/>
                <w:lang w:val="en-AU"/>
              </w:rPr>
            </w:pPr>
            <w:r w:rsidRPr="00BA14E9">
              <w:rPr>
                <w:b/>
                <w:lang w:val="en-AU"/>
              </w:rPr>
              <w:t xml:space="preserve">Application to hydrogen </w:t>
            </w:r>
            <w:r w:rsidR="00E34D73" w:rsidRPr="00BA14E9">
              <w:rPr>
                <w:b/>
                <w:lang w:val="en-AU"/>
              </w:rPr>
              <w:t>pipelines</w:t>
            </w:r>
          </w:p>
        </w:tc>
      </w:tr>
      <w:tr w:rsidR="005A371B" w:rsidRPr="00BA14E9" w14:paraId="573C6063" w14:textId="77777777" w:rsidTr="606C9B12">
        <w:tc>
          <w:tcPr>
            <w:tcW w:w="3397" w:type="dxa"/>
            <w:tcBorders>
              <w:top w:val="single" w:sz="4" w:space="0" w:color="auto"/>
              <w:left w:val="single" w:sz="4" w:space="0" w:color="auto"/>
              <w:bottom w:val="single" w:sz="4" w:space="0" w:color="auto"/>
              <w:right w:val="single" w:sz="4" w:space="0" w:color="auto"/>
            </w:tcBorders>
            <w:hideMark/>
          </w:tcPr>
          <w:p w14:paraId="42163CF1" w14:textId="77777777" w:rsidR="005A371B" w:rsidRPr="00BA14E9" w:rsidRDefault="005A371B" w:rsidP="005C6CAE">
            <w:pPr>
              <w:rPr>
                <w:rFonts w:cs="Calibri"/>
                <w:lang w:val="en-AU"/>
              </w:rPr>
            </w:pPr>
            <w:r w:rsidRPr="00BA14E9">
              <w:rPr>
                <w:rFonts w:cs="Calibri"/>
                <w:lang w:val="en-AU"/>
              </w:rPr>
              <w:t>Primary and general duties</w:t>
            </w:r>
          </w:p>
        </w:tc>
        <w:tc>
          <w:tcPr>
            <w:tcW w:w="5619" w:type="dxa"/>
            <w:tcBorders>
              <w:top w:val="single" w:sz="4" w:space="0" w:color="auto"/>
              <w:left w:val="single" w:sz="4" w:space="0" w:color="auto"/>
              <w:bottom w:val="single" w:sz="4" w:space="0" w:color="auto"/>
              <w:right w:val="single" w:sz="4" w:space="0" w:color="auto"/>
            </w:tcBorders>
          </w:tcPr>
          <w:p w14:paraId="6A2CBEE4" w14:textId="7E805621" w:rsidR="005A371B" w:rsidRDefault="005A371B">
            <w:pPr>
              <w:rPr>
                <w:rFonts w:eastAsiaTheme="minorEastAsia" w:cs="Calibri"/>
                <w:lang w:val="en-AU"/>
              </w:rPr>
            </w:pPr>
            <w:r w:rsidRPr="00BA14E9">
              <w:rPr>
                <w:rFonts w:eastAsiaTheme="minorEastAsia" w:cs="Calibri"/>
                <w:lang w:val="en-AU"/>
              </w:rPr>
              <w:t xml:space="preserve">The obligations established through the </w:t>
            </w:r>
            <w:r w:rsidR="009D5837" w:rsidRPr="00BA14E9">
              <w:rPr>
                <w:rFonts w:eastAsiaTheme="minorEastAsia" w:cs="Calibri"/>
                <w:lang w:val="en-AU"/>
              </w:rPr>
              <w:t>Health &amp; Safety Legislation</w:t>
            </w:r>
            <w:r w:rsidRPr="00BA14E9">
              <w:rPr>
                <w:rFonts w:eastAsiaTheme="minorEastAsia" w:cs="Calibri"/>
                <w:lang w:val="en-AU"/>
              </w:rPr>
              <w:t xml:space="preserve"> include the application of primary and general duties and</w:t>
            </w:r>
            <w:r w:rsidRPr="00BA14E9" w:rsidDel="00891D79">
              <w:rPr>
                <w:rFonts w:eastAsiaTheme="minorEastAsia" w:cs="Calibri"/>
                <w:lang w:val="en-AU"/>
              </w:rPr>
              <w:t xml:space="preserve"> </w:t>
            </w:r>
            <w:r w:rsidR="00891D79" w:rsidRPr="00BA14E9">
              <w:rPr>
                <w:rFonts w:eastAsiaTheme="minorEastAsia" w:cs="Calibri"/>
                <w:lang w:val="en-AU"/>
              </w:rPr>
              <w:t xml:space="preserve">impose obligations regarding a range of specific matters, </w:t>
            </w:r>
            <w:r w:rsidR="00A8296A">
              <w:rPr>
                <w:rFonts w:eastAsiaTheme="minorEastAsia" w:cs="Calibri"/>
                <w:lang w:val="en-AU"/>
              </w:rPr>
              <w:t>including</w:t>
            </w:r>
            <w:r w:rsidR="00A8296A" w:rsidRPr="00BA14E9">
              <w:rPr>
                <w:rFonts w:eastAsiaTheme="minorEastAsia" w:cs="Calibri"/>
                <w:lang w:val="en-AU"/>
              </w:rPr>
              <w:t xml:space="preserve"> </w:t>
            </w:r>
            <w:r w:rsidR="00B85AC5">
              <w:rPr>
                <w:rFonts w:eastAsiaTheme="minorEastAsia" w:cs="Calibri"/>
                <w:lang w:val="en-AU"/>
              </w:rPr>
              <w:t>further</w:t>
            </w:r>
            <w:r w:rsidR="00891D79" w:rsidRPr="00BA14E9">
              <w:rPr>
                <w:rFonts w:eastAsiaTheme="minorEastAsia" w:cs="Calibri"/>
                <w:lang w:val="en-AU"/>
              </w:rPr>
              <w:t xml:space="preserve"> duties to manage risks associated with access</w:t>
            </w:r>
            <w:r w:rsidR="00013817" w:rsidRPr="00BA14E9">
              <w:rPr>
                <w:rFonts w:eastAsiaTheme="minorEastAsia" w:cs="Calibri"/>
                <w:lang w:val="en-AU"/>
              </w:rPr>
              <w:t xml:space="preserve"> </w:t>
            </w:r>
            <w:r w:rsidR="00891D79" w:rsidRPr="00BA14E9">
              <w:rPr>
                <w:rFonts w:eastAsiaTheme="minorEastAsia" w:cs="Calibri"/>
                <w:lang w:val="en-AU"/>
              </w:rPr>
              <w:t>/</w:t>
            </w:r>
            <w:r w:rsidR="00013817" w:rsidRPr="00BA14E9">
              <w:rPr>
                <w:rFonts w:eastAsiaTheme="minorEastAsia" w:cs="Calibri"/>
                <w:lang w:val="en-AU"/>
              </w:rPr>
              <w:t xml:space="preserve"> </w:t>
            </w:r>
            <w:r w:rsidR="00891D79" w:rsidRPr="00BA14E9">
              <w:rPr>
                <w:rFonts w:eastAsiaTheme="minorEastAsia" w:cs="Calibri"/>
                <w:lang w:val="en-AU"/>
              </w:rPr>
              <w:t>egress from the workplace, fixtures, fittings, plant and equipment and to consult, cooperate and coordinate activities with other duty holders.</w:t>
            </w:r>
          </w:p>
          <w:p w14:paraId="1CCDD533" w14:textId="77777777" w:rsidR="002917DE" w:rsidRDefault="002917DE">
            <w:pPr>
              <w:rPr>
                <w:rFonts w:eastAsiaTheme="minorEastAsia" w:cs="Calibri"/>
                <w:lang w:val="en-AU"/>
              </w:rPr>
            </w:pPr>
          </w:p>
          <w:p w14:paraId="47E6A674" w14:textId="5E6CEEA2" w:rsidR="002917DE" w:rsidRPr="00BA14E9" w:rsidRDefault="002917DE">
            <w:pPr>
              <w:rPr>
                <w:rFonts w:eastAsiaTheme="minorEastAsia" w:cs="Calibri"/>
                <w:lang w:val="en-AU"/>
              </w:rPr>
            </w:pPr>
            <w:r>
              <w:rPr>
                <w:rFonts w:eastAsiaTheme="minorEastAsia" w:cs="Calibri"/>
                <w:lang w:val="en-AU"/>
              </w:rPr>
              <w:lastRenderedPageBreak/>
              <w:t>Note that m</w:t>
            </w:r>
            <w:r w:rsidRPr="002917DE">
              <w:rPr>
                <w:rFonts w:eastAsiaTheme="minorEastAsia" w:cs="Calibri"/>
                <w:lang w:val="en-AU"/>
              </w:rPr>
              <w:t xml:space="preserve">inimising or reducing risks ‘so far as is reasonably practicable’ (SFAIRP) may mean doing more than simply implementing controls to reduce safety risks to a level deemed acceptable or tolerable by an energy infrastructure </w:t>
            </w:r>
            <w:proofErr w:type="gramStart"/>
            <w:r w:rsidRPr="002917DE">
              <w:rPr>
                <w:rFonts w:eastAsiaTheme="minorEastAsia" w:cs="Calibri"/>
                <w:lang w:val="en-AU"/>
              </w:rPr>
              <w:t>company;</w:t>
            </w:r>
            <w:proofErr w:type="gramEnd"/>
            <w:r w:rsidRPr="002917DE">
              <w:rPr>
                <w:rFonts w:eastAsiaTheme="minorEastAsia" w:cs="Calibri"/>
                <w:lang w:val="en-AU"/>
              </w:rPr>
              <w:t xml:space="preserve"> as currently permitted using the ‘as low as reasonably practicable’ (ALARP) approach from AS</w:t>
            </w:r>
            <w:r w:rsidR="00EF5B8F">
              <w:rPr>
                <w:rFonts w:eastAsiaTheme="minorEastAsia" w:cs="Calibri"/>
                <w:lang w:val="en-AU"/>
              </w:rPr>
              <w:t xml:space="preserve"> </w:t>
            </w:r>
            <w:r w:rsidRPr="002917DE">
              <w:rPr>
                <w:rFonts w:eastAsiaTheme="minorEastAsia" w:cs="Calibri"/>
                <w:lang w:val="en-AU"/>
              </w:rPr>
              <w:t>4645 and AS</w:t>
            </w:r>
            <w:r w:rsidR="00EF5B8F">
              <w:rPr>
                <w:rFonts w:eastAsiaTheme="minorEastAsia" w:cs="Calibri"/>
                <w:lang w:val="en-AU"/>
              </w:rPr>
              <w:t xml:space="preserve"> </w:t>
            </w:r>
            <w:r w:rsidRPr="002917DE">
              <w:rPr>
                <w:rFonts w:eastAsiaTheme="minorEastAsia" w:cs="Calibri"/>
                <w:lang w:val="en-AU"/>
              </w:rPr>
              <w:t>2885.</w:t>
            </w:r>
          </w:p>
          <w:p w14:paraId="51A42CC2" w14:textId="77777777" w:rsidR="005A371B" w:rsidRPr="00BA14E9" w:rsidRDefault="005A371B" w:rsidP="005C6CAE">
            <w:pPr>
              <w:rPr>
                <w:rFonts w:cs="Calibri"/>
                <w:lang w:val="en-AU"/>
              </w:rPr>
            </w:pPr>
          </w:p>
          <w:p w14:paraId="2255F8F4" w14:textId="17825DA7" w:rsidR="005A371B" w:rsidRPr="00BA14E9" w:rsidRDefault="005A371B" w:rsidP="005C6CAE">
            <w:pPr>
              <w:rPr>
                <w:rFonts w:cs="Calibri"/>
                <w:lang w:val="en-AU"/>
              </w:rPr>
            </w:pPr>
            <w:r w:rsidRPr="00C801D8">
              <w:rPr>
                <w:rFonts w:cs="Calibri"/>
                <w:lang w:val="en-AU"/>
              </w:rPr>
              <w:t xml:space="preserve">Chapter </w:t>
            </w:r>
            <w:r w:rsidR="00213FEA" w:rsidRPr="00C801D8">
              <w:rPr>
                <w:rFonts w:cs="Calibri"/>
                <w:lang w:val="en-AU"/>
              </w:rPr>
              <w:t>5</w:t>
            </w:r>
            <w:r w:rsidRPr="00C801D8">
              <w:rPr>
                <w:rFonts w:cs="Calibri"/>
                <w:lang w:val="en-AU"/>
              </w:rPr>
              <w:t>.4</w:t>
            </w:r>
            <w:r w:rsidRPr="00BA14E9">
              <w:rPr>
                <w:rFonts w:cs="Calibri"/>
                <w:lang w:val="en-AU"/>
              </w:rPr>
              <w:t xml:space="preserve"> of this Guidebook discusses primary and general duties in further detail.</w:t>
            </w:r>
          </w:p>
        </w:tc>
      </w:tr>
      <w:tr w:rsidR="005A371B" w:rsidRPr="00BA14E9" w14:paraId="3B7431E2" w14:textId="77777777" w:rsidTr="606C9B12">
        <w:tc>
          <w:tcPr>
            <w:tcW w:w="3397" w:type="dxa"/>
            <w:tcBorders>
              <w:top w:val="single" w:sz="4" w:space="0" w:color="auto"/>
              <w:left w:val="single" w:sz="4" w:space="0" w:color="auto"/>
              <w:bottom w:val="single" w:sz="4" w:space="0" w:color="auto"/>
              <w:right w:val="single" w:sz="4" w:space="0" w:color="auto"/>
            </w:tcBorders>
          </w:tcPr>
          <w:p w14:paraId="424A9533" w14:textId="77777777" w:rsidR="005A371B" w:rsidRPr="00BA14E9" w:rsidRDefault="005A371B" w:rsidP="005C6CAE">
            <w:pPr>
              <w:rPr>
                <w:rFonts w:cs="Calibri"/>
                <w:lang w:val="en-AU"/>
              </w:rPr>
            </w:pPr>
            <w:r w:rsidRPr="00BA14E9">
              <w:rPr>
                <w:rFonts w:cs="Calibri"/>
                <w:lang w:val="en-AU"/>
              </w:rPr>
              <w:lastRenderedPageBreak/>
              <w:t>Managing risks to health and safety and general workplace management</w:t>
            </w:r>
          </w:p>
          <w:p w14:paraId="424A9A32" w14:textId="77777777" w:rsidR="005A371B" w:rsidRPr="00BA14E9" w:rsidRDefault="005A371B" w:rsidP="005C6CAE">
            <w:pPr>
              <w:rPr>
                <w:rFonts w:cs="Calibri"/>
                <w:lang w:val="en-AU"/>
              </w:rPr>
            </w:pPr>
          </w:p>
          <w:p w14:paraId="430A53BE" w14:textId="00247461" w:rsidR="005A371B" w:rsidRPr="00BA14E9" w:rsidRDefault="005A371B" w:rsidP="005C6CAE">
            <w:pPr>
              <w:rPr>
                <w:lang w:val="en-AU"/>
              </w:rPr>
            </w:pPr>
            <w:r w:rsidRPr="00BA14E9">
              <w:rPr>
                <w:lang w:val="en-AU"/>
              </w:rPr>
              <w:t xml:space="preserve">Chapter 3, </w:t>
            </w:r>
            <w:r w:rsidR="003D2ACF" w:rsidRPr="00BA14E9">
              <w:rPr>
                <w:lang w:val="en-AU"/>
              </w:rPr>
              <w:t xml:space="preserve">applicable </w:t>
            </w:r>
            <w:r w:rsidRPr="00BA14E9">
              <w:rPr>
                <w:lang w:val="en-AU"/>
              </w:rPr>
              <w:t>WHS Regulations</w:t>
            </w:r>
          </w:p>
          <w:p w14:paraId="7E3B8938" w14:textId="4370A927" w:rsidR="005A371B" w:rsidRPr="00BA14E9" w:rsidRDefault="005A371B" w:rsidP="005C6CAE">
            <w:pPr>
              <w:rPr>
                <w:lang w:val="en-AU"/>
              </w:rPr>
            </w:pPr>
            <w:r w:rsidRPr="00BA14E9">
              <w:rPr>
                <w:lang w:val="en-AU"/>
              </w:rPr>
              <w:t xml:space="preserve">OHS </w:t>
            </w:r>
            <w:r w:rsidR="000062F4">
              <w:rPr>
                <w:lang w:val="en-AU"/>
              </w:rPr>
              <w:t>Laws</w:t>
            </w:r>
            <w:r w:rsidR="000062F4" w:rsidRPr="00BA14E9">
              <w:rPr>
                <w:lang w:val="en-AU"/>
              </w:rPr>
              <w:t xml:space="preserve"> </w:t>
            </w:r>
            <w:r w:rsidRPr="00BA14E9">
              <w:rPr>
                <w:lang w:val="en-AU"/>
              </w:rPr>
              <w:t>(Vic) (various)</w:t>
            </w:r>
          </w:p>
          <w:p w14:paraId="4D0C2A72" w14:textId="77777777" w:rsidR="005A371B" w:rsidRPr="00BA14E9" w:rsidRDefault="005A371B" w:rsidP="005C6CAE">
            <w:pPr>
              <w:rPr>
                <w:rFonts w:cs="Calibri"/>
                <w:lang w:val="en-AU"/>
              </w:rPr>
            </w:pPr>
          </w:p>
        </w:tc>
        <w:tc>
          <w:tcPr>
            <w:tcW w:w="5619" w:type="dxa"/>
            <w:tcBorders>
              <w:top w:val="single" w:sz="4" w:space="0" w:color="auto"/>
              <w:left w:val="single" w:sz="4" w:space="0" w:color="auto"/>
              <w:bottom w:val="single" w:sz="4" w:space="0" w:color="auto"/>
              <w:right w:val="single" w:sz="4" w:space="0" w:color="auto"/>
            </w:tcBorders>
          </w:tcPr>
          <w:p w14:paraId="66C5300D" w14:textId="1C752DF2" w:rsidR="005A371B" w:rsidRPr="00BA14E9" w:rsidRDefault="00027880" w:rsidP="005C6CAE">
            <w:pPr>
              <w:rPr>
                <w:rFonts w:cs="Calibri"/>
                <w:lang w:val="en-AU"/>
              </w:rPr>
            </w:pPr>
            <w:r w:rsidRPr="00BA14E9">
              <w:rPr>
                <w:rFonts w:cs="Calibri"/>
                <w:lang w:val="en-AU"/>
              </w:rPr>
              <w:t xml:space="preserve">The Health &amp; Safety Legislation prescribe the ways in which proponents must comply with their safety duties. </w:t>
            </w:r>
            <w:r w:rsidR="005A371B" w:rsidRPr="00BA14E9">
              <w:rPr>
                <w:rFonts w:cs="Calibri"/>
                <w:lang w:val="en-AU"/>
              </w:rPr>
              <w:t xml:space="preserve">Risk management requires employers to identify hazards, assess associated risks, and implement control measures to mitigate or eliminate these risks. This proactive strategy is essential for preventing workplace injuries and illnesses. </w:t>
            </w:r>
          </w:p>
          <w:p w14:paraId="35D15E5B" w14:textId="77777777" w:rsidR="005A371B" w:rsidRPr="00BA14E9" w:rsidRDefault="005A371B" w:rsidP="005C6CAE">
            <w:pPr>
              <w:rPr>
                <w:rFonts w:cs="Calibri"/>
                <w:lang w:val="en-AU"/>
              </w:rPr>
            </w:pPr>
          </w:p>
          <w:p w14:paraId="3C1D97A9" w14:textId="77777777" w:rsidR="005A371B" w:rsidRPr="00BA14E9" w:rsidRDefault="005A371B" w:rsidP="005C6CAE">
            <w:pPr>
              <w:rPr>
                <w:rFonts w:cs="Calibri"/>
                <w:lang w:val="en-AU"/>
              </w:rPr>
            </w:pPr>
            <w:r w:rsidRPr="00BA14E9">
              <w:rPr>
                <w:rFonts w:cs="Calibri"/>
                <w:lang w:val="en-AU"/>
              </w:rPr>
              <w:t>Proponents should be aware of the aspects of hydrogen properties, characteristics and supply chains that differ from other fuels such as natural gas and how these affect hazard and risk assessment.</w:t>
            </w:r>
          </w:p>
          <w:p w14:paraId="7AD577F7" w14:textId="77777777" w:rsidR="005A371B" w:rsidRPr="00BA14E9" w:rsidRDefault="005A371B" w:rsidP="005C6CAE">
            <w:pPr>
              <w:rPr>
                <w:rFonts w:cs="Calibri"/>
                <w:lang w:val="en-AU"/>
              </w:rPr>
            </w:pPr>
          </w:p>
          <w:p w14:paraId="6A683989" w14:textId="665E4418" w:rsidR="005A371B" w:rsidRPr="00BA14E9" w:rsidRDefault="005A371B" w:rsidP="005C6CAE">
            <w:pPr>
              <w:rPr>
                <w:rFonts w:cs="Calibri"/>
                <w:lang w:val="en-AU"/>
              </w:rPr>
            </w:pPr>
            <w:r w:rsidRPr="00C801D8">
              <w:rPr>
                <w:rFonts w:cs="Calibri"/>
                <w:lang w:val="en-AU"/>
              </w:rPr>
              <w:t xml:space="preserve">Chapter </w:t>
            </w:r>
            <w:r w:rsidR="00040ECD" w:rsidRPr="00C801D8">
              <w:rPr>
                <w:rFonts w:cs="Calibri"/>
                <w:lang w:val="en-AU"/>
              </w:rPr>
              <w:t>5</w:t>
            </w:r>
            <w:r w:rsidRPr="00C801D8">
              <w:rPr>
                <w:rFonts w:cs="Calibri"/>
                <w:lang w:val="en-AU"/>
              </w:rPr>
              <w:t>.5.3</w:t>
            </w:r>
            <w:r w:rsidR="00656D6F" w:rsidRPr="00BA14E9">
              <w:rPr>
                <w:rFonts w:cs="Calibri"/>
                <w:lang w:val="en-AU"/>
              </w:rPr>
              <w:t xml:space="preserve"> </w:t>
            </w:r>
            <w:r w:rsidRPr="00BA14E9">
              <w:rPr>
                <w:rFonts w:cs="Calibri"/>
                <w:lang w:val="en-AU"/>
              </w:rPr>
              <w:t>of this Guidebook discusses safety case</w:t>
            </w:r>
            <w:r w:rsidR="00BC2466" w:rsidRPr="00BA14E9">
              <w:rPr>
                <w:rFonts w:cs="Calibri"/>
                <w:lang w:val="en-AU"/>
              </w:rPr>
              <w:t>s (required for major hazard facilities)</w:t>
            </w:r>
            <w:r w:rsidRPr="00BA14E9">
              <w:rPr>
                <w:rFonts w:cs="Calibri"/>
                <w:lang w:val="en-AU"/>
              </w:rPr>
              <w:t xml:space="preserve">, SMS and emergency plan requirements under existing </w:t>
            </w:r>
            <w:r w:rsidR="002C133C" w:rsidRPr="00BA14E9">
              <w:rPr>
                <w:rFonts w:cs="Calibri"/>
                <w:lang w:val="en-AU"/>
              </w:rPr>
              <w:t>Health &amp; Safety Legislation</w:t>
            </w:r>
            <w:r w:rsidRPr="00BA14E9">
              <w:rPr>
                <w:rFonts w:cs="Calibri"/>
                <w:lang w:val="en-AU"/>
              </w:rPr>
              <w:t>.</w:t>
            </w:r>
          </w:p>
        </w:tc>
      </w:tr>
      <w:tr w:rsidR="005A371B" w:rsidRPr="00BA14E9" w14:paraId="36FC2C3A" w14:textId="77777777" w:rsidTr="606C9B12">
        <w:tc>
          <w:tcPr>
            <w:tcW w:w="3397" w:type="dxa"/>
            <w:tcBorders>
              <w:top w:val="single" w:sz="4" w:space="0" w:color="auto"/>
              <w:left w:val="single" w:sz="4" w:space="0" w:color="auto"/>
              <w:bottom w:val="single" w:sz="4" w:space="0" w:color="auto"/>
              <w:right w:val="single" w:sz="4" w:space="0" w:color="auto"/>
            </w:tcBorders>
          </w:tcPr>
          <w:p w14:paraId="73AA8144" w14:textId="6DA47190" w:rsidR="005A371B" w:rsidRPr="00BA14E9" w:rsidRDefault="005F4050" w:rsidP="005C6CAE">
            <w:pPr>
              <w:rPr>
                <w:rFonts w:cs="Calibri"/>
                <w:lang w:val="en-AU"/>
              </w:rPr>
            </w:pPr>
            <w:r w:rsidRPr="00BA14E9">
              <w:rPr>
                <w:rFonts w:cs="Calibri"/>
                <w:lang w:val="en-AU"/>
              </w:rPr>
              <w:t>Specific duties for h</w:t>
            </w:r>
            <w:r w:rsidR="005A371B" w:rsidRPr="00BA14E9">
              <w:rPr>
                <w:rFonts w:cs="Calibri"/>
                <w:lang w:val="en-AU"/>
              </w:rPr>
              <w:t>azardous work including work involving noise, hazardous manual tasks, confined spaces, falls, demolition work, diving work</w:t>
            </w:r>
            <w:r w:rsidR="001D072C" w:rsidRPr="00BA14E9">
              <w:rPr>
                <w:rFonts w:cs="Calibri"/>
                <w:lang w:val="en-AU"/>
              </w:rPr>
              <w:t xml:space="preserve">, </w:t>
            </w:r>
            <w:r w:rsidR="005A371B" w:rsidRPr="00BA14E9">
              <w:rPr>
                <w:rFonts w:cs="Calibri"/>
                <w:lang w:val="en-AU"/>
              </w:rPr>
              <w:t xml:space="preserve">licensing of </w:t>
            </w:r>
            <w:r w:rsidR="0025545A" w:rsidRPr="00BA14E9">
              <w:rPr>
                <w:rFonts w:cs="Calibri"/>
                <w:lang w:val="en-AU"/>
              </w:rPr>
              <w:t>high-risk</w:t>
            </w:r>
            <w:r w:rsidR="005A371B" w:rsidRPr="00BA14E9">
              <w:rPr>
                <w:rFonts w:cs="Calibri"/>
                <w:lang w:val="en-AU"/>
              </w:rPr>
              <w:t xml:space="preserve"> work and accreditation of assessors of competency</w:t>
            </w:r>
          </w:p>
          <w:p w14:paraId="6F2E098F" w14:textId="77777777" w:rsidR="005A371B" w:rsidRPr="00BA14E9" w:rsidRDefault="005A371B" w:rsidP="005C6CAE">
            <w:pPr>
              <w:rPr>
                <w:rFonts w:cs="Calibri"/>
                <w:lang w:val="en-AU"/>
              </w:rPr>
            </w:pPr>
          </w:p>
          <w:p w14:paraId="54319687" w14:textId="3F5366EE" w:rsidR="005A371B" w:rsidRPr="00BA14E9" w:rsidRDefault="005A371B" w:rsidP="005C6CAE">
            <w:pPr>
              <w:rPr>
                <w:lang w:val="en-AU"/>
              </w:rPr>
            </w:pPr>
            <w:r w:rsidRPr="00BA14E9">
              <w:rPr>
                <w:lang w:val="en-AU"/>
              </w:rPr>
              <w:t xml:space="preserve">Chapter 4, </w:t>
            </w:r>
            <w:r w:rsidR="00A42AB8" w:rsidRPr="00BA14E9">
              <w:rPr>
                <w:lang w:val="en-AU"/>
              </w:rPr>
              <w:t>applicable</w:t>
            </w:r>
            <w:r w:rsidRPr="00BA14E9">
              <w:rPr>
                <w:lang w:val="en-AU"/>
              </w:rPr>
              <w:t xml:space="preserve"> WHS Regulations</w:t>
            </w:r>
          </w:p>
          <w:p w14:paraId="0D68A252" w14:textId="77777777" w:rsidR="005A371B" w:rsidRPr="00BA14E9" w:rsidRDefault="005A371B" w:rsidP="005C6CAE">
            <w:pPr>
              <w:rPr>
                <w:lang w:val="en-AU"/>
              </w:rPr>
            </w:pPr>
            <w:r w:rsidRPr="00BA14E9">
              <w:rPr>
                <w:lang w:val="en-AU"/>
              </w:rPr>
              <w:t>Chapter 3, OHS Regulations (Vic)</w:t>
            </w:r>
          </w:p>
          <w:p w14:paraId="0227DF23" w14:textId="77777777" w:rsidR="005A371B" w:rsidRPr="00BA14E9" w:rsidRDefault="005A371B" w:rsidP="005C6CAE">
            <w:pPr>
              <w:rPr>
                <w:rFonts w:cs="Calibri"/>
                <w:lang w:val="en-AU"/>
              </w:rPr>
            </w:pPr>
          </w:p>
        </w:tc>
        <w:tc>
          <w:tcPr>
            <w:tcW w:w="5619" w:type="dxa"/>
            <w:tcBorders>
              <w:top w:val="single" w:sz="4" w:space="0" w:color="auto"/>
              <w:left w:val="single" w:sz="4" w:space="0" w:color="auto"/>
              <w:bottom w:val="single" w:sz="4" w:space="0" w:color="auto"/>
              <w:right w:val="single" w:sz="4" w:space="0" w:color="auto"/>
            </w:tcBorders>
          </w:tcPr>
          <w:p w14:paraId="4EA7EFCC" w14:textId="4985072F" w:rsidR="005A371B" w:rsidRPr="00BA14E9" w:rsidRDefault="005A371B" w:rsidP="005C6CAE">
            <w:pPr>
              <w:rPr>
                <w:rFonts w:cs="Calibri"/>
                <w:lang w:val="en-AU"/>
              </w:rPr>
            </w:pPr>
            <w:r w:rsidRPr="00BA14E9">
              <w:rPr>
                <w:rFonts w:cs="Calibri"/>
                <w:lang w:val="en-AU"/>
              </w:rPr>
              <w:t xml:space="preserve">Hydrogen </w:t>
            </w:r>
            <w:r w:rsidR="0004218F" w:rsidRPr="00BA14E9">
              <w:rPr>
                <w:rFonts w:cs="Calibri"/>
                <w:lang w:val="en-AU"/>
              </w:rPr>
              <w:t>pipelines</w:t>
            </w:r>
            <w:r w:rsidRPr="00BA14E9">
              <w:rPr>
                <w:rFonts w:cs="Calibri"/>
                <w:lang w:val="en-AU"/>
              </w:rPr>
              <w:t xml:space="preserve"> will likely involve a range of activities that will trigger the hazardous work obligations.</w:t>
            </w:r>
          </w:p>
          <w:p w14:paraId="1BA733CA" w14:textId="77777777" w:rsidR="005A371B" w:rsidRPr="00BA14E9" w:rsidRDefault="005A371B" w:rsidP="005C6CAE">
            <w:pPr>
              <w:rPr>
                <w:rFonts w:cs="Calibri"/>
                <w:lang w:val="en-AU"/>
              </w:rPr>
            </w:pPr>
          </w:p>
          <w:p w14:paraId="787A8C38" w14:textId="3BB4110D" w:rsidR="005A371B" w:rsidRPr="00BA14E9" w:rsidRDefault="005A371B" w:rsidP="005C6CAE">
            <w:pPr>
              <w:rPr>
                <w:rFonts w:cs="Calibri"/>
                <w:lang w:val="en-AU"/>
              </w:rPr>
            </w:pPr>
            <w:r w:rsidRPr="00BA14E9">
              <w:rPr>
                <w:rFonts w:cs="Calibri"/>
                <w:lang w:val="en-AU"/>
              </w:rPr>
              <w:t xml:space="preserve">Current practices for the construction and operation of hydrogen </w:t>
            </w:r>
            <w:r w:rsidR="00874E3E" w:rsidRPr="00BA14E9">
              <w:rPr>
                <w:rFonts w:cs="Calibri"/>
                <w:lang w:val="en-AU"/>
              </w:rPr>
              <w:t>pipelines</w:t>
            </w:r>
            <w:r w:rsidRPr="00BA14E9">
              <w:rPr>
                <w:rFonts w:cs="Calibri"/>
                <w:lang w:val="en-AU"/>
              </w:rPr>
              <w:t xml:space="preserve"> will likely have similar hazards and risks to other </w:t>
            </w:r>
            <w:r w:rsidR="00C36545" w:rsidRPr="00BA14E9">
              <w:rPr>
                <w:rFonts w:cs="Calibri"/>
                <w:lang w:val="en-AU"/>
              </w:rPr>
              <w:t>pipelines</w:t>
            </w:r>
            <w:r w:rsidRPr="00BA14E9">
              <w:rPr>
                <w:rFonts w:cs="Calibri"/>
                <w:lang w:val="en-AU"/>
              </w:rPr>
              <w:t>.</w:t>
            </w:r>
          </w:p>
          <w:p w14:paraId="10623742" w14:textId="77777777" w:rsidR="005A371B" w:rsidRPr="00BA14E9" w:rsidRDefault="005A371B" w:rsidP="005C6CAE">
            <w:pPr>
              <w:rPr>
                <w:rFonts w:cs="Calibri"/>
                <w:lang w:val="en-AU"/>
              </w:rPr>
            </w:pPr>
          </w:p>
          <w:p w14:paraId="22EE9CA5" w14:textId="77777777" w:rsidR="005A371B" w:rsidRPr="00BA14E9" w:rsidRDefault="005A371B" w:rsidP="005C6CAE">
            <w:pPr>
              <w:rPr>
                <w:rFonts w:cs="Calibri"/>
                <w:lang w:val="en-AU"/>
              </w:rPr>
            </w:pPr>
            <w:r w:rsidRPr="00BA14E9">
              <w:rPr>
                <w:rFonts w:cs="Calibri"/>
                <w:lang w:val="en-AU"/>
              </w:rPr>
              <w:t>Accordingly, this Guidebook does not discuss these hazardous work obligations in detail.</w:t>
            </w:r>
          </w:p>
        </w:tc>
      </w:tr>
      <w:tr w:rsidR="005A371B" w:rsidRPr="00BA14E9" w14:paraId="45A69AD8" w14:textId="77777777" w:rsidTr="606C9B12">
        <w:tc>
          <w:tcPr>
            <w:tcW w:w="3397" w:type="dxa"/>
            <w:tcBorders>
              <w:top w:val="single" w:sz="4" w:space="0" w:color="auto"/>
              <w:left w:val="single" w:sz="4" w:space="0" w:color="auto"/>
              <w:bottom w:val="single" w:sz="4" w:space="0" w:color="auto"/>
              <w:right w:val="single" w:sz="4" w:space="0" w:color="auto"/>
            </w:tcBorders>
          </w:tcPr>
          <w:p w14:paraId="03396F16" w14:textId="77777777" w:rsidR="005A371B" w:rsidRPr="00BA14E9" w:rsidRDefault="005A371B" w:rsidP="005C6CAE">
            <w:pPr>
              <w:rPr>
                <w:rFonts w:cs="Calibri"/>
                <w:lang w:val="en-AU"/>
              </w:rPr>
            </w:pPr>
            <w:r w:rsidRPr="00BA14E9">
              <w:rPr>
                <w:rFonts w:cs="Calibri"/>
                <w:lang w:val="en-AU"/>
              </w:rPr>
              <w:t>Electrical safety and energised electrical work</w:t>
            </w:r>
          </w:p>
          <w:p w14:paraId="4D675371" w14:textId="77777777" w:rsidR="005A371B" w:rsidRPr="00BA14E9" w:rsidRDefault="005A371B" w:rsidP="005C6CAE">
            <w:pPr>
              <w:rPr>
                <w:rFonts w:cs="Calibri"/>
                <w:lang w:val="en-AU"/>
              </w:rPr>
            </w:pPr>
          </w:p>
          <w:p w14:paraId="0FF8F597" w14:textId="362C34C0" w:rsidR="005A371B" w:rsidRPr="00BA14E9" w:rsidRDefault="005A371B" w:rsidP="005C6CAE">
            <w:pPr>
              <w:rPr>
                <w:lang w:val="en-AU"/>
              </w:rPr>
            </w:pPr>
            <w:r w:rsidRPr="00BA14E9">
              <w:rPr>
                <w:lang w:val="en-AU"/>
              </w:rPr>
              <w:t xml:space="preserve">Chapter Part 4.7, </w:t>
            </w:r>
            <w:r w:rsidR="00A42AB8" w:rsidRPr="00BA14E9">
              <w:rPr>
                <w:lang w:val="en-AU"/>
              </w:rPr>
              <w:t>applicable</w:t>
            </w:r>
            <w:r w:rsidRPr="00BA14E9">
              <w:rPr>
                <w:lang w:val="en-AU"/>
              </w:rPr>
              <w:t xml:space="preserve"> WHS Regulations</w:t>
            </w:r>
          </w:p>
          <w:p w14:paraId="5CF25CAC" w14:textId="77777777" w:rsidR="005A371B" w:rsidRPr="00BA14E9" w:rsidRDefault="005A371B" w:rsidP="005C6CAE">
            <w:pPr>
              <w:rPr>
                <w:lang w:val="en-AU"/>
              </w:rPr>
            </w:pPr>
            <w:r w:rsidRPr="00BA14E9">
              <w:rPr>
                <w:lang w:val="en-AU"/>
              </w:rPr>
              <w:lastRenderedPageBreak/>
              <w:t>Section 114, OHS Regulations (Vic)</w:t>
            </w:r>
          </w:p>
          <w:p w14:paraId="58DA22E0" w14:textId="77777777" w:rsidR="005A371B" w:rsidRPr="00BA14E9" w:rsidRDefault="005A371B" w:rsidP="005C6CAE">
            <w:pPr>
              <w:rPr>
                <w:highlight w:val="yellow"/>
                <w:lang w:val="en-AU"/>
              </w:rPr>
            </w:pPr>
          </w:p>
        </w:tc>
        <w:tc>
          <w:tcPr>
            <w:tcW w:w="5619" w:type="dxa"/>
            <w:tcBorders>
              <w:top w:val="single" w:sz="4" w:space="0" w:color="auto"/>
              <w:left w:val="single" w:sz="4" w:space="0" w:color="auto"/>
              <w:bottom w:val="single" w:sz="4" w:space="0" w:color="auto"/>
              <w:right w:val="single" w:sz="4" w:space="0" w:color="auto"/>
            </w:tcBorders>
          </w:tcPr>
          <w:p w14:paraId="59339E41" w14:textId="3665F425" w:rsidR="005A371B" w:rsidRPr="00BA14E9" w:rsidRDefault="00556BE8" w:rsidP="005C6CAE">
            <w:pPr>
              <w:rPr>
                <w:rFonts w:cs="Calibri"/>
                <w:lang w:val="en-AU"/>
              </w:rPr>
            </w:pPr>
            <w:r w:rsidRPr="00BA14E9">
              <w:rPr>
                <w:rFonts w:cs="Calibri"/>
                <w:lang w:val="en-AU"/>
              </w:rPr>
              <w:lastRenderedPageBreak/>
              <w:t>Construction and operation of h</w:t>
            </w:r>
            <w:r w:rsidR="005A371B" w:rsidRPr="00BA14E9">
              <w:rPr>
                <w:rFonts w:cs="Calibri"/>
                <w:lang w:val="en-AU"/>
              </w:rPr>
              <w:t xml:space="preserve">ydrogen </w:t>
            </w:r>
            <w:r w:rsidR="00356049" w:rsidRPr="00BA14E9">
              <w:rPr>
                <w:rFonts w:cs="Calibri"/>
                <w:lang w:val="en-AU"/>
              </w:rPr>
              <w:t>pipelines</w:t>
            </w:r>
            <w:r w:rsidR="005A371B" w:rsidRPr="00BA14E9">
              <w:rPr>
                <w:rFonts w:cs="Calibri"/>
                <w:lang w:val="en-AU"/>
              </w:rPr>
              <w:t xml:space="preserve"> </w:t>
            </w:r>
            <w:r w:rsidRPr="00BA14E9">
              <w:rPr>
                <w:rFonts w:cs="Calibri"/>
                <w:lang w:val="en-AU"/>
              </w:rPr>
              <w:t xml:space="preserve">will involve electrical loads </w:t>
            </w:r>
            <w:r w:rsidR="005A371B" w:rsidRPr="00BA14E9">
              <w:rPr>
                <w:rFonts w:cs="Calibri"/>
                <w:lang w:val="en-AU"/>
              </w:rPr>
              <w:t>and electrical safety provisions</w:t>
            </w:r>
            <w:r w:rsidRPr="00BA14E9">
              <w:rPr>
                <w:rFonts w:cs="Calibri"/>
                <w:lang w:val="en-AU"/>
              </w:rPr>
              <w:t>.</w:t>
            </w:r>
          </w:p>
          <w:p w14:paraId="2C4AFD87" w14:textId="77777777" w:rsidR="005A371B" w:rsidRPr="00BA14E9" w:rsidRDefault="005A371B" w:rsidP="005C6CAE">
            <w:pPr>
              <w:rPr>
                <w:rFonts w:cs="Calibri"/>
                <w:lang w:val="en-AU"/>
              </w:rPr>
            </w:pPr>
          </w:p>
          <w:p w14:paraId="529F695B" w14:textId="04C43CF1" w:rsidR="005A371B" w:rsidRPr="00BA14E9" w:rsidRDefault="005A371B" w:rsidP="005C6CAE">
            <w:pPr>
              <w:rPr>
                <w:rFonts w:cs="Calibri"/>
                <w:lang w:val="en-AU"/>
              </w:rPr>
            </w:pPr>
            <w:r w:rsidRPr="00F17B20">
              <w:rPr>
                <w:rFonts w:cs="Calibri"/>
              </w:rPr>
              <w:t>Chapter 7.</w:t>
            </w:r>
            <w:r w:rsidR="007742FD" w:rsidRPr="00F17B20">
              <w:rPr>
                <w:rFonts w:cs="Calibri"/>
              </w:rPr>
              <w:t>2</w:t>
            </w:r>
            <w:r w:rsidRPr="00F17B20">
              <w:rPr>
                <w:rFonts w:cs="Calibri"/>
              </w:rPr>
              <w:t xml:space="preserve"> of this Guidebook discusses electrical safety in further detail.</w:t>
            </w:r>
          </w:p>
          <w:p w14:paraId="729E9F9F" w14:textId="77777777" w:rsidR="00ED34DA" w:rsidRPr="00BA14E9" w:rsidRDefault="00ED34DA" w:rsidP="005C6CAE">
            <w:pPr>
              <w:rPr>
                <w:rFonts w:cs="Calibri"/>
                <w:lang w:val="en-AU"/>
              </w:rPr>
            </w:pPr>
          </w:p>
          <w:p w14:paraId="349DC7C8" w14:textId="053EC146" w:rsidR="00B47027" w:rsidRPr="00BA14E9" w:rsidRDefault="00B47027" w:rsidP="00B47027">
            <w:pPr>
              <w:rPr>
                <w:rFonts w:cs="Calibri"/>
                <w:lang w:val="en-AU"/>
              </w:rPr>
            </w:pPr>
            <w:r w:rsidRPr="00C801D8">
              <w:rPr>
                <w:rFonts w:cs="Calibri"/>
                <w:lang w:val="en-AU"/>
              </w:rPr>
              <w:lastRenderedPageBreak/>
              <w:t>Refer to chapter 3.7.5 of</w:t>
            </w:r>
            <w:r w:rsidRPr="00BA14E9">
              <w:rPr>
                <w:rFonts w:cs="Calibri"/>
                <w:lang w:val="en-AU"/>
              </w:rPr>
              <w:t xml:space="preserve"> the Hydrogen Production Guidebook for discussion of electrical safety in further detail.</w:t>
            </w:r>
          </w:p>
          <w:p w14:paraId="53ECFCAF" w14:textId="49672A9B" w:rsidR="00B47027" w:rsidRPr="00BA14E9" w:rsidRDefault="00B47027" w:rsidP="005C6CAE">
            <w:pPr>
              <w:rPr>
                <w:rFonts w:cs="Calibri"/>
                <w:lang w:val="en-AU"/>
              </w:rPr>
            </w:pPr>
          </w:p>
        </w:tc>
      </w:tr>
      <w:tr w:rsidR="005A371B" w:rsidRPr="00BA14E9" w14:paraId="61E51206" w14:textId="77777777" w:rsidTr="606C9B12">
        <w:tc>
          <w:tcPr>
            <w:tcW w:w="3397" w:type="dxa"/>
            <w:tcBorders>
              <w:top w:val="single" w:sz="4" w:space="0" w:color="auto"/>
              <w:left w:val="single" w:sz="4" w:space="0" w:color="auto"/>
              <w:bottom w:val="single" w:sz="4" w:space="0" w:color="auto"/>
              <w:right w:val="single" w:sz="4" w:space="0" w:color="auto"/>
            </w:tcBorders>
          </w:tcPr>
          <w:p w14:paraId="238F1F12" w14:textId="77777777" w:rsidR="005A371B" w:rsidRPr="00BA14E9" w:rsidRDefault="005A371B" w:rsidP="005C6CAE">
            <w:pPr>
              <w:rPr>
                <w:rFonts w:cs="Calibri"/>
                <w:lang w:val="en-AU"/>
              </w:rPr>
            </w:pPr>
            <w:r w:rsidRPr="00BA14E9">
              <w:rPr>
                <w:rFonts w:cs="Calibri"/>
                <w:lang w:val="en-AU"/>
              </w:rPr>
              <w:lastRenderedPageBreak/>
              <w:t>Plant and structures</w:t>
            </w:r>
          </w:p>
          <w:p w14:paraId="44A7BDC5" w14:textId="77777777" w:rsidR="005A371B" w:rsidRPr="00BA14E9" w:rsidRDefault="005A371B" w:rsidP="005C6CAE">
            <w:pPr>
              <w:rPr>
                <w:rFonts w:cs="Calibri"/>
                <w:lang w:val="en-AU"/>
              </w:rPr>
            </w:pPr>
          </w:p>
          <w:p w14:paraId="72280C4D" w14:textId="07829354" w:rsidR="005A371B" w:rsidRPr="00BA14E9" w:rsidRDefault="005A371B" w:rsidP="005C6CAE">
            <w:pPr>
              <w:rPr>
                <w:lang w:val="en-AU"/>
              </w:rPr>
            </w:pPr>
            <w:r w:rsidRPr="00BA14E9">
              <w:rPr>
                <w:lang w:val="en-AU"/>
              </w:rPr>
              <w:t xml:space="preserve">Chapter 5, </w:t>
            </w:r>
            <w:r w:rsidR="00A42AB8" w:rsidRPr="00BA14E9">
              <w:rPr>
                <w:lang w:val="en-AU"/>
              </w:rPr>
              <w:t>applicable</w:t>
            </w:r>
            <w:r w:rsidRPr="00BA14E9">
              <w:rPr>
                <w:lang w:val="en-AU"/>
              </w:rPr>
              <w:t xml:space="preserve"> WHS Regulations</w:t>
            </w:r>
          </w:p>
          <w:p w14:paraId="056CC8BB" w14:textId="77777777" w:rsidR="005A371B" w:rsidRPr="00BA14E9" w:rsidRDefault="005A371B" w:rsidP="005C6CAE">
            <w:pPr>
              <w:rPr>
                <w:rFonts w:cs="Calibri"/>
                <w:lang w:val="en-AU"/>
              </w:rPr>
            </w:pPr>
            <w:r w:rsidRPr="00BA14E9">
              <w:rPr>
                <w:lang w:val="en-AU"/>
              </w:rPr>
              <w:t>Part 3.5, OHS Regulations</w:t>
            </w:r>
            <w:r w:rsidRPr="00BA14E9">
              <w:rPr>
                <w:rFonts w:cs="Calibri"/>
                <w:lang w:val="en-AU"/>
              </w:rPr>
              <w:t xml:space="preserve"> </w:t>
            </w:r>
            <w:r w:rsidRPr="00BA14E9">
              <w:rPr>
                <w:lang w:val="en-AU"/>
              </w:rPr>
              <w:t>(Vic)</w:t>
            </w:r>
          </w:p>
        </w:tc>
        <w:tc>
          <w:tcPr>
            <w:tcW w:w="5619" w:type="dxa"/>
            <w:tcBorders>
              <w:top w:val="single" w:sz="4" w:space="0" w:color="auto"/>
              <w:left w:val="single" w:sz="4" w:space="0" w:color="auto"/>
              <w:bottom w:val="single" w:sz="4" w:space="0" w:color="auto"/>
              <w:right w:val="single" w:sz="4" w:space="0" w:color="auto"/>
            </w:tcBorders>
          </w:tcPr>
          <w:p w14:paraId="046CBAB4" w14:textId="77777777" w:rsidR="009123F6" w:rsidRPr="00BA14E9" w:rsidRDefault="005A371B">
            <w:pPr>
              <w:rPr>
                <w:rFonts w:cs="Calibri"/>
                <w:lang w:val="en-AU"/>
              </w:rPr>
            </w:pPr>
            <w:r w:rsidRPr="00BA14E9">
              <w:rPr>
                <w:rFonts w:cs="Calibri"/>
                <w:lang w:val="en-AU"/>
              </w:rPr>
              <w:t xml:space="preserve">Chapter 5 of the </w:t>
            </w:r>
            <w:r w:rsidR="00A42AB8" w:rsidRPr="00BA14E9">
              <w:rPr>
                <w:rFonts w:cs="Calibri"/>
                <w:lang w:val="en-AU"/>
              </w:rPr>
              <w:t>applicable</w:t>
            </w:r>
            <w:r w:rsidRPr="00BA14E9">
              <w:rPr>
                <w:rFonts w:cs="Calibri"/>
                <w:lang w:val="en-AU"/>
              </w:rPr>
              <w:t xml:space="preserve"> WHS Regulations focuses on ‘Plant and Structures’ and outlines duties related to managing risks associated </w:t>
            </w:r>
            <w:r w:rsidR="00241A58" w:rsidRPr="00BA14E9">
              <w:rPr>
                <w:rFonts w:cs="Calibri"/>
                <w:lang w:val="en-AU"/>
              </w:rPr>
              <w:t xml:space="preserve">with </w:t>
            </w:r>
            <w:r w:rsidRPr="00BA14E9">
              <w:rPr>
                <w:rFonts w:cs="Calibri"/>
                <w:lang w:val="en-AU"/>
              </w:rPr>
              <w:t>plant and structures</w:t>
            </w:r>
            <w:r w:rsidR="007E4B6E" w:rsidRPr="00BA14E9">
              <w:rPr>
                <w:rFonts w:cs="Calibri"/>
                <w:lang w:val="en-AU"/>
              </w:rPr>
              <w:t>.</w:t>
            </w:r>
          </w:p>
          <w:p w14:paraId="0F1339F2" w14:textId="77777777" w:rsidR="00556500" w:rsidRPr="00BA14E9" w:rsidRDefault="00556500">
            <w:pPr>
              <w:rPr>
                <w:rFonts w:cs="Calibri"/>
                <w:lang w:val="en-AU"/>
              </w:rPr>
            </w:pPr>
          </w:p>
          <w:p w14:paraId="24060E1C" w14:textId="496E0180" w:rsidR="00556500" w:rsidRPr="00BA14E9" w:rsidRDefault="00556500">
            <w:pPr>
              <w:rPr>
                <w:rFonts w:cs="Calibri"/>
                <w:lang w:val="en-AU"/>
              </w:rPr>
            </w:pPr>
            <w:r w:rsidRPr="00BA14E9">
              <w:rPr>
                <w:rFonts w:cs="Calibri"/>
                <w:lang w:val="en-AU"/>
              </w:rPr>
              <w:t xml:space="preserve">Pipelines are </w:t>
            </w:r>
            <w:r w:rsidR="00CA0655" w:rsidRPr="00BA14E9">
              <w:rPr>
                <w:rFonts w:cs="Calibri"/>
                <w:lang w:val="en-AU"/>
              </w:rPr>
              <w:t xml:space="preserve">expressly defined to be ‘structures’ but will also trigger the definition of ‘plant’. </w:t>
            </w:r>
          </w:p>
          <w:p w14:paraId="52E2EF75" w14:textId="15DA46A4" w:rsidR="009123F6" w:rsidRPr="00BA14E9" w:rsidRDefault="009123F6">
            <w:pPr>
              <w:rPr>
                <w:rFonts w:cs="Calibri"/>
                <w:lang w:val="en-AU"/>
              </w:rPr>
            </w:pPr>
          </w:p>
          <w:p w14:paraId="395D70FF" w14:textId="00C62D94" w:rsidR="005A371B" w:rsidRPr="00BA14E9" w:rsidRDefault="00CA0655">
            <w:pPr>
              <w:rPr>
                <w:rFonts w:cs="Calibri"/>
                <w:lang w:val="en-AU"/>
              </w:rPr>
            </w:pPr>
            <w:r w:rsidRPr="00BA14E9">
              <w:rPr>
                <w:rFonts w:cs="Calibri"/>
                <w:lang w:val="en-AU"/>
              </w:rPr>
              <w:t>In this context, c</w:t>
            </w:r>
            <w:r w:rsidR="005A371B" w:rsidRPr="00BA14E9">
              <w:rPr>
                <w:rFonts w:cs="Calibri"/>
                <w:lang w:val="en-AU"/>
              </w:rPr>
              <w:t xml:space="preserve">hapter 5 applies to hydrogen </w:t>
            </w:r>
            <w:r w:rsidR="00103002" w:rsidRPr="00BA14E9">
              <w:rPr>
                <w:rFonts w:cs="Calibri"/>
                <w:lang w:val="en-AU"/>
              </w:rPr>
              <w:t>pipelines</w:t>
            </w:r>
            <w:r w:rsidR="005A371B" w:rsidRPr="00BA14E9">
              <w:rPr>
                <w:rFonts w:cs="Calibri"/>
                <w:lang w:val="en-AU"/>
              </w:rPr>
              <w:t xml:space="preserve"> in a similar way to other </w:t>
            </w:r>
            <w:r w:rsidRPr="00BA14E9">
              <w:rPr>
                <w:rFonts w:cs="Calibri"/>
                <w:lang w:val="en-AU"/>
              </w:rPr>
              <w:t xml:space="preserve">pipeline </w:t>
            </w:r>
            <w:r w:rsidR="005A371B" w:rsidRPr="00BA14E9">
              <w:rPr>
                <w:rFonts w:cs="Calibri"/>
                <w:lang w:val="en-AU"/>
              </w:rPr>
              <w:t>projects.</w:t>
            </w:r>
            <w:r w:rsidR="009123F6" w:rsidRPr="00BA14E9">
              <w:rPr>
                <w:rFonts w:cs="Calibri"/>
                <w:lang w:val="en-AU"/>
              </w:rPr>
              <w:t xml:space="preserve"> A pipeline is a </w:t>
            </w:r>
            <w:proofErr w:type="gramStart"/>
            <w:r w:rsidR="009123F6" w:rsidRPr="00BA14E9">
              <w:rPr>
                <w:rFonts w:cs="Calibri"/>
                <w:lang w:val="en-AU"/>
              </w:rPr>
              <w:t>container</w:t>
            </w:r>
            <w:proofErr w:type="gramEnd"/>
            <w:r w:rsidR="009123F6" w:rsidRPr="00BA14E9">
              <w:rPr>
                <w:rFonts w:cs="Calibri"/>
                <w:lang w:val="en-AU"/>
              </w:rPr>
              <w:t xml:space="preserve"> and </w:t>
            </w:r>
            <w:r w:rsidR="002C3A68" w:rsidRPr="00BA14E9">
              <w:rPr>
                <w:rFonts w:cs="Calibri"/>
                <w:lang w:val="en-AU"/>
              </w:rPr>
              <w:t xml:space="preserve">this </w:t>
            </w:r>
            <w:r w:rsidR="009123F6" w:rsidRPr="00BA14E9">
              <w:rPr>
                <w:rFonts w:cs="Calibri"/>
                <w:lang w:val="en-AU"/>
              </w:rPr>
              <w:t>is plant that is covered by the WHS and OHS regimes.</w:t>
            </w:r>
          </w:p>
          <w:p w14:paraId="50C4AFEA" w14:textId="77777777" w:rsidR="005A371B" w:rsidRPr="00BA14E9" w:rsidRDefault="005A371B" w:rsidP="005C6CAE">
            <w:pPr>
              <w:rPr>
                <w:rFonts w:cs="Calibri"/>
                <w:lang w:val="en-AU"/>
              </w:rPr>
            </w:pPr>
          </w:p>
          <w:p w14:paraId="249D9693" w14:textId="7195A862" w:rsidR="005A371B" w:rsidRPr="00BA14E9" w:rsidRDefault="005A371B" w:rsidP="00F17B20">
            <w:pPr>
              <w:spacing w:after="160"/>
              <w:rPr>
                <w:rFonts w:cs="Calibri"/>
                <w:lang w:val="en-AU"/>
              </w:rPr>
            </w:pPr>
            <w:r w:rsidRPr="00BA14E9">
              <w:rPr>
                <w:rFonts w:cs="Calibri"/>
                <w:lang w:val="en-AU"/>
              </w:rPr>
              <w:t xml:space="preserve">If work involves plant, proponents must always try to eliminate </w:t>
            </w:r>
            <w:r w:rsidR="00CB1807" w:rsidRPr="00BA14E9">
              <w:rPr>
                <w:rFonts w:cs="Calibri"/>
                <w:lang w:val="en-AU"/>
              </w:rPr>
              <w:t xml:space="preserve">risks </w:t>
            </w:r>
            <w:r w:rsidR="00ED6066" w:rsidRPr="00BA14E9">
              <w:rPr>
                <w:rFonts w:cs="Calibri"/>
                <w:lang w:val="en-AU"/>
              </w:rPr>
              <w:t xml:space="preserve">so far as is reasonably practicable, or where the risk cannot be eliminated, minimise them, so far as is reasonably </w:t>
            </w:r>
            <w:r w:rsidRPr="00BA14E9" w:rsidDel="00E71B0A">
              <w:rPr>
                <w:rFonts w:cs="Calibri"/>
                <w:lang w:val="en-AU"/>
              </w:rPr>
              <w:t>practicable</w:t>
            </w:r>
            <w:r w:rsidRPr="00BA14E9">
              <w:rPr>
                <w:rFonts w:cs="Calibri"/>
                <w:lang w:val="en-AU"/>
              </w:rPr>
              <w:t>. Duties as a proponent with management or control of plant in the workplace include:</w:t>
            </w:r>
          </w:p>
          <w:p w14:paraId="793A2C46" w14:textId="77777777"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managing risks to health and safety</w:t>
            </w:r>
          </w:p>
          <w:p w14:paraId="47C174D6" w14:textId="77777777"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providing and maintaining safe plant so far as is reasonably practicable</w:t>
            </w:r>
          </w:p>
          <w:p w14:paraId="63AC15E0" w14:textId="77777777"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taking all reasonable steps to ensure that plant is used only for the purpose for which it was designed, unless the proposed use does not increase the risk to health or safety</w:t>
            </w:r>
          </w:p>
          <w:p w14:paraId="5BD00DF0" w14:textId="77777777"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ensuring that the maintenance, inspection and, if necessary, testing of the plant is carried out by a competent person</w:t>
            </w:r>
          </w:p>
          <w:p w14:paraId="57B388AD" w14:textId="77777777"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 xml:space="preserve">managing </w:t>
            </w:r>
            <w:proofErr w:type="gramStart"/>
            <w:r w:rsidRPr="00BA14E9">
              <w:rPr>
                <w:rFonts w:cs="Calibri"/>
                <w:lang w:val="en-AU"/>
              </w:rPr>
              <w:t>particular risks</w:t>
            </w:r>
            <w:proofErr w:type="gramEnd"/>
            <w:r w:rsidRPr="00BA14E9">
              <w:rPr>
                <w:rFonts w:cs="Calibri"/>
                <w:lang w:val="en-AU"/>
              </w:rPr>
              <w:t xml:space="preserve"> associated with powered mobile plant using specific control measures</w:t>
            </w:r>
          </w:p>
          <w:p w14:paraId="1D8F428C" w14:textId="2DCF3380" w:rsidR="00FF3BB4" w:rsidRPr="00BA14E9" w:rsidRDefault="00FF3BB4" w:rsidP="00F17B20">
            <w:pPr>
              <w:pStyle w:val="ListParagraph"/>
              <w:numPr>
                <w:ilvl w:val="0"/>
                <w:numId w:val="6"/>
              </w:numPr>
              <w:spacing w:after="160"/>
              <w:contextualSpacing w:val="0"/>
              <w:rPr>
                <w:rFonts w:cs="Calibri"/>
                <w:lang w:val="en-AU"/>
              </w:rPr>
            </w:pPr>
            <w:r w:rsidRPr="00BA14E9">
              <w:rPr>
                <w:rFonts w:cs="Calibri"/>
                <w:lang w:val="en-AU"/>
              </w:rPr>
              <w:t>safely using, handling, storing and transporting plant so far as is reasonably practicable.</w:t>
            </w:r>
          </w:p>
          <w:p w14:paraId="3DCC9BC0" w14:textId="77777777" w:rsidR="005A371B" w:rsidRPr="00BA14E9" w:rsidRDefault="005A371B" w:rsidP="005C6CAE">
            <w:pPr>
              <w:rPr>
                <w:rFonts w:cs="Calibri"/>
                <w:lang w:val="en-AU"/>
              </w:rPr>
            </w:pPr>
          </w:p>
          <w:p w14:paraId="61CD6F86" w14:textId="6D213420" w:rsidR="00ED34DA" w:rsidRPr="00C801D8" w:rsidRDefault="00ED34DA" w:rsidP="005C6CAE">
            <w:pPr>
              <w:rPr>
                <w:rFonts w:cs="Calibri"/>
                <w:lang w:val="en-AU"/>
              </w:rPr>
            </w:pPr>
            <w:r w:rsidRPr="00C801D8">
              <w:rPr>
                <w:rFonts w:cs="Calibri"/>
                <w:lang w:val="en-AU"/>
              </w:rPr>
              <w:t>Chapter 6.X of this Guidebook discusses the regulation of plant and equipment under Health and Safety Legislation in further detail.</w:t>
            </w:r>
          </w:p>
          <w:p w14:paraId="52F2B695" w14:textId="77777777" w:rsidR="00ED34DA" w:rsidRPr="00C801D8" w:rsidRDefault="00ED34DA" w:rsidP="005C6CAE">
            <w:pPr>
              <w:rPr>
                <w:rFonts w:cs="Calibri"/>
                <w:lang w:val="en-AU"/>
              </w:rPr>
            </w:pPr>
          </w:p>
          <w:p w14:paraId="6D7FFBA0" w14:textId="468098D1" w:rsidR="005A371B" w:rsidRPr="00BA14E9" w:rsidRDefault="00ED34DA" w:rsidP="005C6CAE">
            <w:pPr>
              <w:rPr>
                <w:rFonts w:cs="Calibri"/>
                <w:lang w:val="en-AU"/>
              </w:rPr>
            </w:pPr>
            <w:r w:rsidRPr="00C801D8">
              <w:rPr>
                <w:rFonts w:cs="Calibri"/>
                <w:lang w:val="en-AU"/>
              </w:rPr>
              <w:lastRenderedPageBreak/>
              <w:t>Also refer to c</w:t>
            </w:r>
            <w:r w:rsidR="005A371B" w:rsidRPr="00C801D8">
              <w:rPr>
                <w:rFonts w:cs="Calibri"/>
                <w:lang w:val="en-AU"/>
              </w:rPr>
              <w:t xml:space="preserve">hapter </w:t>
            </w:r>
            <w:r w:rsidRPr="00C801D8">
              <w:rPr>
                <w:rFonts w:cs="Calibri"/>
                <w:lang w:val="en-AU"/>
              </w:rPr>
              <w:t>3</w:t>
            </w:r>
            <w:r w:rsidR="005A371B" w:rsidRPr="00C801D8">
              <w:rPr>
                <w:rFonts w:cs="Calibri"/>
                <w:lang w:val="en-AU"/>
              </w:rPr>
              <w:t>.7</w:t>
            </w:r>
            <w:r w:rsidR="005A371B" w:rsidRPr="00BA14E9">
              <w:rPr>
                <w:rFonts w:cs="Calibri"/>
                <w:lang w:val="en-AU"/>
              </w:rPr>
              <w:t xml:space="preserve"> of </w:t>
            </w:r>
            <w:r w:rsidRPr="00BA14E9">
              <w:rPr>
                <w:rFonts w:cs="Calibri"/>
                <w:lang w:val="en-AU"/>
              </w:rPr>
              <w:t xml:space="preserve">the Hydrogen Production Guidebook for more general </w:t>
            </w:r>
            <w:r w:rsidR="005A371B" w:rsidRPr="00BA14E9">
              <w:rPr>
                <w:rFonts w:cs="Calibri"/>
                <w:lang w:val="en-AU"/>
              </w:rPr>
              <w:t>discuss</w:t>
            </w:r>
            <w:r w:rsidRPr="00BA14E9">
              <w:rPr>
                <w:rFonts w:cs="Calibri"/>
                <w:lang w:val="en-AU"/>
              </w:rPr>
              <w:t>ion of plant and equipment obligations relating to hydrogen facilities.</w:t>
            </w:r>
          </w:p>
        </w:tc>
      </w:tr>
      <w:tr w:rsidR="005A371B" w:rsidRPr="00BA14E9" w14:paraId="4B617721" w14:textId="77777777" w:rsidTr="606C9B12">
        <w:tc>
          <w:tcPr>
            <w:tcW w:w="3397" w:type="dxa"/>
            <w:tcBorders>
              <w:top w:val="single" w:sz="4" w:space="0" w:color="auto"/>
              <w:left w:val="single" w:sz="4" w:space="0" w:color="auto"/>
              <w:bottom w:val="single" w:sz="4" w:space="0" w:color="auto"/>
              <w:right w:val="single" w:sz="4" w:space="0" w:color="auto"/>
            </w:tcBorders>
          </w:tcPr>
          <w:p w14:paraId="2BF15569" w14:textId="77777777" w:rsidR="005A371B" w:rsidRPr="00BA14E9" w:rsidRDefault="005A371B" w:rsidP="005C6CAE">
            <w:pPr>
              <w:rPr>
                <w:rFonts w:cs="Calibri"/>
                <w:lang w:val="en-AU"/>
              </w:rPr>
            </w:pPr>
            <w:r w:rsidRPr="00BA14E9">
              <w:rPr>
                <w:rFonts w:cs="Calibri"/>
                <w:lang w:val="en-AU"/>
              </w:rPr>
              <w:t xml:space="preserve">Construction work </w:t>
            </w:r>
          </w:p>
          <w:p w14:paraId="64665FD4" w14:textId="77777777" w:rsidR="005A371B" w:rsidRPr="00BA14E9" w:rsidRDefault="005A371B" w:rsidP="005C6CAE">
            <w:pPr>
              <w:rPr>
                <w:rFonts w:cs="Calibri"/>
                <w:lang w:val="en-AU"/>
              </w:rPr>
            </w:pPr>
          </w:p>
          <w:p w14:paraId="46773B2E" w14:textId="7C00C585" w:rsidR="005A371B" w:rsidRPr="00BA14E9" w:rsidRDefault="005A371B" w:rsidP="005C6CAE">
            <w:pPr>
              <w:rPr>
                <w:lang w:val="en-AU"/>
              </w:rPr>
            </w:pPr>
            <w:r w:rsidRPr="00BA14E9">
              <w:rPr>
                <w:lang w:val="en-AU"/>
              </w:rPr>
              <w:t xml:space="preserve">Chapter 6, </w:t>
            </w:r>
            <w:r w:rsidR="00A42AB8" w:rsidRPr="00BA14E9">
              <w:rPr>
                <w:lang w:val="en-AU"/>
              </w:rPr>
              <w:t>applicable</w:t>
            </w:r>
            <w:r w:rsidRPr="00BA14E9">
              <w:rPr>
                <w:lang w:val="en-AU"/>
              </w:rPr>
              <w:t xml:space="preserve"> WHS Regulations</w:t>
            </w:r>
          </w:p>
          <w:p w14:paraId="67263484" w14:textId="6ABA56CD" w:rsidR="005A371B" w:rsidRPr="00BA14E9" w:rsidRDefault="009F6510" w:rsidP="005C6CAE">
            <w:pPr>
              <w:rPr>
                <w:rFonts w:cs="Calibri"/>
                <w:lang w:val="en-AU"/>
              </w:rPr>
            </w:pPr>
            <w:r>
              <w:rPr>
                <w:lang w:val="en-AU"/>
              </w:rPr>
              <w:t>Part</w:t>
            </w:r>
            <w:r w:rsidR="005A371B" w:rsidRPr="00BA14E9">
              <w:rPr>
                <w:lang w:val="en-AU"/>
              </w:rPr>
              <w:t xml:space="preserve"> 5</w:t>
            </w:r>
            <w:r>
              <w:rPr>
                <w:lang w:val="en-AU"/>
              </w:rPr>
              <w:t>.1</w:t>
            </w:r>
            <w:r w:rsidR="005A371B" w:rsidRPr="00BA14E9">
              <w:rPr>
                <w:lang w:val="en-AU"/>
              </w:rPr>
              <w:t xml:space="preserve">, OHS Regulations </w:t>
            </w:r>
            <w:r w:rsidR="005A371B" w:rsidRPr="00BA14E9">
              <w:rPr>
                <w:rFonts w:cs="Calibri"/>
                <w:lang w:val="en-AU"/>
              </w:rPr>
              <w:t>(Vic)</w:t>
            </w:r>
          </w:p>
        </w:tc>
        <w:tc>
          <w:tcPr>
            <w:tcW w:w="5619" w:type="dxa"/>
            <w:tcBorders>
              <w:top w:val="single" w:sz="4" w:space="0" w:color="auto"/>
              <w:left w:val="single" w:sz="4" w:space="0" w:color="auto"/>
              <w:bottom w:val="single" w:sz="4" w:space="0" w:color="auto"/>
              <w:right w:val="single" w:sz="4" w:space="0" w:color="auto"/>
            </w:tcBorders>
          </w:tcPr>
          <w:p w14:paraId="3FB99FDE" w14:textId="5AC1A2A7" w:rsidR="005A371B" w:rsidRPr="00BA14E9" w:rsidRDefault="005A371B" w:rsidP="005C6CAE">
            <w:pPr>
              <w:rPr>
                <w:rFonts w:cs="Calibri"/>
                <w:lang w:val="en-AU"/>
              </w:rPr>
            </w:pPr>
            <w:r w:rsidRPr="00BA14E9">
              <w:rPr>
                <w:rFonts w:cs="Calibri"/>
                <w:lang w:val="en-AU"/>
              </w:rPr>
              <w:t xml:space="preserve">The hazards and risks associated with the construction of hydrogen </w:t>
            </w:r>
            <w:r w:rsidR="00F86898" w:rsidRPr="00BA14E9">
              <w:rPr>
                <w:rFonts w:cs="Calibri"/>
                <w:lang w:val="en-AU"/>
              </w:rPr>
              <w:t>pipelines</w:t>
            </w:r>
            <w:r w:rsidRPr="00BA14E9">
              <w:rPr>
                <w:rFonts w:cs="Calibri"/>
                <w:lang w:val="en-AU"/>
              </w:rPr>
              <w:t xml:space="preserve"> will likely be </w:t>
            </w:r>
            <w:proofErr w:type="gramStart"/>
            <w:r w:rsidRPr="00BA14E9">
              <w:rPr>
                <w:rFonts w:cs="Calibri"/>
                <w:lang w:val="en-AU"/>
              </w:rPr>
              <w:t>similar to</w:t>
            </w:r>
            <w:proofErr w:type="gramEnd"/>
            <w:r w:rsidRPr="00BA14E9">
              <w:rPr>
                <w:rFonts w:cs="Calibri"/>
                <w:lang w:val="en-AU"/>
              </w:rPr>
              <w:t xml:space="preserve"> other established industries. </w:t>
            </w:r>
          </w:p>
          <w:p w14:paraId="4F36E169" w14:textId="77777777" w:rsidR="005A371B" w:rsidRPr="00BA14E9" w:rsidRDefault="005A371B" w:rsidP="005C6CAE">
            <w:pPr>
              <w:rPr>
                <w:rFonts w:cs="Calibri"/>
                <w:lang w:val="en-AU"/>
              </w:rPr>
            </w:pPr>
          </w:p>
          <w:p w14:paraId="07726A37" w14:textId="77777777" w:rsidR="005A371B" w:rsidRPr="00BA14E9" w:rsidRDefault="005A371B" w:rsidP="005C6CAE">
            <w:pPr>
              <w:rPr>
                <w:rFonts w:cs="Calibri"/>
                <w:lang w:val="en-AU"/>
              </w:rPr>
            </w:pPr>
            <w:r w:rsidRPr="00BA14E9">
              <w:rPr>
                <w:rFonts w:cs="Calibri"/>
                <w:lang w:val="en-AU"/>
              </w:rPr>
              <w:t>Accordingly, this Guidebook does not discuss these hazardous work obligations in detail.</w:t>
            </w:r>
          </w:p>
        </w:tc>
      </w:tr>
      <w:tr w:rsidR="005A371B" w:rsidRPr="00BA14E9" w14:paraId="5C514602" w14:textId="77777777" w:rsidTr="606C9B12">
        <w:tc>
          <w:tcPr>
            <w:tcW w:w="3397" w:type="dxa"/>
            <w:tcBorders>
              <w:top w:val="single" w:sz="4" w:space="0" w:color="auto"/>
              <w:left w:val="single" w:sz="4" w:space="0" w:color="auto"/>
              <w:bottom w:val="single" w:sz="4" w:space="0" w:color="auto"/>
              <w:right w:val="single" w:sz="4" w:space="0" w:color="auto"/>
            </w:tcBorders>
          </w:tcPr>
          <w:p w14:paraId="7523FAD6" w14:textId="77777777" w:rsidR="005A371B" w:rsidRPr="00BA14E9" w:rsidRDefault="005A371B" w:rsidP="005C6CAE">
            <w:pPr>
              <w:rPr>
                <w:rFonts w:cs="Calibri"/>
                <w:lang w:val="en-AU"/>
              </w:rPr>
            </w:pPr>
            <w:r w:rsidRPr="00BA14E9">
              <w:rPr>
                <w:rFonts w:cs="Calibri"/>
                <w:lang w:val="en-AU"/>
              </w:rPr>
              <w:t>Hazardous chemicals</w:t>
            </w:r>
          </w:p>
          <w:p w14:paraId="005AD962" w14:textId="77777777" w:rsidR="005A371B" w:rsidRPr="00BA14E9" w:rsidRDefault="005A371B" w:rsidP="005C6CAE">
            <w:pPr>
              <w:rPr>
                <w:lang w:val="en-AU"/>
              </w:rPr>
            </w:pPr>
          </w:p>
          <w:p w14:paraId="38523EF9" w14:textId="5355FDC6" w:rsidR="005A371B" w:rsidRPr="00BA14E9" w:rsidRDefault="005A371B" w:rsidP="005C6CAE">
            <w:pPr>
              <w:rPr>
                <w:lang w:val="en-AU"/>
              </w:rPr>
            </w:pPr>
            <w:r w:rsidRPr="00BA14E9">
              <w:rPr>
                <w:lang w:val="en-AU"/>
              </w:rPr>
              <w:t xml:space="preserve">Chapter 7, </w:t>
            </w:r>
            <w:r w:rsidR="00A42AB8" w:rsidRPr="00BA14E9">
              <w:rPr>
                <w:lang w:val="en-AU"/>
              </w:rPr>
              <w:t>applicable</w:t>
            </w:r>
            <w:r w:rsidRPr="00BA14E9">
              <w:rPr>
                <w:lang w:val="en-AU"/>
              </w:rPr>
              <w:t xml:space="preserve"> WHS Regulations</w:t>
            </w:r>
          </w:p>
          <w:p w14:paraId="46469D0A" w14:textId="064FA577" w:rsidR="005A371B" w:rsidRPr="00BA14E9" w:rsidRDefault="00EE56F3" w:rsidP="005C6CAE">
            <w:pPr>
              <w:rPr>
                <w:rFonts w:cs="Calibri"/>
                <w:lang w:val="en-AU"/>
              </w:rPr>
            </w:pPr>
            <w:r>
              <w:rPr>
                <w:lang w:val="en-AU"/>
              </w:rPr>
              <w:t>Part 4.1</w:t>
            </w:r>
            <w:r w:rsidR="005A371B" w:rsidRPr="00BA14E9">
              <w:rPr>
                <w:lang w:val="en-AU"/>
              </w:rPr>
              <w:t xml:space="preserve">, OHS Regulations </w:t>
            </w:r>
            <w:r w:rsidR="005A371B" w:rsidRPr="00BA14E9">
              <w:rPr>
                <w:rFonts w:cs="Calibri"/>
                <w:lang w:val="en-AU"/>
              </w:rPr>
              <w:t>(Vic)</w:t>
            </w:r>
          </w:p>
        </w:tc>
        <w:tc>
          <w:tcPr>
            <w:tcW w:w="5619" w:type="dxa"/>
            <w:tcBorders>
              <w:top w:val="single" w:sz="4" w:space="0" w:color="auto"/>
              <w:left w:val="single" w:sz="4" w:space="0" w:color="auto"/>
              <w:bottom w:val="single" w:sz="4" w:space="0" w:color="auto"/>
              <w:right w:val="single" w:sz="4" w:space="0" w:color="auto"/>
            </w:tcBorders>
          </w:tcPr>
          <w:p w14:paraId="1E0374E8" w14:textId="4D0E13DA" w:rsidR="005A371B" w:rsidRPr="00BA14E9" w:rsidRDefault="00623205" w:rsidP="005C6CAE">
            <w:pPr>
              <w:rPr>
                <w:rFonts w:cs="Calibri"/>
                <w:lang w:val="en-AU"/>
              </w:rPr>
            </w:pPr>
            <w:r>
              <w:rPr>
                <w:rFonts w:cs="Calibri"/>
                <w:lang w:val="en-AU"/>
              </w:rPr>
              <w:t>Hydrogen is one of many hazardous chemicals</w:t>
            </w:r>
            <w:r w:rsidR="00EE56F3">
              <w:rPr>
                <w:rFonts w:cs="Calibri"/>
                <w:lang w:val="en-AU"/>
              </w:rPr>
              <w:t xml:space="preserve"> </w:t>
            </w:r>
            <w:r>
              <w:rPr>
                <w:rFonts w:cs="Calibri"/>
                <w:lang w:val="en-AU"/>
              </w:rPr>
              <w:t xml:space="preserve">for the purposes of the provisions of Chapter 7 of the model WHS Regulations. </w:t>
            </w:r>
          </w:p>
          <w:p w14:paraId="05A8ADD2" w14:textId="77777777" w:rsidR="005A371B" w:rsidRPr="00BA14E9" w:rsidRDefault="005A371B" w:rsidP="005C6CAE">
            <w:pPr>
              <w:rPr>
                <w:rFonts w:cs="Calibri"/>
                <w:lang w:val="en-AU"/>
              </w:rPr>
            </w:pPr>
          </w:p>
          <w:p w14:paraId="3320F3FB" w14:textId="7AC58612" w:rsidR="005A371B" w:rsidRPr="00BA14E9" w:rsidRDefault="005A371B" w:rsidP="005C6CAE">
            <w:pPr>
              <w:rPr>
                <w:rFonts w:cs="Calibri"/>
                <w:lang w:val="en-AU"/>
              </w:rPr>
            </w:pPr>
            <w:r w:rsidRPr="00BA14E9">
              <w:rPr>
                <w:rFonts w:cs="Calibri"/>
                <w:lang w:val="en-AU"/>
              </w:rPr>
              <w:t xml:space="preserve">Hazardous chemicals are defined in the </w:t>
            </w:r>
            <w:r w:rsidR="00A42AB8" w:rsidRPr="00BA14E9">
              <w:rPr>
                <w:rFonts w:cs="Calibri"/>
                <w:lang w:val="en-AU"/>
              </w:rPr>
              <w:t>applicable</w:t>
            </w:r>
            <w:r w:rsidRPr="00BA14E9">
              <w:rPr>
                <w:rFonts w:cs="Calibri"/>
                <w:lang w:val="en-AU"/>
              </w:rPr>
              <w:t xml:space="preserve"> WHS Act as a substance, mixture or article that satisfies the criteria for any one or more hazards classes in the GHS. Hydrogen is a category 1A flammable gas under the GHS and as such Chapter 7 of the </w:t>
            </w:r>
            <w:r w:rsidR="00A42AB8" w:rsidRPr="00BA14E9">
              <w:rPr>
                <w:rFonts w:cs="Calibri"/>
                <w:lang w:val="en-AU"/>
              </w:rPr>
              <w:t>applicable</w:t>
            </w:r>
            <w:r w:rsidRPr="00BA14E9">
              <w:rPr>
                <w:rFonts w:cs="Calibri"/>
                <w:lang w:val="en-AU"/>
              </w:rPr>
              <w:t xml:space="preserve"> WHS regulations applies to hydrogen.</w:t>
            </w:r>
          </w:p>
          <w:p w14:paraId="123CC1D9" w14:textId="77777777" w:rsidR="005A371B" w:rsidRPr="00BA14E9" w:rsidRDefault="005A371B" w:rsidP="005C6CAE">
            <w:pPr>
              <w:rPr>
                <w:rFonts w:cs="Calibri"/>
                <w:lang w:val="en-AU"/>
              </w:rPr>
            </w:pPr>
          </w:p>
          <w:p w14:paraId="77307379" w14:textId="7EA97240" w:rsidR="000B37DA" w:rsidRDefault="000B37DA" w:rsidP="005C6CAE">
            <w:pPr>
              <w:rPr>
                <w:rFonts w:cs="Calibri"/>
                <w:lang w:val="en-AU"/>
              </w:rPr>
            </w:pPr>
            <w:r w:rsidRPr="00BA14E9">
              <w:rPr>
                <w:rFonts w:cs="Calibri"/>
                <w:lang w:val="en-AU"/>
              </w:rPr>
              <w:t>Hydrogen is a hazardous chemical because at 20</w:t>
            </w:r>
            <w:r w:rsidRPr="00BA14E9">
              <w:rPr>
                <w:rFonts w:cs="Calibri"/>
                <w:vertAlign w:val="superscript"/>
                <w:lang w:val="en-AU"/>
              </w:rPr>
              <w:t>o</w:t>
            </w:r>
            <w:r w:rsidRPr="00BA14E9">
              <w:rPr>
                <w:rFonts w:cs="Calibri"/>
                <w:lang w:val="en-AU"/>
              </w:rPr>
              <w:t>C hydrogen has a flammability range with air at standard pressure of 4-75% and is accordingly a Category 1A flammable gas in accordance with the Globally Harmonised System (GHS) of Classification and Labelling of Chemicals.</w:t>
            </w:r>
          </w:p>
          <w:p w14:paraId="45EB887D" w14:textId="77777777" w:rsidR="0054137C" w:rsidRPr="00BA14E9" w:rsidRDefault="0054137C" w:rsidP="005C6CAE">
            <w:pPr>
              <w:rPr>
                <w:rFonts w:cs="Calibri"/>
                <w:lang w:val="en-AU"/>
              </w:rPr>
            </w:pPr>
          </w:p>
          <w:p w14:paraId="3B09AD60" w14:textId="54F5FB19" w:rsidR="005A371B" w:rsidRPr="00C801D8" w:rsidRDefault="005A371B" w:rsidP="005C6CAE">
            <w:pPr>
              <w:rPr>
                <w:rFonts w:cs="Calibri"/>
                <w:lang w:val="en-AU"/>
              </w:rPr>
            </w:pPr>
            <w:r w:rsidRPr="00C801D8">
              <w:rPr>
                <w:rFonts w:cs="Calibri"/>
                <w:lang w:val="en-AU"/>
              </w:rPr>
              <w:t xml:space="preserve">Chapter </w:t>
            </w:r>
            <w:r w:rsidR="00EE2DF0" w:rsidRPr="00C801D8">
              <w:rPr>
                <w:rFonts w:cs="Calibri"/>
                <w:lang w:val="en-AU"/>
              </w:rPr>
              <w:t>6</w:t>
            </w:r>
            <w:r w:rsidRPr="00C801D8">
              <w:rPr>
                <w:rFonts w:cs="Calibri"/>
                <w:lang w:val="en-AU"/>
              </w:rPr>
              <w:t xml:space="preserve">.6 of this Guidebook discusses hazardous chemicals </w:t>
            </w:r>
            <w:r w:rsidR="00F52DE9" w:rsidRPr="00C801D8">
              <w:rPr>
                <w:rFonts w:cs="Calibri"/>
                <w:lang w:val="en-AU"/>
              </w:rPr>
              <w:t xml:space="preserve">(termed hazardous chemicals in the OHS Regulations (Vic)) </w:t>
            </w:r>
            <w:r w:rsidRPr="00C801D8">
              <w:rPr>
                <w:rFonts w:cs="Calibri"/>
                <w:lang w:val="en-AU"/>
              </w:rPr>
              <w:t>in further detail.</w:t>
            </w:r>
          </w:p>
          <w:p w14:paraId="2227BC18" w14:textId="77777777" w:rsidR="001C2434" w:rsidRPr="00C801D8" w:rsidRDefault="001C2434" w:rsidP="005C6CAE">
            <w:pPr>
              <w:rPr>
                <w:rFonts w:cs="Calibri"/>
                <w:lang w:val="en-AU"/>
              </w:rPr>
            </w:pPr>
          </w:p>
          <w:p w14:paraId="39165246" w14:textId="55DF1091" w:rsidR="001C2434" w:rsidRPr="00C801D8" w:rsidRDefault="001C2434" w:rsidP="001C2434">
            <w:pPr>
              <w:rPr>
                <w:rFonts w:cs="Calibri"/>
                <w:lang w:val="en-AU"/>
              </w:rPr>
            </w:pPr>
            <w:r w:rsidRPr="00C801D8">
              <w:rPr>
                <w:rFonts w:cs="Calibri"/>
                <w:lang w:val="en-AU"/>
              </w:rPr>
              <w:t>Chapter 6.</w:t>
            </w:r>
            <w:r w:rsidR="009A292C" w:rsidRPr="00C801D8">
              <w:rPr>
                <w:rFonts w:cs="Calibri"/>
                <w:lang w:val="en-AU"/>
              </w:rPr>
              <w:t>6</w:t>
            </w:r>
            <w:r w:rsidRPr="00C801D8">
              <w:rPr>
                <w:rFonts w:cs="Calibri"/>
                <w:lang w:val="en-AU"/>
              </w:rPr>
              <w:t xml:space="preserve"> of this Guidebook discusses the regulation of hazardous chemicals under Health and Safety Legislation in further detail.</w:t>
            </w:r>
          </w:p>
          <w:p w14:paraId="285F1C40" w14:textId="77777777" w:rsidR="001C2434" w:rsidRPr="00C801D8" w:rsidRDefault="001C2434" w:rsidP="001C2434">
            <w:pPr>
              <w:rPr>
                <w:rFonts w:cs="Calibri"/>
                <w:lang w:val="en-AU"/>
              </w:rPr>
            </w:pPr>
          </w:p>
          <w:p w14:paraId="3FE55742" w14:textId="78A48080" w:rsidR="001C2434" w:rsidRPr="00BA14E9" w:rsidRDefault="001C2434" w:rsidP="001C2434">
            <w:pPr>
              <w:rPr>
                <w:rFonts w:cs="Calibri"/>
                <w:lang w:val="en-AU"/>
              </w:rPr>
            </w:pPr>
            <w:r w:rsidRPr="00C801D8">
              <w:rPr>
                <w:rFonts w:cs="Calibri"/>
                <w:lang w:val="en-AU"/>
              </w:rPr>
              <w:t>Also refer to chapter 3.</w:t>
            </w:r>
            <w:r w:rsidR="0005648B" w:rsidRPr="00C801D8">
              <w:rPr>
                <w:rFonts w:cs="Calibri"/>
                <w:lang w:val="en-AU"/>
              </w:rPr>
              <w:t>6</w:t>
            </w:r>
            <w:r w:rsidRPr="00C801D8">
              <w:rPr>
                <w:rFonts w:cs="Calibri"/>
                <w:lang w:val="en-AU"/>
              </w:rPr>
              <w:t xml:space="preserve"> of the Hydrogen Production Guidebook for more general</w:t>
            </w:r>
            <w:r w:rsidRPr="00BA14E9">
              <w:rPr>
                <w:rFonts w:cs="Calibri"/>
                <w:lang w:val="en-AU"/>
              </w:rPr>
              <w:t xml:space="preserve"> discussion of </w:t>
            </w:r>
            <w:r w:rsidR="0005648B" w:rsidRPr="00BA14E9">
              <w:rPr>
                <w:rFonts w:cs="Calibri"/>
                <w:lang w:val="en-AU"/>
              </w:rPr>
              <w:t>hazardous chemicals regulation as it relates to hydrogen</w:t>
            </w:r>
            <w:r w:rsidRPr="00BA14E9">
              <w:rPr>
                <w:rFonts w:cs="Calibri"/>
                <w:lang w:val="en-AU"/>
              </w:rPr>
              <w:t xml:space="preserve"> facilities.</w:t>
            </w:r>
          </w:p>
        </w:tc>
      </w:tr>
      <w:tr w:rsidR="005A371B" w:rsidRPr="00BA14E9" w14:paraId="250ED718" w14:textId="77777777" w:rsidTr="606C9B12">
        <w:tc>
          <w:tcPr>
            <w:tcW w:w="3397" w:type="dxa"/>
            <w:tcBorders>
              <w:top w:val="single" w:sz="4" w:space="0" w:color="auto"/>
              <w:left w:val="single" w:sz="4" w:space="0" w:color="auto"/>
              <w:bottom w:val="single" w:sz="4" w:space="0" w:color="auto"/>
              <w:right w:val="single" w:sz="4" w:space="0" w:color="auto"/>
            </w:tcBorders>
          </w:tcPr>
          <w:p w14:paraId="34F79C0F" w14:textId="5BF58814" w:rsidR="005A371B" w:rsidRPr="00BA14E9" w:rsidRDefault="005A371B" w:rsidP="005C6CAE">
            <w:pPr>
              <w:rPr>
                <w:rFonts w:cs="Calibri"/>
                <w:lang w:val="en-AU"/>
              </w:rPr>
            </w:pPr>
            <w:r w:rsidRPr="00BA14E9">
              <w:rPr>
                <w:rFonts w:cs="Calibri"/>
                <w:lang w:val="en-AU"/>
              </w:rPr>
              <w:t>MHFs</w:t>
            </w:r>
            <w:r w:rsidR="00563CA2" w:rsidRPr="00BA14E9">
              <w:rPr>
                <w:rFonts w:cs="Calibri"/>
                <w:lang w:val="en-AU"/>
              </w:rPr>
              <w:t xml:space="preserve"> (if not disapplied or subject to exemption for pipelines)</w:t>
            </w:r>
          </w:p>
          <w:p w14:paraId="1A2AC36B" w14:textId="77777777" w:rsidR="005A371B" w:rsidRPr="00BA14E9" w:rsidRDefault="005A371B" w:rsidP="005C6CAE">
            <w:pPr>
              <w:rPr>
                <w:rFonts w:cs="Calibri"/>
                <w:lang w:val="en-AU"/>
              </w:rPr>
            </w:pPr>
          </w:p>
          <w:p w14:paraId="75979CC9" w14:textId="314214D0" w:rsidR="005A371B" w:rsidRPr="00BA14E9" w:rsidRDefault="005A371B" w:rsidP="005C6CAE">
            <w:pPr>
              <w:rPr>
                <w:lang w:val="en-AU"/>
              </w:rPr>
            </w:pPr>
            <w:r w:rsidRPr="00BA14E9">
              <w:rPr>
                <w:lang w:val="en-AU"/>
              </w:rPr>
              <w:t xml:space="preserve">Chapter 9, </w:t>
            </w:r>
            <w:r w:rsidR="00A42AB8" w:rsidRPr="00BA14E9">
              <w:rPr>
                <w:lang w:val="en-AU"/>
              </w:rPr>
              <w:t>applicable</w:t>
            </w:r>
            <w:r w:rsidRPr="00BA14E9">
              <w:rPr>
                <w:lang w:val="en-AU"/>
              </w:rPr>
              <w:t xml:space="preserve"> WHS Regulations</w:t>
            </w:r>
          </w:p>
          <w:p w14:paraId="5466BEB5" w14:textId="77777777" w:rsidR="005A371B" w:rsidRPr="00BA14E9" w:rsidRDefault="005A371B" w:rsidP="005C6CAE">
            <w:pPr>
              <w:rPr>
                <w:rFonts w:cs="Calibri"/>
                <w:lang w:val="en-AU"/>
              </w:rPr>
            </w:pPr>
            <w:r w:rsidRPr="00BA14E9">
              <w:rPr>
                <w:lang w:val="en-AU"/>
              </w:rPr>
              <w:t xml:space="preserve">Part 5.2, OHS Regulations </w:t>
            </w:r>
            <w:r w:rsidRPr="00BA14E9">
              <w:rPr>
                <w:rFonts w:cs="Calibri"/>
                <w:lang w:val="en-AU"/>
              </w:rPr>
              <w:t>(Vic)</w:t>
            </w:r>
          </w:p>
        </w:tc>
        <w:tc>
          <w:tcPr>
            <w:tcW w:w="5619" w:type="dxa"/>
            <w:tcBorders>
              <w:top w:val="single" w:sz="4" w:space="0" w:color="auto"/>
              <w:left w:val="single" w:sz="4" w:space="0" w:color="auto"/>
              <w:bottom w:val="single" w:sz="4" w:space="0" w:color="auto"/>
              <w:right w:val="single" w:sz="4" w:space="0" w:color="auto"/>
            </w:tcBorders>
          </w:tcPr>
          <w:p w14:paraId="672E8E5E" w14:textId="77777777" w:rsidR="007240FC" w:rsidRDefault="005A371B" w:rsidP="005C6CAE">
            <w:pPr>
              <w:rPr>
                <w:rFonts w:cs="Calibri"/>
                <w:lang w:val="en-AU"/>
              </w:rPr>
            </w:pPr>
            <w:r w:rsidRPr="00BA14E9">
              <w:rPr>
                <w:rFonts w:cs="Calibri"/>
                <w:lang w:val="en-AU"/>
              </w:rPr>
              <w:lastRenderedPageBreak/>
              <w:t xml:space="preserve">For hydrogen, if a </w:t>
            </w:r>
            <w:r w:rsidR="002C3A68" w:rsidRPr="00BA14E9">
              <w:rPr>
                <w:rFonts w:cs="Calibri"/>
                <w:lang w:val="en-AU"/>
              </w:rPr>
              <w:t>pipeline</w:t>
            </w:r>
            <w:r w:rsidRPr="00BA14E9">
              <w:rPr>
                <w:rFonts w:cs="Calibri"/>
                <w:lang w:val="en-AU"/>
              </w:rPr>
              <w:t xml:space="preserve"> stores, handles, or processes 50 tonnes or more of hydrogen, it is considered an MHF</w:t>
            </w:r>
            <w:r w:rsidRPr="00BA14E9">
              <w:rPr>
                <w:rStyle w:val="FootnoteReference"/>
                <w:rFonts w:cs="Calibri"/>
                <w:lang w:val="en-AU"/>
              </w:rPr>
              <w:footnoteReference w:id="8"/>
            </w:r>
            <w:r w:rsidRPr="00BA14E9">
              <w:rPr>
                <w:rFonts w:cs="Calibri"/>
                <w:lang w:val="en-AU"/>
              </w:rPr>
              <w:t>.</w:t>
            </w:r>
            <w:r w:rsidR="002C3A68" w:rsidRPr="00BA14E9">
              <w:rPr>
                <w:rFonts w:cs="Calibri"/>
                <w:lang w:val="en-AU"/>
              </w:rPr>
              <w:t xml:space="preserve"> However, pipelines used solely </w:t>
            </w:r>
            <w:r w:rsidR="002C3A68" w:rsidRPr="00BA14E9">
              <w:rPr>
                <w:rFonts w:cs="Calibri"/>
                <w:lang w:val="en-AU"/>
              </w:rPr>
              <w:lastRenderedPageBreak/>
              <w:t xml:space="preserve">for transport are generally regulated under separate </w:t>
            </w:r>
            <w:r w:rsidR="00422BD8" w:rsidRPr="00BA14E9">
              <w:rPr>
                <w:rFonts w:cs="Calibri"/>
                <w:lang w:val="en-AU"/>
              </w:rPr>
              <w:t>pipeline</w:t>
            </w:r>
            <w:r w:rsidR="002C3A68" w:rsidRPr="00BA14E9">
              <w:rPr>
                <w:rFonts w:cs="Calibri"/>
                <w:lang w:val="en-AU"/>
              </w:rPr>
              <w:t xml:space="preserve"> laws, not as MHFs</w:t>
            </w:r>
            <w:r w:rsidR="00C62FC1" w:rsidRPr="00BA14E9">
              <w:rPr>
                <w:rFonts w:cs="Calibri"/>
                <w:lang w:val="en-AU"/>
              </w:rPr>
              <w:t xml:space="preserve"> (see below – and may be disapplied or exempt from application)</w:t>
            </w:r>
            <w:r w:rsidR="002C3A68" w:rsidRPr="00BA14E9">
              <w:rPr>
                <w:rFonts w:cs="Calibri"/>
                <w:lang w:val="en-AU"/>
              </w:rPr>
              <w:t xml:space="preserve">. </w:t>
            </w:r>
          </w:p>
          <w:p w14:paraId="49FE13E1" w14:textId="77777777" w:rsidR="007240FC" w:rsidRDefault="007240FC" w:rsidP="005C6CAE">
            <w:pPr>
              <w:rPr>
                <w:rFonts w:cs="Calibri"/>
                <w:lang w:val="en-AU"/>
              </w:rPr>
            </w:pPr>
          </w:p>
          <w:p w14:paraId="427E661D" w14:textId="77777777" w:rsidR="007240FC" w:rsidRDefault="007240FC" w:rsidP="00F17B20">
            <w:pPr>
              <w:spacing w:after="160"/>
              <w:rPr>
                <w:rFonts w:cs="Calibri"/>
                <w:lang w:val="en-AU"/>
              </w:rPr>
            </w:pPr>
            <w:r>
              <w:rPr>
                <w:rFonts w:cs="Calibri"/>
                <w:lang w:val="en-AU"/>
              </w:rPr>
              <w:t>Specific advice should be sought on the application of MHF laws to pipelines. Key considerations include:</w:t>
            </w:r>
          </w:p>
          <w:p w14:paraId="04AF10FB" w14:textId="5F064B08" w:rsidR="005A371B" w:rsidRDefault="002C3A68" w:rsidP="00F17B20">
            <w:pPr>
              <w:pStyle w:val="ListParagraph"/>
              <w:numPr>
                <w:ilvl w:val="0"/>
                <w:numId w:val="77"/>
              </w:numPr>
              <w:contextualSpacing w:val="0"/>
              <w:rPr>
                <w:rFonts w:cs="Calibri"/>
                <w:lang w:val="en-AU"/>
              </w:rPr>
            </w:pPr>
            <w:r w:rsidRPr="007240FC">
              <w:rPr>
                <w:rFonts w:cs="Calibri"/>
                <w:lang w:val="en-AU"/>
              </w:rPr>
              <w:t>If a pipeline includes storage or processing nodes (</w:t>
            </w:r>
            <w:r w:rsidR="00047C8D">
              <w:rPr>
                <w:rFonts w:cs="Calibri"/>
                <w:lang w:val="en-AU"/>
              </w:rPr>
              <w:t>for example</w:t>
            </w:r>
            <w:r w:rsidRPr="007240FC">
              <w:rPr>
                <w:rFonts w:cs="Calibri"/>
                <w:lang w:val="en-AU"/>
              </w:rPr>
              <w:t>, compressor stations, buffer tanks) where hydrogen accumulates and exceeds the threshold, those nodes could be considered part of an MHF.</w:t>
            </w:r>
          </w:p>
          <w:p w14:paraId="329080D9" w14:textId="69196E44" w:rsidR="007240FC" w:rsidRDefault="00662F4E" w:rsidP="00F17B20">
            <w:pPr>
              <w:pStyle w:val="ListParagraph"/>
              <w:numPr>
                <w:ilvl w:val="0"/>
                <w:numId w:val="77"/>
              </w:numPr>
              <w:spacing w:after="160"/>
              <w:contextualSpacing w:val="0"/>
              <w:rPr>
                <w:rFonts w:cs="Calibri"/>
                <w:lang w:val="en-AU"/>
              </w:rPr>
            </w:pPr>
            <w:r>
              <w:rPr>
                <w:rFonts w:cs="Calibri"/>
                <w:lang w:val="en-AU"/>
              </w:rPr>
              <w:t>If the pipeline is connected to a facility and has the potential to initiate a major incident at the MHF then it must be considered as having an external impact.</w:t>
            </w:r>
          </w:p>
          <w:p w14:paraId="198CD406" w14:textId="23E95F0B" w:rsidR="00662F4E" w:rsidRPr="007240FC" w:rsidRDefault="00662F4E" w:rsidP="00F17B20">
            <w:pPr>
              <w:pStyle w:val="ListParagraph"/>
              <w:numPr>
                <w:ilvl w:val="0"/>
                <w:numId w:val="77"/>
              </w:numPr>
              <w:spacing w:after="160"/>
              <w:contextualSpacing w:val="0"/>
              <w:rPr>
                <w:rFonts w:cs="Calibri"/>
                <w:lang w:val="en-AU"/>
              </w:rPr>
            </w:pPr>
            <w:r>
              <w:rPr>
                <w:rFonts w:cs="Calibri"/>
                <w:lang w:val="en-AU"/>
              </w:rPr>
              <w:t xml:space="preserve">If the pipeline is under the management or control of the MHF </w:t>
            </w:r>
            <w:proofErr w:type="gramStart"/>
            <w:r>
              <w:rPr>
                <w:rFonts w:cs="Calibri"/>
                <w:lang w:val="en-AU"/>
              </w:rPr>
              <w:t>operator</w:t>
            </w:r>
            <w:proofErr w:type="gramEnd"/>
            <w:r>
              <w:rPr>
                <w:rFonts w:cs="Calibri"/>
                <w:lang w:val="en-AU"/>
              </w:rPr>
              <w:t xml:space="preserve"> then it will be considered part of the MHF.</w:t>
            </w:r>
          </w:p>
          <w:p w14:paraId="4B2B1DE3" w14:textId="77777777" w:rsidR="005A371B" w:rsidRPr="00BA14E9" w:rsidRDefault="005A371B" w:rsidP="005C6CAE">
            <w:pPr>
              <w:rPr>
                <w:rFonts w:cs="Calibri"/>
                <w:lang w:val="en-AU"/>
              </w:rPr>
            </w:pPr>
          </w:p>
          <w:p w14:paraId="502669DA" w14:textId="250254E2" w:rsidR="005A371B" w:rsidRPr="00BA14E9" w:rsidRDefault="005A371B" w:rsidP="005C6CAE">
            <w:pPr>
              <w:rPr>
                <w:rFonts w:cs="Calibri"/>
                <w:lang w:val="en-AU"/>
              </w:rPr>
            </w:pPr>
            <w:r w:rsidRPr="00BA14E9">
              <w:rPr>
                <w:rFonts w:cs="Calibri"/>
                <w:lang w:val="en-AU"/>
              </w:rPr>
              <w:t xml:space="preserve">To ensure all MHFs are properly identified, operators of dangerous goods sites must notify the relevant Regulator when hydrogen is present or likely to be present at their facility </w:t>
            </w:r>
            <w:proofErr w:type="gramStart"/>
            <w:r w:rsidRPr="00BA14E9">
              <w:rPr>
                <w:rFonts w:cs="Calibri"/>
                <w:lang w:val="en-AU"/>
              </w:rPr>
              <w:t>in excess of</w:t>
            </w:r>
            <w:proofErr w:type="gramEnd"/>
            <w:r w:rsidRPr="00BA14E9">
              <w:rPr>
                <w:rFonts w:cs="Calibri"/>
                <w:lang w:val="en-AU"/>
              </w:rPr>
              <w:t xml:space="preserve"> 10% of the major hazard threshold quantities.</w:t>
            </w:r>
            <w:r w:rsidR="00AF6CF0">
              <w:rPr>
                <w:rFonts w:cs="Calibri"/>
                <w:lang w:val="en-AU"/>
              </w:rPr>
              <w:t xml:space="preserve"> Care should be taken to consider aggregat</w:t>
            </w:r>
            <w:r w:rsidR="00DD2245">
              <w:rPr>
                <w:rFonts w:cs="Calibri"/>
                <w:lang w:val="en-AU"/>
              </w:rPr>
              <w:t>ion of hazardous chemicals where more than one is present</w:t>
            </w:r>
            <w:r w:rsidR="005B6376">
              <w:rPr>
                <w:rFonts w:cs="Calibri"/>
                <w:lang w:val="en-AU"/>
              </w:rPr>
              <w:t xml:space="preserve">. Proponents should </w:t>
            </w:r>
            <w:r w:rsidR="00DD2245">
              <w:rPr>
                <w:rFonts w:cs="Calibri"/>
                <w:lang w:val="en-AU"/>
              </w:rPr>
              <w:t xml:space="preserve">contact the relevant regulator </w:t>
            </w:r>
            <w:r w:rsidR="005B6376">
              <w:rPr>
                <w:rFonts w:cs="Calibri"/>
                <w:lang w:val="en-AU"/>
              </w:rPr>
              <w:t>about their proposal.</w:t>
            </w:r>
          </w:p>
          <w:p w14:paraId="6CB7A89C" w14:textId="77777777" w:rsidR="005A371B" w:rsidRPr="00BA14E9" w:rsidRDefault="005A371B" w:rsidP="005C6CAE">
            <w:pPr>
              <w:rPr>
                <w:rFonts w:cs="Calibri"/>
                <w:lang w:val="en-AU"/>
              </w:rPr>
            </w:pPr>
          </w:p>
          <w:p w14:paraId="5CCC4F66" w14:textId="6496FF81" w:rsidR="005A371B" w:rsidRPr="00BA14E9" w:rsidRDefault="005A371B" w:rsidP="005C6CAE">
            <w:pPr>
              <w:rPr>
                <w:rFonts w:cs="Calibri"/>
                <w:lang w:val="en-AU"/>
              </w:rPr>
            </w:pPr>
            <w:r w:rsidRPr="00C801D8">
              <w:rPr>
                <w:rFonts w:cs="Calibri"/>
                <w:lang w:val="en-AU"/>
              </w:rPr>
              <w:t xml:space="preserve">Chapter </w:t>
            </w:r>
            <w:r w:rsidR="0005648B" w:rsidRPr="00BA14E9">
              <w:rPr>
                <w:rFonts w:cs="Calibri"/>
                <w:lang w:val="en-AU"/>
              </w:rPr>
              <w:t>6.X</w:t>
            </w:r>
            <w:r w:rsidRPr="00BA14E9">
              <w:rPr>
                <w:rFonts w:cs="Calibri"/>
                <w:lang w:val="en-AU"/>
              </w:rPr>
              <w:t xml:space="preserve"> of this Guidebook discusses MHFs in further detail.</w:t>
            </w:r>
          </w:p>
        </w:tc>
      </w:tr>
      <w:tr w:rsidR="005A371B" w:rsidRPr="00BA14E9" w14:paraId="6CB08519" w14:textId="77777777" w:rsidTr="606C9B12">
        <w:tc>
          <w:tcPr>
            <w:tcW w:w="3397" w:type="dxa"/>
            <w:tcBorders>
              <w:top w:val="single" w:sz="4" w:space="0" w:color="auto"/>
              <w:left w:val="single" w:sz="4" w:space="0" w:color="auto"/>
              <w:bottom w:val="single" w:sz="4" w:space="0" w:color="auto"/>
              <w:right w:val="single" w:sz="4" w:space="0" w:color="auto"/>
            </w:tcBorders>
          </w:tcPr>
          <w:p w14:paraId="455E81CB" w14:textId="77777777" w:rsidR="005A371B" w:rsidRPr="00BA14E9" w:rsidRDefault="005A371B" w:rsidP="005C6CAE">
            <w:pPr>
              <w:rPr>
                <w:rFonts w:cs="Calibri"/>
                <w:lang w:val="en-AU"/>
              </w:rPr>
            </w:pPr>
            <w:r w:rsidRPr="00BA14E9">
              <w:rPr>
                <w:rFonts w:cs="Calibri"/>
                <w:lang w:val="en-AU"/>
              </w:rPr>
              <w:lastRenderedPageBreak/>
              <w:t>Incidents and notifications</w:t>
            </w:r>
          </w:p>
          <w:p w14:paraId="55A62CED" w14:textId="77777777" w:rsidR="005A371B" w:rsidRPr="00BA14E9" w:rsidRDefault="005A371B" w:rsidP="005C6CAE">
            <w:pPr>
              <w:rPr>
                <w:lang w:val="en-AU"/>
              </w:rPr>
            </w:pPr>
          </w:p>
          <w:p w14:paraId="63165451" w14:textId="68324794" w:rsidR="005A371B" w:rsidRPr="00BA14E9" w:rsidRDefault="005A371B" w:rsidP="005C6CAE">
            <w:pPr>
              <w:rPr>
                <w:lang w:val="en-AU"/>
              </w:rPr>
            </w:pPr>
            <w:r w:rsidRPr="00BA14E9">
              <w:rPr>
                <w:lang w:val="en-AU"/>
              </w:rPr>
              <w:t xml:space="preserve">Part 3, </w:t>
            </w:r>
            <w:r w:rsidR="00A42AB8" w:rsidRPr="00BA14E9">
              <w:rPr>
                <w:lang w:val="en-AU"/>
              </w:rPr>
              <w:t>applicable</w:t>
            </w:r>
            <w:r w:rsidRPr="00BA14E9">
              <w:rPr>
                <w:lang w:val="en-AU"/>
              </w:rPr>
              <w:t xml:space="preserve"> WHS Act</w:t>
            </w:r>
          </w:p>
          <w:p w14:paraId="6AAD878E" w14:textId="77777777" w:rsidR="005A371B" w:rsidRPr="00BA14E9" w:rsidRDefault="005A371B" w:rsidP="005C6CAE">
            <w:pPr>
              <w:rPr>
                <w:lang w:val="en-AU"/>
              </w:rPr>
            </w:pPr>
            <w:r w:rsidRPr="00BA14E9">
              <w:rPr>
                <w:lang w:val="en-AU"/>
              </w:rPr>
              <w:t>Part 5, OHS Act (Vic)</w:t>
            </w:r>
          </w:p>
          <w:p w14:paraId="1E365484" w14:textId="77777777" w:rsidR="005A371B" w:rsidRPr="00BA14E9" w:rsidRDefault="005A371B" w:rsidP="005C6CAE">
            <w:pPr>
              <w:rPr>
                <w:rFonts w:cs="Calibri"/>
                <w:lang w:val="en-AU"/>
              </w:rPr>
            </w:pPr>
          </w:p>
        </w:tc>
        <w:tc>
          <w:tcPr>
            <w:tcW w:w="5619" w:type="dxa"/>
            <w:tcBorders>
              <w:top w:val="single" w:sz="4" w:space="0" w:color="auto"/>
              <w:left w:val="single" w:sz="4" w:space="0" w:color="auto"/>
              <w:bottom w:val="single" w:sz="4" w:space="0" w:color="auto"/>
              <w:right w:val="single" w:sz="4" w:space="0" w:color="auto"/>
            </w:tcBorders>
          </w:tcPr>
          <w:p w14:paraId="643328EA" w14:textId="7D9D352F" w:rsidR="00893223" w:rsidRPr="00BA14E9" w:rsidRDefault="005A371B" w:rsidP="005C6CAE">
            <w:pPr>
              <w:rPr>
                <w:rFonts w:cs="Calibri"/>
                <w:lang w:val="en-AU"/>
              </w:rPr>
            </w:pPr>
            <w:r w:rsidRPr="00BA14E9">
              <w:rPr>
                <w:rFonts w:cs="Calibri"/>
                <w:lang w:val="en-AU"/>
              </w:rPr>
              <w:t xml:space="preserve">The </w:t>
            </w:r>
            <w:r w:rsidR="009D5837" w:rsidRPr="00BA14E9">
              <w:rPr>
                <w:rFonts w:cs="Calibri"/>
                <w:lang w:val="en-AU"/>
              </w:rPr>
              <w:t>Health &amp; Safety Legislation</w:t>
            </w:r>
            <w:r w:rsidRPr="00BA14E9">
              <w:rPr>
                <w:rFonts w:cs="Calibri"/>
                <w:lang w:val="en-AU"/>
              </w:rPr>
              <w:t xml:space="preserve"> also </w:t>
            </w:r>
            <w:r w:rsidR="00EF0FD6">
              <w:rPr>
                <w:rFonts w:cs="Calibri"/>
                <w:lang w:val="en-AU"/>
              </w:rPr>
              <w:t>requires</w:t>
            </w:r>
            <w:r w:rsidRPr="00BA14E9">
              <w:rPr>
                <w:rFonts w:cs="Calibri"/>
                <w:lang w:val="en-AU"/>
              </w:rPr>
              <w:t xml:space="preserve"> incident reporting and investigation</w:t>
            </w:r>
            <w:r w:rsidR="00893223" w:rsidRPr="00BA14E9">
              <w:rPr>
                <w:rFonts w:cs="Calibri"/>
                <w:lang w:val="en-AU"/>
              </w:rPr>
              <w:t>. Duty holders must report workplace incidents involving death or serious injury</w:t>
            </w:r>
            <w:r w:rsidR="002C3A68" w:rsidRPr="00BA14E9">
              <w:rPr>
                <w:rFonts w:cs="Calibri"/>
                <w:lang w:val="en-AU"/>
              </w:rPr>
              <w:t xml:space="preserve"> </w:t>
            </w:r>
            <w:r w:rsidR="00893223" w:rsidRPr="00BA14E9">
              <w:rPr>
                <w:rFonts w:cs="Calibri"/>
                <w:lang w:val="en-AU"/>
              </w:rPr>
              <w:t>/</w:t>
            </w:r>
            <w:r w:rsidR="002C3A68" w:rsidRPr="00BA14E9">
              <w:rPr>
                <w:rFonts w:cs="Calibri"/>
                <w:lang w:val="en-AU"/>
              </w:rPr>
              <w:t xml:space="preserve"> </w:t>
            </w:r>
            <w:r w:rsidR="00893223" w:rsidRPr="00BA14E9">
              <w:rPr>
                <w:rFonts w:cs="Calibri"/>
                <w:lang w:val="en-AU"/>
              </w:rPr>
              <w:t>illness, or dangerous incidents (including near misses and incidents where no injury occurs) to be reported and investigated to prevent future occurrences. In Victoria, this also includes most incidents requiring medical treatment.</w:t>
            </w:r>
          </w:p>
          <w:p w14:paraId="48A432F6" w14:textId="77777777" w:rsidR="005A371B" w:rsidRPr="00BA14E9" w:rsidRDefault="005A371B" w:rsidP="005C6CAE">
            <w:pPr>
              <w:rPr>
                <w:rFonts w:cs="Calibri"/>
                <w:lang w:val="en-AU"/>
              </w:rPr>
            </w:pPr>
          </w:p>
          <w:p w14:paraId="5E43DE35" w14:textId="7645113E" w:rsidR="005A371B" w:rsidRPr="00BA14E9" w:rsidRDefault="005A371B" w:rsidP="005C6CAE">
            <w:pPr>
              <w:rPr>
                <w:rFonts w:cs="Calibri"/>
                <w:lang w:val="en-AU"/>
              </w:rPr>
            </w:pPr>
            <w:r w:rsidRPr="00C801D8">
              <w:rPr>
                <w:rFonts w:cs="Calibri"/>
                <w:lang w:val="en-AU"/>
              </w:rPr>
              <w:t xml:space="preserve">Chapter </w:t>
            </w:r>
            <w:r w:rsidR="00124BC0" w:rsidRPr="00BA14E9">
              <w:rPr>
                <w:rFonts w:cs="Calibri"/>
                <w:lang w:val="en-AU"/>
              </w:rPr>
              <w:t>3.8</w:t>
            </w:r>
            <w:r w:rsidRPr="00BA14E9">
              <w:rPr>
                <w:rFonts w:cs="Calibri"/>
                <w:lang w:val="en-AU"/>
              </w:rPr>
              <w:t xml:space="preserve"> of </w:t>
            </w:r>
            <w:r w:rsidR="00124BC0" w:rsidRPr="00BA14E9">
              <w:rPr>
                <w:rFonts w:cs="Calibri"/>
                <w:lang w:val="en-AU"/>
              </w:rPr>
              <w:t xml:space="preserve">the Hydrogen Production </w:t>
            </w:r>
            <w:r w:rsidRPr="00BA14E9">
              <w:rPr>
                <w:rFonts w:cs="Calibri"/>
                <w:lang w:val="en-AU"/>
              </w:rPr>
              <w:t>Guidebook discusses worker reporting and notifications in further detail.</w:t>
            </w:r>
          </w:p>
        </w:tc>
      </w:tr>
      <w:tr w:rsidR="005A371B" w:rsidRPr="00BA14E9" w14:paraId="77F0D001" w14:textId="77777777" w:rsidTr="606C9B12">
        <w:tc>
          <w:tcPr>
            <w:tcW w:w="3397" w:type="dxa"/>
            <w:tcBorders>
              <w:top w:val="single" w:sz="4" w:space="0" w:color="auto"/>
              <w:left w:val="single" w:sz="4" w:space="0" w:color="auto"/>
              <w:bottom w:val="single" w:sz="4" w:space="0" w:color="auto"/>
              <w:right w:val="single" w:sz="4" w:space="0" w:color="auto"/>
            </w:tcBorders>
          </w:tcPr>
          <w:p w14:paraId="4AEEF4DC" w14:textId="77777777" w:rsidR="005A371B" w:rsidRPr="00BA14E9" w:rsidRDefault="005A371B" w:rsidP="005C6CAE">
            <w:pPr>
              <w:rPr>
                <w:rFonts w:cs="Calibri"/>
                <w:lang w:val="en-AU"/>
              </w:rPr>
            </w:pPr>
            <w:r w:rsidRPr="00BA14E9">
              <w:rPr>
                <w:rFonts w:cs="Calibri"/>
                <w:lang w:val="en-AU"/>
              </w:rPr>
              <w:lastRenderedPageBreak/>
              <w:t>Worker competencies and licensing</w:t>
            </w:r>
          </w:p>
          <w:p w14:paraId="4C348199" w14:textId="77777777" w:rsidR="005A371B" w:rsidRPr="00BA14E9" w:rsidRDefault="005A371B" w:rsidP="005C6CAE">
            <w:pPr>
              <w:rPr>
                <w:lang w:val="en-AU"/>
              </w:rPr>
            </w:pPr>
          </w:p>
          <w:p w14:paraId="155CB715" w14:textId="5357B281" w:rsidR="005A371B" w:rsidRPr="00BA14E9" w:rsidRDefault="005A371B" w:rsidP="005C6CAE">
            <w:pPr>
              <w:rPr>
                <w:lang w:val="en-AU"/>
              </w:rPr>
            </w:pPr>
            <w:r w:rsidRPr="00BA14E9">
              <w:rPr>
                <w:lang w:val="en-AU"/>
              </w:rPr>
              <w:t xml:space="preserve">Part 1.1, </w:t>
            </w:r>
            <w:r w:rsidR="00A42AB8" w:rsidRPr="00BA14E9">
              <w:rPr>
                <w:lang w:val="en-AU"/>
              </w:rPr>
              <w:t>applicable</w:t>
            </w:r>
            <w:r w:rsidRPr="00BA14E9">
              <w:rPr>
                <w:lang w:val="en-AU"/>
              </w:rPr>
              <w:t xml:space="preserve"> WHS Regulations</w:t>
            </w:r>
          </w:p>
          <w:p w14:paraId="20E854B5" w14:textId="77777777" w:rsidR="005A371B" w:rsidRPr="00BA14E9" w:rsidRDefault="005A371B" w:rsidP="005C6CAE">
            <w:pPr>
              <w:rPr>
                <w:lang w:val="en-AU"/>
              </w:rPr>
            </w:pPr>
            <w:r w:rsidRPr="00BA14E9">
              <w:rPr>
                <w:lang w:val="en-AU"/>
              </w:rPr>
              <w:t>Part 6, OHS Act (Vic)</w:t>
            </w:r>
          </w:p>
          <w:p w14:paraId="0C066073" w14:textId="77777777" w:rsidR="005A371B" w:rsidRPr="00BA14E9" w:rsidRDefault="005A371B" w:rsidP="005C6CAE">
            <w:pPr>
              <w:rPr>
                <w:rFonts w:cs="Calibri"/>
                <w:lang w:val="en-AU"/>
              </w:rPr>
            </w:pPr>
          </w:p>
        </w:tc>
        <w:tc>
          <w:tcPr>
            <w:tcW w:w="5619" w:type="dxa"/>
            <w:tcBorders>
              <w:top w:val="single" w:sz="4" w:space="0" w:color="auto"/>
              <w:left w:val="single" w:sz="4" w:space="0" w:color="auto"/>
              <w:bottom w:val="single" w:sz="4" w:space="0" w:color="auto"/>
              <w:right w:val="single" w:sz="4" w:space="0" w:color="auto"/>
            </w:tcBorders>
          </w:tcPr>
          <w:p w14:paraId="6BAED432" w14:textId="0162686D" w:rsidR="005A371B" w:rsidRPr="00BA14E9" w:rsidRDefault="005A371B" w:rsidP="005C6CAE">
            <w:pPr>
              <w:rPr>
                <w:rFonts w:cs="Calibri"/>
                <w:lang w:val="en-AU"/>
              </w:rPr>
            </w:pPr>
            <w:r w:rsidRPr="00BA14E9">
              <w:rPr>
                <w:rFonts w:cs="Calibri"/>
                <w:lang w:val="en-AU"/>
              </w:rPr>
              <w:t xml:space="preserve">Proponents and workers must ensure competency through training and experience. Licensing </w:t>
            </w:r>
            <w:r w:rsidR="00076DD3">
              <w:rPr>
                <w:rFonts w:cs="Calibri"/>
                <w:lang w:val="en-AU"/>
              </w:rPr>
              <w:t xml:space="preserve">provides a system to </w:t>
            </w:r>
            <w:r w:rsidRPr="00BA14E9">
              <w:rPr>
                <w:rFonts w:cs="Calibri"/>
                <w:lang w:val="en-AU"/>
              </w:rPr>
              <w:t>ensures</w:t>
            </w:r>
            <w:r w:rsidR="0033119A">
              <w:rPr>
                <w:rFonts w:cs="Calibri"/>
                <w:lang w:val="en-AU"/>
              </w:rPr>
              <w:t xml:space="preserve"> the application of</w:t>
            </w:r>
            <w:r w:rsidRPr="00BA14E9">
              <w:rPr>
                <w:rFonts w:cs="Calibri"/>
                <w:lang w:val="en-AU"/>
              </w:rPr>
              <w:t xml:space="preserve"> regulatory standards and legal requirements </w:t>
            </w:r>
            <w:r w:rsidR="00B67C90">
              <w:rPr>
                <w:rFonts w:cs="Calibri"/>
                <w:lang w:val="en-AU"/>
              </w:rPr>
              <w:t>to proponents and workers</w:t>
            </w:r>
            <w:r w:rsidRPr="00BA14E9">
              <w:rPr>
                <w:rFonts w:cs="Calibri"/>
                <w:lang w:val="en-AU"/>
              </w:rPr>
              <w:t>.</w:t>
            </w:r>
          </w:p>
          <w:p w14:paraId="2D0F79C0" w14:textId="77777777" w:rsidR="005A371B" w:rsidRPr="00BA14E9" w:rsidRDefault="005A371B" w:rsidP="005C6CAE">
            <w:pPr>
              <w:rPr>
                <w:rFonts w:cs="Calibri"/>
                <w:lang w:val="en-AU"/>
              </w:rPr>
            </w:pPr>
          </w:p>
          <w:p w14:paraId="45BE90B1" w14:textId="09F0EE35" w:rsidR="005A371B" w:rsidRPr="00BA14E9" w:rsidRDefault="00DB109D" w:rsidP="005C6CAE">
            <w:pPr>
              <w:rPr>
                <w:rFonts w:cs="Calibri"/>
                <w:lang w:val="en-AU"/>
              </w:rPr>
            </w:pPr>
            <w:r w:rsidRPr="00BA14E9">
              <w:rPr>
                <w:rFonts w:cs="Calibri"/>
                <w:lang w:val="en-AU"/>
              </w:rPr>
              <w:t>Regulation</w:t>
            </w:r>
            <w:r w:rsidR="005A371B" w:rsidRPr="00BA14E9">
              <w:rPr>
                <w:rFonts w:cs="Calibri"/>
                <w:lang w:val="en-AU"/>
              </w:rPr>
              <w:t xml:space="preserve"> 5 of the </w:t>
            </w:r>
            <w:r w:rsidR="00A42AB8" w:rsidRPr="00BA14E9">
              <w:rPr>
                <w:rFonts w:cs="Calibri"/>
                <w:lang w:val="en-AU"/>
              </w:rPr>
              <w:t>applicable</w:t>
            </w:r>
            <w:r w:rsidR="005A371B" w:rsidRPr="00BA14E9">
              <w:rPr>
                <w:rFonts w:cs="Calibri"/>
                <w:lang w:val="en-AU"/>
              </w:rPr>
              <w:t xml:space="preserve"> WHS Regulations defines ‘competent person’ to include amongst other specific requirements a person who has acquired through training, qualification or experience the knowledge and skills to carry out the task.</w:t>
            </w:r>
          </w:p>
          <w:p w14:paraId="3AC1BD41" w14:textId="77777777" w:rsidR="005A371B" w:rsidRPr="00BA14E9" w:rsidRDefault="005A371B" w:rsidP="005C6CAE">
            <w:pPr>
              <w:rPr>
                <w:rFonts w:cs="Calibri"/>
                <w:lang w:val="en-AU"/>
              </w:rPr>
            </w:pPr>
          </w:p>
          <w:p w14:paraId="3586301E" w14:textId="2FB7C84B" w:rsidR="005A371B" w:rsidRPr="00BA14E9" w:rsidRDefault="00782045" w:rsidP="005C6CAE">
            <w:pPr>
              <w:rPr>
                <w:rFonts w:cs="Calibri"/>
                <w:lang w:val="en-AU"/>
              </w:rPr>
            </w:pPr>
            <w:r w:rsidRPr="00C801D8">
              <w:rPr>
                <w:rFonts w:cs="Calibri"/>
                <w:lang w:val="en-AU"/>
              </w:rPr>
              <w:t>Chapter</w:t>
            </w:r>
            <w:r w:rsidR="005A371B" w:rsidRPr="00C801D8">
              <w:rPr>
                <w:rFonts w:cs="Calibri"/>
                <w:lang w:val="en-AU"/>
              </w:rPr>
              <w:t xml:space="preserve"> </w:t>
            </w:r>
            <w:r w:rsidR="00CA0BB1" w:rsidRPr="00BA14E9">
              <w:rPr>
                <w:rFonts w:cs="Calibri"/>
                <w:lang w:val="en-AU"/>
              </w:rPr>
              <w:t>3.10</w:t>
            </w:r>
            <w:r w:rsidR="005A371B" w:rsidRPr="00BA14E9">
              <w:rPr>
                <w:rFonts w:cs="Calibri"/>
                <w:lang w:val="en-AU"/>
              </w:rPr>
              <w:t xml:space="preserve"> of th</w:t>
            </w:r>
            <w:r w:rsidR="00CA0BB1" w:rsidRPr="00BA14E9">
              <w:rPr>
                <w:rFonts w:cs="Calibri"/>
                <w:lang w:val="en-AU"/>
              </w:rPr>
              <w:t>e Hydrogen Production</w:t>
            </w:r>
            <w:r w:rsidR="005A371B" w:rsidRPr="00BA14E9">
              <w:rPr>
                <w:rFonts w:cs="Calibri"/>
                <w:lang w:val="en-AU"/>
              </w:rPr>
              <w:t xml:space="preserve"> Guidebook provides general guidance on regulatory requirements for worker competencies and licensing in the hydrogen context.</w:t>
            </w:r>
          </w:p>
        </w:tc>
      </w:tr>
    </w:tbl>
    <w:p w14:paraId="73C5798A" w14:textId="5065065C" w:rsidR="005A371B" w:rsidRPr="00BA14E9" w:rsidDel="000833E3" w:rsidRDefault="00A8247A" w:rsidP="00E83908">
      <w:pPr>
        <w:pStyle w:val="Heading2"/>
        <w:rPr>
          <w:rStyle w:val="Heading2Char"/>
          <w:rFonts w:cstheme="majorBidi"/>
          <w:sz w:val="24"/>
          <w:szCs w:val="24"/>
          <w:lang w:val="en-AU"/>
        </w:rPr>
      </w:pPr>
      <w:bookmarkStart w:id="86" w:name="_Toc212717483"/>
      <w:bookmarkStart w:id="87" w:name="_Toc213254692"/>
      <w:bookmarkStart w:id="88" w:name="_Toc200490184"/>
      <w:bookmarkStart w:id="89" w:name="_Toc222925513"/>
      <w:bookmarkEnd w:id="86"/>
      <w:bookmarkEnd w:id="87"/>
      <w:r w:rsidRPr="00BA14E9">
        <w:t>Hazardous Chemicals under Health &amp; Safety Legislation</w:t>
      </w:r>
      <w:bookmarkStart w:id="90" w:name="_Toc200490183"/>
      <w:bookmarkEnd w:id="89"/>
      <w:bookmarkEnd w:id="90"/>
    </w:p>
    <w:p w14:paraId="79D4A787" w14:textId="4EB1CDD0" w:rsidR="00A8247A" w:rsidRPr="00BA14E9" w:rsidRDefault="00A8247A" w:rsidP="00A8247A">
      <w:pPr>
        <w:rPr>
          <w:rFonts w:cs="Calibri"/>
        </w:rPr>
      </w:pPr>
      <w:r w:rsidRPr="00BA14E9">
        <w:rPr>
          <w:rFonts w:cs="Calibri"/>
        </w:rPr>
        <w:t>Chapter 7 of the model WHS Regulations focuses on the management of hazardous chemicals, including their classification, labelling, and safe handling. Chapter 7 applies to a pipeline used to convey a hazardous chemical. It outlines the duties of proponents</w:t>
      </w:r>
      <w:r w:rsidR="00E21BCE">
        <w:rPr>
          <w:rFonts w:cs="Calibri"/>
        </w:rPr>
        <w:t xml:space="preserve">, </w:t>
      </w:r>
      <w:r w:rsidRPr="00BA14E9">
        <w:rPr>
          <w:rFonts w:cs="Calibri"/>
        </w:rPr>
        <w:t xml:space="preserve">workers </w:t>
      </w:r>
      <w:r w:rsidR="00E21BCE">
        <w:rPr>
          <w:rFonts w:cs="Calibri"/>
        </w:rPr>
        <w:t xml:space="preserve">suppliers, </w:t>
      </w:r>
      <w:r w:rsidR="00150CEE">
        <w:rPr>
          <w:rFonts w:cs="Calibri"/>
        </w:rPr>
        <w:t>manufacturers</w:t>
      </w:r>
      <w:r w:rsidR="004E6480">
        <w:rPr>
          <w:rFonts w:cs="Calibri"/>
        </w:rPr>
        <w:t>,</w:t>
      </w:r>
      <w:r w:rsidRPr="00BA14E9">
        <w:rPr>
          <w:rFonts w:cs="Calibri"/>
        </w:rPr>
        <w:t xml:space="preserve"> and </w:t>
      </w:r>
      <w:r w:rsidR="004E6480">
        <w:rPr>
          <w:rFonts w:cs="Calibri"/>
        </w:rPr>
        <w:t>importers</w:t>
      </w:r>
      <w:r w:rsidRPr="00BA14E9">
        <w:rPr>
          <w:rFonts w:cs="Calibri"/>
        </w:rPr>
        <w:t xml:space="preserve"> related to the use, storage, and disposal of hazardous chemicals.</w:t>
      </w:r>
    </w:p>
    <w:p w14:paraId="4B4078F8" w14:textId="06464A83" w:rsidR="00A545B9" w:rsidRDefault="00A8247A" w:rsidP="00A8247A">
      <w:pPr>
        <w:rPr>
          <w:rFonts w:cs="Calibri"/>
        </w:rPr>
      </w:pPr>
      <w:r w:rsidRPr="00BA14E9">
        <w:rPr>
          <w:rFonts w:cs="Calibri"/>
        </w:rPr>
        <w:t xml:space="preserve">Hazardous chemicals are defined in </w:t>
      </w:r>
      <w:r w:rsidR="004E6480">
        <w:rPr>
          <w:rFonts w:cs="Calibri"/>
        </w:rPr>
        <w:t xml:space="preserve">regulation 5 of </w:t>
      </w:r>
      <w:r w:rsidRPr="00BA14E9">
        <w:rPr>
          <w:rFonts w:cs="Calibri"/>
        </w:rPr>
        <w:t>the model WHS Act as a substance, mixture or article that satisfies the criteria for any one or more hazard classes in the GHS</w:t>
      </w:r>
      <w:r w:rsidR="00D364CD">
        <w:rPr>
          <w:rFonts w:cs="Calibri"/>
        </w:rPr>
        <w:t xml:space="preserve"> unless </w:t>
      </w:r>
      <w:r w:rsidR="00A545B9">
        <w:rPr>
          <w:rFonts w:cs="Calibri"/>
        </w:rPr>
        <w:t>it falls within one of the specified exclusions (refer to Hydrogen Production Guidebook chapter 3.6.2)</w:t>
      </w:r>
      <w:r w:rsidRPr="00BA14E9">
        <w:rPr>
          <w:rFonts w:cs="Calibri"/>
        </w:rPr>
        <w:t>.</w:t>
      </w:r>
    </w:p>
    <w:p w14:paraId="4F4ED783" w14:textId="46D949D3" w:rsidR="00185DC3" w:rsidRDefault="00185DC3" w:rsidP="00185DC3">
      <w:pPr>
        <w:rPr>
          <w:rFonts w:cs="Calibri"/>
        </w:rPr>
      </w:pPr>
      <w:r>
        <w:rPr>
          <w:rFonts w:cs="Calibri"/>
        </w:rPr>
        <w:t>Hydrogen as a category 1A flammable gas (hazardous chemical) under the GHS, is one of many substances, which meet the requirements of Chapter 7 of the model WHS Regulations and to which the obligations in that chapter will apply</w:t>
      </w:r>
      <w:r w:rsidR="00EC77B0">
        <w:rPr>
          <w:rFonts w:cs="Calibri"/>
        </w:rPr>
        <w:t>.</w:t>
      </w:r>
      <w:r>
        <w:rPr>
          <w:rFonts w:cs="Calibri"/>
        </w:rPr>
        <w:t xml:space="preserve"> </w:t>
      </w:r>
    </w:p>
    <w:p w14:paraId="24F35339" w14:textId="77777777" w:rsidR="00A8247A" w:rsidRPr="00BA14E9" w:rsidRDefault="00A8247A" w:rsidP="00A8247A">
      <w:pPr>
        <w:rPr>
          <w:rFonts w:cs="Calibri"/>
        </w:rPr>
      </w:pPr>
      <w:r w:rsidRPr="00BA14E9">
        <w:rPr>
          <w:rFonts w:cs="Calibri"/>
        </w:rPr>
        <w:t>Chapter 7</w:t>
      </w:r>
      <w:r w:rsidRPr="00BA14E9">
        <w:rPr>
          <w:rFonts w:cs="Calibri"/>
          <w:szCs w:val="24"/>
        </w:rPr>
        <w:t xml:space="preserve">, Part 7.1, Division 9 of the model WHS Regulations include specific </w:t>
      </w:r>
      <w:r w:rsidRPr="00BA14E9">
        <w:rPr>
          <w:rFonts w:cs="Calibri"/>
        </w:rPr>
        <w:t xml:space="preserve">pipeline </w:t>
      </w:r>
      <w:r w:rsidRPr="00BA14E9">
        <w:rPr>
          <w:rFonts w:cs="Calibri"/>
          <w:szCs w:val="24"/>
        </w:rPr>
        <w:t>provisions under regulations 389 to 391. These regulations impose duties on pipeline owners, builders, and operators to manage risks associated with the construction, operation, and maintenance of pipelines that cross public places or carry Schedule 11 hazardous chemicals.</w:t>
      </w:r>
    </w:p>
    <w:p w14:paraId="25D4582D" w14:textId="2AF73401" w:rsidR="008D4768" w:rsidRPr="00BA14E9" w:rsidRDefault="00A8247A" w:rsidP="00AB4DC5">
      <w:pPr>
        <w:rPr>
          <w:rFonts w:cs="Calibri"/>
        </w:rPr>
      </w:pPr>
      <w:r w:rsidRPr="00BA14E9">
        <w:rPr>
          <w:rFonts w:eastAsia="Aptos" w:cs="Calibri"/>
        </w:rPr>
        <w:t xml:space="preserve">Regulation 389 of the model WHS Regulations requires that the owner of a pipeline used </w:t>
      </w:r>
      <w:r w:rsidR="008D4768" w:rsidRPr="008D4768">
        <w:rPr>
          <w:rFonts w:cs="Calibri"/>
        </w:rPr>
        <w:t>to transfer hazardous chemicals must:</w:t>
      </w:r>
    </w:p>
    <w:p w14:paraId="2F29F88A" w14:textId="77777777" w:rsidR="00A8247A" w:rsidRPr="00BA14E9" w:rsidRDefault="00A8247A" w:rsidP="00F17B20">
      <w:pPr>
        <w:numPr>
          <w:ilvl w:val="0"/>
          <w:numId w:val="55"/>
        </w:numPr>
        <w:ind w:left="714" w:hanging="357"/>
        <w:rPr>
          <w:rFonts w:eastAsia="Aptos" w:cs="Calibri"/>
        </w:rPr>
      </w:pPr>
      <w:r w:rsidRPr="00BA14E9">
        <w:rPr>
          <w:rFonts w:eastAsia="Aptos" w:cs="Calibri"/>
        </w:rPr>
        <w:lastRenderedPageBreak/>
        <w:t>manage risks associated with transfer of the hazardous chemicals through that pipeline; and</w:t>
      </w:r>
    </w:p>
    <w:p w14:paraId="783087D8" w14:textId="77777777" w:rsidR="00A8247A" w:rsidRPr="00BA14E9" w:rsidRDefault="00A8247A" w:rsidP="00F17B20">
      <w:pPr>
        <w:numPr>
          <w:ilvl w:val="0"/>
          <w:numId w:val="55"/>
        </w:numPr>
        <w:ind w:left="714" w:hanging="357"/>
        <w:rPr>
          <w:rFonts w:eastAsia="Aptos" w:cs="Calibri"/>
        </w:rPr>
      </w:pPr>
      <w:r w:rsidRPr="00BA14E9">
        <w:rPr>
          <w:rFonts w:eastAsia="Aptos" w:cs="Calibri"/>
        </w:rPr>
        <w:t>ensure, so far as is reasonably practicable, that an activity, structure, equipment or substance that is not part of the pipeline does not affect the hazardous chemicals or the pipeline in a way that increases risk.</w:t>
      </w:r>
    </w:p>
    <w:p w14:paraId="1D52CB96" w14:textId="4188F4DC" w:rsidR="00A8247A" w:rsidRPr="00BA14E9" w:rsidRDefault="00A8247A" w:rsidP="00F17B20">
      <w:pPr>
        <w:rPr>
          <w:rFonts w:cs="Calibri"/>
        </w:rPr>
      </w:pPr>
      <w:r w:rsidRPr="00BA14E9">
        <w:rPr>
          <w:rFonts w:eastAsia="Aptos" w:cs="Calibri"/>
        </w:rPr>
        <w:t>Regulation 390 mandates that builders notify regulators if a pipeline will cross into a public place and carry hazardous chemicals.</w:t>
      </w:r>
    </w:p>
    <w:p w14:paraId="0C590240" w14:textId="64306F94" w:rsidR="00A8247A" w:rsidRPr="00BA14E9" w:rsidRDefault="00A8247A" w:rsidP="00F17B20">
      <w:pPr>
        <w:rPr>
          <w:rFonts w:eastAsia="Aptos" w:cs="Calibri"/>
        </w:rPr>
      </w:pPr>
      <w:r w:rsidRPr="00BA14E9">
        <w:rPr>
          <w:rFonts w:eastAsia="Aptos" w:cs="Calibri"/>
        </w:rPr>
        <w:t>Regulation 391 requires operators of pipelines to:</w:t>
      </w:r>
    </w:p>
    <w:p w14:paraId="4DB81309" w14:textId="77777777" w:rsidR="00A8247A" w:rsidRPr="00BA14E9" w:rsidRDefault="00A8247A" w:rsidP="00F17B20">
      <w:pPr>
        <w:numPr>
          <w:ilvl w:val="0"/>
          <w:numId w:val="55"/>
        </w:numPr>
        <w:ind w:left="697"/>
        <w:rPr>
          <w:rFonts w:eastAsia="Aptos" w:cs="Calibri"/>
        </w:rPr>
      </w:pPr>
      <w:r w:rsidRPr="00BA14E9">
        <w:rPr>
          <w:rFonts w:eastAsia="Aptos" w:cs="Calibri"/>
        </w:rPr>
        <w:t>manage, in accordance with Part 3.1 of the model WHS Regulations, risks to health and safety associated with the transfer of the hazardous chemicals through the pipeline</w:t>
      </w:r>
    </w:p>
    <w:p w14:paraId="29BF2C8B" w14:textId="77777777" w:rsidR="00A8247A" w:rsidRPr="00BA14E9" w:rsidRDefault="00A8247A" w:rsidP="00F17B20">
      <w:pPr>
        <w:numPr>
          <w:ilvl w:val="0"/>
          <w:numId w:val="55"/>
        </w:numPr>
        <w:ind w:left="697"/>
        <w:rPr>
          <w:rFonts w:eastAsia="Aptos" w:cs="Calibri"/>
        </w:rPr>
      </w:pPr>
      <w:r w:rsidRPr="00BA14E9">
        <w:rPr>
          <w:rFonts w:eastAsia="Aptos" w:cs="Calibri"/>
        </w:rPr>
        <w:t>ensure, so far as is reasonably practicable, that the hazardous chemical transferred is identified by a label, sign or another way on or near the pipeline, and</w:t>
      </w:r>
    </w:p>
    <w:p w14:paraId="261C9608" w14:textId="77777777" w:rsidR="00A8247A" w:rsidRPr="00BA14E9" w:rsidRDefault="00A8247A" w:rsidP="00F17B20">
      <w:pPr>
        <w:numPr>
          <w:ilvl w:val="0"/>
          <w:numId w:val="55"/>
        </w:numPr>
        <w:ind w:left="697" w:hanging="357"/>
        <w:rPr>
          <w:rFonts w:eastAsia="Aptos" w:cs="Calibri"/>
        </w:rPr>
      </w:pPr>
      <w:r w:rsidRPr="00BA14E9">
        <w:rPr>
          <w:rFonts w:eastAsia="Aptos" w:cs="Calibri"/>
        </w:rPr>
        <w:t>to notify regulators of the supplier and receiver of the hazardous chemical and its classification.</w:t>
      </w:r>
    </w:p>
    <w:p w14:paraId="7378A12A" w14:textId="6C72A118" w:rsidR="00EC77B0" w:rsidRDefault="00EC77B0" w:rsidP="00EC77B0">
      <w:pPr>
        <w:rPr>
          <w:rFonts w:cs="Calibri"/>
        </w:rPr>
      </w:pPr>
      <w:r>
        <w:rPr>
          <w:rFonts w:cs="Calibri"/>
        </w:rPr>
        <w:t xml:space="preserve">In addition to pipeline specific </w:t>
      </w:r>
      <w:r w:rsidR="005B7A98">
        <w:rPr>
          <w:rFonts w:cs="Calibri"/>
        </w:rPr>
        <w:t>obligations</w:t>
      </w:r>
      <w:r>
        <w:rPr>
          <w:rFonts w:cs="Calibri"/>
        </w:rPr>
        <w:t xml:space="preserve">, </w:t>
      </w:r>
      <w:r w:rsidRPr="00EC77B0">
        <w:rPr>
          <w:rFonts w:cs="Calibri"/>
        </w:rPr>
        <w:t xml:space="preserve">Chapter 7 of the model WHS Regulations also creates a range of obligations </w:t>
      </w:r>
      <w:r>
        <w:rPr>
          <w:rFonts w:cs="Calibri"/>
        </w:rPr>
        <w:t xml:space="preserve">when </w:t>
      </w:r>
      <w:r w:rsidRPr="00CF12BA">
        <w:rPr>
          <w:rFonts w:cs="Calibri"/>
        </w:rPr>
        <w:t>us</w:t>
      </w:r>
      <w:r>
        <w:rPr>
          <w:rFonts w:cs="Calibri"/>
        </w:rPr>
        <w:t>ing</w:t>
      </w:r>
      <w:r w:rsidRPr="00CF12BA">
        <w:rPr>
          <w:rFonts w:cs="Calibri"/>
        </w:rPr>
        <w:t>, handling and storage of hazardous chemicals at a workplace and the generation of hazardous substances</w:t>
      </w:r>
      <w:r>
        <w:rPr>
          <w:rFonts w:cs="Calibri"/>
        </w:rPr>
        <w:t>, such as hydrogen,</w:t>
      </w:r>
      <w:r w:rsidRPr="00CF12BA">
        <w:rPr>
          <w:rFonts w:cs="Calibri"/>
        </w:rPr>
        <w:t xml:space="preserve"> at a workplace</w:t>
      </w:r>
      <w:r>
        <w:rPr>
          <w:rFonts w:cs="Calibri"/>
        </w:rPr>
        <w:t xml:space="preserve">. Key examples of these obligations include, but are not limited to: </w:t>
      </w:r>
    </w:p>
    <w:p w14:paraId="75CBC59C" w14:textId="77777777" w:rsidR="00EC77B0" w:rsidRDefault="00EC77B0" w:rsidP="00EC77B0">
      <w:pPr>
        <w:pStyle w:val="ListParagraph"/>
        <w:numPr>
          <w:ilvl w:val="0"/>
          <w:numId w:val="70"/>
        </w:numPr>
        <w:ind w:left="714" w:hanging="357"/>
        <w:contextualSpacing w:val="0"/>
        <w:rPr>
          <w:rFonts w:cs="Calibri"/>
        </w:rPr>
      </w:pPr>
      <w:r>
        <w:rPr>
          <w:rFonts w:cs="Calibri"/>
        </w:rPr>
        <w:t>addressing and reviewing controls for specific types of incidents, in a workplace which is operating hazardous chemicals, including: containing and managing spills and leaks, fire and explosion, keeping chemicals stable and protected from damage</w:t>
      </w:r>
    </w:p>
    <w:p w14:paraId="2568ED88" w14:textId="77777777" w:rsidR="00EC77B0" w:rsidRDefault="00EC77B0" w:rsidP="00EC77B0">
      <w:pPr>
        <w:pStyle w:val="ListParagraph"/>
        <w:numPr>
          <w:ilvl w:val="0"/>
          <w:numId w:val="70"/>
        </w:numPr>
        <w:ind w:left="714" w:hanging="357"/>
        <w:contextualSpacing w:val="0"/>
        <w:rPr>
          <w:rFonts w:cs="Calibri"/>
        </w:rPr>
      </w:pPr>
      <w:r>
        <w:rPr>
          <w:rFonts w:cs="Calibri"/>
        </w:rPr>
        <w:t>ensuring appropriate fire protection, firefighting, emergency and safety equipment is available at the facility and an emergency plan for the facility has been developed and is available</w:t>
      </w:r>
    </w:p>
    <w:p w14:paraId="456D379F" w14:textId="77777777" w:rsidR="00EC77B0" w:rsidRDefault="00EC77B0" w:rsidP="00EC77B0">
      <w:pPr>
        <w:pStyle w:val="ListParagraph"/>
        <w:numPr>
          <w:ilvl w:val="0"/>
          <w:numId w:val="70"/>
        </w:numPr>
        <w:ind w:left="714" w:hanging="357"/>
        <w:contextualSpacing w:val="0"/>
        <w:rPr>
          <w:rFonts w:cs="Calibri"/>
        </w:rPr>
      </w:pPr>
      <w:r>
        <w:rPr>
          <w:rFonts w:cs="Calibri"/>
        </w:rPr>
        <w:t xml:space="preserve">ensuring hazardous chemicals are packed in a sound condition and suitable container, labelled correctly, and a register of hazardous chemicals is maintained. </w:t>
      </w:r>
    </w:p>
    <w:p w14:paraId="09FBB7F7" w14:textId="77777777" w:rsidR="00EC77B0" w:rsidRPr="00FD539E" w:rsidRDefault="00EC77B0" w:rsidP="00EC77B0">
      <w:pPr>
        <w:pStyle w:val="ListParagraph"/>
        <w:numPr>
          <w:ilvl w:val="0"/>
          <w:numId w:val="70"/>
        </w:numPr>
        <w:ind w:left="714" w:hanging="357"/>
        <w:contextualSpacing w:val="0"/>
        <w:rPr>
          <w:rFonts w:cs="Calibri"/>
        </w:rPr>
      </w:pPr>
      <w:r>
        <w:rPr>
          <w:rFonts w:cs="Calibri"/>
        </w:rPr>
        <w:t xml:space="preserve">preparing and </w:t>
      </w:r>
      <w:r w:rsidRPr="00705A34">
        <w:rPr>
          <w:rFonts w:cs="Calibri"/>
        </w:rPr>
        <w:t xml:space="preserve">providing Safety Data Sheets (SDS) </w:t>
      </w:r>
      <w:r>
        <w:rPr>
          <w:rFonts w:cs="Calibri"/>
        </w:rPr>
        <w:t>for hazardous chemicals</w:t>
      </w:r>
      <w:r w:rsidRPr="00705A34">
        <w:rPr>
          <w:rFonts w:cs="Calibri"/>
        </w:rPr>
        <w:t xml:space="preserve"> </w:t>
      </w:r>
      <w:r>
        <w:rPr>
          <w:rFonts w:cs="Calibri"/>
        </w:rPr>
        <w:t>manufactured within the facility</w:t>
      </w:r>
    </w:p>
    <w:p w14:paraId="18CD331C" w14:textId="77777777" w:rsidR="00EC77B0" w:rsidRDefault="00EC77B0" w:rsidP="00EC77B0">
      <w:pPr>
        <w:pStyle w:val="ListParagraph"/>
        <w:numPr>
          <w:ilvl w:val="0"/>
          <w:numId w:val="70"/>
        </w:numPr>
        <w:ind w:left="714" w:hanging="357"/>
        <w:contextualSpacing w:val="0"/>
        <w:rPr>
          <w:rFonts w:cs="Calibri"/>
        </w:rPr>
      </w:pPr>
      <w:r>
        <w:rPr>
          <w:rFonts w:cs="Calibri"/>
        </w:rPr>
        <w:t xml:space="preserve">health monitoring for workers and storage and handling of hazardous chemicals, including the need for risk assessments and the implementation of control measures to minimise risks to health and safety. </w:t>
      </w:r>
      <w:r w:rsidRPr="00705A34">
        <w:rPr>
          <w:rFonts w:cs="Calibri"/>
        </w:rPr>
        <w:t xml:space="preserve"> </w:t>
      </w:r>
    </w:p>
    <w:p w14:paraId="132E6B60" w14:textId="77777777" w:rsidR="00EC77B0" w:rsidRDefault="00EC77B0" w:rsidP="00EC77B0">
      <w:pPr>
        <w:rPr>
          <w:rFonts w:cs="Calibri"/>
        </w:rPr>
      </w:pPr>
      <w:r>
        <w:rPr>
          <w:rFonts w:cs="Calibri"/>
        </w:rPr>
        <w:t>In addition to the above requirements hazardous chemicals such as hydrogen must have safety signage to control the risk of using</w:t>
      </w:r>
      <w:r w:rsidRPr="007859C3">
        <w:rPr>
          <w:rFonts w:cs="Calibri"/>
        </w:rPr>
        <w:t>, handling, generating or storing hazardous chemicals at a workplace</w:t>
      </w:r>
      <w:r>
        <w:rPr>
          <w:rFonts w:cs="Calibri"/>
        </w:rPr>
        <w:t>.</w:t>
      </w:r>
    </w:p>
    <w:p w14:paraId="5A2B5EBD" w14:textId="77777777" w:rsidR="00A8247A" w:rsidRPr="00BA14E9" w:rsidRDefault="00A8247A" w:rsidP="00A8247A">
      <w:pPr>
        <w:rPr>
          <w:rFonts w:cs="Calibri"/>
        </w:rPr>
      </w:pPr>
      <w:r w:rsidRPr="00BA14E9">
        <w:rPr>
          <w:rFonts w:cs="Calibri"/>
        </w:rPr>
        <w:lastRenderedPageBreak/>
        <w:t xml:space="preserve">Chapter 7 Hazardous Chemicals of the model WHS Regulations makes provision at </w:t>
      </w:r>
      <w:proofErr w:type="spellStart"/>
      <w:r w:rsidRPr="00BA14E9">
        <w:rPr>
          <w:rFonts w:cs="Calibri"/>
        </w:rPr>
        <w:t>subregulation</w:t>
      </w:r>
      <w:proofErr w:type="spellEnd"/>
      <w:r w:rsidRPr="00BA14E9">
        <w:rPr>
          <w:rFonts w:cs="Calibri"/>
        </w:rPr>
        <w:t xml:space="preserve"> 328(2) for Part 7.1 of Chapter 7 to not apply to a pipeline that is regulated under another law in force in this jurisdiction in relation to health and safety. </w:t>
      </w:r>
    </w:p>
    <w:p w14:paraId="4CDE5199" w14:textId="77777777" w:rsidR="00A8247A" w:rsidRPr="00BA14E9" w:rsidRDefault="00A8247A" w:rsidP="00A8247A">
      <w:pPr>
        <w:rPr>
          <w:rFonts w:cs="Calibri"/>
        </w:rPr>
      </w:pPr>
      <w:r w:rsidRPr="00BA14E9">
        <w:rPr>
          <w:rFonts w:cs="Calibri"/>
        </w:rPr>
        <w:t xml:space="preserve">An example can be found in the </w:t>
      </w:r>
      <w:proofErr w:type="spellStart"/>
      <w:r w:rsidRPr="00BA14E9">
        <w:rPr>
          <w:rFonts w:cs="Calibri"/>
        </w:rPr>
        <w:t>subregulations</w:t>
      </w:r>
      <w:proofErr w:type="spellEnd"/>
      <w:r w:rsidRPr="00BA14E9">
        <w:rPr>
          <w:rFonts w:cs="Calibri"/>
        </w:rPr>
        <w:t xml:space="preserve"> 328(2) and (3) of the Work Health and Safety Regulation 2025 (NSW):</w:t>
      </w:r>
    </w:p>
    <w:p w14:paraId="07ED4BBA" w14:textId="7DF0F8CA" w:rsidR="00A8247A" w:rsidRPr="00BA14E9" w:rsidRDefault="00A8247A" w:rsidP="00F634FE">
      <w:pPr>
        <w:ind w:left="720"/>
        <w:rPr>
          <w:rFonts w:cs="Calibri"/>
        </w:rPr>
      </w:pPr>
      <w:r w:rsidRPr="00BA14E9">
        <w:rPr>
          <w:rFonts w:cs="Calibri"/>
        </w:rPr>
        <w:t>(2)  This part does not apply to a pipeline that is regulated under the </w:t>
      </w:r>
      <w:hyperlink r:id="rId30">
        <w:r w:rsidRPr="00BA14E9">
          <w:rPr>
            <w:rStyle w:val="Hyperlink"/>
            <w:rFonts w:cs="Calibri"/>
            <w:i/>
            <w:iCs/>
            <w:color w:val="auto"/>
            <w:u w:val="none"/>
          </w:rPr>
          <w:t>Gas Supply Act 1996</w:t>
        </w:r>
      </w:hyperlink>
      <w:r w:rsidR="00AE7265">
        <w:t xml:space="preserve"> (NSW)</w:t>
      </w:r>
      <w:r w:rsidRPr="00BA14E9">
        <w:rPr>
          <w:rFonts w:cs="Calibri"/>
        </w:rPr>
        <w:t>, the </w:t>
      </w:r>
      <w:hyperlink r:id="rId31">
        <w:r w:rsidRPr="00BA14E9">
          <w:rPr>
            <w:rStyle w:val="Hyperlink"/>
            <w:rFonts w:cs="Calibri"/>
            <w:i/>
            <w:iCs/>
            <w:color w:val="auto"/>
            <w:u w:val="none"/>
          </w:rPr>
          <w:t>Petroleum (Offshore) Act 1982</w:t>
        </w:r>
      </w:hyperlink>
      <w:r w:rsidR="00AE7265">
        <w:t xml:space="preserve"> (NSW)</w:t>
      </w:r>
      <w:r w:rsidRPr="00BA14E9">
        <w:rPr>
          <w:rFonts w:cs="Calibri"/>
        </w:rPr>
        <w:t> or the </w:t>
      </w:r>
      <w:hyperlink r:id="rId32">
        <w:r w:rsidRPr="00BA14E9">
          <w:rPr>
            <w:rStyle w:val="Hyperlink"/>
            <w:rFonts w:cs="Calibri"/>
            <w:i/>
            <w:iCs/>
            <w:color w:val="auto"/>
            <w:u w:val="none"/>
          </w:rPr>
          <w:t>Pipelines Act 1967</w:t>
        </w:r>
      </w:hyperlink>
      <w:r w:rsidR="00AE7265">
        <w:t xml:space="preserve"> (NSW)</w:t>
      </w:r>
      <w:r w:rsidRPr="00BA14E9">
        <w:rPr>
          <w:rFonts w:cs="Calibri"/>
        </w:rPr>
        <w:t>.</w:t>
      </w:r>
    </w:p>
    <w:p w14:paraId="357EDCB0" w14:textId="304D39BD" w:rsidR="00A8247A" w:rsidRPr="00BA14E9" w:rsidRDefault="00A8247A" w:rsidP="00F634FE">
      <w:pPr>
        <w:ind w:left="720"/>
        <w:rPr>
          <w:rFonts w:cs="Calibri"/>
        </w:rPr>
      </w:pPr>
      <w:r w:rsidRPr="00BA14E9">
        <w:rPr>
          <w:rFonts w:cs="Calibri"/>
        </w:rPr>
        <w:t>(3)  This part does not apply to hazardous chemicals and explosives being transported by road, rail, sea or air if the transport is regulated under one or more of the following</w:t>
      </w:r>
      <w:r w:rsidR="003878CD">
        <w:rPr>
          <w:rFonts w:cs="Calibri"/>
        </w:rPr>
        <w:t>:</w:t>
      </w:r>
    </w:p>
    <w:p w14:paraId="5EE515AA" w14:textId="249916C8" w:rsidR="00A8247A" w:rsidRPr="00BA14E9" w:rsidRDefault="00A8247A" w:rsidP="00F634FE">
      <w:pPr>
        <w:ind w:left="720"/>
        <w:rPr>
          <w:rFonts w:cs="Calibri"/>
        </w:rPr>
      </w:pPr>
      <w:r w:rsidRPr="00BA14E9">
        <w:rPr>
          <w:rFonts w:cs="Calibri"/>
        </w:rPr>
        <w:t>(a)  the </w:t>
      </w:r>
      <w:hyperlink r:id="rId33">
        <w:r w:rsidRPr="00BA14E9">
          <w:rPr>
            <w:rStyle w:val="Hyperlink"/>
            <w:rFonts w:cs="Calibri"/>
            <w:i/>
            <w:iCs/>
            <w:color w:val="auto"/>
            <w:u w:val="none"/>
          </w:rPr>
          <w:t>Dangerous Goods (Road and Rail Transport) Act 2008</w:t>
        </w:r>
      </w:hyperlink>
      <w:r w:rsidRPr="00BA14E9">
        <w:rPr>
          <w:rFonts w:cs="Calibri"/>
        </w:rPr>
        <w:t> or regulations under that Act</w:t>
      </w:r>
    </w:p>
    <w:p w14:paraId="157D10C6" w14:textId="7328E98D" w:rsidR="00A8247A" w:rsidRPr="00BA14E9" w:rsidRDefault="00A8247A" w:rsidP="00F634FE">
      <w:pPr>
        <w:ind w:left="720"/>
        <w:rPr>
          <w:rFonts w:cs="Calibri"/>
        </w:rPr>
      </w:pPr>
      <w:r w:rsidRPr="00BA14E9">
        <w:rPr>
          <w:rFonts w:cs="Calibri"/>
        </w:rPr>
        <w:t>(b)  the </w:t>
      </w:r>
      <w:r w:rsidRPr="00BA14E9">
        <w:rPr>
          <w:rFonts w:cs="Calibri"/>
          <w:i/>
          <w:iCs/>
        </w:rPr>
        <w:t>International Maritime Dangerous Goods Code</w:t>
      </w:r>
      <w:r w:rsidRPr="00BA14E9">
        <w:rPr>
          <w:rFonts w:cs="Calibri"/>
        </w:rPr>
        <w:t> published by the International Maritime Organization, as in force or remade from time to time</w:t>
      </w:r>
    </w:p>
    <w:p w14:paraId="79F932A0" w14:textId="29771A3A" w:rsidR="00A8247A" w:rsidRPr="00BA14E9" w:rsidRDefault="00A8247A" w:rsidP="00F634FE">
      <w:pPr>
        <w:ind w:left="720"/>
        <w:rPr>
          <w:rFonts w:cs="Calibri"/>
        </w:rPr>
      </w:pPr>
      <w:r w:rsidRPr="00BA14E9">
        <w:rPr>
          <w:rFonts w:cs="Calibri"/>
        </w:rPr>
        <w:t>(c)  the </w:t>
      </w:r>
      <w:r w:rsidRPr="00BA14E9">
        <w:rPr>
          <w:rFonts w:cs="Calibri"/>
          <w:i/>
          <w:iCs/>
        </w:rPr>
        <w:t>Technical Instructions for the Safe Transport of Dangerous Goods by Air</w:t>
      </w:r>
      <w:r w:rsidRPr="00BA14E9">
        <w:rPr>
          <w:rFonts w:cs="Calibri"/>
        </w:rPr>
        <w:t> published by the International Civil Aviation Organization, as in force or remade from time to time</w:t>
      </w:r>
    </w:p>
    <w:p w14:paraId="681814E4" w14:textId="77777777" w:rsidR="00A8247A" w:rsidRPr="00BA14E9" w:rsidRDefault="00A8247A" w:rsidP="00F634FE">
      <w:pPr>
        <w:ind w:left="720"/>
        <w:rPr>
          <w:rFonts w:cs="Calibri"/>
        </w:rPr>
      </w:pPr>
      <w:r w:rsidRPr="00BA14E9">
        <w:rPr>
          <w:rFonts w:cs="Calibri"/>
        </w:rPr>
        <w:t>(d)  the </w:t>
      </w:r>
      <w:r w:rsidRPr="00BA14E9">
        <w:rPr>
          <w:rFonts w:cs="Calibri"/>
          <w:i/>
          <w:iCs/>
        </w:rPr>
        <w:t>Dangerous Goods Regulations</w:t>
      </w:r>
      <w:r w:rsidRPr="00BA14E9">
        <w:rPr>
          <w:rFonts w:cs="Calibri"/>
        </w:rPr>
        <w:t> published by the International Air Transport Association, as in force or remade from time to time.</w:t>
      </w:r>
    </w:p>
    <w:p w14:paraId="7EE656E6" w14:textId="644891A3" w:rsidR="00A8247A" w:rsidRPr="00BA14E9" w:rsidRDefault="00A8247A" w:rsidP="00A8247A">
      <w:pPr>
        <w:rPr>
          <w:rFonts w:cs="Calibri"/>
        </w:rPr>
      </w:pPr>
      <w:r w:rsidRPr="00BA14E9">
        <w:rPr>
          <w:rFonts w:cs="Calibri"/>
        </w:rPr>
        <w:t xml:space="preserve">As the </w:t>
      </w:r>
      <w:hyperlink r:id="rId34">
        <w:r w:rsidRPr="00BA14E9">
          <w:rPr>
            <w:rStyle w:val="Hyperlink"/>
            <w:rFonts w:cs="Calibri"/>
            <w:i/>
            <w:iCs/>
            <w:color w:val="auto"/>
            <w:u w:val="none"/>
          </w:rPr>
          <w:t>Gas Supply Act 1996</w:t>
        </w:r>
      </w:hyperlink>
      <w:r w:rsidRPr="00BA14E9">
        <w:rPr>
          <w:rFonts w:cs="Calibri"/>
        </w:rPr>
        <w:t xml:space="preserve"> (NSW) and the </w:t>
      </w:r>
      <w:hyperlink r:id="rId35">
        <w:r w:rsidRPr="00BA14E9">
          <w:rPr>
            <w:rStyle w:val="Hyperlink"/>
            <w:rFonts w:cs="Calibri"/>
            <w:i/>
            <w:iCs/>
            <w:color w:val="auto"/>
            <w:u w:val="none"/>
          </w:rPr>
          <w:t>Pipelines Act 1967</w:t>
        </w:r>
      </w:hyperlink>
      <w:r w:rsidRPr="00BA14E9">
        <w:rPr>
          <w:rFonts w:cs="Calibri"/>
        </w:rPr>
        <w:t xml:space="preserve"> (NSW) apply to hydrogen pipelines Part 7.1 of Chapter 7 may not apply to affected pipelines. Pipeline proponents should check the application of these provisions to their pipelines.</w:t>
      </w:r>
    </w:p>
    <w:p w14:paraId="65A0C138" w14:textId="77777777" w:rsidR="00A8247A" w:rsidRPr="00BA14E9" w:rsidRDefault="00A8247A" w:rsidP="00A8247A">
      <w:pPr>
        <w:rPr>
          <w:rFonts w:cs="Calibri"/>
        </w:rPr>
      </w:pPr>
      <w:r w:rsidRPr="00BA14E9">
        <w:rPr>
          <w:rFonts w:cs="Calibri"/>
        </w:rPr>
        <w:t xml:space="preserve">Chapter 4 of the OHS Regulations (Vic) applies to the supply and use of hazardous substances in Victorian workplaces </w:t>
      </w:r>
      <w:proofErr w:type="gramStart"/>
      <w:r w:rsidRPr="00BA14E9">
        <w:rPr>
          <w:rFonts w:cs="Calibri"/>
        </w:rPr>
        <w:t>in order to</w:t>
      </w:r>
      <w:proofErr w:type="gramEnd"/>
      <w:r w:rsidRPr="00BA14E9">
        <w:rPr>
          <w:rFonts w:cs="Calibri"/>
        </w:rPr>
        <w:t xml:space="preserve"> control injuries, health effects and death resulting from exposure to hazardous substances and carcinogens. The Regulations impose specific legal responsibilities on employers, as well as self-employed persons, employees, manufacturers, importing suppliers and suppliers. </w:t>
      </w:r>
    </w:p>
    <w:p w14:paraId="6321715C" w14:textId="71AC8385" w:rsidR="00A8247A" w:rsidRPr="00BA14E9" w:rsidRDefault="00A8247A" w:rsidP="00A8247A">
      <w:pPr>
        <w:rPr>
          <w:rFonts w:cs="Calibri"/>
        </w:rPr>
      </w:pPr>
      <w:r w:rsidRPr="00BA14E9">
        <w:rPr>
          <w:rFonts w:cs="Calibri"/>
        </w:rPr>
        <w:t>In Victoria, hazardous substances and dangerous goods are covered by separate legislation, each focused on controlling the different risks described above</w:t>
      </w:r>
      <w:r w:rsidR="00E7153F">
        <w:rPr>
          <w:rFonts w:cs="Calibri"/>
        </w:rPr>
        <w:t xml:space="preserve"> (noting that where relevant, Schedule 14 materials and Part 5.2 of the Occupational Health and Safety Regulations 2017 may apply, unless an exemption is granted)</w:t>
      </w:r>
      <w:r w:rsidRPr="00BA14E9">
        <w:rPr>
          <w:rFonts w:cs="Calibri"/>
        </w:rPr>
        <w:t xml:space="preserve">. Many hazardous substances are also classified as dangerous goods, and in these </w:t>
      </w:r>
      <w:proofErr w:type="gramStart"/>
      <w:r w:rsidRPr="00BA14E9">
        <w:rPr>
          <w:rFonts w:cs="Calibri"/>
        </w:rPr>
        <w:t>cases</w:t>
      </w:r>
      <w:proofErr w:type="gramEnd"/>
      <w:r w:rsidRPr="00BA14E9">
        <w:rPr>
          <w:rFonts w:cs="Calibri"/>
        </w:rPr>
        <w:t xml:space="preserve"> both sets of legislation apply. While there are overlaps in the classification of many substances, each piece of legislation complements the other, effectively ensuring the comprehensive control of all risks.</w:t>
      </w:r>
    </w:p>
    <w:p w14:paraId="1506C578" w14:textId="77777777" w:rsidR="00A8247A" w:rsidRPr="00BA14E9" w:rsidRDefault="00A8247A" w:rsidP="00A8247A">
      <w:pPr>
        <w:rPr>
          <w:rFonts w:cs="Calibri"/>
        </w:rPr>
      </w:pPr>
      <w:r w:rsidRPr="00BA14E9">
        <w:rPr>
          <w:rFonts w:cs="Calibri"/>
        </w:rPr>
        <w:t xml:space="preserve">In Victoria, hazardous substances and dangerous goods are classified according to different criteria. Hazardous substances are classified </w:t>
      </w:r>
      <w:proofErr w:type="gramStart"/>
      <w:r w:rsidRPr="00BA14E9">
        <w:rPr>
          <w:rFonts w:cs="Calibri"/>
        </w:rPr>
        <w:t>on the basis of</w:t>
      </w:r>
      <w:proofErr w:type="gramEnd"/>
      <w:r w:rsidRPr="00BA14E9">
        <w:rPr>
          <w:rFonts w:cs="Calibri"/>
        </w:rPr>
        <w:t xml:space="preserve"> health effects, while dangerous </w:t>
      </w:r>
      <w:r w:rsidRPr="00BA14E9">
        <w:rPr>
          <w:rFonts w:cs="Calibri"/>
        </w:rPr>
        <w:lastRenderedPageBreak/>
        <w:t xml:space="preserve">goods are classified </w:t>
      </w:r>
      <w:proofErr w:type="gramStart"/>
      <w:r w:rsidRPr="00BA14E9">
        <w:rPr>
          <w:rFonts w:cs="Calibri"/>
        </w:rPr>
        <w:t>on the basis of</w:t>
      </w:r>
      <w:proofErr w:type="gramEnd"/>
      <w:r w:rsidRPr="00BA14E9">
        <w:rPr>
          <w:rFonts w:cs="Calibri"/>
        </w:rPr>
        <w:t xml:space="preserve"> physicochemical effects such as fire, explosion and corrosion, on property, the environment or people.</w:t>
      </w:r>
    </w:p>
    <w:p w14:paraId="3FD2476A" w14:textId="77777777" w:rsidR="00A8247A" w:rsidRPr="00BA14E9" w:rsidRDefault="00A8247A" w:rsidP="00A8247A">
      <w:pPr>
        <w:rPr>
          <w:rFonts w:cs="Calibri"/>
        </w:rPr>
      </w:pPr>
      <w:r w:rsidRPr="00BA14E9">
        <w:rPr>
          <w:rFonts w:cs="Calibri"/>
        </w:rPr>
        <w:t>WorkSafe Victoria has published a Hazardous substances health and safety guide for employers on how to protect employees from the workplace health and safety risks of hazardous substances. The guide notes that employer must so far as is reasonably practicable, eliminate any risks associated with hazardous substances in the workplace. If it’s not reasonably practicable to eliminate the risk, an employer must reduce the risk, as far as reasonably practicable, by:</w:t>
      </w:r>
    </w:p>
    <w:p w14:paraId="010A778B" w14:textId="77777777" w:rsidR="00A8247A" w:rsidRPr="00BA14E9" w:rsidRDefault="00A8247A" w:rsidP="00F17B20">
      <w:pPr>
        <w:pStyle w:val="ListParagraph"/>
        <w:numPr>
          <w:ilvl w:val="0"/>
          <w:numId w:val="19"/>
        </w:numPr>
        <w:contextualSpacing w:val="0"/>
        <w:rPr>
          <w:rFonts w:cs="Calibri"/>
        </w:rPr>
      </w:pPr>
      <w:r w:rsidRPr="00BA14E9">
        <w:rPr>
          <w:rFonts w:cs="Calibri"/>
        </w:rPr>
        <w:t>using a less hazardous substance or a safer form of the substance</w:t>
      </w:r>
    </w:p>
    <w:p w14:paraId="0998AE4C" w14:textId="77777777" w:rsidR="00A8247A" w:rsidRPr="00BA14E9" w:rsidRDefault="00A8247A" w:rsidP="00F17B20">
      <w:pPr>
        <w:pStyle w:val="ListParagraph"/>
        <w:numPr>
          <w:ilvl w:val="0"/>
          <w:numId w:val="19"/>
        </w:numPr>
        <w:contextualSpacing w:val="0"/>
        <w:rPr>
          <w:rFonts w:cs="Calibri"/>
        </w:rPr>
      </w:pPr>
      <w:r w:rsidRPr="00BA14E9">
        <w:rPr>
          <w:rFonts w:cs="Calibri"/>
        </w:rPr>
        <w:t>isolating employees from exposure, or</w:t>
      </w:r>
    </w:p>
    <w:p w14:paraId="41633FD3" w14:textId="77777777" w:rsidR="00A8247A" w:rsidRPr="00BA14E9" w:rsidRDefault="00A8247A" w:rsidP="00F17B20">
      <w:pPr>
        <w:pStyle w:val="ListParagraph"/>
        <w:numPr>
          <w:ilvl w:val="0"/>
          <w:numId w:val="19"/>
        </w:numPr>
        <w:contextualSpacing w:val="0"/>
        <w:rPr>
          <w:rFonts w:cs="Calibri"/>
        </w:rPr>
      </w:pPr>
      <w:r w:rsidRPr="00BA14E9">
        <w:rPr>
          <w:rFonts w:cs="Calibri"/>
        </w:rPr>
        <w:t>using engineering controls.</w:t>
      </w:r>
    </w:p>
    <w:p w14:paraId="1794590F" w14:textId="77777777" w:rsidR="00A8247A" w:rsidRPr="00BA14E9" w:rsidRDefault="00A8247A" w:rsidP="00A8247A">
      <w:pPr>
        <w:rPr>
          <w:rFonts w:cs="Calibri"/>
        </w:rPr>
      </w:pPr>
      <w:r w:rsidRPr="00BA14E9">
        <w:rPr>
          <w:rFonts w:cs="Calibri"/>
        </w:rPr>
        <w:t>The guide also notes that an employer must review and, if necessary, revise any measures implemented to control risks associated with hazardous substances at the workplace, if the employer receives advice from a registered medical practitioner, or at the request of a health and safety representative.</w:t>
      </w:r>
    </w:p>
    <w:p w14:paraId="312956B0" w14:textId="77777777" w:rsidR="00A8247A" w:rsidRPr="00BA14E9" w:rsidRDefault="00A8247A" w:rsidP="00A8247A">
      <w:pPr>
        <w:rPr>
          <w:rFonts w:cs="Calibri"/>
        </w:rPr>
      </w:pPr>
      <w:r w:rsidRPr="00BA14E9">
        <w:rPr>
          <w:rFonts w:cs="Calibri"/>
        </w:rPr>
        <w:t>The guide recognises that under the OHS Act (Vic) an employer has a duty to consult employees and health and safety representatives when identifying hazards and deciding on control measures</w:t>
      </w:r>
      <w:r w:rsidRPr="00BA14E9">
        <w:rPr>
          <w:rStyle w:val="FootnoteReference"/>
          <w:rFonts w:cs="Calibri"/>
        </w:rPr>
        <w:footnoteReference w:id="9"/>
      </w:r>
      <w:r w:rsidRPr="00BA14E9">
        <w:rPr>
          <w:rFonts w:cs="Calibri"/>
        </w:rPr>
        <w:t>. The guide provides that employers are required to</w:t>
      </w:r>
      <w:r w:rsidRPr="00BA14E9">
        <w:rPr>
          <w:rStyle w:val="FootnoteReference"/>
          <w:rFonts w:cs="Calibri"/>
        </w:rPr>
        <w:footnoteReference w:id="10"/>
      </w:r>
      <w:r w:rsidRPr="00BA14E9">
        <w:rPr>
          <w:rFonts w:cs="Calibri"/>
        </w:rPr>
        <w:t>:</w:t>
      </w:r>
    </w:p>
    <w:p w14:paraId="19EF674C" w14:textId="77777777" w:rsidR="00A8247A" w:rsidRPr="00BA14E9" w:rsidRDefault="00A8247A" w:rsidP="00F17B20">
      <w:pPr>
        <w:pStyle w:val="ListParagraph"/>
        <w:numPr>
          <w:ilvl w:val="0"/>
          <w:numId w:val="19"/>
        </w:numPr>
        <w:contextualSpacing w:val="0"/>
        <w:rPr>
          <w:rFonts w:cs="Calibri"/>
        </w:rPr>
      </w:pPr>
      <w:r w:rsidRPr="00BA14E9">
        <w:rPr>
          <w:rFonts w:cs="Calibri"/>
        </w:rPr>
        <w:t>obtain a current Safety Data Sheet (SDS) for each hazardous substance</w:t>
      </w:r>
    </w:p>
    <w:p w14:paraId="105A7B6B" w14:textId="77777777" w:rsidR="00A8247A" w:rsidRPr="00BA14E9" w:rsidRDefault="00A8247A" w:rsidP="00F17B20">
      <w:pPr>
        <w:pStyle w:val="ListParagraph"/>
        <w:numPr>
          <w:ilvl w:val="0"/>
          <w:numId w:val="19"/>
        </w:numPr>
        <w:contextualSpacing w:val="0"/>
        <w:rPr>
          <w:rFonts w:cs="Calibri"/>
        </w:rPr>
      </w:pPr>
      <w:r w:rsidRPr="00BA14E9">
        <w:rPr>
          <w:rFonts w:cs="Calibri"/>
        </w:rPr>
        <w:t>make the SDS accessible to employees</w:t>
      </w:r>
    </w:p>
    <w:p w14:paraId="7A3D832C" w14:textId="77777777" w:rsidR="00A8247A" w:rsidRPr="00BA14E9" w:rsidRDefault="00A8247A" w:rsidP="00F17B20">
      <w:pPr>
        <w:pStyle w:val="ListParagraph"/>
        <w:numPr>
          <w:ilvl w:val="0"/>
          <w:numId w:val="19"/>
        </w:numPr>
        <w:contextualSpacing w:val="0"/>
        <w:rPr>
          <w:rFonts w:cs="Calibri"/>
        </w:rPr>
      </w:pPr>
      <w:r w:rsidRPr="00BA14E9">
        <w:rPr>
          <w:rFonts w:cs="Calibri"/>
        </w:rPr>
        <w:t>keep a list of product names and SDSs for all hazardous substances used at the workplace</w:t>
      </w:r>
    </w:p>
    <w:p w14:paraId="24DE1DE1" w14:textId="77777777" w:rsidR="00A8247A" w:rsidRPr="00BA14E9" w:rsidRDefault="00A8247A" w:rsidP="00F17B20">
      <w:pPr>
        <w:pStyle w:val="ListParagraph"/>
        <w:numPr>
          <w:ilvl w:val="0"/>
          <w:numId w:val="19"/>
        </w:numPr>
        <w:contextualSpacing w:val="0"/>
        <w:rPr>
          <w:rFonts w:cs="Calibri"/>
        </w:rPr>
      </w:pPr>
      <w:r w:rsidRPr="00BA14E9">
        <w:rPr>
          <w:rFonts w:cs="Calibri"/>
        </w:rPr>
        <w:t>keep a list of who uses the substances or may be exposed to them</w:t>
      </w:r>
    </w:p>
    <w:p w14:paraId="782D13FB" w14:textId="77777777" w:rsidR="00A8247A" w:rsidRPr="00BA14E9" w:rsidRDefault="00A8247A" w:rsidP="00F17B20">
      <w:pPr>
        <w:pStyle w:val="ListParagraph"/>
        <w:numPr>
          <w:ilvl w:val="0"/>
          <w:numId w:val="19"/>
        </w:numPr>
        <w:contextualSpacing w:val="0"/>
        <w:rPr>
          <w:rFonts w:cs="Calibri"/>
        </w:rPr>
      </w:pPr>
      <w:r w:rsidRPr="00BA14E9">
        <w:rPr>
          <w:rFonts w:cs="Calibri"/>
        </w:rPr>
        <w:t>not alter the information on an SDS.</w:t>
      </w:r>
    </w:p>
    <w:p w14:paraId="74647CD1" w14:textId="77777777" w:rsidR="00A8247A" w:rsidRPr="00BA14E9" w:rsidRDefault="00A8247A" w:rsidP="00A8247A">
      <w:pPr>
        <w:rPr>
          <w:rFonts w:cs="Calibri"/>
        </w:rPr>
      </w:pPr>
      <w:r w:rsidRPr="00BA14E9">
        <w:rPr>
          <w:rFonts w:cs="Calibri"/>
        </w:rPr>
        <w:t>Regulation 105 of the OHS Regulations (Vic) provides that the OHS Authority may exempt a specific hazardous substance or a class of hazardous substance, any person, or any class of people from any requirement of, or prohibition in, these Regulations.</w:t>
      </w:r>
    </w:p>
    <w:p w14:paraId="4B764CD9" w14:textId="52E126A3" w:rsidR="00657F8B" w:rsidRPr="00BA14E9" w:rsidRDefault="00981DC6" w:rsidP="00E83908">
      <w:pPr>
        <w:pStyle w:val="Heading2"/>
      </w:pPr>
      <w:bookmarkStart w:id="91" w:name="_Toc222925514"/>
      <w:r w:rsidRPr="00BA14E9">
        <w:t>WHS regulation of plant and equipment generally</w:t>
      </w:r>
      <w:bookmarkEnd w:id="91"/>
    </w:p>
    <w:p w14:paraId="3CEDCBCE" w14:textId="47816E6E" w:rsidR="00981DC6" w:rsidRPr="00BA14E9" w:rsidRDefault="00981DC6" w:rsidP="00981DC6">
      <w:pPr>
        <w:rPr>
          <w:rFonts w:cs="Calibri"/>
        </w:rPr>
      </w:pPr>
      <w:r w:rsidRPr="00BA14E9">
        <w:rPr>
          <w:rFonts w:cs="Calibri"/>
        </w:rPr>
        <w:t xml:space="preserve">The interaction between plant and equipment obligations and whole-of-facility WHS obligations is about creating a cohesive and comprehensive safety strategy. By integrating the specific safety standards and practices of individual equipment into the broader safety framework, pipeline proponents can ensure a consistent and thorough approach to </w:t>
      </w:r>
      <w:r w:rsidRPr="00BA14E9">
        <w:rPr>
          <w:rFonts w:cs="Calibri"/>
        </w:rPr>
        <w:lastRenderedPageBreak/>
        <w:t>workplace safety, ultimately protecting the health and well-being of all workers and the public, so far as is reasonably practicable.</w:t>
      </w:r>
    </w:p>
    <w:p w14:paraId="09B06911" w14:textId="77777777" w:rsidR="00981DC6" w:rsidRPr="00BA14E9" w:rsidRDefault="00981DC6" w:rsidP="606C9B12">
      <w:pPr>
        <w:spacing w:line="278" w:lineRule="auto"/>
        <w:rPr>
          <w:rFonts w:cs="Calibri"/>
          <w:szCs w:val="24"/>
        </w:rPr>
      </w:pPr>
      <w:r w:rsidRPr="00BA14E9">
        <w:rPr>
          <w:rFonts w:cs="Calibri"/>
          <w:szCs w:val="24"/>
        </w:rPr>
        <w:t xml:space="preserve">Chapter 5 </w:t>
      </w:r>
      <w:r w:rsidRPr="00BA14E9">
        <w:rPr>
          <w:rFonts w:cs="Calibri"/>
        </w:rPr>
        <w:t xml:space="preserve">of the model WHS Regulations </w:t>
      </w:r>
      <w:r w:rsidRPr="00BA14E9">
        <w:rPr>
          <w:rFonts w:cs="Calibri"/>
          <w:szCs w:val="24"/>
        </w:rPr>
        <w:t xml:space="preserve">establishes duties for managing risks associated with plant and workplace structures throughout their lifecycle, including design, manufacture, installation, use, maintenance, and decommissioning. It applies to designers, manufacturers, suppliers, and PCBUs, requiring that plant be safe by design and properly guarded, with appropriate safety features such as emergency stops and warning devices. PCBUs must implement risk controls following the hierarchy of control and ensure regular inspection and maintenance. </w:t>
      </w:r>
    </w:p>
    <w:p w14:paraId="4FBB72BD" w14:textId="77777777" w:rsidR="00981DC6" w:rsidRPr="00BA14E9" w:rsidRDefault="00981DC6" w:rsidP="606C9B12">
      <w:pPr>
        <w:spacing w:line="278" w:lineRule="auto"/>
        <w:rPr>
          <w:rFonts w:cs="Calibri"/>
          <w:szCs w:val="24"/>
        </w:rPr>
      </w:pPr>
      <w:r w:rsidRPr="00BA14E9">
        <w:rPr>
          <w:rFonts w:cs="Calibri"/>
          <w:szCs w:val="24"/>
        </w:rPr>
        <w:t>The primary focus of Chapter 5 is on mechanical and structural integrity and preventing physical hazards arising from plant operation.</w:t>
      </w:r>
    </w:p>
    <w:p w14:paraId="652D9406" w14:textId="77777777" w:rsidR="00981DC6" w:rsidRPr="00BA14E9" w:rsidRDefault="00981DC6" w:rsidP="606C9B12">
      <w:pPr>
        <w:spacing w:line="278" w:lineRule="auto"/>
        <w:rPr>
          <w:rFonts w:cs="Calibri"/>
          <w:szCs w:val="24"/>
        </w:rPr>
      </w:pPr>
      <w:r w:rsidRPr="00BA14E9">
        <w:rPr>
          <w:rFonts w:cs="Calibri"/>
          <w:szCs w:val="24"/>
        </w:rPr>
        <w:t>Chapter 7</w:t>
      </w:r>
      <w:r w:rsidRPr="00BA14E9">
        <w:rPr>
          <w:rFonts w:cs="Calibri"/>
        </w:rPr>
        <w:t xml:space="preserve"> of the model WHS Regulations</w:t>
      </w:r>
      <w:r w:rsidRPr="00BA14E9">
        <w:rPr>
          <w:rFonts w:cs="Calibri"/>
          <w:szCs w:val="24"/>
        </w:rPr>
        <w:t xml:space="preserve"> addresses the classification, labelling, storage, handling, and disposal of hazardous chemicals in workplaces. It applies to any system or equipment used to store or convey hazardous chemicals, including pipelines, tanks, and associated fittings. Duties include maintaining a hazardous chemicals register, implementing controls to prevent fire, explosion, and exposure, and preparing emergency plans. PCBUs must ensure correct labelling, placarding, and compliance with manifest requirements when chemicals exceed Schedule 11 quantities. Unlike Chapter 5, which focuses on plant safety, Chapter 7 is concerned with chemical hazards and their interaction with people and the environment.</w:t>
      </w:r>
    </w:p>
    <w:p w14:paraId="2094A271" w14:textId="77777777" w:rsidR="00981DC6" w:rsidRPr="00BA14E9" w:rsidRDefault="00981DC6" w:rsidP="606C9B12">
      <w:pPr>
        <w:spacing w:line="278" w:lineRule="auto"/>
        <w:rPr>
          <w:rFonts w:cs="Calibri"/>
          <w:szCs w:val="24"/>
        </w:rPr>
      </w:pPr>
      <w:r w:rsidRPr="00BA14E9">
        <w:rPr>
          <w:rFonts w:cs="Calibri"/>
          <w:szCs w:val="24"/>
        </w:rPr>
        <w:t>Chapters 5 and 7 often overlap when plant or equipment is used in processes involving hazardous chemicals. PCBUs must integrate both sets of duties into their risk management systems to ensure comprehensive compliance. In practice, this means considering both mechanical and chemical hazards during design, installation, and operation, and implementing coordinated controls to manage combined risks effectively.</w:t>
      </w:r>
    </w:p>
    <w:p w14:paraId="012890FC" w14:textId="77777777" w:rsidR="00981DC6" w:rsidRPr="00BA14E9" w:rsidRDefault="00981DC6" w:rsidP="606C9B12">
      <w:pPr>
        <w:rPr>
          <w:rFonts w:cs="Calibri"/>
          <w:szCs w:val="24"/>
        </w:rPr>
      </w:pPr>
      <w:r w:rsidRPr="00BA14E9">
        <w:rPr>
          <w:rFonts w:cs="Calibri"/>
          <w:szCs w:val="24"/>
        </w:rPr>
        <w:t xml:space="preserve">Section 19 of the model WHS Act provides for the primary WHS duty and includes at paragraph 19(3)(b) and (e) that a person conducting a business or undertaking must ensure, so far as is reasonably practicable: </w:t>
      </w:r>
    </w:p>
    <w:p w14:paraId="0C4ED56A" w14:textId="77777777" w:rsidR="00981DC6" w:rsidRPr="00BA14E9" w:rsidRDefault="00981DC6" w:rsidP="00F634FE">
      <w:pPr>
        <w:ind w:left="720"/>
        <w:rPr>
          <w:rFonts w:cs="Calibri"/>
          <w:szCs w:val="24"/>
        </w:rPr>
      </w:pPr>
      <w:r w:rsidRPr="00BA14E9">
        <w:rPr>
          <w:rFonts w:cs="Calibri"/>
          <w:szCs w:val="24"/>
        </w:rPr>
        <w:t xml:space="preserve">(b) the provision and maintenance of safe plant and structures; and </w:t>
      </w:r>
    </w:p>
    <w:p w14:paraId="475DEA06" w14:textId="77777777" w:rsidR="00981DC6" w:rsidRPr="00BA14E9" w:rsidRDefault="00981DC6" w:rsidP="00F634FE">
      <w:pPr>
        <w:ind w:left="720"/>
        <w:rPr>
          <w:rFonts w:cs="Calibri"/>
          <w:szCs w:val="24"/>
        </w:rPr>
      </w:pPr>
      <w:r w:rsidRPr="00BA14E9">
        <w:rPr>
          <w:rFonts w:cs="Calibri"/>
          <w:szCs w:val="24"/>
        </w:rPr>
        <w:t xml:space="preserve">(c) the provision and maintenance of safe systems of </w:t>
      </w:r>
      <w:proofErr w:type="gramStart"/>
      <w:r w:rsidRPr="00BA14E9">
        <w:rPr>
          <w:rFonts w:cs="Calibri"/>
          <w:szCs w:val="24"/>
        </w:rPr>
        <w:t>work;</w:t>
      </w:r>
      <w:proofErr w:type="gramEnd"/>
      <w:r w:rsidRPr="00BA14E9">
        <w:rPr>
          <w:rFonts w:cs="Calibri"/>
          <w:szCs w:val="24"/>
        </w:rPr>
        <w:t xml:space="preserve"> </w:t>
      </w:r>
    </w:p>
    <w:p w14:paraId="78E7B517" w14:textId="77777777" w:rsidR="00981DC6" w:rsidRPr="00BA14E9" w:rsidRDefault="00981DC6" w:rsidP="00F634FE">
      <w:pPr>
        <w:ind w:left="720"/>
        <w:rPr>
          <w:rFonts w:cs="Calibri"/>
          <w:szCs w:val="24"/>
        </w:rPr>
      </w:pPr>
      <w:r w:rsidRPr="00BA14E9">
        <w:rPr>
          <w:rFonts w:cs="Calibri"/>
          <w:szCs w:val="24"/>
        </w:rPr>
        <w:t xml:space="preserve">(d) the safe use, handling and storage of plant, structures and </w:t>
      </w:r>
      <w:proofErr w:type="gramStart"/>
      <w:r w:rsidRPr="00BA14E9">
        <w:rPr>
          <w:rFonts w:cs="Calibri"/>
          <w:szCs w:val="24"/>
        </w:rPr>
        <w:t>substances;</w:t>
      </w:r>
      <w:proofErr w:type="gramEnd"/>
    </w:p>
    <w:p w14:paraId="6C1B31D5" w14:textId="77777777" w:rsidR="00981DC6" w:rsidRPr="00BA14E9" w:rsidRDefault="00981DC6" w:rsidP="606C9B12">
      <w:pPr>
        <w:rPr>
          <w:rFonts w:cs="Calibri"/>
          <w:szCs w:val="24"/>
        </w:rPr>
      </w:pPr>
      <w:r w:rsidRPr="00BA14E9">
        <w:rPr>
          <w:rFonts w:cs="Calibri"/>
          <w:szCs w:val="24"/>
        </w:rPr>
        <w:t>Under Australian work health and safety frameworks, pipelines are classified as plant because of the broad statutory definition of the term. Section 4 of the model WHS Act defines plant including:</w:t>
      </w:r>
    </w:p>
    <w:p w14:paraId="6A53A998" w14:textId="77777777" w:rsidR="00981DC6" w:rsidRPr="00BA14E9" w:rsidRDefault="00981DC6" w:rsidP="00F634FE">
      <w:pPr>
        <w:ind w:left="720"/>
        <w:rPr>
          <w:rFonts w:cs="Calibri"/>
          <w:szCs w:val="24"/>
        </w:rPr>
      </w:pPr>
      <w:r w:rsidRPr="00BA14E9">
        <w:rPr>
          <w:rFonts w:cs="Calibri"/>
          <w:szCs w:val="24"/>
        </w:rPr>
        <w:t xml:space="preserve">(a) any machinery, equipment, appliance, container, implement and tool; and </w:t>
      </w:r>
    </w:p>
    <w:p w14:paraId="269E17BE" w14:textId="77777777" w:rsidR="00981DC6" w:rsidRPr="00BA14E9" w:rsidRDefault="00981DC6" w:rsidP="00F634FE">
      <w:pPr>
        <w:ind w:left="720"/>
        <w:rPr>
          <w:rFonts w:cs="Calibri"/>
          <w:szCs w:val="24"/>
        </w:rPr>
      </w:pPr>
      <w:r w:rsidRPr="00BA14E9">
        <w:rPr>
          <w:rFonts w:cs="Calibri"/>
          <w:szCs w:val="24"/>
        </w:rPr>
        <w:t xml:space="preserve">(b) any component of any of those things; and </w:t>
      </w:r>
    </w:p>
    <w:p w14:paraId="1A01A09A" w14:textId="77777777" w:rsidR="00981DC6" w:rsidRPr="00BA14E9" w:rsidRDefault="00981DC6" w:rsidP="00F634FE">
      <w:pPr>
        <w:ind w:left="720"/>
        <w:rPr>
          <w:rFonts w:cs="Calibri"/>
          <w:szCs w:val="24"/>
        </w:rPr>
      </w:pPr>
      <w:r w:rsidRPr="00BA14E9">
        <w:rPr>
          <w:rFonts w:cs="Calibri"/>
          <w:szCs w:val="24"/>
        </w:rPr>
        <w:lastRenderedPageBreak/>
        <w:t>(c) anything fitted or connected to any of those things.</w:t>
      </w:r>
    </w:p>
    <w:p w14:paraId="4B7AFFD9" w14:textId="77777777" w:rsidR="00981DC6" w:rsidRPr="00BA14E9" w:rsidRDefault="00981DC6" w:rsidP="606C9B12">
      <w:pPr>
        <w:rPr>
          <w:rFonts w:cs="Calibri"/>
          <w:szCs w:val="24"/>
        </w:rPr>
      </w:pPr>
      <w:r w:rsidRPr="00BA14E9">
        <w:rPr>
          <w:rFonts w:cs="Calibri"/>
          <w:szCs w:val="24"/>
        </w:rPr>
        <w:t xml:space="preserve">Similarly, section 5 of the OHS Act (Vic) adopts an almost identical definition. </w:t>
      </w:r>
    </w:p>
    <w:p w14:paraId="48B601BF" w14:textId="77777777" w:rsidR="00981DC6" w:rsidRPr="00BA14E9" w:rsidRDefault="00981DC6" w:rsidP="606C9B12">
      <w:pPr>
        <w:rPr>
          <w:rFonts w:cs="Calibri"/>
          <w:szCs w:val="24"/>
        </w:rPr>
      </w:pPr>
      <w:r w:rsidRPr="00BA14E9">
        <w:rPr>
          <w:rFonts w:cs="Calibri"/>
          <w:szCs w:val="24"/>
        </w:rPr>
        <w:t xml:space="preserve">Section 4 of the model WHS Act also defines structure which means anything that is constructed, whether fixed or moveable, temporary or permanent, and includes: </w:t>
      </w:r>
    </w:p>
    <w:p w14:paraId="096DD508" w14:textId="77777777" w:rsidR="00981DC6" w:rsidRPr="00BA14E9" w:rsidRDefault="00981DC6" w:rsidP="00F634FE">
      <w:pPr>
        <w:ind w:left="720"/>
        <w:rPr>
          <w:rFonts w:cs="Calibri"/>
          <w:szCs w:val="24"/>
        </w:rPr>
      </w:pPr>
      <w:r w:rsidRPr="00BA14E9">
        <w:rPr>
          <w:rFonts w:cs="Calibri"/>
          <w:szCs w:val="24"/>
        </w:rPr>
        <w:t>(a) buildings, masts, towers, framework, pipelines, transport infrastructure and underground works (shafts or tunnels); and</w:t>
      </w:r>
    </w:p>
    <w:p w14:paraId="559242CF" w14:textId="77777777" w:rsidR="00981DC6" w:rsidRPr="00BA14E9" w:rsidRDefault="00981DC6" w:rsidP="00F634FE">
      <w:pPr>
        <w:ind w:left="720"/>
        <w:rPr>
          <w:rFonts w:cs="Calibri"/>
          <w:szCs w:val="24"/>
        </w:rPr>
      </w:pPr>
      <w:r w:rsidRPr="00BA14E9">
        <w:rPr>
          <w:rFonts w:cs="Calibri"/>
          <w:szCs w:val="24"/>
        </w:rPr>
        <w:t xml:space="preserve">(b) any component of a structure; and </w:t>
      </w:r>
    </w:p>
    <w:p w14:paraId="6719F429" w14:textId="77777777" w:rsidR="00981DC6" w:rsidRPr="00BA14E9" w:rsidRDefault="00981DC6" w:rsidP="00F634FE">
      <w:pPr>
        <w:ind w:left="720"/>
        <w:rPr>
          <w:rFonts w:cs="Calibri"/>
          <w:szCs w:val="24"/>
        </w:rPr>
      </w:pPr>
      <w:r w:rsidRPr="00BA14E9">
        <w:rPr>
          <w:rFonts w:cs="Calibri"/>
          <w:szCs w:val="24"/>
        </w:rPr>
        <w:t>(c) part of a structure.</w:t>
      </w:r>
    </w:p>
    <w:p w14:paraId="69B8B77D" w14:textId="77777777" w:rsidR="00981DC6" w:rsidRPr="00BA14E9" w:rsidRDefault="00981DC6" w:rsidP="606C9B12">
      <w:pPr>
        <w:rPr>
          <w:rFonts w:cs="Calibri"/>
          <w:szCs w:val="24"/>
        </w:rPr>
      </w:pPr>
      <w:r w:rsidRPr="00BA14E9">
        <w:rPr>
          <w:rFonts w:cs="Calibri"/>
          <w:szCs w:val="24"/>
        </w:rPr>
        <w:t>This inclusive wording captures systems such as pipelines, which are engineered to convey substances under pressure and are integral to workplace operations. By treating pipelines as plant, regulators ensure that the same rigorous safety obligations apply to these systems as to other high-risk equipment.</w:t>
      </w:r>
    </w:p>
    <w:p w14:paraId="6E641425" w14:textId="77777777" w:rsidR="00981DC6" w:rsidRPr="00BA14E9" w:rsidRDefault="00981DC6" w:rsidP="606C9B12">
      <w:pPr>
        <w:spacing w:line="278" w:lineRule="auto"/>
        <w:rPr>
          <w:rFonts w:cs="Calibri"/>
          <w:szCs w:val="24"/>
        </w:rPr>
      </w:pPr>
      <w:r w:rsidRPr="00BA14E9">
        <w:rPr>
          <w:rFonts w:cs="Calibri"/>
          <w:szCs w:val="24"/>
        </w:rPr>
        <w:t xml:space="preserve">The classification is not based solely on whether a pipeline is a container or a structure it is both, and it is part of a connected system of plant. Pipelines store and transport hazardous substances, often under pressure, which introduces mechanical and chemical hazards </w:t>
      </w:r>
      <w:proofErr w:type="gramStart"/>
      <w:r w:rsidRPr="00BA14E9">
        <w:rPr>
          <w:rFonts w:cs="Calibri"/>
          <w:szCs w:val="24"/>
        </w:rPr>
        <w:t>similar to</w:t>
      </w:r>
      <w:proofErr w:type="gramEnd"/>
      <w:r w:rsidRPr="00BA14E9">
        <w:rPr>
          <w:rFonts w:cs="Calibri"/>
          <w:szCs w:val="24"/>
        </w:rPr>
        <w:t xml:space="preserve"> those posed by pressure vessels. They also incorporate components such as valves, pumps, and fittings, making them a complex assembly rather than a passive structure. This functional and systemic nature aligns with the legislative intent behind the plant definition: to capture all workplace equipment that can create significant risks if not properly designed, installed, and maintained.</w:t>
      </w:r>
    </w:p>
    <w:p w14:paraId="1065B233" w14:textId="77777777" w:rsidR="00981DC6" w:rsidRPr="00BA14E9" w:rsidRDefault="00981DC6" w:rsidP="606C9B12">
      <w:pPr>
        <w:spacing w:line="278" w:lineRule="auto"/>
        <w:rPr>
          <w:rFonts w:cs="Calibri"/>
          <w:szCs w:val="24"/>
        </w:rPr>
      </w:pPr>
      <w:r w:rsidRPr="00BA14E9">
        <w:rPr>
          <w:rFonts w:cs="Calibri"/>
          <w:szCs w:val="24"/>
        </w:rPr>
        <w:t>As a result, Health &amp; Safety Legislation impose duties on persons conducting a business or undertaking to manage pipeline risks under the plant</w:t>
      </w:r>
      <w:r w:rsidRPr="00BA14E9">
        <w:rPr>
          <w:rFonts w:cs="Calibri"/>
        </w:rPr>
        <w:t xml:space="preserve"> and equipment</w:t>
      </w:r>
      <w:r w:rsidRPr="00BA14E9">
        <w:rPr>
          <w:rFonts w:cs="Calibri"/>
          <w:szCs w:val="24"/>
        </w:rPr>
        <w:t xml:space="preserve"> provisions </w:t>
      </w:r>
      <w:r w:rsidRPr="00BA14E9">
        <w:rPr>
          <w:rFonts w:cs="Calibri"/>
        </w:rPr>
        <w:t>including section 19 of the model WHS Act and Chapters 5 and 7 of the model WHS Regulations</w:t>
      </w:r>
      <w:r w:rsidRPr="00BA14E9">
        <w:rPr>
          <w:rFonts w:cs="Calibri"/>
          <w:szCs w:val="24"/>
        </w:rPr>
        <w:t xml:space="preserve"> and </w:t>
      </w:r>
      <w:r w:rsidRPr="00BA14E9">
        <w:rPr>
          <w:rFonts w:cs="Calibri"/>
        </w:rPr>
        <w:t xml:space="preserve">section 21 of the OHS Act (Vic) and Part 3.5 of the </w:t>
      </w:r>
      <w:r w:rsidRPr="00BA14E9">
        <w:rPr>
          <w:rFonts w:cs="Calibri"/>
          <w:szCs w:val="24"/>
        </w:rPr>
        <w:t xml:space="preserve">OHS Regulations (Vic). </w:t>
      </w:r>
    </w:p>
    <w:p w14:paraId="28721197" w14:textId="77777777" w:rsidR="00981DC6" w:rsidRPr="00BA14E9" w:rsidRDefault="00981DC6" w:rsidP="606C9B12">
      <w:pPr>
        <w:spacing w:line="278" w:lineRule="auto"/>
        <w:rPr>
          <w:rFonts w:cs="Calibri"/>
          <w:szCs w:val="24"/>
        </w:rPr>
      </w:pPr>
      <w:r w:rsidRPr="00BA14E9">
        <w:rPr>
          <w:rFonts w:cs="Calibri"/>
          <w:szCs w:val="24"/>
        </w:rPr>
        <w:t xml:space="preserve">These duties include ensuring safe design, installation, inspection, and maintenance, as well as controlling hazards such as leaks, ruptures, and exposure to hazardous chemicals. By explicitly including pipelines within the scope of plant, the legislation </w:t>
      </w:r>
      <w:r w:rsidRPr="00BA14E9">
        <w:rPr>
          <w:rFonts w:cs="Calibri"/>
        </w:rPr>
        <w:t>requires</w:t>
      </w:r>
      <w:r w:rsidRPr="00BA14E9">
        <w:rPr>
          <w:rFonts w:cs="Calibri"/>
          <w:szCs w:val="24"/>
        </w:rPr>
        <w:t xml:space="preserve"> comprehensive risk management for systems that, if they fail, could lead to catastrophic consequences.</w:t>
      </w:r>
    </w:p>
    <w:p w14:paraId="3B199723" w14:textId="77777777" w:rsidR="00981DC6" w:rsidRPr="00BA14E9" w:rsidRDefault="00981DC6" w:rsidP="606C9B12">
      <w:pPr>
        <w:rPr>
          <w:rFonts w:eastAsiaTheme="minorEastAsia" w:cs="Calibri"/>
        </w:rPr>
      </w:pPr>
      <w:r w:rsidRPr="00BA14E9">
        <w:rPr>
          <w:rFonts w:eastAsiaTheme="minorEastAsia" w:cs="Calibri"/>
        </w:rPr>
        <w:t>The obligations apply to designers of plant, importers of plant, suppliers of plant, PCBUs installing, constructing or commissioning plant, persons with management or control of plant, and persons operating plant. Key obligations include:</w:t>
      </w:r>
    </w:p>
    <w:p w14:paraId="5FC7E5EA" w14:textId="77777777" w:rsidR="00981DC6" w:rsidRPr="00BA14E9" w:rsidRDefault="00981DC6" w:rsidP="00F17B20">
      <w:pPr>
        <w:pStyle w:val="ListParagraph"/>
        <w:numPr>
          <w:ilvl w:val="0"/>
          <w:numId w:val="19"/>
        </w:numPr>
        <w:contextualSpacing w:val="0"/>
        <w:rPr>
          <w:rFonts w:cs="Calibri"/>
        </w:rPr>
      </w:pPr>
      <w:r w:rsidRPr="00BA14E9">
        <w:rPr>
          <w:rFonts w:cs="Calibri"/>
        </w:rPr>
        <w:t>Provision of information relating to plant</w:t>
      </w:r>
    </w:p>
    <w:p w14:paraId="12CC37CC" w14:textId="77777777" w:rsidR="00981DC6" w:rsidRPr="00BA14E9" w:rsidRDefault="00981DC6" w:rsidP="00F17B20">
      <w:pPr>
        <w:pStyle w:val="ListParagraph"/>
        <w:numPr>
          <w:ilvl w:val="0"/>
          <w:numId w:val="19"/>
        </w:numPr>
        <w:contextualSpacing w:val="0"/>
        <w:rPr>
          <w:rFonts w:cs="Calibri"/>
        </w:rPr>
      </w:pPr>
      <w:r w:rsidRPr="00BA14E9">
        <w:rPr>
          <w:rFonts w:cs="Calibri"/>
        </w:rPr>
        <w:t>Emergency stop controls</w:t>
      </w:r>
    </w:p>
    <w:p w14:paraId="3F855544" w14:textId="77777777" w:rsidR="00981DC6" w:rsidRPr="00BA14E9" w:rsidRDefault="00981DC6" w:rsidP="00F17B20">
      <w:pPr>
        <w:pStyle w:val="ListParagraph"/>
        <w:numPr>
          <w:ilvl w:val="0"/>
          <w:numId w:val="19"/>
        </w:numPr>
        <w:contextualSpacing w:val="0"/>
        <w:rPr>
          <w:rFonts w:cs="Calibri"/>
        </w:rPr>
      </w:pPr>
      <w:r w:rsidRPr="00BA14E9">
        <w:rPr>
          <w:rFonts w:cs="Calibri"/>
        </w:rPr>
        <w:t>Control of risk through inspection</w:t>
      </w:r>
    </w:p>
    <w:p w14:paraId="7924E878" w14:textId="77777777" w:rsidR="00981DC6" w:rsidRPr="00BA14E9" w:rsidRDefault="00981DC6" w:rsidP="00F17B20">
      <w:pPr>
        <w:pStyle w:val="ListParagraph"/>
        <w:numPr>
          <w:ilvl w:val="0"/>
          <w:numId w:val="19"/>
        </w:numPr>
        <w:contextualSpacing w:val="0"/>
        <w:rPr>
          <w:rFonts w:cs="Calibri"/>
        </w:rPr>
      </w:pPr>
      <w:r w:rsidRPr="00BA14E9">
        <w:rPr>
          <w:rFonts w:cs="Calibri"/>
        </w:rPr>
        <w:lastRenderedPageBreak/>
        <w:t xml:space="preserve">Installing or commissioning plant </w:t>
      </w:r>
      <w:proofErr w:type="gramStart"/>
      <w:r w:rsidRPr="00BA14E9">
        <w:rPr>
          <w:rFonts w:cs="Calibri"/>
        </w:rPr>
        <w:t>with regard to</w:t>
      </w:r>
      <w:proofErr w:type="gramEnd"/>
      <w:r w:rsidRPr="00BA14E9">
        <w:rPr>
          <w:rFonts w:cs="Calibri"/>
        </w:rPr>
        <w:t xml:space="preserve"> information provided by a designer, manufacturer, importer or supplier</w:t>
      </w:r>
    </w:p>
    <w:p w14:paraId="17F72A79" w14:textId="77777777" w:rsidR="00981DC6" w:rsidRPr="00BA14E9" w:rsidRDefault="00981DC6" w:rsidP="00F17B20">
      <w:pPr>
        <w:pStyle w:val="ListParagraph"/>
        <w:numPr>
          <w:ilvl w:val="0"/>
          <w:numId w:val="19"/>
        </w:numPr>
        <w:contextualSpacing w:val="0"/>
        <w:rPr>
          <w:rFonts w:cs="Calibri"/>
        </w:rPr>
      </w:pPr>
      <w:r w:rsidRPr="00BA14E9">
        <w:rPr>
          <w:rFonts w:cs="Calibri"/>
        </w:rPr>
        <w:t>Plant must not be commissioned unless the person installing or commissioning the plant has established so far as is reasonably practicable that the plant is without risk to the health and safety of any person</w:t>
      </w:r>
    </w:p>
    <w:p w14:paraId="00252693" w14:textId="77777777" w:rsidR="00981DC6" w:rsidRPr="00BA14E9" w:rsidRDefault="00981DC6" w:rsidP="00F17B20">
      <w:pPr>
        <w:pStyle w:val="ListParagraph"/>
        <w:numPr>
          <w:ilvl w:val="0"/>
          <w:numId w:val="19"/>
        </w:numPr>
        <w:contextualSpacing w:val="0"/>
        <w:rPr>
          <w:rFonts w:cs="Calibri"/>
        </w:rPr>
      </w:pPr>
      <w:r w:rsidRPr="00BA14E9">
        <w:rPr>
          <w:rFonts w:cs="Calibri"/>
        </w:rPr>
        <w:t>Warning devices</w:t>
      </w:r>
    </w:p>
    <w:p w14:paraId="2C4574E0" w14:textId="77777777" w:rsidR="00981DC6" w:rsidRPr="00BA14E9" w:rsidRDefault="00981DC6" w:rsidP="00F17B20">
      <w:pPr>
        <w:pStyle w:val="ListParagraph"/>
        <w:numPr>
          <w:ilvl w:val="0"/>
          <w:numId w:val="19"/>
        </w:numPr>
        <w:contextualSpacing w:val="0"/>
        <w:rPr>
          <w:rFonts w:cs="Calibri"/>
        </w:rPr>
      </w:pPr>
      <w:r w:rsidRPr="00BA14E9">
        <w:rPr>
          <w:rFonts w:cs="Calibri"/>
        </w:rPr>
        <w:t>Maintenance, inspection and testing.</w:t>
      </w:r>
    </w:p>
    <w:p w14:paraId="7FA173F0" w14:textId="77777777" w:rsidR="00981DC6" w:rsidRPr="00BA14E9" w:rsidRDefault="00981DC6" w:rsidP="00981DC6">
      <w:pPr>
        <w:rPr>
          <w:lang w:eastAsia="en-AU"/>
        </w:rPr>
      </w:pPr>
      <w:r w:rsidRPr="00BA14E9">
        <w:rPr>
          <w:lang w:eastAsia="en-AU"/>
        </w:rPr>
        <w:t xml:space="preserve">Chapter 5 of the model WHS Regulations addresses the control of risks associated with plant and structures, including maintenance and inspection, pressure equipment, and the registration of plant design and items of plant. </w:t>
      </w:r>
      <w:r w:rsidRPr="00BA14E9">
        <w:rPr>
          <w:rStyle w:val="FootnoteReference"/>
          <w:rFonts w:eastAsia="Times New Roman" w:cs="Calibri"/>
          <w:color w:val="000000" w:themeColor="text1"/>
          <w:lang w:eastAsia="en-AU"/>
        </w:rPr>
        <w:footnoteReference w:id="11"/>
      </w:r>
    </w:p>
    <w:p w14:paraId="6FE9C01C" w14:textId="77777777" w:rsidR="00981DC6" w:rsidRPr="00BA14E9" w:rsidRDefault="00981DC6" w:rsidP="00981DC6">
      <w:pPr>
        <w:rPr>
          <w:rFonts w:cs="Calibri"/>
        </w:rPr>
      </w:pPr>
      <w:r w:rsidRPr="00BA14E9">
        <w:rPr>
          <w:rFonts w:cs="Calibri"/>
        </w:rPr>
        <w:t>There is a model WHS Code of Practice:</w:t>
      </w:r>
      <w:r w:rsidRPr="00BA14E9">
        <w:rPr>
          <w:rFonts w:cs="Calibri"/>
          <w:i/>
        </w:rPr>
        <w:t xml:space="preserve"> </w:t>
      </w:r>
      <w:r w:rsidRPr="00BA14E9">
        <w:rPr>
          <w:rFonts w:cs="Calibri"/>
          <w:i/>
          <w:iCs/>
        </w:rPr>
        <w:t>‘</w:t>
      </w:r>
      <w:r w:rsidRPr="00BA14E9">
        <w:rPr>
          <w:rFonts w:cs="Calibri"/>
          <w:i/>
        </w:rPr>
        <w:t xml:space="preserve">Managing risks of plant in the </w:t>
      </w:r>
      <w:r w:rsidRPr="00BA14E9">
        <w:rPr>
          <w:rFonts w:cs="Calibri"/>
          <w:i/>
          <w:iCs/>
        </w:rPr>
        <w:t xml:space="preserve">workplace’ </w:t>
      </w:r>
      <w:r w:rsidRPr="00BA14E9">
        <w:rPr>
          <w:rFonts w:cs="Calibri"/>
        </w:rPr>
        <w:t xml:space="preserve">and a similar Compliance Code under the OHS Laws (Vic). These Codes offer practical guidance on managing risks associated with plant in the workplace including guidance on what is plant, who has duties and identifying and controlling risk. The Code is approved under the Health &amp; Safety Legislation (see Chapter 5.3.2 for more guidance around Codes of Practice under the Health &amp; Safety Legislation).  </w:t>
      </w:r>
    </w:p>
    <w:p w14:paraId="757BF12C" w14:textId="77777777" w:rsidR="00981DC6" w:rsidRPr="00BA14E9" w:rsidRDefault="00981DC6" w:rsidP="00981DC6">
      <w:pPr>
        <w:rPr>
          <w:rFonts w:cs="Calibri"/>
        </w:rPr>
      </w:pPr>
      <w:r w:rsidRPr="00BA14E9">
        <w:rPr>
          <w:rFonts w:cs="Calibri"/>
        </w:rPr>
        <w:t>The Australian Business Licence and Information Service (ABLIS) is also a useful resource for businesses seeking information on licences and registrations. ABLIS primarily provides information on licences required for various business activities, including those related to WHS.</w:t>
      </w:r>
    </w:p>
    <w:p w14:paraId="2EE020B1" w14:textId="77777777" w:rsidR="00981DC6" w:rsidRPr="00BA14E9" w:rsidRDefault="00981DC6" w:rsidP="00981DC6">
      <w:pPr>
        <w:rPr>
          <w:rFonts w:cs="Calibri"/>
        </w:rPr>
      </w:pPr>
      <w:r w:rsidRPr="00BA14E9">
        <w:rPr>
          <w:rFonts w:cs="Calibri"/>
        </w:rPr>
        <w:t>Registration requirements aim to ensure that high-risk plant is designed safely and operates according to relevant technical standards.</w:t>
      </w:r>
    </w:p>
    <w:p w14:paraId="6752FBF1" w14:textId="66CB9C69" w:rsidR="00981DC6" w:rsidRPr="00BA14E9" w:rsidRDefault="00981DC6" w:rsidP="00981DC6">
      <w:pPr>
        <w:rPr>
          <w:rFonts w:cs="Calibri"/>
        </w:rPr>
      </w:pPr>
      <w:r w:rsidRPr="00BA14E9">
        <w:rPr>
          <w:rFonts w:cs="Calibri"/>
        </w:rPr>
        <w:t xml:space="preserve">Fines and penalties can be imposed for non-compliance with registration and inspection requirements. Regular maintenance and inspection are required to ensure the safety and functionality of plant and </w:t>
      </w:r>
      <w:proofErr w:type="gramStart"/>
      <w:r w:rsidRPr="00BA14E9">
        <w:rPr>
          <w:rFonts w:cs="Calibri"/>
        </w:rPr>
        <w:t>structures</w:t>
      </w:r>
      <w:r w:rsidR="00B42A3E">
        <w:rPr>
          <w:rFonts w:cs="Calibri"/>
        </w:rPr>
        <w:t>,</w:t>
      </w:r>
      <w:proofErr w:type="gramEnd"/>
      <w:r w:rsidRPr="00BA14E9">
        <w:rPr>
          <w:rFonts w:cs="Calibri"/>
        </w:rPr>
        <w:t xml:space="preserve"> </w:t>
      </w:r>
      <w:r w:rsidR="00B42A3E">
        <w:rPr>
          <w:rFonts w:cs="Calibri"/>
        </w:rPr>
        <w:t>t</w:t>
      </w:r>
      <w:r w:rsidRPr="00BA14E9">
        <w:rPr>
          <w:rFonts w:cs="Calibri"/>
        </w:rPr>
        <w:t>his includes hydrogen compressors.</w:t>
      </w:r>
    </w:p>
    <w:p w14:paraId="75983DFD" w14:textId="77777777" w:rsidR="00981DC6" w:rsidRPr="00BA14E9" w:rsidRDefault="00981DC6" w:rsidP="00981DC6">
      <w:pPr>
        <w:rPr>
          <w:rFonts w:cs="Calibri"/>
        </w:rPr>
      </w:pPr>
      <w:r w:rsidRPr="00BA14E9">
        <w:rPr>
          <w:rFonts w:cs="Calibri"/>
        </w:rPr>
        <w:t>The model WHS Regulations mandate that duty holders must ensure that plant is maintained in a safe condition and inspected regularly to prevent risks to health and safety. Plant must be inspected by a competent person to ensure safe operation, which is part of the registration process.</w:t>
      </w:r>
    </w:p>
    <w:p w14:paraId="6C8F1343" w14:textId="77777777" w:rsidR="00981DC6" w:rsidRPr="00BA14E9" w:rsidRDefault="00981DC6" w:rsidP="00981DC6">
      <w:pPr>
        <w:rPr>
          <w:rFonts w:cs="Calibri"/>
        </w:rPr>
      </w:pPr>
      <w:r w:rsidRPr="00BA14E9">
        <w:rPr>
          <w:rFonts w:cs="Calibri"/>
        </w:rPr>
        <w:t>Persons with management or control of plant, including owners, operators, and those responsible for installation, maintenance, or repair, have duties to ensure plant is safe, so far as is reasonably practicable.</w:t>
      </w:r>
    </w:p>
    <w:p w14:paraId="58058A7F" w14:textId="77777777" w:rsidR="00657F8B" w:rsidRPr="00BA14E9" w:rsidRDefault="00657F8B" w:rsidP="606C9B12">
      <w:pPr>
        <w:rPr>
          <w:rFonts w:eastAsiaTheme="minorEastAsia" w:cs="Calibri"/>
        </w:rPr>
      </w:pPr>
      <w:r w:rsidRPr="00BA14E9">
        <w:rPr>
          <w:rFonts w:cs="Calibri"/>
        </w:rPr>
        <w:t xml:space="preserve">In managing workplace safety, it is important for pipeline proponents to understand the interrelationship between primary or general duties, whole-of-facility regulation, hazards, </w:t>
      </w:r>
      <w:r w:rsidRPr="00BA14E9">
        <w:rPr>
          <w:rFonts w:cs="Calibri"/>
        </w:rPr>
        <w:lastRenderedPageBreak/>
        <w:t xml:space="preserve">chemicals, and specific plant and equipment obligations. </w:t>
      </w:r>
      <w:r w:rsidRPr="00BA14E9">
        <w:rPr>
          <w:rFonts w:eastAsiaTheme="minorEastAsia" w:cs="Calibri"/>
        </w:rPr>
        <w:t>The plant and equipment regulations most relevant to hydrogen pipelines include:</w:t>
      </w:r>
    </w:p>
    <w:p w14:paraId="679F0F37" w14:textId="77777777" w:rsidR="00657F8B" w:rsidRPr="00BA14E9" w:rsidRDefault="00657F8B" w:rsidP="00F17B20">
      <w:pPr>
        <w:pStyle w:val="ListParagraph"/>
        <w:numPr>
          <w:ilvl w:val="0"/>
          <w:numId w:val="19"/>
        </w:numPr>
        <w:contextualSpacing w:val="0"/>
        <w:rPr>
          <w:rFonts w:cs="Calibri"/>
        </w:rPr>
      </w:pPr>
      <w:r w:rsidRPr="00BA14E9">
        <w:rPr>
          <w:rFonts w:cs="Calibri"/>
        </w:rPr>
        <w:t>Duties relating to plant and equipment under Health &amp; Safety Legislation, including duties regarding:</w:t>
      </w:r>
    </w:p>
    <w:p w14:paraId="5C178C18" w14:textId="77777777" w:rsidR="00657F8B" w:rsidRPr="00BA14E9" w:rsidRDefault="00657F8B" w:rsidP="00F17B20">
      <w:pPr>
        <w:pStyle w:val="ListParagraph"/>
        <w:numPr>
          <w:ilvl w:val="1"/>
          <w:numId w:val="19"/>
        </w:numPr>
        <w:contextualSpacing w:val="0"/>
        <w:rPr>
          <w:rFonts w:cs="Calibri"/>
        </w:rPr>
      </w:pPr>
      <w:r w:rsidRPr="00BA14E9">
        <w:rPr>
          <w:rFonts w:cs="Calibri"/>
        </w:rPr>
        <w:t>machinery, equipment, devices or plant used in workplaces to do work, and</w:t>
      </w:r>
    </w:p>
    <w:p w14:paraId="0E6649C4" w14:textId="77777777" w:rsidR="00657F8B" w:rsidRPr="00BA14E9" w:rsidRDefault="00657F8B" w:rsidP="00F17B20">
      <w:pPr>
        <w:pStyle w:val="ListParagraph"/>
        <w:numPr>
          <w:ilvl w:val="1"/>
          <w:numId w:val="19"/>
        </w:numPr>
        <w:ind w:hanging="357"/>
        <w:contextualSpacing w:val="0"/>
        <w:rPr>
          <w:rFonts w:cs="Calibri"/>
        </w:rPr>
      </w:pPr>
      <w:r w:rsidRPr="00BA14E9">
        <w:rPr>
          <w:rFonts w:cs="Calibri"/>
        </w:rPr>
        <w:t>design, manufacture, importing, supply, installing, constructing or commissioning of plant.</w:t>
      </w:r>
    </w:p>
    <w:p w14:paraId="05289DE7" w14:textId="31638853" w:rsidR="00657F8B" w:rsidRPr="00BA14E9" w:rsidRDefault="00657F8B" w:rsidP="606C9B12">
      <w:pPr>
        <w:rPr>
          <w:rFonts w:cs="Calibri"/>
          <w:szCs w:val="24"/>
        </w:rPr>
      </w:pPr>
      <w:r w:rsidRPr="00BA14E9">
        <w:rPr>
          <w:rFonts w:cs="Calibri"/>
          <w:szCs w:val="24"/>
        </w:rPr>
        <w:t>Chapter 5 deals with plant and structures, including duties for design, manufacture, supply, installation, and maintenance. Under the WHS Act and Regulations, “plant” is broadly defined to include machinery, equipment, containers, and anything connected to them. WHS Regulations explicitly recogni</w:t>
      </w:r>
      <w:r w:rsidR="0082263A">
        <w:rPr>
          <w:rFonts w:cs="Calibri"/>
          <w:szCs w:val="24"/>
        </w:rPr>
        <w:t>s</w:t>
      </w:r>
      <w:r w:rsidRPr="00BA14E9">
        <w:rPr>
          <w:rFonts w:cs="Calibri"/>
          <w:szCs w:val="24"/>
        </w:rPr>
        <w:t>e containers as plant, and pipelines are treated as a type of container because they hold and transport substances. This means hydrogen pipelines are subject to the same risk management duties as other plant: design safety, registration (if applicable), and maintenance obligations.</w:t>
      </w:r>
    </w:p>
    <w:p w14:paraId="023E5527" w14:textId="00F774BE" w:rsidR="00657F8B" w:rsidRPr="00BA14E9" w:rsidRDefault="00657F8B" w:rsidP="00657F8B">
      <w:pPr>
        <w:rPr>
          <w:rFonts w:cs="Calibri"/>
        </w:rPr>
      </w:pPr>
      <w:r w:rsidRPr="00BA14E9">
        <w:rPr>
          <w:rFonts w:eastAsia="Times New Roman" w:cs="Calibri"/>
          <w:color w:val="000000" w:themeColor="text1"/>
          <w:lang w:eastAsia="en-AU"/>
        </w:rPr>
        <w:t>A pipeline is captured by the definition of structure in section 4 of the model WHS Act, the following WHS duties will apply</w:t>
      </w:r>
      <w:r w:rsidRPr="00BA14E9">
        <w:rPr>
          <w:rFonts w:cs="Calibri"/>
        </w:rPr>
        <w:t xml:space="preserve"> from </w:t>
      </w:r>
      <w:r w:rsidRPr="00BA14E9">
        <w:rPr>
          <w:rFonts w:eastAsia="Times New Roman" w:cs="Calibri"/>
          <w:color w:val="000000" w:themeColor="text1"/>
          <w:lang w:eastAsia="en-AU"/>
        </w:rPr>
        <w:t>Chapter 5 of the model WHS Regulations which addresses the control of risks associated with plant and structures, including maintenance and inspection, pressure equipment, and the registration of plant design and items of plant.</w:t>
      </w:r>
      <w:r w:rsidRPr="00BA14E9">
        <w:rPr>
          <w:rFonts w:cs="Calibri"/>
        </w:rPr>
        <w:t xml:space="preserve"> Chapter 5 of the model WHS Regulations applies to hydrogen pipelines in a similar way to other industrial projects. </w:t>
      </w:r>
    </w:p>
    <w:p w14:paraId="2C556F6B" w14:textId="4F081073" w:rsidR="00657F8B" w:rsidRPr="00BA14E9" w:rsidRDefault="00657F8B" w:rsidP="606C9B12">
      <w:pPr>
        <w:rPr>
          <w:rFonts w:cs="Calibri"/>
          <w:szCs w:val="24"/>
        </w:rPr>
      </w:pPr>
      <w:r w:rsidRPr="00BA14E9">
        <w:rPr>
          <w:rFonts w:cs="Calibri"/>
          <w:szCs w:val="24"/>
        </w:rPr>
        <w:t xml:space="preserve">Chapter 5 applies to hydrogen pipelines because they </w:t>
      </w:r>
      <w:proofErr w:type="gramStart"/>
      <w:r w:rsidRPr="00BA14E9">
        <w:rPr>
          <w:rFonts w:cs="Calibri"/>
          <w:szCs w:val="24"/>
        </w:rPr>
        <w:t>are considered to be</w:t>
      </w:r>
      <w:proofErr w:type="gramEnd"/>
      <w:r w:rsidRPr="00BA14E9">
        <w:rPr>
          <w:rFonts w:cs="Calibri"/>
          <w:szCs w:val="24"/>
        </w:rPr>
        <w:t xml:space="preserve"> plant (as containers) and structures. As previously noted additional duties are found in sections 389 to 391 of the model WHS Regulations, which outline requirements for managing risks, providing information, and notifying authorities like </w:t>
      </w:r>
      <w:hyperlink r:id="rId36">
        <w:r w:rsidRPr="00BA14E9">
          <w:rPr>
            <w:rStyle w:val="Hyperlink"/>
            <w:rFonts w:cs="Calibri"/>
            <w:color w:val="auto"/>
            <w:u w:val="none"/>
          </w:rPr>
          <w:t>WorkSafe Queensland</w:t>
        </w:r>
      </w:hyperlink>
      <w:r w:rsidRPr="00BA14E9">
        <w:rPr>
          <w:rFonts w:cs="Calibri"/>
          <w:szCs w:val="24"/>
        </w:rPr>
        <w:t xml:space="preserve"> before construction or operation begins. Operators must comply with WHS risk management, notification, and relevant Australian Standards.</w:t>
      </w:r>
    </w:p>
    <w:p w14:paraId="64A022D4" w14:textId="77777777" w:rsidR="00657F8B" w:rsidRPr="00BA14E9" w:rsidRDefault="00657F8B" w:rsidP="00657F8B">
      <w:pPr>
        <w:rPr>
          <w:rFonts w:cs="Calibri"/>
        </w:rPr>
      </w:pPr>
      <w:r w:rsidRPr="00BA14E9">
        <w:rPr>
          <w:rFonts w:cs="Calibri"/>
        </w:rPr>
        <w:t>As such, duties under WHS laws require the safe design, manufacture, maintenance, and use of these pipelines and equipment to eliminate or minimise health and safety risks to workers and the public. The existing approvals for plant and equipment include the following types:</w:t>
      </w:r>
    </w:p>
    <w:p w14:paraId="6E651061" w14:textId="77777777" w:rsidR="00657F8B" w:rsidRPr="00BA14E9" w:rsidRDefault="00657F8B" w:rsidP="00D33BE1">
      <w:pPr>
        <w:pStyle w:val="ListParagraph"/>
        <w:numPr>
          <w:ilvl w:val="0"/>
          <w:numId w:val="19"/>
        </w:numPr>
        <w:spacing w:after="80"/>
        <w:ind w:hanging="357"/>
        <w:contextualSpacing w:val="0"/>
        <w:rPr>
          <w:rFonts w:cs="Calibri"/>
        </w:rPr>
      </w:pPr>
      <w:r w:rsidRPr="00BA14E9">
        <w:rPr>
          <w:rFonts w:cs="Calibri"/>
        </w:rPr>
        <w:t>registration and approval of design of plant and equipment, including certification by a competent person (competent person also includes prescribed licensed trades as relevant) as to the safe operating capability of the design</w:t>
      </w:r>
    </w:p>
    <w:p w14:paraId="3632529F" w14:textId="77777777" w:rsidR="00657F8B" w:rsidRPr="00BA14E9" w:rsidRDefault="00657F8B" w:rsidP="00D33BE1">
      <w:pPr>
        <w:pStyle w:val="ListParagraph"/>
        <w:numPr>
          <w:ilvl w:val="0"/>
          <w:numId w:val="19"/>
        </w:numPr>
        <w:spacing w:after="80"/>
        <w:ind w:hanging="357"/>
        <w:contextualSpacing w:val="0"/>
        <w:rPr>
          <w:rFonts w:cs="Calibri"/>
        </w:rPr>
      </w:pPr>
      <w:r w:rsidRPr="00BA14E9">
        <w:rPr>
          <w:rFonts w:cs="Calibri"/>
        </w:rPr>
        <w:t>registration and approval of plant and equipment prior to supply to the market of that plant and equipment, including certification by a competent person as to the safe operating capability, and ability to meet standards, of that equipment</w:t>
      </w:r>
    </w:p>
    <w:p w14:paraId="4398817E" w14:textId="77777777" w:rsidR="00657F8B" w:rsidRPr="00BA14E9" w:rsidRDefault="00657F8B" w:rsidP="00D33BE1">
      <w:pPr>
        <w:pStyle w:val="ListParagraph"/>
        <w:numPr>
          <w:ilvl w:val="0"/>
          <w:numId w:val="19"/>
        </w:numPr>
        <w:spacing w:after="80"/>
        <w:ind w:hanging="357"/>
        <w:contextualSpacing w:val="0"/>
        <w:rPr>
          <w:rFonts w:cs="Calibri"/>
        </w:rPr>
      </w:pPr>
      <w:r w:rsidRPr="00BA14E9">
        <w:rPr>
          <w:rFonts w:cs="Calibri"/>
        </w:rPr>
        <w:t>certification by a competent person of the installation, operation and maintenance of plant and equipment, including where that plant and equipment are an ‘installation’ made up of operating systems of component plant and equipment</w:t>
      </w:r>
    </w:p>
    <w:p w14:paraId="4CAC8F8C" w14:textId="7E0B97F2" w:rsidR="00657F8B" w:rsidRPr="00BA14E9" w:rsidRDefault="00657F8B" w:rsidP="00D33BE1">
      <w:pPr>
        <w:pStyle w:val="ListParagraph"/>
        <w:numPr>
          <w:ilvl w:val="0"/>
          <w:numId w:val="19"/>
        </w:numPr>
        <w:ind w:hanging="357"/>
        <w:contextualSpacing w:val="0"/>
        <w:rPr>
          <w:rFonts w:cs="Calibri"/>
        </w:rPr>
      </w:pPr>
      <w:r w:rsidRPr="00BA14E9">
        <w:rPr>
          <w:rFonts w:cs="Calibri"/>
        </w:rPr>
        <w:lastRenderedPageBreak/>
        <w:t>the production and approval of safe operation specifications, training, and integration into safety management plans.</w:t>
      </w:r>
    </w:p>
    <w:p w14:paraId="130BC05C" w14:textId="691F68C6" w:rsidR="00657F8B" w:rsidRPr="00BA14E9" w:rsidRDefault="00657F8B" w:rsidP="606C9B12">
      <w:pPr>
        <w:rPr>
          <w:rFonts w:eastAsiaTheme="minorEastAsia" w:cs="Calibri"/>
        </w:rPr>
      </w:pPr>
      <w:r w:rsidRPr="00BA14E9">
        <w:rPr>
          <w:rFonts w:cs="Calibri"/>
        </w:rPr>
        <w:t xml:space="preserve">Noting the broad definition of hydrogen pipelines in this Guidebook </w:t>
      </w:r>
      <w:r w:rsidR="00B86E9F">
        <w:rPr>
          <w:rFonts w:cs="Calibri"/>
        </w:rPr>
        <w:t>mean</w:t>
      </w:r>
      <w:r w:rsidR="0029197F">
        <w:rPr>
          <w:rFonts w:cs="Calibri"/>
        </w:rPr>
        <w:t>s that they</w:t>
      </w:r>
      <w:r w:rsidRPr="00BA14E9">
        <w:rPr>
          <w:rFonts w:cs="Calibri"/>
        </w:rPr>
        <w:t xml:space="preserve"> can be considered plant, structures and / or equipment. </w:t>
      </w:r>
      <w:r w:rsidRPr="00BA14E9">
        <w:rPr>
          <w:rFonts w:eastAsiaTheme="minorEastAsia" w:cs="Calibri"/>
        </w:rPr>
        <w:t>Obligations operate in parallel (i.e. in addition to) primary and general duties and whole-of-facility regulation. In practice this means that:</w:t>
      </w:r>
    </w:p>
    <w:p w14:paraId="44DF3C60" w14:textId="77777777" w:rsidR="00657F8B" w:rsidRPr="00BA14E9" w:rsidRDefault="00657F8B" w:rsidP="00D33BE1">
      <w:pPr>
        <w:pStyle w:val="ListParagraph"/>
        <w:numPr>
          <w:ilvl w:val="0"/>
          <w:numId w:val="19"/>
        </w:numPr>
        <w:ind w:hanging="357"/>
        <w:contextualSpacing w:val="0"/>
        <w:rPr>
          <w:rFonts w:cs="Calibri"/>
        </w:rPr>
      </w:pPr>
      <w:r w:rsidRPr="00BA14E9">
        <w:rPr>
          <w:rFonts w:cs="Calibri"/>
        </w:rPr>
        <w:t>Proponents must ensure they are aware of and comply with specific plant and equipment obligations in addition to other laws</w:t>
      </w:r>
    </w:p>
    <w:p w14:paraId="1F519F4E" w14:textId="415C25FF" w:rsidR="00657F8B" w:rsidRPr="00BA14E9" w:rsidRDefault="00657F8B" w:rsidP="00827B98">
      <w:pPr>
        <w:pStyle w:val="ListParagraph"/>
        <w:numPr>
          <w:ilvl w:val="0"/>
          <w:numId w:val="19"/>
        </w:numPr>
        <w:ind w:hanging="357"/>
        <w:contextualSpacing w:val="0"/>
        <w:rPr>
          <w:rFonts w:cs="Calibri"/>
        </w:rPr>
      </w:pPr>
      <w:r w:rsidRPr="00BA14E9">
        <w:rPr>
          <w:rFonts w:cs="Calibri"/>
        </w:rPr>
        <w:t>Specific safety requirements relating to plant and equipment are relevant to compliance expectations for broader obligations such as primary and general duties and whole-of-facility obligations.</w:t>
      </w:r>
    </w:p>
    <w:p w14:paraId="3EA3EB72" w14:textId="77777777" w:rsidR="00F55E02" w:rsidRPr="00BA14E9" w:rsidRDefault="00F55E02" w:rsidP="00E83908">
      <w:pPr>
        <w:pStyle w:val="Heading2"/>
      </w:pPr>
      <w:bookmarkStart w:id="92" w:name="_Toc222925515"/>
      <w:r>
        <w:t>Demonstrating compliance with Health &amp; Safety Laws</w:t>
      </w:r>
      <w:bookmarkEnd w:id="92"/>
    </w:p>
    <w:p w14:paraId="6EAE64C4" w14:textId="7C8541DA" w:rsidR="00F55E02" w:rsidRDefault="00F55E02" w:rsidP="00F55E02">
      <w:pPr>
        <w:spacing w:line="278" w:lineRule="auto"/>
        <w:rPr>
          <w:rFonts w:cs="Calibri"/>
        </w:rPr>
      </w:pPr>
      <w:r>
        <w:rPr>
          <w:rFonts w:cs="Calibri"/>
        </w:rPr>
        <w:t>Unless legislation expressly identifies a required standard of compliance, it is generally open to proponents to determine the most effective method for evidencing how it has complied with applicable laws. Commonly this is achieved by reference to a code of practice, Australian or international standard, or other industry guidance</w:t>
      </w:r>
      <w:r w:rsidR="004B4D0E">
        <w:rPr>
          <w:rFonts w:cs="Calibri"/>
        </w:rPr>
        <w:t xml:space="preserve"> </w:t>
      </w:r>
      <w:r>
        <w:rPr>
          <w:rFonts w:cs="Calibri"/>
        </w:rPr>
        <w:t>/</w:t>
      </w:r>
      <w:r w:rsidR="004B4D0E">
        <w:rPr>
          <w:rFonts w:cs="Calibri"/>
        </w:rPr>
        <w:t xml:space="preserve"> </w:t>
      </w:r>
      <w:r>
        <w:rPr>
          <w:rFonts w:cs="Calibri"/>
        </w:rPr>
        <w:t>standard.</w:t>
      </w:r>
    </w:p>
    <w:p w14:paraId="335CA279" w14:textId="77777777" w:rsidR="00F55E02" w:rsidRPr="006577CA" w:rsidRDefault="00F55E02" w:rsidP="00F55E02">
      <w:pPr>
        <w:spacing w:line="278" w:lineRule="auto"/>
      </w:pPr>
      <w:r>
        <w:rPr>
          <w:rFonts w:cs="Calibri"/>
        </w:rPr>
        <w:t>For pipelines, proponents one or more of the following may assist in demonstrating compliance:</w:t>
      </w:r>
    </w:p>
    <w:p w14:paraId="03D1CBC2" w14:textId="77777777" w:rsidR="00F55E02" w:rsidRDefault="00F55E02" w:rsidP="00F17B20">
      <w:pPr>
        <w:pStyle w:val="ListParagraph"/>
        <w:numPr>
          <w:ilvl w:val="0"/>
          <w:numId w:val="69"/>
        </w:numPr>
        <w:spacing w:line="278" w:lineRule="auto"/>
        <w:contextualSpacing w:val="0"/>
      </w:pPr>
      <w:r>
        <w:t>Safe Work Australia or other regulator published codes of practice</w:t>
      </w:r>
    </w:p>
    <w:p w14:paraId="2282961D" w14:textId="77777777" w:rsidR="00F55E02" w:rsidRPr="00C801D8" w:rsidRDefault="00F55E02" w:rsidP="00F17B20">
      <w:pPr>
        <w:pStyle w:val="ListParagraph"/>
        <w:numPr>
          <w:ilvl w:val="0"/>
          <w:numId w:val="69"/>
        </w:numPr>
        <w:spacing w:line="278" w:lineRule="auto"/>
        <w:contextualSpacing w:val="0"/>
      </w:pPr>
      <w:r>
        <w:t xml:space="preserve">Relevant standards, including the AS 2885 series </w:t>
      </w:r>
      <w:r w:rsidRPr="00C801D8">
        <w:t>(refer to chapter 2.x)</w:t>
      </w:r>
    </w:p>
    <w:p w14:paraId="06C598B3" w14:textId="77777777" w:rsidR="00F55E02" w:rsidRPr="00C801D8" w:rsidRDefault="00F55E02" w:rsidP="00F17B20">
      <w:pPr>
        <w:pStyle w:val="ListParagraph"/>
        <w:numPr>
          <w:ilvl w:val="0"/>
          <w:numId w:val="69"/>
        </w:numPr>
        <w:spacing w:line="278" w:lineRule="auto"/>
        <w:contextualSpacing w:val="0"/>
      </w:pPr>
      <w:r w:rsidRPr="00C801D8">
        <w:t>Industry guidance, including the APGA Code of Practice (refer to chapter 2.x).</w:t>
      </w:r>
    </w:p>
    <w:p w14:paraId="657FCD69" w14:textId="30465C30" w:rsidR="00F55E02" w:rsidRPr="00BA14E9" w:rsidRDefault="00F55E02" w:rsidP="00F55E02">
      <w:pPr>
        <w:spacing w:line="278" w:lineRule="auto"/>
      </w:pPr>
      <w:r w:rsidRPr="00BA14E9">
        <w:t xml:space="preserve">Complementing </w:t>
      </w:r>
      <w:r>
        <w:t>Health &amp; Safety Laws</w:t>
      </w:r>
      <w:r w:rsidRPr="00BA14E9">
        <w:t xml:space="preserve"> are several model Codes of Practice published by Safe Work Australia, which provide practical guidance on compliance:</w:t>
      </w:r>
    </w:p>
    <w:p w14:paraId="72F832CC" w14:textId="77777777" w:rsidR="00F55E02" w:rsidRPr="00BA14E9" w:rsidRDefault="00F55E02" w:rsidP="00F55E02">
      <w:pPr>
        <w:numPr>
          <w:ilvl w:val="0"/>
          <w:numId w:val="25"/>
        </w:numPr>
        <w:spacing w:line="278" w:lineRule="auto"/>
      </w:pPr>
      <w:r w:rsidRPr="00BA14E9">
        <w:t>Managing Risks of Hazardous Chemicals in the Workplace (Safe Work Australia, 2021): Offers comprehensive procedures for the safe handling, storage, and transfer of hazardous substances, including those conveyed via pipelines.</w:t>
      </w:r>
    </w:p>
    <w:p w14:paraId="36C1AD67" w14:textId="77777777" w:rsidR="00F55E02" w:rsidRPr="00BA14E9" w:rsidRDefault="00F55E02" w:rsidP="00F55E02">
      <w:pPr>
        <w:numPr>
          <w:ilvl w:val="0"/>
          <w:numId w:val="25"/>
        </w:numPr>
        <w:spacing w:line="278" w:lineRule="auto"/>
      </w:pPr>
      <w:r w:rsidRPr="00BA14E9">
        <w:t>Managing the Risks of Plant in the Workplace (Safe Work Australia, 2021): Applies to pipeline systems classified as fixed plant, outlining risk management strategies for installation, operation, and maintenance.</w:t>
      </w:r>
    </w:p>
    <w:p w14:paraId="3F261478" w14:textId="77777777" w:rsidR="00F55E02" w:rsidRPr="00BA14E9" w:rsidRDefault="00F55E02" w:rsidP="00F55E02">
      <w:pPr>
        <w:numPr>
          <w:ilvl w:val="0"/>
          <w:numId w:val="25"/>
        </w:numPr>
        <w:spacing w:line="278" w:lineRule="auto"/>
      </w:pPr>
      <w:r w:rsidRPr="00BA14E9">
        <w:t>Safe Design of Structures (Safe Work Australia, 2021): Provides guidance on integrating safety principles into the design of pipeline infrastructure.</w:t>
      </w:r>
    </w:p>
    <w:p w14:paraId="32EC2772" w14:textId="77777777" w:rsidR="00F55E02" w:rsidRPr="00BA14E9" w:rsidRDefault="00F55E02" w:rsidP="00F55E02">
      <w:pPr>
        <w:numPr>
          <w:ilvl w:val="0"/>
          <w:numId w:val="25"/>
        </w:numPr>
        <w:spacing w:line="278" w:lineRule="auto"/>
      </w:pPr>
      <w:r w:rsidRPr="00BA14E9">
        <w:t>Excavation Work (Safe Work Australia, 2021): Relevant to pipeline construction and repair, particularly where ground disturbance is involved.</w:t>
      </w:r>
    </w:p>
    <w:p w14:paraId="28B210D0" w14:textId="77777777" w:rsidR="00F55E02" w:rsidRPr="00BA14E9" w:rsidRDefault="00F55E02" w:rsidP="00F55E02">
      <w:pPr>
        <w:spacing w:line="278" w:lineRule="auto"/>
      </w:pPr>
      <w:r w:rsidRPr="00BA14E9">
        <w:lastRenderedPageBreak/>
        <w:t xml:space="preserve">As noted above in chapter 2 (see also Table 2.1 of Annexure 2), all Australian jurisdictions either recognise, reference or requires compliance with the AS 2885 Series as a legal requirement for the purposes of the regulation of pipelines. </w:t>
      </w:r>
    </w:p>
    <w:p w14:paraId="523BD194" w14:textId="77777777" w:rsidR="00F55E02" w:rsidRPr="00BA14E9" w:rsidRDefault="00F55E02" w:rsidP="00F55E02">
      <w:pPr>
        <w:spacing w:line="278" w:lineRule="auto"/>
      </w:pPr>
      <w:r w:rsidRPr="00BA14E9">
        <w:t>Except where an act or regulation applies, a PCBU may adopt an alternative design or risk-management regime provided it demonstrably achieves a level of health and safety that is at least equivalent to the controls specified in the AS 2885 Series. In practice, that is demanding because the PCBU must generate and retain contemporaneous evidence showing that it considered the AS 2885 Series and every relevant risk was identified and that the alternative controls were: (a) equal or superior in effectiveness; and (b) feasible and implemented.</w:t>
      </w:r>
    </w:p>
    <w:p w14:paraId="5BE408AF" w14:textId="77777777" w:rsidR="00F55E02" w:rsidRPr="00BA14E9" w:rsidRDefault="00F55E02" w:rsidP="00F55E02">
      <w:pPr>
        <w:spacing w:line="278" w:lineRule="auto"/>
      </w:pPr>
      <w:r w:rsidRPr="00BA14E9">
        <w:t>The practical effect is that, while not always legally mandatory, the AS 2885 Series is typically the most straightforward route to demonstrating compliance. Departing from it is possible, but the evidentiary burden is high.</w:t>
      </w:r>
    </w:p>
    <w:p w14:paraId="562E0D52" w14:textId="77777777" w:rsidR="00F55E02" w:rsidRPr="00BA14E9" w:rsidRDefault="00F55E02" w:rsidP="00F55E02">
      <w:pPr>
        <w:spacing w:line="278" w:lineRule="auto"/>
      </w:pPr>
      <w:r w:rsidRPr="00BA14E9">
        <w:t>Compliance with the AS 2885 Series alone will not always satisfy the general / primary duty because:</w:t>
      </w:r>
    </w:p>
    <w:p w14:paraId="3FC1E445" w14:textId="77777777" w:rsidR="00F55E02" w:rsidRPr="00BA14E9" w:rsidRDefault="00F55E02" w:rsidP="00F55E02">
      <w:pPr>
        <w:spacing w:line="278" w:lineRule="auto"/>
        <w:ind w:left="720"/>
      </w:pPr>
      <w:r w:rsidRPr="00BA14E9">
        <w:t xml:space="preserve">(a) AS 2885 cannot foresee every site-specific hazard or technological development; and </w:t>
      </w:r>
    </w:p>
    <w:p w14:paraId="0C5F10F9" w14:textId="77777777" w:rsidR="00F55E02" w:rsidRPr="00BA14E9" w:rsidRDefault="00F55E02" w:rsidP="00F55E02">
      <w:pPr>
        <w:spacing w:line="278" w:lineRule="auto"/>
        <w:ind w:left="720"/>
      </w:pPr>
      <w:r w:rsidRPr="00BA14E9">
        <w:t xml:space="preserve">(b) new information (alerts, case law, regulator guidance, peer-reviewed research) may emerge after a project has been designed or constructed. </w:t>
      </w:r>
    </w:p>
    <w:p w14:paraId="361AD522" w14:textId="164B7C00" w:rsidR="00F55E02" w:rsidRPr="00BA14E9" w:rsidRDefault="00F55E02" w:rsidP="00F55E02">
      <w:pPr>
        <w:spacing w:line="278" w:lineRule="auto"/>
      </w:pPr>
      <w:r w:rsidRPr="00BA14E9">
        <w:t xml:space="preserve">Other legislative instruments, such as building codes, environmental approvals, electrical safety, pressure equipment and dangerous goods laws may impose additional controls that the Standard does not address. </w:t>
      </w:r>
    </w:p>
    <w:p w14:paraId="3E6F476D" w14:textId="77777777" w:rsidR="00F55E02" w:rsidRPr="00BA14E9" w:rsidRDefault="00F55E02" w:rsidP="00F55E02">
      <w:pPr>
        <w:spacing w:line="278" w:lineRule="auto"/>
      </w:pPr>
      <w:r w:rsidRPr="00BA14E9">
        <w:t xml:space="preserve">Courts have held that a duty holder may breach the WHS Act even when it has complied with an Australian Standard, </w:t>
      </w:r>
      <w:r>
        <w:t>especially</w:t>
      </w:r>
      <w:r w:rsidRPr="00BA14E9">
        <w:t xml:space="preserve"> </w:t>
      </w:r>
      <w:r>
        <w:t>where</w:t>
      </w:r>
      <w:r w:rsidRPr="00BA14E9">
        <w:t xml:space="preserve"> additional </w:t>
      </w:r>
      <w:r>
        <w:t>or more appropriate</w:t>
      </w:r>
      <w:r w:rsidRPr="00BA14E9">
        <w:t xml:space="preserve"> reasonable measures </w:t>
      </w:r>
      <w:r>
        <w:t>are</w:t>
      </w:r>
      <w:r w:rsidRPr="00BA14E9">
        <w:t xml:space="preserve"> available.</w:t>
      </w:r>
    </w:p>
    <w:p w14:paraId="4E1404C7" w14:textId="77777777" w:rsidR="00F55E02" w:rsidRPr="00BA14E9" w:rsidRDefault="00F55E02" w:rsidP="00F55E02">
      <w:pPr>
        <w:spacing w:line="278" w:lineRule="auto"/>
      </w:pPr>
      <w:r w:rsidRPr="00BA14E9">
        <w:t xml:space="preserve">Officers’ due-diligence duty requires that they “keep </w:t>
      </w:r>
      <w:proofErr w:type="gramStart"/>
      <w:r w:rsidRPr="00BA14E9">
        <w:t>up-to-date</w:t>
      </w:r>
      <w:proofErr w:type="gramEnd"/>
      <w:r w:rsidRPr="00BA14E9">
        <w:t xml:space="preserve"> with knowledge about work health and safety matters”. That necessarily includes: </w:t>
      </w:r>
    </w:p>
    <w:p w14:paraId="71081A82" w14:textId="77777777" w:rsidR="00F55E02" w:rsidRPr="00BA14E9" w:rsidRDefault="00F55E02" w:rsidP="00F55E02">
      <w:pPr>
        <w:spacing w:line="278" w:lineRule="auto"/>
        <w:ind w:left="720"/>
      </w:pPr>
      <w:r w:rsidRPr="00BA14E9">
        <w:t xml:space="preserve">(a) monitoring amendments to the AS 2885 Series and similar </w:t>
      </w:r>
      <w:proofErr w:type="gramStart"/>
      <w:r w:rsidRPr="00BA14E9">
        <w:t>standards;</w:t>
      </w:r>
      <w:proofErr w:type="gramEnd"/>
      <w:r w:rsidRPr="00BA14E9">
        <w:t xml:space="preserve"> </w:t>
      </w:r>
    </w:p>
    <w:p w14:paraId="5EEDF3B9" w14:textId="77777777" w:rsidR="00F55E02" w:rsidRPr="00BA14E9" w:rsidRDefault="00F55E02" w:rsidP="00F55E02">
      <w:pPr>
        <w:spacing w:line="278" w:lineRule="auto"/>
        <w:ind w:left="720"/>
      </w:pPr>
      <w:r w:rsidRPr="00BA14E9">
        <w:t xml:space="preserve">(b) reviewing regulator safety alerts, Codes of Practice and enforcement </w:t>
      </w:r>
      <w:proofErr w:type="gramStart"/>
      <w:r w:rsidRPr="00BA14E9">
        <w:t>outcomes;</w:t>
      </w:r>
      <w:proofErr w:type="gramEnd"/>
      <w:r w:rsidRPr="00BA14E9">
        <w:t xml:space="preserve"> </w:t>
      </w:r>
    </w:p>
    <w:p w14:paraId="69ABDBD8" w14:textId="77777777" w:rsidR="00F55E02" w:rsidRPr="00BA14E9" w:rsidRDefault="00F55E02" w:rsidP="00F55E02">
      <w:pPr>
        <w:spacing w:line="278" w:lineRule="auto"/>
        <w:ind w:left="720"/>
      </w:pPr>
      <w:r w:rsidRPr="00BA14E9">
        <w:t xml:space="preserve">(c) considering peer-reviewed research and industry publications; and </w:t>
      </w:r>
    </w:p>
    <w:p w14:paraId="011DCCEE" w14:textId="77777777" w:rsidR="00F55E02" w:rsidRPr="00BA14E9" w:rsidRDefault="00F55E02" w:rsidP="00F55E02">
      <w:pPr>
        <w:spacing w:line="278" w:lineRule="auto"/>
        <w:ind w:left="720"/>
      </w:pPr>
      <w:r w:rsidRPr="00BA14E9">
        <w:t xml:space="preserve">(d) benchmarking against leading practice within the sector. </w:t>
      </w:r>
    </w:p>
    <w:p w14:paraId="6F4B89AB" w14:textId="77777777" w:rsidR="00F55E02" w:rsidRPr="00BA14E9" w:rsidRDefault="00F55E02" w:rsidP="00F55E02">
      <w:pPr>
        <w:spacing w:line="278" w:lineRule="auto"/>
      </w:pPr>
      <w:proofErr w:type="gramStart"/>
      <w:r w:rsidRPr="00BA14E9">
        <w:t>In light of</w:t>
      </w:r>
      <w:proofErr w:type="gramEnd"/>
      <w:r w:rsidRPr="00BA14E9">
        <w:t xml:space="preserve"> the above, it is recommended that pipeline licence holders and other PCBUs undertake the following as best practice: </w:t>
      </w:r>
    </w:p>
    <w:p w14:paraId="3FED62B4" w14:textId="77777777" w:rsidR="00F55E02" w:rsidRPr="00BA14E9" w:rsidRDefault="00F55E02" w:rsidP="00F55E02">
      <w:pPr>
        <w:spacing w:line="278" w:lineRule="auto"/>
        <w:ind w:left="720"/>
      </w:pPr>
      <w:r w:rsidRPr="00BA14E9">
        <w:lastRenderedPageBreak/>
        <w:t xml:space="preserve">(a) Adopt the AS 2885 Series as the baseline standard for design, construction, operation and abandonment unless a compelling, documented risk-based justification exists for an alternative approach. </w:t>
      </w:r>
    </w:p>
    <w:p w14:paraId="10F062E5" w14:textId="77777777" w:rsidR="00F55E02" w:rsidRPr="00BA14E9" w:rsidRDefault="00F55E02" w:rsidP="00F55E02">
      <w:pPr>
        <w:spacing w:line="278" w:lineRule="auto"/>
        <w:ind w:left="720"/>
      </w:pPr>
      <w:r w:rsidRPr="00BA14E9">
        <w:t xml:space="preserve">(b) Document any departure from the AS 2885 Series in a formal risk assessment demonstrating equivalence or superiority. </w:t>
      </w:r>
    </w:p>
    <w:p w14:paraId="710E93F3" w14:textId="77777777" w:rsidR="00F55E02" w:rsidRPr="00BA14E9" w:rsidRDefault="00F55E02" w:rsidP="00F55E02">
      <w:pPr>
        <w:spacing w:line="278" w:lineRule="auto"/>
        <w:ind w:left="720"/>
      </w:pPr>
      <w:r w:rsidRPr="00BA14E9">
        <w:t xml:space="preserve">(c) Establish a management-of-change procedure to ensure that updates to the AS 2885 Series and other relevant standards trigger a review of pipeline integrity and operating procedures. </w:t>
      </w:r>
    </w:p>
    <w:p w14:paraId="574ECA49" w14:textId="77777777" w:rsidR="00F55E02" w:rsidRPr="00BA14E9" w:rsidRDefault="00F55E02" w:rsidP="00F55E02">
      <w:pPr>
        <w:spacing w:line="278" w:lineRule="auto"/>
        <w:ind w:left="720"/>
      </w:pPr>
      <w:r w:rsidRPr="00BA14E9">
        <w:t>(d) Monitor and record industry developments, for example regulator publications, incident investigation reports, research papers, and incorporate relevant learnings into the Safety Management System.</w:t>
      </w:r>
    </w:p>
    <w:p w14:paraId="04B339D9" w14:textId="77777777" w:rsidR="00F55E02" w:rsidRPr="00BA14E9" w:rsidRDefault="00F55E02" w:rsidP="00F55E02">
      <w:pPr>
        <w:spacing w:line="278" w:lineRule="auto"/>
        <w:ind w:left="720"/>
      </w:pPr>
      <w:r w:rsidRPr="00BA14E9">
        <w:t xml:space="preserve">(e) Ensure officers receive periodic briefings on: </w:t>
      </w:r>
    </w:p>
    <w:p w14:paraId="6ABEFFD0" w14:textId="77777777" w:rsidR="00F55E02" w:rsidRPr="00BA14E9" w:rsidRDefault="00F55E02" w:rsidP="00F55E02">
      <w:pPr>
        <w:spacing w:line="278" w:lineRule="auto"/>
        <w:ind w:left="1440"/>
      </w:pPr>
      <w:r w:rsidRPr="00BA14E9">
        <w:t>(</w:t>
      </w:r>
      <w:proofErr w:type="spellStart"/>
      <w:r w:rsidRPr="00BA14E9">
        <w:t>i</w:t>
      </w:r>
      <w:proofErr w:type="spellEnd"/>
      <w:r w:rsidRPr="00BA14E9">
        <w:t xml:space="preserve">) changes to legislation and </w:t>
      </w:r>
      <w:proofErr w:type="gramStart"/>
      <w:r w:rsidRPr="00BA14E9">
        <w:t>regulation;</w:t>
      </w:r>
      <w:proofErr w:type="gramEnd"/>
      <w:r w:rsidRPr="00BA14E9">
        <w:t xml:space="preserve"> </w:t>
      </w:r>
    </w:p>
    <w:p w14:paraId="3C68C16E" w14:textId="77777777" w:rsidR="00F55E02" w:rsidRPr="00BA14E9" w:rsidRDefault="00F55E02" w:rsidP="00F55E02">
      <w:pPr>
        <w:spacing w:line="278" w:lineRule="auto"/>
        <w:ind w:left="1440"/>
      </w:pPr>
      <w:r w:rsidRPr="00BA14E9">
        <w:t xml:space="preserve">(ii) updates to AS 2885 and related standards (e.g., AS/NZS 4645; APGA / Future Fuels CRC Hydrogen Pipeline Code of Practice); and </w:t>
      </w:r>
    </w:p>
    <w:p w14:paraId="19D15DE6" w14:textId="77777777" w:rsidR="00F55E02" w:rsidRPr="00BA14E9" w:rsidRDefault="00F55E02" w:rsidP="00F55E02">
      <w:pPr>
        <w:spacing w:line="278" w:lineRule="auto"/>
        <w:ind w:left="1440"/>
      </w:pPr>
      <w:r w:rsidRPr="00BA14E9">
        <w:t>(iii) major pipeline incidents and enforcement actions in Australia and comparable jurisdictions.</w:t>
      </w:r>
    </w:p>
    <w:p w14:paraId="100BF83B" w14:textId="77777777" w:rsidR="00F55E02" w:rsidRPr="00BA14E9" w:rsidRDefault="00F55E02" w:rsidP="00F55E02">
      <w:pPr>
        <w:spacing w:line="278" w:lineRule="auto"/>
      </w:pPr>
      <w:r w:rsidRPr="00BA14E9">
        <w:t xml:space="preserve">In addition to statutory guidance, the Australian Pipelines and Gas Association, (APGA) publishes industry-specific codes and technical guidelines that support best practice in pipeline safety. These include the </w:t>
      </w:r>
      <w:r w:rsidRPr="00BA14E9">
        <w:rPr>
          <w:i/>
          <w:iCs/>
        </w:rPr>
        <w:t>Code of Practice, Hydrogen Pipeline Systems, Design, Construction and Operation Version 1.0 May 2025</w:t>
      </w:r>
      <w:r w:rsidRPr="00BA14E9">
        <w:t>, environmental and safety auditing protocols, and health and safety considerations in procurement and tendering processes.</w:t>
      </w:r>
    </w:p>
    <w:p w14:paraId="363EA156" w14:textId="77777777" w:rsidR="00F55E02" w:rsidRPr="00BA14E9" w:rsidRDefault="00F55E02" w:rsidP="00F55E02">
      <w:pPr>
        <w:spacing w:line="278" w:lineRule="auto"/>
      </w:pPr>
      <w:r w:rsidRPr="00BA14E9">
        <w:t>Together, these instruments form a comprehensive regulatory and practical framework that governs the lifecycle of pipeline systems in Australia, ensuring the protection of workers, the public, and the environment.</w:t>
      </w:r>
    </w:p>
    <w:p w14:paraId="1BC03909" w14:textId="77777777" w:rsidR="00F55E02" w:rsidRPr="00BA14E9" w:rsidRDefault="00F55E02" w:rsidP="00F55E02">
      <w:pPr>
        <w:spacing w:line="278" w:lineRule="auto"/>
      </w:pPr>
    </w:p>
    <w:p w14:paraId="0036F74A" w14:textId="4BC834B3" w:rsidR="005A371B" w:rsidRPr="00BA14E9" w:rsidRDefault="005A371B" w:rsidP="00E83908">
      <w:pPr>
        <w:pStyle w:val="Heading2"/>
      </w:pPr>
      <w:bookmarkStart w:id="93" w:name="_Toc222925516"/>
      <w:r w:rsidRPr="00BA14E9">
        <w:t xml:space="preserve">Managing and evidencing compliance with </w:t>
      </w:r>
      <w:bookmarkEnd w:id="88"/>
      <w:r w:rsidR="00436510" w:rsidRPr="00BA14E9">
        <w:t>WHS laws</w:t>
      </w:r>
      <w:bookmarkEnd w:id="93"/>
    </w:p>
    <w:p w14:paraId="57B992D8" w14:textId="5ADC0B4B" w:rsidR="005A371B" w:rsidRPr="00BA14E9" w:rsidRDefault="005A371B" w:rsidP="005C6CAE">
      <w:pPr>
        <w:rPr>
          <w:rFonts w:cs="Calibri"/>
          <w:highlight w:val="cyan"/>
        </w:rPr>
      </w:pPr>
      <w:r w:rsidRPr="00BA14E9">
        <w:rPr>
          <w:rFonts w:cs="Calibri"/>
        </w:rPr>
        <w:t xml:space="preserve">Given the broad nature of primary and general duties, how proponents satisfy these obligations and </w:t>
      </w:r>
      <w:r w:rsidR="00414FF2">
        <w:rPr>
          <w:rFonts w:cs="Calibri"/>
        </w:rPr>
        <w:t>demonstrate</w:t>
      </w:r>
      <w:r w:rsidR="00414FF2" w:rsidRPr="00BA14E9">
        <w:rPr>
          <w:rFonts w:cs="Calibri"/>
        </w:rPr>
        <w:t xml:space="preserve"> </w:t>
      </w:r>
      <w:r w:rsidRPr="00BA14E9">
        <w:rPr>
          <w:rFonts w:cs="Calibri"/>
        </w:rPr>
        <w:t>such</w:t>
      </w:r>
      <w:r w:rsidR="000B704D" w:rsidRPr="00BA14E9">
        <w:rPr>
          <w:rFonts w:cs="Calibri"/>
        </w:rPr>
        <w:t xml:space="preserve"> complianc</w:t>
      </w:r>
      <w:r w:rsidR="008F75F4" w:rsidRPr="00BA14E9">
        <w:rPr>
          <w:rFonts w:cs="Calibri"/>
        </w:rPr>
        <w:t>e</w:t>
      </w:r>
      <w:r w:rsidRPr="00BA14E9">
        <w:rPr>
          <w:rFonts w:cs="Calibri"/>
        </w:rPr>
        <w:t xml:space="preserve">, </w:t>
      </w:r>
      <w:r w:rsidR="002A70BB">
        <w:rPr>
          <w:rFonts w:cs="Calibri"/>
        </w:rPr>
        <w:t>is</w:t>
      </w:r>
      <w:r w:rsidRPr="00BA14E9">
        <w:rPr>
          <w:rFonts w:cs="Calibri"/>
        </w:rPr>
        <w:t xml:space="preserve"> determined on a case-by-case basis. </w:t>
      </w:r>
    </w:p>
    <w:p w14:paraId="054354D2" w14:textId="59B9EB11" w:rsidR="005A371B" w:rsidRPr="00BA14E9" w:rsidRDefault="005A371B" w:rsidP="005C6CAE">
      <w:pPr>
        <w:rPr>
          <w:rFonts w:cs="Calibri"/>
        </w:rPr>
      </w:pPr>
      <w:r w:rsidRPr="00BA14E9">
        <w:rPr>
          <w:rFonts w:cs="Calibri"/>
        </w:rPr>
        <w:t>Ultimately, proponents need to demonstrate that their safety management approach is proportionate to the risk and meets the legislated standard of care. This requires proponents to have a thorough understanding of the hazards and risks for their specific project.</w:t>
      </w:r>
    </w:p>
    <w:p w14:paraId="3AD90C3D" w14:textId="67D1F508" w:rsidR="005A371B" w:rsidRPr="00BA14E9" w:rsidRDefault="005A371B" w:rsidP="005C6CAE">
      <w:pPr>
        <w:rPr>
          <w:rFonts w:cs="Calibri"/>
        </w:rPr>
      </w:pPr>
      <w:r w:rsidRPr="00BA14E9">
        <w:rPr>
          <w:rFonts w:cs="Calibri"/>
        </w:rPr>
        <w:t>Except for the obligations to develop safety framework documentation for certain whole</w:t>
      </w:r>
      <w:r w:rsidR="00B56F60" w:rsidRPr="00BA14E9">
        <w:rPr>
          <w:rFonts w:cs="Calibri"/>
        </w:rPr>
        <w:t>-</w:t>
      </w:r>
      <w:r w:rsidRPr="00BA14E9">
        <w:rPr>
          <w:rFonts w:cs="Calibri"/>
        </w:rPr>
        <w:t>of</w:t>
      </w:r>
      <w:r w:rsidR="00B56F60" w:rsidRPr="00BA14E9">
        <w:rPr>
          <w:rFonts w:cs="Calibri"/>
        </w:rPr>
        <w:t>-</w:t>
      </w:r>
      <w:r w:rsidRPr="00BA14E9">
        <w:rPr>
          <w:rFonts w:cs="Calibri"/>
        </w:rPr>
        <w:t xml:space="preserve">facility regulations, there is no legislated requirement to develop a safety case for projects </w:t>
      </w:r>
      <w:r w:rsidRPr="00BA14E9">
        <w:rPr>
          <w:rFonts w:cs="Calibri"/>
        </w:rPr>
        <w:lastRenderedPageBreak/>
        <w:t>below the MHF threshold.</w:t>
      </w:r>
      <w:r w:rsidR="00786596" w:rsidRPr="00BA14E9">
        <w:rPr>
          <w:rFonts w:cs="Calibri"/>
        </w:rPr>
        <w:t xml:space="preserve"> </w:t>
      </w:r>
      <w:r w:rsidR="00D12088" w:rsidRPr="00BA14E9">
        <w:rPr>
          <w:rFonts w:cs="Calibri"/>
        </w:rPr>
        <w:t xml:space="preserve">Proponents should </w:t>
      </w:r>
      <w:r w:rsidRPr="00BA14E9">
        <w:rPr>
          <w:rFonts w:cs="Calibri"/>
        </w:rPr>
        <w:t>engage early with the relevant safety regulators to understand specific compliance expectations.</w:t>
      </w:r>
    </w:p>
    <w:p w14:paraId="31BE7A0A" w14:textId="77777777" w:rsidR="00A90A06" w:rsidRPr="00BA14E9" w:rsidRDefault="00A90A06" w:rsidP="00E83908">
      <w:pPr>
        <w:pStyle w:val="Heading2"/>
      </w:pPr>
      <w:bookmarkStart w:id="94" w:name="_Toc222925517"/>
      <w:r w:rsidRPr="00BA14E9">
        <w:t>Major Hazard Facilities (MHF)</w:t>
      </w:r>
      <w:bookmarkEnd w:id="94"/>
    </w:p>
    <w:p w14:paraId="735C984A" w14:textId="6CF3E2F0" w:rsidR="00A90A06" w:rsidRPr="00BA14E9" w:rsidRDefault="00A90A06" w:rsidP="00A90A06">
      <w:pPr>
        <w:rPr>
          <w:rFonts w:cs="Calibri"/>
        </w:rPr>
      </w:pPr>
      <w:bookmarkStart w:id="95" w:name="_Toc200490185"/>
      <w:r w:rsidRPr="00BA14E9">
        <w:rPr>
          <w:rFonts w:cs="Calibri"/>
        </w:rPr>
        <w:t>All Australian jurisdictions have a framework for regulating MHFs under Health &amp; Safety Legislation. MHFs are industrial sites where large quantities of hazardous materials are stored, handled, or processed, posing a significant risk to health and safety. The Health &amp; Safety Legislation require specific safety measures, including notification and licensing, for MHFs. Operators of MHFs have heightened Health &amp; Safety duties beyond the general requirements.</w:t>
      </w:r>
    </w:p>
    <w:p w14:paraId="57EAAC24" w14:textId="71E9863F" w:rsidR="00213911" w:rsidRPr="00BA14E9" w:rsidRDefault="00213911" w:rsidP="00A90A06">
      <w:pPr>
        <w:rPr>
          <w:rFonts w:cs="Calibri"/>
        </w:rPr>
      </w:pPr>
      <w:r w:rsidRPr="00BA14E9">
        <w:rPr>
          <w:rFonts w:cs="Calibri"/>
        </w:rPr>
        <w:t>Chapter 3.</w:t>
      </w:r>
      <w:r w:rsidR="004E4682" w:rsidRPr="00BA14E9">
        <w:rPr>
          <w:rFonts w:cs="Calibri"/>
        </w:rPr>
        <w:t>5.1 of the Hydrogen Production Guidebook provides general guidance on MHFs.</w:t>
      </w:r>
    </w:p>
    <w:p w14:paraId="3163A8CC" w14:textId="77777777" w:rsidR="00A90A06" w:rsidRPr="00BA14E9" w:rsidRDefault="00A90A06" w:rsidP="606C9B12">
      <w:pPr>
        <w:rPr>
          <w:rFonts w:cs="Calibri"/>
          <w:szCs w:val="24"/>
        </w:rPr>
      </w:pPr>
      <w:r w:rsidRPr="00BA14E9">
        <w:rPr>
          <w:rFonts w:cs="Calibri"/>
          <w:szCs w:val="24"/>
        </w:rPr>
        <w:t>Both WHS and OHS frameworks include provisions that enable MHF provisions to not apply or for MHFs to be exempt.</w:t>
      </w:r>
    </w:p>
    <w:p w14:paraId="574F70CD" w14:textId="77777777" w:rsidR="00A90A06" w:rsidRPr="00BA14E9" w:rsidRDefault="00A90A06" w:rsidP="00A90A06">
      <w:r w:rsidRPr="00BA14E9">
        <w:rPr>
          <w:rFonts w:cs="Calibri"/>
          <w:szCs w:val="24"/>
        </w:rPr>
        <w:t>Under</w:t>
      </w:r>
      <w:r w:rsidRPr="00BA14E9">
        <w:t xml:space="preserve"> the model WHS Regulations regulation 530 provides a mechanism so that Chapter 9 MHF’s does not apply to certain facilities and harmonised WHS states and territories can exclude its operation. For example, regulation 530 of the Work Health and Safety Regulation 2025 (NSW) provides that in relation to Chapter 9:</w:t>
      </w:r>
    </w:p>
    <w:p w14:paraId="1DA74862" w14:textId="20491B9A" w:rsidR="00A90A06" w:rsidRPr="00BA14E9" w:rsidRDefault="00A90A06" w:rsidP="00F634FE">
      <w:pPr>
        <w:pStyle w:val="ListParagraph"/>
        <w:numPr>
          <w:ilvl w:val="0"/>
          <w:numId w:val="68"/>
        </w:numPr>
      </w:pPr>
      <w:r w:rsidRPr="00BA14E9">
        <w:t>This chapter does not apply in relation to a facility that is regulated by the National Offshore Petroleum Safety and Environmental Management Authority under the </w:t>
      </w:r>
      <w:hyperlink r:id="rId37">
        <w:r w:rsidRPr="00521296">
          <w:rPr>
            <w:rStyle w:val="Hyperlink"/>
            <w:i/>
            <w:iCs/>
            <w:color w:val="auto"/>
            <w:u w:val="none"/>
          </w:rPr>
          <w:t>Offshore Petroleum and Greenhouse Gas Storage Act 2006</w:t>
        </w:r>
      </w:hyperlink>
      <w:r w:rsidRPr="00521296">
        <w:rPr>
          <w:i/>
          <w:iCs/>
        </w:rPr>
        <w:t> </w:t>
      </w:r>
      <w:r w:rsidRPr="00BA14E9">
        <w:t>of the Commonwealth.</w:t>
      </w:r>
    </w:p>
    <w:p w14:paraId="35909E43" w14:textId="2034E9E2" w:rsidR="00A90A06" w:rsidRPr="00BA14E9" w:rsidRDefault="00A90A06" w:rsidP="00F17B20">
      <w:pPr>
        <w:pStyle w:val="ListParagraph"/>
        <w:numPr>
          <w:ilvl w:val="0"/>
          <w:numId w:val="68"/>
        </w:numPr>
        <w:ind w:hanging="357"/>
        <w:contextualSpacing w:val="0"/>
      </w:pPr>
      <w:r w:rsidRPr="00BA14E9">
        <w:t>This chapter does not apply in relation to the following</w:t>
      </w:r>
      <w:r w:rsidR="006C4AE8">
        <w:t>:</w:t>
      </w:r>
    </w:p>
    <w:p w14:paraId="08142ED5" w14:textId="46AA163C" w:rsidR="00A90A06" w:rsidRPr="00BA14E9" w:rsidRDefault="00A90A06" w:rsidP="00F17B20">
      <w:pPr>
        <w:pStyle w:val="ListParagraph"/>
        <w:numPr>
          <w:ilvl w:val="1"/>
          <w:numId w:val="68"/>
        </w:numPr>
        <w:ind w:hanging="357"/>
        <w:contextualSpacing w:val="0"/>
      </w:pPr>
      <w:r w:rsidRPr="00BA14E9">
        <w:t>a port operational area under the control of the Newcastle Port Corporation established under the </w:t>
      </w:r>
      <w:hyperlink r:id="rId38">
        <w:r w:rsidRPr="00521296">
          <w:rPr>
            <w:rStyle w:val="Hyperlink"/>
            <w:i/>
            <w:iCs/>
            <w:color w:val="auto"/>
            <w:u w:val="none"/>
          </w:rPr>
          <w:t>Ports and Maritime Administration Act 1995</w:t>
        </w:r>
      </w:hyperlink>
      <w:r w:rsidRPr="00521296">
        <w:rPr>
          <w:i/>
          <w:iCs/>
        </w:rPr>
        <w:t>,</w:t>
      </w:r>
    </w:p>
    <w:p w14:paraId="09556797" w14:textId="0623DB69" w:rsidR="00A90A06" w:rsidRPr="00BA14E9" w:rsidRDefault="00A90A06" w:rsidP="00F17B20">
      <w:pPr>
        <w:pStyle w:val="ListParagraph"/>
        <w:numPr>
          <w:ilvl w:val="1"/>
          <w:numId w:val="68"/>
        </w:numPr>
        <w:ind w:hanging="357"/>
        <w:contextualSpacing w:val="0"/>
      </w:pPr>
      <w:r w:rsidRPr="00BA14E9">
        <w:t>a pipeline to which the </w:t>
      </w:r>
      <w:hyperlink r:id="rId39">
        <w:r w:rsidRPr="00521296">
          <w:rPr>
            <w:rStyle w:val="Hyperlink"/>
            <w:i/>
            <w:iCs/>
            <w:color w:val="auto"/>
            <w:u w:val="none"/>
          </w:rPr>
          <w:t>Gas Supply Act 1996</w:t>
        </w:r>
      </w:hyperlink>
      <w:r w:rsidRPr="00BA14E9">
        <w:t> or the </w:t>
      </w:r>
      <w:hyperlink r:id="rId40">
        <w:r w:rsidRPr="00521296">
          <w:rPr>
            <w:rStyle w:val="Hyperlink"/>
            <w:i/>
            <w:iCs/>
            <w:color w:val="auto"/>
            <w:u w:val="none"/>
          </w:rPr>
          <w:t>Pipelines Act 1967</w:t>
        </w:r>
      </w:hyperlink>
      <w:r w:rsidRPr="00BA14E9">
        <w:t> applies,</w:t>
      </w:r>
    </w:p>
    <w:p w14:paraId="2C73C6E7" w14:textId="28A4F5EE" w:rsidR="00A90A06" w:rsidRPr="00BA14E9" w:rsidRDefault="00A90A06" w:rsidP="00F17B20">
      <w:pPr>
        <w:pStyle w:val="ListParagraph"/>
        <w:numPr>
          <w:ilvl w:val="1"/>
          <w:numId w:val="68"/>
        </w:numPr>
        <w:ind w:hanging="357"/>
        <w:contextualSpacing w:val="0"/>
      </w:pPr>
      <w:r w:rsidRPr="00BA14E9">
        <w:t>a mine,</w:t>
      </w:r>
    </w:p>
    <w:p w14:paraId="70A2447C" w14:textId="5B7B7A6F" w:rsidR="00A90A06" w:rsidRPr="00BA14E9" w:rsidRDefault="00A90A06" w:rsidP="00F17B20">
      <w:pPr>
        <w:pStyle w:val="ListParagraph"/>
        <w:numPr>
          <w:ilvl w:val="1"/>
          <w:numId w:val="68"/>
        </w:numPr>
        <w:ind w:hanging="357"/>
        <w:contextualSpacing w:val="0"/>
      </w:pPr>
      <w:r w:rsidRPr="00BA14E9">
        <w:t>a petroleum site.</w:t>
      </w:r>
    </w:p>
    <w:p w14:paraId="1C2A4E92" w14:textId="01E308FB" w:rsidR="00A90A06" w:rsidRPr="00BA14E9" w:rsidRDefault="00A90A06" w:rsidP="00A90A06">
      <w:r w:rsidRPr="00BA14E9">
        <w:t xml:space="preserve">As the </w:t>
      </w:r>
      <w:hyperlink r:id="rId41">
        <w:r w:rsidRPr="00BA14E9">
          <w:rPr>
            <w:rStyle w:val="Hyperlink"/>
            <w:i/>
            <w:iCs/>
            <w:color w:val="auto"/>
            <w:u w:val="none"/>
          </w:rPr>
          <w:t>Gas Supply Act 1996</w:t>
        </w:r>
      </w:hyperlink>
      <w:r w:rsidRPr="00BA14E9">
        <w:t> (NSW) or the </w:t>
      </w:r>
      <w:hyperlink r:id="rId42">
        <w:r w:rsidRPr="00BA14E9">
          <w:rPr>
            <w:rStyle w:val="Hyperlink"/>
            <w:i/>
            <w:iCs/>
            <w:color w:val="auto"/>
            <w:u w:val="none"/>
          </w:rPr>
          <w:t>Pipelines Act 1967</w:t>
        </w:r>
      </w:hyperlink>
      <w:r w:rsidRPr="00BA14E9">
        <w:t xml:space="preserve"> (NSW) applies to </w:t>
      </w:r>
      <w:r w:rsidRPr="00BA14E9">
        <w:rPr>
          <w:rFonts w:cs="Calibri"/>
        </w:rPr>
        <w:t xml:space="preserve">hydrogen pipelines Chapter 9 of the WHS Regulations may not apply. </w:t>
      </w:r>
      <w:r w:rsidRPr="00BA14E9">
        <w:rPr>
          <w:rFonts w:cs="Calibri"/>
          <w:szCs w:val="24"/>
        </w:rPr>
        <w:t xml:space="preserve">In Queensland the provision disapplies facilities regulated under the </w:t>
      </w:r>
      <w:r w:rsidRPr="00BA14E9">
        <w:rPr>
          <w:rFonts w:cs="Calibri"/>
          <w:i/>
          <w:iCs/>
          <w:szCs w:val="24"/>
        </w:rPr>
        <w:t>Offshore Petroleum and Greenhouse Gas Storage Act 2006</w:t>
      </w:r>
      <w:r w:rsidRPr="00BA14E9">
        <w:rPr>
          <w:rFonts w:cs="Calibri"/>
          <w:szCs w:val="24"/>
        </w:rPr>
        <w:t xml:space="preserve"> (</w:t>
      </w:r>
      <w:proofErr w:type="spellStart"/>
      <w:r w:rsidRPr="00BA14E9">
        <w:rPr>
          <w:rFonts w:cs="Calibri"/>
          <w:szCs w:val="24"/>
        </w:rPr>
        <w:t>Cth</w:t>
      </w:r>
      <w:proofErr w:type="spellEnd"/>
      <w:r w:rsidRPr="00BA14E9">
        <w:rPr>
          <w:rFonts w:cs="Calibri"/>
          <w:szCs w:val="24"/>
        </w:rPr>
        <w:t xml:space="preserve">) and facilities that are a magazine under the </w:t>
      </w:r>
      <w:r w:rsidRPr="00BA14E9">
        <w:rPr>
          <w:rFonts w:cs="Calibri"/>
          <w:i/>
          <w:iCs/>
          <w:szCs w:val="24"/>
        </w:rPr>
        <w:t>Explosives Act 1999</w:t>
      </w:r>
      <w:r w:rsidRPr="00BA14E9">
        <w:rPr>
          <w:rFonts w:cs="Calibri"/>
          <w:szCs w:val="24"/>
        </w:rPr>
        <w:t xml:space="preserve"> (Qld) at which no processing activity involving dangerous goods, including explosives, is carried out. </w:t>
      </w:r>
    </w:p>
    <w:p w14:paraId="09460047" w14:textId="7A7E0041" w:rsidR="00A90A06" w:rsidRPr="00BA14E9" w:rsidRDefault="00A90A06" w:rsidP="606C9B12">
      <w:pPr>
        <w:rPr>
          <w:rFonts w:cs="Calibri"/>
          <w:szCs w:val="24"/>
        </w:rPr>
      </w:pPr>
      <w:r w:rsidRPr="00BA14E9">
        <w:rPr>
          <w:rFonts w:cs="Calibri"/>
          <w:szCs w:val="24"/>
        </w:rPr>
        <w:t>The WHS legislation also allows the regulator to determine that a facility is exempt from the Chapter 9 MHF requirements</w:t>
      </w:r>
      <w:r w:rsidR="008A7DC5" w:rsidRPr="00BA14E9">
        <w:rPr>
          <w:rFonts w:cs="Calibri"/>
          <w:szCs w:val="24"/>
        </w:rPr>
        <w:t xml:space="preserve"> (see chapter 3.5.1 of the Hydrogen Production Guidebook)</w:t>
      </w:r>
      <w:r w:rsidRPr="00BA14E9">
        <w:rPr>
          <w:rFonts w:cs="Calibri"/>
          <w:szCs w:val="24"/>
        </w:rPr>
        <w:t xml:space="preserve">. </w:t>
      </w:r>
    </w:p>
    <w:p w14:paraId="5472B3A0" w14:textId="77777777" w:rsidR="00A90A06" w:rsidRPr="00BA14E9" w:rsidRDefault="00A90A06" w:rsidP="606C9B12">
      <w:pPr>
        <w:rPr>
          <w:rFonts w:cs="Calibri"/>
          <w:szCs w:val="24"/>
        </w:rPr>
      </w:pPr>
      <w:r w:rsidRPr="00BA14E9">
        <w:rPr>
          <w:rFonts w:cs="Calibri"/>
          <w:szCs w:val="24"/>
        </w:rPr>
        <w:t xml:space="preserve">Regulation 356 of the </w:t>
      </w:r>
      <w:r w:rsidRPr="00BA14E9">
        <w:rPr>
          <w:rFonts w:cs="Calibri"/>
        </w:rPr>
        <w:t xml:space="preserve">OHS Regulations (Vic) </w:t>
      </w:r>
      <w:r w:rsidRPr="00BA14E9">
        <w:rPr>
          <w:rFonts w:cs="Calibri"/>
          <w:szCs w:val="24"/>
        </w:rPr>
        <w:t xml:space="preserve">relevantly provides that Part 5.2 MHF does not apply to: </w:t>
      </w:r>
    </w:p>
    <w:p w14:paraId="4F61F50A" w14:textId="77777777" w:rsidR="00A90A06" w:rsidRPr="00BA14E9" w:rsidRDefault="00A90A06" w:rsidP="606C9B12">
      <w:pPr>
        <w:rPr>
          <w:rFonts w:cs="Calibri"/>
          <w:szCs w:val="24"/>
        </w:rPr>
      </w:pPr>
      <w:r w:rsidRPr="00BA14E9">
        <w:rPr>
          <w:rFonts w:cs="Calibri"/>
          <w:szCs w:val="24"/>
        </w:rPr>
        <w:t xml:space="preserve">“(a) a building or other structure on land used for an activity to which section 157(2)(a) of the Act applies; or </w:t>
      </w:r>
    </w:p>
    <w:p w14:paraId="7C025A65" w14:textId="77777777" w:rsidR="00A90A06" w:rsidRPr="00BA14E9" w:rsidRDefault="00A90A06" w:rsidP="606C9B12">
      <w:pPr>
        <w:rPr>
          <w:rFonts w:cs="Calibri"/>
          <w:szCs w:val="24"/>
        </w:rPr>
      </w:pPr>
      <w:r w:rsidRPr="00BA14E9">
        <w:rPr>
          <w:rFonts w:cs="Calibri"/>
          <w:szCs w:val="24"/>
        </w:rPr>
        <w:lastRenderedPageBreak/>
        <w:t xml:space="preserve">(b) a pipeline in respect of which a licence has been issued under the </w:t>
      </w:r>
      <w:r w:rsidRPr="00BA14E9">
        <w:rPr>
          <w:rFonts w:cs="Calibri"/>
          <w:i/>
          <w:iCs/>
          <w:szCs w:val="24"/>
        </w:rPr>
        <w:t>Pipelines Act 2005</w:t>
      </w:r>
      <w:r w:rsidRPr="00BA14E9">
        <w:rPr>
          <w:rFonts w:cs="Calibri"/>
          <w:szCs w:val="24"/>
        </w:rPr>
        <w:t xml:space="preserve">; or </w:t>
      </w:r>
    </w:p>
    <w:p w14:paraId="0152C5C3" w14:textId="77777777" w:rsidR="00A90A06" w:rsidRPr="00BA14E9" w:rsidRDefault="00A90A06" w:rsidP="606C9B12">
      <w:pPr>
        <w:rPr>
          <w:rFonts w:cs="Calibri"/>
          <w:szCs w:val="24"/>
        </w:rPr>
      </w:pPr>
      <w:r w:rsidRPr="00BA14E9">
        <w:rPr>
          <w:rFonts w:cs="Calibri"/>
          <w:szCs w:val="24"/>
        </w:rPr>
        <w:t xml:space="preserve">(c) a distribution pipeline within the meaning of the </w:t>
      </w:r>
      <w:r w:rsidRPr="00BA14E9">
        <w:rPr>
          <w:rFonts w:cs="Calibri"/>
          <w:i/>
          <w:iCs/>
          <w:szCs w:val="24"/>
        </w:rPr>
        <w:t>Gas Industry Act 2001</w:t>
      </w:r>
      <w:r w:rsidRPr="00BA14E9">
        <w:rPr>
          <w:rFonts w:cs="Calibri"/>
          <w:szCs w:val="24"/>
        </w:rPr>
        <w:t xml:space="preserve">; or </w:t>
      </w:r>
    </w:p>
    <w:p w14:paraId="5F79810F" w14:textId="77777777" w:rsidR="00A90A06" w:rsidRPr="00BA14E9" w:rsidRDefault="00A90A06" w:rsidP="606C9B12">
      <w:pPr>
        <w:rPr>
          <w:rFonts w:cs="Calibri"/>
          <w:szCs w:val="24"/>
        </w:rPr>
      </w:pPr>
      <w:r w:rsidRPr="00BA14E9">
        <w:rPr>
          <w:rFonts w:cs="Calibri"/>
          <w:szCs w:val="24"/>
        </w:rPr>
        <w:t>(d) a prescribed mine.”</w:t>
      </w:r>
    </w:p>
    <w:p w14:paraId="535917A2" w14:textId="77777777" w:rsidR="00A90A06" w:rsidRPr="00BA14E9" w:rsidRDefault="00A90A06" w:rsidP="606C9B12">
      <w:pPr>
        <w:rPr>
          <w:rFonts w:cs="Calibri"/>
          <w:szCs w:val="24"/>
        </w:rPr>
      </w:pPr>
      <w:r w:rsidRPr="00BA14E9">
        <w:rPr>
          <w:rFonts w:cs="Calibri"/>
          <w:szCs w:val="24"/>
        </w:rPr>
        <w:t xml:space="preserve">The </w:t>
      </w:r>
      <w:r w:rsidRPr="00BA14E9">
        <w:rPr>
          <w:rFonts w:cs="Calibri"/>
          <w:i/>
          <w:iCs/>
          <w:szCs w:val="24"/>
        </w:rPr>
        <w:t xml:space="preserve">Pipelines Act 2005 </w:t>
      </w:r>
      <w:r w:rsidRPr="00BA14E9">
        <w:rPr>
          <w:rFonts w:cs="Calibri"/>
          <w:szCs w:val="24"/>
        </w:rPr>
        <w:t>(Vic)</w:t>
      </w:r>
      <w:r w:rsidRPr="00BA14E9">
        <w:rPr>
          <w:rFonts w:cs="Calibri"/>
          <w:i/>
          <w:iCs/>
          <w:szCs w:val="24"/>
        </w:rPr>
        <w:t xml:space="preserve"> </w:t>
      </w:r>
      <w:r w:rsidRPr="00BA14E9">
        <w:rPr>
          <w:rFonts w:cs="Calibri"/>
          <w:szCs w:val="24"/>
        </w:rPr>
        <w:t>and the</w:t>
      </w:r>
      <w:r w:rsidRPr="00BA14E9">
        <w:rPr>
          <w:rFonts w:cs="Calibri"/>
          <w:i/>
          <w:iCs/>
          <w:szCs w:val="24"/>
        </w:rPr>
        <w:t xml:space="preserve"> Gas Industry Act 2001 </w:t>
      </w:r>
      <w:r w:rsidRPr="00BA14E9">
        <w:rPr>
          <w:rFonts w:cs="Calibri"/>
          <w:szCs w:val="24"/>
        </w:rPr>
        <w:t>(Vic) apply to hydrogen pipelines and as such the MHF provision may not apply to affected pipelines.</w:t>
      </w:r>
    </w:p>
    <w:p w14:paraId="1BEC7879" w14:textId="77777777" w:rsidR="00A90A06" w:rsidRPr="00BA14E9" w:rsidRDefault="00A90A06" w:rsidP="606C9B12">
      <w:pPr>
        <w:rPr>
          <w:rFonts w:cs="Calibri"/>
          <w:szCs w:val="24"/>
        </w:rPr>
      </w:pPr>
      <w:r w:rsidRPr="00BA14E9">
        <w:rPr>
          <w:rFonts w:cs="Calibri"/>
          <w:szCs w:val="24"/>
        </w:rPr>
        <w:t>As such in summary the disapplication provisions include:</w:t>
      </w:r>
    </w:p>
    <w:p w14:paraId="59D66C88" w14:textId="77777777" w:rsidR="00A90A06" w:rsidRPr="00BA14E9" w:rsidRDefault="00A90A06" w:rsidP="00F17B20">
      <w:pPr>
        <w:pStyle w:val="ListParagraph"/>
        <w:numPr>
          <w:ilvl w:val="0"/>
          <w:numId w:val="54"/>
        </w:numPr>
        <w:contextualSpacing w:val="0"/>
        <w:rPr>
          <w:rFonts w:cs="Calibri"/>
          <w:szCs w:val="24"/>
        </w:rPr>
      </w:pPr>
      <w:r w:rsidRPr="00BA14E9">
        <w:rPr>
          <w:rFonts w:cs="Calibri"/>
          <w:szCs w:val="24"/>
        </w:rPr>
        <w:t>The model WHS provides the capacity for the disapplication of Chapter 9 MHF for a facility regulated by the National Offshore Petroleum Safety and Environmental Management Authority and / or in relation to legislation to be specified by the jurisdiction.</w:t>
      </w:r>
    </w:p>
    <w:p w14:paraId="120E8E8D" w14:textId="5B915278"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In the Commonwealth jurisdiction under the Work Health and Safety Regulations 2011 </w:t>
      </w:r>
      <w:r w:rsidR="00DF0EEA">
        <w:rPr>
          <w:rFonts w:cs="Calibri"/>
          <w:szCs w:val="24"/>
        </w:rPr>
        <w:t>(</w:t>
      </w:r>
      <w:proofErr w:type="spellStart"/>
      <w:r w:rsidR="00DF0EEA">
        <w:rPr>
          <w:rFonts w:cs="Calibri"/>
          <w:szCs w:val="24"/>
        </w:rPr>
        <w:t>Cth</w:t>
      </w:r>
      <w:proofErr w:type="spellEnd"/>
      <w:r w:rsidR="00DF0EEA">
        <w:rPr>
          <w:rFonts w:cs="Calibri"/>
          <w:szCs w:val="24"/>
        </w:rPr>
        <w:t>)</w:t>
      </w:r>
      <w:r w:rsidRPr="00BA14E9">
        <w:rPr>
          <w:rFonts w:cs="Calibri"/>
          <w:szCs w:val="24"/>
        </w:rPr>
        <w:t xml:space="preserve"> regulation 530 notes that Section 12A of the </w:t>
      </w:r>
      <w:r w:rsidRPr="00BA14E9">
        <w:rPr>
          <w:rFonts w:cs="Calibri"/>
          <w:i/>
          <w:iCs/>
          <w:szCs w:val="24"/>
        </w:rPr>
        <w:t>Work Health and Safety Act 2011</w:t>
      </w:r>
      <w:r w:rsidRPr="00BA14E9">
        <w:rPr>
          <w:rFonts w:cs="Calibri"/>
          <w:szCs w:val="24"/>
        </w:rPr>
        <w:t xml:space="preserve"> (</w:t>
      </w:r>
      <w:proofErr w:type="spellStart"/>
      <w:r w:rsidRPr="00BA14E9">
        <w:rPr>
          <w:rFonts w:cs="Calibri"/>
          <w:szCs w:val="24"/>
        </w:rPr>
        <w:t>Cth</w:t>
      </w:r>
      <w:proofErr w:type="spellEnd"/>
      <w:r w:rsidRPr="00BA14E9">
        <w:rPr>
          <w:rFonts w:cs="Calibri"/>
          <w:szCs w:val="24"/>
        </w:rPr>
        <w:t xml:space="preserve">) provides that the Act does not apply in relation to a facility to which Schedule 3 to the </w:t>
      </w:r>
      <w:r w:rsidRPr="00BA14E9">
        <w:rPr>
          <w:rFonts w:cs="Calibri"/>
          <w:i/>
          <w:iCs/>
          <w:szCs w:val="24"/>
        </w:rPr>
        <w:t>Offshore Petroleum and Greenhouse Gas Storage Act 2006</w:t>
      </w:r>
      <w:r w:rsidRPr="00BA14E9">
        <w:rPr>
          <w:rFonts w:cs="Calibri"/>
          <w:szCs w:val="24"/>
        </w:rPr>
        <w:t> </w:t>
      </w:r>
      <w:r w:rsidR="00E83B81">
        <w:rPr>
          <w:rFonts w:cs="Calibri"/>
          <w:szCs w:val="24"/>
        </w:rPr>
        <w:t>(</w:t>
      </w:r>
      <w:proofErr w:type="spellStart"/>
      <w:r w:rsidR="00E83B81">
        <w:rPr>
          <w:rFonts w:cs="Calibri"/>
          <w:szCs w:val="24"/>
        </w:rPr>
        <w:t>Cth</w:t>
      </w:r>
      <w:proofErr w:type="spellEnd"/>
      <w:r w:rsidR="00E83B81">
        <w:rPr>
          <w:rFonts w:cs="Calibri"/>
          <w:szCs w:val="24"/>
        </w:rPr>
        <w:t xml:space="preserve">) </w:t>
      </w:r>
      <w:r w:rsidRPr="00BA14E9">
        <w:rPr>
          <w:rFonts w:cs="Calibri"/>
          <w:szCs w:val="24"/>
        </w:rPr>
        <w:t>applies.</w:t>
      </w:r>
    </w:p>
    <w:p w14:paraId="537F7556" w14:textId="7ABF2CDE" w:rsidR="00A90A06" w:rsidRPr="00BA14E9" w:rsidRDefault="00A90A06" w:rsidP="00F17B20">
      <w:pPr>
        <w:pStyle w:val="ListParagraph"/>
        <w:numPr>
          <w:ilvl w:val="0"/>
          <w:numId w:val="54"/>
        </w:numPr>
        <w:contextualSpacing w:val="0"/>
        <w:rPr>
          <w:szCs w:val="24"/>
        </w:rPr>
      </w:pPr>
      <w:r w:rsidRPr="00BA14E9">
        <w:rPr>
          <w:rFonts w:cs="Calibri"/>
          <w:szCs w:val="24"/>
        </w:rPr>
        <w:t xml:space="preserve">In ACT in accordance with regulation 530 of the </w:t>
      </w:r>
      <w:r w:rsidRPr="00BA14E9">
        <w:rPr>
          <w:szCs w:val="24"/>
        </w:rPr>
        <w:t xml:space="preserve">Work Health and Safety Regulation 2011 </w:t>
      </w:r>
      <w:r w:rsidR="00DF0EEA">
        <w:rPr>
          <w:szCs w:val="24"/>
        </w:rPr>
        <w:t xml:space="preserve">(ACT) </w:t>
      </w:r>
      <w:r w:rsidRPr="00BA14E9">
        <w:rPr>
          <w:szCs w:val="24"/>
        </w:rPr>
        <w:t xml:space="preserve">Chapter 9 does not apply in relation to a facility that is regulated by the National Offshore Petroleum Safety and Environmental Management Authority under the </w:t>
      </w:r>
      <w:r w:rsidRPr="00BA14E9">
        <w:rPr>
          <w:i/>
          <w:iCs/>
          <w:szCs w:val="24"/>
        </w:rPr>
        <w:t>Offshore Petroleum and Greenhouse Gas Storage Act 2006</w:t>
      </w:r>
      <w:r w:rsidRPr="00BA14E9">
        <w:rPr>
          <w:szCs w:val="24"/>
        </w:rPr>
        <w:t xml:space="preserve"> (</w:t>
      </w:r>
      <w:proofErr w:type="spellStart"/>
      <w:r w:rsidRPr="00BA14E9">
        <w:rPr>
          <w:szCs w:val="24"/>
        </w:rPr>
        <w:t>Cth</w:t>
      </w:r>
      <w:proofErr w:type="spellEnd"/>
      <w:r w:rsidRPr="00BA14E9">
        <w:rPr>
          <w:szCs w:val="24"/>
        </w:rPr>
        <w:t xml:space="preserve">) or in relation to a pipeline that is regulated under the </w:t>
      </w:r>
      <w:r w:rsidRPr="00BA14E9">
        <w:rPr>
          <w:i/>
          <w:iCs/>
          <w:szCs w:val="24"/>
        </w:rPr>
        <w:t>Gas Safety Act 2000</w:t>
      </w:r>
      <w:r w:rsidRPr="00BA14E9">
        <w:rPr>
          <w:szCs w:val="24"/>
        </w:rPr>
        <w:t xml:space="preserve"> (ACT) or the </w:t>
      </w:r>
      <w:r w:rsidRPr="00BA14E9">
        <w:rPr>
          <w:i/>
          <w:iCs/>
          <w:szCs w:val="24"/>
        </w:rPr>
        <w:t xml:space="preserve">Utilities (Technical Regulation) Act 2014 </w:t>
      </w:r>
      <w:r w:rsidRPr="00BA14E9">
        <w:rPr>
          <w:szCs w:val="24"/>
        </w:rPr>
        <w:t>(ACT).</w:t>
      </w:r>
    </w:p>
    <w:p w14:paraId="5BC55455" w14:textId="2B10A7E0"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As noted above in NSW, in accordance with regulation 530 of the </w:t>
      </w:r>
      <w:r w:rsidRPr="00BA14E9">
        <w:rPr>
          <w:szCs w:val="24"/>
        </w:rPr>
        <w:t xml:space="preserve">Work Health and Safety Regulation 2025 </w:t>
      </w:r>
      <w:r w:rsidR="00DF0EEA">
        <w:rPr>
          <w:szCs w:val="24"/>
        </w:rPr>
        <w:t>(NSW)</w:t>
      </w:r>
      <w:r w:rsidRPr="00BA14E9">
        <w:rPr>
          <w:szCs w:val="24"/>
        </w:rPr>
        <w:t xml:space="preserve"> Chapter 9 does not apply in relation to a facility that is regulated by the National Offshore Petroleum Safety and Environmental Management Authority under the </w:t>
      </w:r>
      <w:r w:rsidRPr="00BA14E9">
        <w:rPr>
          <w:i/>
          <w:iCs/>
          <w:szCs w:val="24"/>
        </w:rPr>
        <w:t>Offshore Petroleum and Greenhouse Gas Storage Act 2006</w:t>
      </w:r>
      <w:r w:rsidRPr="00BA14E9">
        <w:rPr>
          <w:szCs w:val="24"/>
        </w:rPr>
        <w:t xml:space="preserve"> (</w:t>
      </w:r>
      <w:proofErr w:type="spellStart"/>
      <w:r w:rsidRPr="00BA14E9">
        <w:rPr>
          <w:szCs w:val="24"/>
        </w:rPr>
        <w:t>Cth</w:t>
      </w:r>
      <w:proofErr w:type="spellEnd"/>
      <w:r w:rsidRPr="00BA14E9">
        <w:rPr>
          <w:szCs w:val="24"/>
        </w:rPr>
        <w:t>) or in relation to a pipeline to which the </w:t>
      </w:r>
      <w:hyperlink r:id="rId43">
        <w:r w:rsidRPr="00BA14E9">
          <w:rPr>
            <w:rStyle w:val="Hyperlink"/>
            <w:i/>
            <w:iCs/>
            <w:color w:val="auto"/>
            <w:u w:val="none"/>
          </w:rPr>
          <w:t>Gas Supply Act 1996</w:t>
        </w:r>
      </w:hyperlink>
      <w:r w:rsidRPr="00BA14E9">
        <w:rPr>
          <w:szCs w:val="24"/>
        </w:rPr>
        <w:t xml:space="preserve"> (NSW) or the </w:t>
      </w:r>
      <w:hyperlink r:id="rId44">
        <w:r w:rsidRPr="00BA14E9">
          <w:rPr>
            <w:rStyle w:val="Hyperlink"/>
            <w:i/>
            <w:iCs/>
            <w:color w:val="auto"/>
            <w:u w:val="none"/>
          </w:rPr>
          <w:t>Pipelines Act 1967</w:t>
        </w:r>
      </w:hyperlink>
      <w:r w:rsidRPr="00BA14E9">
        <w:rPr>
          <w:szCs w:val="24"/>
        </w:rPr>
        <w:t xml:space="preserve"> (NSW) applies</w:t>
      </w:r>
      <w:r w:rsidR="00D20FBB">
        <w:rPr>
          <w:szCs w:val="24"/>
        </w:rPr>
        <w:t>.</w:t>
      </w:r>
    </w:p>
    <w:p w14:paraId="3C4136E4" w14:textId="4814B7EC"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In the NT under section 530 of the Work Health and Safety (National Uniform Legislation) Regulations 2011 </w:t>
      </w:r>
      <w:r w:rsidR="00DF0EEA">
        <w:rPr>
          <w:rFonts w:cs="Calibri"/>
          <w:szCs w:val="24"/>
        </w:rPr>
        <w:t>(NT)</w:t>
      </w:r>
      <w:r w:rsidRPr="00BA14E9">
        <w:rPr>
          <w:rFonts w:cs="Calibri"/>
          <w:szCs w:val="24"/>
        </w:rPr>
        <w:t xml:space="preserve"> </w:t>
      </w:r>
      <w:r w:rsidRPr="00BA14E9">
        <w:rPr>
          <w:szCs w:val="24"/>
        </w:rPr>
        <w:t xml:space="preserve">Chapter 9 does not apply in relation to a facility that is regulated by the National Offshore Petroleum Safety and Environmental Management Authority under the Petroleum (Submerged Lands) Act 1981 (NT) or in relation to a pipeline to which the </w:t>
      </w:r>
      <w:r w:rsidRPr="00BA14E9">
        <w:rPr>
          <w:i/>
          <w:iCs/>
          <w:szCs w:val="24"/>
        </w:rPr>
        <w:t>Energy Pipelines Act 1981</w:t>
      </w:r>
      <w:r w:rsidRPr="00BA14E9">
        <w:rPr>
          <w:szCs w:val="24"/>
        </w:rPr>
        <w:t xml:space="preserve"> (NT) applies.</w:t>
      </w:r>
    </w:p>
    <w:p w14:paraId="2CE3A5E4" w14:textId="16192BC6" w:rsidR="00A90A06" w:rsidRPr="00BA14E9" w:rsidRDefault="00A90A06" w:rsidP="00F17B20">
      <w:pPr>
        <w:pStyle w:val="ListParagraph"/>
        <w:numPr>
          <w:ilvl w:val="0"/>
          <w:numId w:val="54"/>
        </w:numPr>
        <w:contextualSpacing w:val="0"/>
        <w:rPr>
          <w:rFonts w:cs="Calibri"/>
          <w:szCs w:val="24"/>
        </w:rPr>
      </w:pPr>
      <w:r w:rsidRPr="00BA14E9">
        <w:rPr>
          <w:szCs w:val="24"/>
        </w:rPr>
        <w:t xml:space="preserve">As noted above in Qld, in accordance with section 530 of the Work Health and Safety Regulation 2011 </w:t>
      </w:r>
      <w:r w:rsidR="00DF0EEA">
        <w:rPr>
          <w:szCs w:val="24"/>
        </w:rPr>
        <w:t>(Qld)</w:t>
      </w:r>
      <w:r w:rsidRPr="00BA14E9">
        <w:rPr>
          <w:szCs w:val="24"/>
        </w:rPr>
        <w:t xml:space="preserve"> Chapter 9 does not apply to facilities </w:t>
      </w:r>
      <w:r w:rsidRPr="00BA14E9">
        <w:rPr>
          <w:rFonts w:cs="Calibri"/>
          <w:szCs w:val="24"/>
        </w:rPr>
        <w:t xml:space="preserve">regulated under the </w:t>
      </w:r>
      <w:r w:rsidRPr="00BA14E9">
        <w:rPr>
          <w:rFonts w:cs="Calibri"/>
          <w:i/>
          <w:iCs/>
          <w:szCs w:val="24"/>
        </w:rPr>
        <w:t>Offshore Petroleum and Greenhouse Gas Storage Act 2006</w:t>
      </w:r>
      <w:r w:rsidRPr="00BA14E9">
        <w:rPr>
          <w:rFonts w:cs="Calibri"/>
          <w:szCs w:val="24"/>
        </w:rPr>
        <w:t xml:space="preserve"> (</w:t>
      </w:r>
      <w:proofErr w:type="spellStart"/>
      <w:r w:rsidRPr="00BA14E9">
        <w:rPr>
          <w:rFonts w:cs="Calibri"/>
          <w:szCs w:val="24"/>
        </w:rPr>
        <w:t>Cth</w:t>
      </w:r>
      <w:proofErr w:type="spellEnd"/>
      <w:r w:rsidRPr="00BA14E9">
        <w:rPr>
          <w:rFonts w:cs="Calibri"/>
          <w:szCs w:val="24"/>
        </w:rPr>
        <w:t xml:space="preserve">) and facilities that are a magazine under the </w:t>
      </w:r>
      <w:r w:rsidRPr="00BA14E9">
        <w:rPr>
          <w:rFonts w:cs="Calibri"/>
          <w:i/>
          <w:iCs/>
          <w:szCs w:val="24"/>
        </w:rPr>
        <w:t>Explosives Act 1999</w:t>
      </w:r>
      <w:r w:rsidRPr="00BA14E9">
        <w:rPr>
          <w:rFonts w:cs="Calibri"/>
          <w:szCs w:val="24"/>
        </w:rPr>
        <w:t xml:space="preserve"> (Qld) at which no processing activity involving dangerous goods, including explosives, is carried out.</w:t>
      </w:r>
    </w:p>
    <w:p w14:paraId="345FE63C" w14:textId="46CDA53C"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In SA under section 530 of the Work Health and Safety Regulations 2012 </w:t>
      </w:r>
      <w:r w:rsidR="00DF0EEA">
        <w:rPr>
          <w:rFonts w:cs="Calibri"/>
          <w:szCs w:val="24"/>
        </w:rPr>
        <w:t>(SA)</w:t>
      </w:r>
      <w:r w:rsidRPr="00BA14E9">
        <w:rPr>
          <w:rFonts w:cs="Calibri"/>
          <w:szCs w:val="24"/>
        </w:rPr>
        <w:t xml:space="preserve"> provides that Chapter 9 does not apply to a transmission pipeline licensed under the </w:t>
      </w:r>
      <w:r w:rsidRPr="00BA14E9">
        <w:rPr>
          <w:rFonts w:cs="Calibri"/>
          <w:i/>
          <w:iCs/>
          <w:szCs w:val="24"/>
        </w:rPr>
        <w:t xml:space="preserve">Petroleum </w:t>
      </w:r>
      <w:r w:rsidRPr="00BA14E9">
        <w:rPr>
          <w:rFonts w:cs="Calibri"/>
          <w:i/>
          <w:iCs/>
          <w:szCs w:val="24"/>
        </w:rPr>
        <w:lastRenderedPageBreak/>
        <w:t xml:space="preserve">and Geothermal Energy Act 2000 </w:t>
      </w:r>
      <w:r w:rsidRPr="00BA14E9">
        <w:rPr>
          <w:rFonts w:cs="Calibri"/>
          <w:szCs w:val="24"/>
        </w:rPr>
        <w:t xml:space="preserve">(SA) or the </w:t>
      </w:r>
      <w:r w:rsidRPr="00BA14E9">
        <w:rPr>
          <w:rFonts w:cs="Calibri"/>
          <w:i/>
          <w:iCs/>
          <w:szCs w:val="24"/>
        </w:rPr>
        <w:t>Petroleum (Submerged Lands) Act 1982</w:t>
      </w:r>
      <w:r w:rsidRPr="00BA14E9">
        <w:rPr>
          <w:rFonts w:cs="Calibri"/>
          <w:szCs w:val="24"/>
        </w:rPr>
        <w:t xml:space="preserve"> (SA).</w:t>
      </w:r>
    </w:p>
    <w:p w14:paraId="5E104D6F" w14:textId="2F0367A8"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In Tasmania under section 530 of the Work Health and Safety Regulations 2022 </w:t>
      </w:r>
      <w:r w:rsidR="00DF0EEA">
        <w:rPr>
          <w:rFonts w:cs="Calibri"/>
          <w:szCs w:val="24"/>
        </w:rPr>
        <w:t>(Tas)</w:t>
      </w:r>
      <w:r w:rsidRPr="00BA14E9">
        <w:rPr>
          <w:rFonts w:cs="Calibri"/>
          <w:szCs w:val="24"/>
        </w:rPr>
        <w:t xml:space="preserve"> Chapter 9 does not apply in relation to a facility that is regulated by the National Offshore Petroleum Safety and Environmental Management Authority under the </w:t>
      </w:r>
      <w:r w:rsidRPr="00BA14E9">
        <w:rPr>
          <w:rFonts w:cs="Calibri"/>
          <w:i/>
          <w:iCs/>
          <w:szCs w:val="24"/>
        </w:rPr>
        <w:t xml:space="preserve">Offshore Petroleum and Greenhouse Gas Storage Act 2006 </w:t>
      </w:r>
      <w:r w:rsidRPr="00BA14E9">
        <w:rPr>
          <w:rFonts w:cs="Calibri"/>
          <w:szCs w:val="24"/>
        </w:rPr>
        <w:t>(</w:t>
      </w:r>
      <w:proofErr w:type="spellStart"/>
      <w:r w:rsidRPr="00BA14E9">
        <w:rPr>
          <w:rFonts w:cs="Calibri"/>
          <w:szCs w:val="24"/>
        </w:rPr>
        <w:t>Cth</w:t>
      </w:r>
      <w:proofErr w:type="spellEnd"/>
      <w:r w:rsidRPr="00BA14E9">
        <w:rPr>
          <w:rFonts w:cs="Calibri"/>
          <w:szCs w:val="24"/>
        </w:rPr>
        <w:t xml:space="preserve">) or the </w:t>
      </w:r>
      <w:r w:rsidRPr="00BA14E9">
        <w:rPr>
          <w:rFonts w:cs="Calibri"/>
          <w:i/>
          <w:iCs/>
          <w:szCs w:val="24"/>
        </w:rPr>
        <w:t>Petroleum (Submerged Lands) Act 1982</w:t>
      </w:r>
      <w:r w:rsidRPr="00BA14E9">
        <w:rPr>
          <w:rFonts w:cs="Calibri"/>
          <w:szCs w:val="24"/>
        </w:rPr>
        <w:t xml:space="preserve"> (Tas) or in relation to a pipeline or distribution system (other than a pipeline facility within the meaning of the </w:t>
      </w:r>
      <w:r w:rsidRPr="00BA14E9">
        <w:rPr>
          <w:rFonts w:cs="Calibri"/>
          <w:i/>
          <w:szCs w:val="24"/>
        </w:rPr>
        <w:t>Gas Safety Act 2019</w:t>
      </w:r>
      <w:r w:rsidRPr="00BA14E9">
        <w:rPr>
          <w:rFonts w:cs="Calibri"/>
          <w:szCs w:val="24"/>
        </w:rPr>
        <w:t xml:space="preserve"> (Tas), the operation of which requires a licence under the </w:t>
      </w:r>
      <w:r w:rsidRPr="00BA14E9">
        <w:rPr>
          <w:rFonts w:cs="Calibri"/>
          <w:i/>
          <w:szCs w:val="24"/>
        </w:rPr>
        <w:t xml:space="preserve">Gas Industry Act 2019 </w:t>
      </w:r>
      <w:r w:rsidRPr="00BA14E9">
        <w:rPr>
          <w:rFonts w:cs="Calibri"/>
          <w:szCs w:val="24"/>
        </w:rPr>
        <w:t>(Tas).</w:t>
      </w:r>
    </w:p>
    <w:p w14:paraId="327779A9" w14:textId="4B4CAB06" w:rsidR="00A90A06" w:rsidRPr="00BA14E9" w:rsidRDefault="00A90A06" w:rsidP="00F17B20">
      <w:pPr>
        <w:pStyle w:val="ListParagraph"/>
        <w:numPr>
          <w:ilvl w:val="0"/>
          <w:numId w:val="54"/>
        </w:numPr>
        <w:contextualSpacing w:val="0"/>
        <w:rPr>
          <w:rFonts w:cs="Calibri"/>
          <w:szCs w:val="24"/>
        </w:rPr>
      </w:pPr>
      <w:r w:rsidRPr="00BA14E9">
        <w:rPr>
          <w:rFonts w:cs="Calibri"/>
          <w:szCs w:val="24"/>
        </w:rPr>
        <w:t xml:space="preserve">As noted above in Victoria section 356 of the Occupational Health and Safety Regulations 2017 </w:t>
      </w:r>
      <w:r w:rsidR="00B94106">
        <w:rPr>
          <w:rFonts w:cs="Calibri"/>
          <w:szCs w:val="24"/>
        </w:rPr>
        <w:t xml:space="preserve">(Vic) </w:t>
      </w:r>
      <w:r w:rsidRPr="00BA14E9">
        <w:rPr>
          <w:rFonts w:cs="Calibri"/>
          <w:szCs w:val="24"/>
        </w:rPr>
        <w:t xml:space="preserve">provides that Part 5.2 MHF does </w:t>
      </w:r>
      <w:r w:rsidR="00B450BC">
        <w:rPr>
          <w:rFonts w:cs="Calibri"/>
          <w:szCs w:val="24"/>
        </w:rPr>
        <w:t xml:space="preserve">not </w:t>
      </w:r>
      <w:r w:rsidRPr="00BA14E9">
        <w:rPr>
          <w:rFonts w:cs="Calibri"/>
          <w:szCs w:val="24"/>
        </w:rPr>
        <w:t xml:space="preserve">apply to a pipeline licensed in respect of which a licence has been issued under the </w:t>
      </w:r>
      <w:r w:rsidRPr="00BA14E9">
        <w:rPr>
          <w:rFonts w:cs="Calibri"/>
          <w:i/>
          <w:iCs/>
          <w:szCs w:val="24"/>
        </w:rPr>
        <w:t>Pipelines Act 2005</w:t>
      </w:r>
      <w:r w:rsidRPr="00BA14E9">
        <w:rPr>
          <w:rFonts w:cs="Calibri"/>
          <w:szCs w:val="24"/>
        </w:rPr>
        <w:t xml:space="preserve"> (Vic) or a distribution pipeline within the meaning of the </w:t>
      </w:r>
      <w:r w:rsidRPr="00BA14E9">
        <w:rPr>
          <w:rFonts w:cs="Calibri"/>
          <w:i/>
          <w:iCs/>
          <w:szCs w:val="24"/>
        </w:rPr>
        <w:t>Gas Industry Act 2001</w:t>
      </w:r>
      <w:r w:rsidRPr="00BA14E9">
        <w:rPr>
          <w:rFonts w:cs="Calibri"/>
          <w:szCs w:val="24"/>
        </w:rPr>
        <w:t xml:space="preserve"> (Vic).</w:t>
      </w:r>
    </w:p>
    <w:p w14:paraId="2C83162C" w14:textId="1E320694" w:rsidR="00A90A06" w:rsidRPr="00BA14E9" w:rsidRDefault="00A90A06" w:rsidP="00F17B20">
      <w:pPr>
        <w:pStyle w:val="ListParagraph"/>
        <w:numPr>
          <w:ilvl w:val="0"/>
          <w:numId w:val="54"/>
        </w:numPr>
        <w:contextualSpacing w:val="0"/>
        <w:rPr>
          <w:rFonts w:cs="Calibri"/>
          <w:szCs w:val="24"/>
        </w:rPr>
      </w:pPr>
      <w:r w:rsidRPr="00BA14E9">
        <w:rPr>
          <w:rFonts w:cs="Calibri"/>
          <w:szCs w:val="24"/>
        </w:rPr>
        <w:t>In WA, MHFs</w:t>
      </w:r>
      <w:r w:rsidR="00ED1933">
        <w:rPr>
          <w:rFonts w:cs="Calibri"/>
          <w:szCs w:val="24"/>
        </w:rPr>
        <w:t xml:space="preserve"> and </w:t>
      </w:r>
      <w:r w:rsidR="00390E71">
        <w:rPr>
          <w:rFonts w:cs="Calibri"/>
          <w:szCs w:val="24"/>
        </w:rPr>
        <w:t xml:space="preserve">Dangerous </w:t>
      </w:r>
      <w:r w:rsidR="003B2F93">
        <w:rPr>
          <w:rFonts w:cs="Calibri"/>
          <w:szCs w:val="24"/>
        </w:rPr>
        <w:t>Goods Sites</w:t>
      </w:r>
      <w:r w:rsidRPr="00BA14E9">
        <w:rPr>
          <w:rFonts w:cs="Calibri"/>
          <w:szCs w:val="24"/>
        </w:rPr>
        <w:t xml:space="preserve"> are regulated </w:t>
      </w:r>
      <w:r w:rsidR="00FA3333">
        <w:rPr>
          <w:rFonts w:cs="Calibri"/>
          <w:szCs w:val="24"/>
        </w:rPr>
        <w:t>under</w:t>
      </w:r>
      <w:r w:rsidRPr="00BA14E9">
        <w:rPr>
          <w:rFonts w:cs="Calibri"/>
          <w:szCs w:val="24"/>
        </w:rPr>
        <w:t xml:space="preserve"> the Dangerous Goods Safety (Major Hazard Facilities) Regulations 2007 </w:t>
      </w:r>
      <w:r w:rsidR="00B94106">
        <w:rPr>
          <w:rFonts w:cs="Calibri"/>
          <w:szCs w:val="24"/>
        </w:rPr>
        <w:t>(WA)</w:t>
      </w:r>
      <w:r w:rsidRPr="00BA14E9">
        <w:rPr>
          <w:rFonts w:cs="Calibri"/>
          <w:szCs w:val="24"/>
        </w:rPr>
        <w:t xml:space="preserve"> </w:t>
      </w:r>
      <w:r w:rsidR="00093889">
        <w:rPr>
          <w:rFonts w:cs="Calibri"/>
          <w:szCs w:val="24"/>
        </w:rPr>
        <w:t>and Dangerous Goods Safety</w:t>
      </w:r>
      <w:r w:rsidRPr="00BA14E9">
        <w:rPr>
          <w:rFonts w:cs="Calibri"/>
          <w:szCs w:val="24"/>
        </w:rPr>
        <w:t xml:space="preserve"> </w:t>
      </w:r>
      <w:r w:rsidR="00C53475">
        <w:rPr>
          <w:rFonts w:cs="Calibri"/>
          <w:szCs w:val="24"/>
        </w:rPr>
        <w:t>(</w:t>
      </w:r>
      <w:r w:rsidR="00A0067B">
        <w:rPr>
          <w:rFonts w:cs="Calibri"/>
          <w:szCs w:val="24"/>
        </w:rPr>
        <w:t>Storage and Handling of Non</w:t>
      </w:r>
      <w:r w:rsidR="00867C73">
        <w:rPr>
          <w:rFonts w:cs="Calibri"/>
          <w:szCs w:val="24"/>
        </w:rPr>
        <w:t>-explosives</w:t>
      </w:r>
      <w:r w:rsidR="00C53475">
        <w:rPr>
          <w:rFonts w:cs="Calibri"/>
          <w:szCs w:val="24"/>
        </w:rPr>
        <w:t>)</w:t>
      </w:r>
      <w:r w:rsidR="00867C73">
        <w:rPr>
          <w:rFonts w:cs="Calibri"/>
          <w:szCs w:val="24"/>
        </w:rPr>
        <w:t xml:space="preserve"> Regulations 2007</w:t>
      </w:r>
      <w:r w:rsidR="00B94106">
        <w:rPr>
          <w:rFonts w:cs="Calibri"/>
          <w:szCs w:val="24"/>
        </w:rPr>
        <w:t xml:space="preserve"> (WA)</w:t>
      </w:r>
      <w:r w:rsidR="005F4D02">
        <w:rPr>
          <w:rFonts w:cs="Calibri"/>
          <w:szCs w:val="24"/>
        </w:rPr>
        <w:t>,</w:t>
      </w:r>
      <w:r w:rsidRPr="00BA14E9">
        <w:rPr>
          <w:rFonts w:cs="Calibri"/>
          <w:szCs w:val="24"/>
        </w:rPr>
        <w:t xml:space="preserve"> </w:t>
      </w:r>
      <w:r w:rsidR="005F4D02">
        <w:rPr>
          <w:rFonts w:cs="Calibri"/>
          <w:szCs w:val="24"/>
        </w:rPr>
        <w:t>each enacted</w:t>
      </w:r>
      <w:r w:rsidRPr="00BA14E9">
        <w:rPr>
          <w:rFonts w:cs="Calibri"/>
          <w:szCs w:val="24"/>
        </w:rPr>
        <w:t xml:space="preserve"> under the </w:t>
      </w:r>
      <w:r w:rsidRPr="00BA14E9">
        <w:rPr>
          <w:rFonts w:cs="Calibri"/>
          <w:i/>
          <w:iCs/>
          <w:szCs w:val="24"/>
        </w:rPr>
        <w:t>Dangerous Goods Safety Act 2004</w:t>
      </w:r>
      <w:r w:rsidRPr="00BA14E9">
        <w:rPr>
          <w:rFonts w:cs="Calibri"/>
          <w:szCs w:val="24"/>
        </w:rPr>
        <w:t xml:space="preserve"> (WA)</w:t>
      </w:r>
    </w:p>
    <w:p w14:paraId="3BF65E4A" w14:textId="77777777" w:rsidR="00A90A06" w:rsidRPr="00BA14E9" w:rsidRDefault="00A90A06" w:rsidP="00A90A06">
      <w:pPr>
        <w:rPr>
          <w:rFonts w:cs="Calibri"/>
        </w:rPr>
      </w:pPr>
      <w:r w:rsidRPr="00BA14E9">
        <w:rPr>
          <w:rFonts w:cs="Calibri"/>
          <w:szCs w:val="24"/>
        </w:rPr>
        <w:t>In this context hydrogen pipeline proponents should check and seek advice on the application of MHF provisions in each Australian jurisdiction.</w:t>
      </w:r>
    </w:p>
    <w:p w14:paraId="758C2195" w14:textId="4BFB4288" w:rsidR="00A90A06" w:rsidRPr="00BA14E9" w:rsidRDefault="00A90A06" w:rsidP="00A90A06">
      <w:pPr>
        <w:rPr>
          <w:rFonts w:cs="Calibri"/>
        </w:rPr>
      </w:pPr>
      <w:r w:rsidRPr="00BA14E9">
        <w:rPr>
          <w:rFonts w:cs="Calibri"/>
        </w:rPr>
        <w:t>If the pipeline is not subject to the disapplication provisions or is not exempt then in Australia, the threshold for the regulator to determine whether a pipeline is classified as an MHF is based on the quantity of hazardous materials present</w:t>
      </w:r>
      <w:r w:rsidR="00860FA5">
        <w:rPr>
          <w:rFonts w:cs="Calibri"/>
        </w:rPr>
        <w:t xml:space="preserve"> or likely to be present</w:t>
      </w:r>
      <w:r w:rsidRPr="00BA14E9">
        <w:rPr>
          <w:rFonts w:cs="Calibri"/>
        </w:rPr>
        <w:t>. For hydrogen, the threshold is set at 50 tonnes. If a pipeline stores, handles, or processes 50 tonnes or more of hydrogen, it is considered an MHF.</w:t>
      </w:r>
    </w:p>
    <w:p w14:paraId="1BF15621" w14:textId="1DCEB36B" w:rsidR="00A90A06" w:rsidRPr="00BA14E9" w:rsidRDefault="00A90A06" w:rsidP="00A90A06">
      <w:pPr>
        <w:spacing w:line="278" w:lineRule="auto"/>
      </w:pPr>
      <w:r w:rsidRPr="00BA14E9">
        <w:t xml:space="preserve">A hydrogen pipeline becomes a MHF </w:t>
      </w:r>
      <w:r w:rsidR="00F36C3F">
        <w:t xml:space="preserve">upon determination by the regulator. </w:t>
      </w:r>
      <w:r w:rsidRPr="00BA14E9">
        <w:t>Hydrogen is classified as a Class 2.1 flammable gas, and once its volume</w:t>
      </w:r>
      <w:r w:rsidR="000E4FC2">
        <w:t xml:space="preserve"> </w:t>
      </w:r>
      <w:r w:rsidR="003B22D0">
        <w:t>/</w:t>
      </w:r>
      <w:r w:rsidR="000E4FC2">
        <w:t xml:space="preserve"> </w:t>
      </w:r>
      <w:r w:rsidR="005C36FC">
        <w:t>mass</w:t>
      </w:r>
      <w:r w:rsidRPr="00BA14E9">
        <w:t xml:space="preserve"> crosses the regulatory limit, the pipeline operator is legally required to notify the WHS regulator and comply with MHF obligations.</w:t>
      </w:r>
    </w:p>
    <w:p w14:paraId="1481F35A" w14:textId="0DD0B902" w:rsidR="00A90A06" w:rsidRPr="00BA14E9" w:rsidRDefault="00A90A06" w:rsidP="00A90A06">
      <w:r w:rsidRPr="00BA14E9">
        <w:t xml:space="preserve">Even if the threshold isn’t exceeded, the regulator may still declare </w:t>
      </w:r>
      <w:r w:rsidR="00341D5A">
        <w:t>a</w:t>
      </w:r>
      <w:r w:rsidR="00341D5A" w:rsidRPr="00BA14E9">
        <w:t xml:space="preserve"> </w:t>
      </w:r>
      <w:r w:rsidRPr="00BA14E9">
        <w:t xml:space="preserve">pipeline </w:t>
      </w:r>
      <w:r w:rsidR="00341D5A">
        <w:t xml:space="preserve">that triggers the notification thresholds to be </w:t>
      </w:r>
      <w:r w:rsidRPr="00BA14E9">
        <w:t>an MHF if it poses a significant risk of a major incident. This triggers requirements such as developing a Safety Management System, conducting a safety assessment, and submitting a safety case to demonstrate risk controls.</w:t>
      </w:r>
    </w:p>
    <w:p w14:paraId="5861827C" w14:textId="5864B4FD" w:rsidR="00A90A06" w:rsidRPr="00BA14E9" w:rsidRDefault="00A90A06" w:rsidP="00A90A06">
      <w:pPr>
        <w:rPr>
          <w:rFonts w:cs="Calibri"/>
        </w:rPr>
      </w:pPr>
      <w:r w:rsidRPr="00BA14E9">
        <w:t xml:space="preserve">In short, a hydrogen pipeline becomes an MHF (unless the MHF provisions are disapplied or there is an exemption in place) when its scale or risk profile demands the highest level of safety oversight. </w:t>
      </w:r>
      <w:r w:rsidRPr="00BA14E9">
        <w:rPr>
          <w:rFonts w:cs="Calibri"/>
        </w:rPr>
        <w:t xml:space="preserve">Pipelines that have or are likely to have hazardous materials in quantities exceeding 10% of the threshold (5 tonnes for hydrogen) must notify the relevant regulator. This notification ensures that the regulator is aware of the potential risks and can determine whether the pipeline should be classified as an MHF. </w:t>
      </w:r>
    </w:p>
    <w:p w14:paraId="353EDFD7" w14:textId="77777777" w:rsidR="00A90A06" w:rsidRPr="00BA14E9" w:rsidRDefault="00A90A06" w:rsidP="00A90A06">
      <w:pPr>
        <w:rPr>
          <w:rFonts w:cs="Calibri"/>
        </w:rPr>
      </w:pPr>
      <w:r w:rsidRPr="00BA14E9">
        <w:rPr>
          <w:rFonts w:cs="Calibri"/>
        </w:rPr>
        <w:lastRenderedPageBreak/>
        <w:t>The approach under the Health &amp; Safety Legislation ensures that MHFs are managed safely, with ongoing regulatory oversight and compliance with regulatory requirements to protect workers, the public, and the environment from potential hazards.</w:t>
      </w:r>
    </w:p>
    <w:p w14:paraId="782AD6CB" w14:textId="77777777" w:rsidR="00401DAF" w:rsidRDefault="00401DAF">
      <w:pPr>
        <w:rPr>
          <w:rStyle w:val="Heading1Char"/>
        </w:rPr>
      </w:pPr>
      <w:bookmarkStart w:id="96" w:name="_Toc215654651"/>
      <w:bookmarkStart w:id="97" w:name="_Toc215810544"/>
      <w:bookmarkStart w:id="98" w:name="_Toc200490190"/>
      <w:bookmarkEnd w:id="95"/>
      <w:bookmarkEnd w:id="96"/>
      <w:bookmarkEnd w:id="97"/>
      <w:r>
        <w:rPr>
          <w:rStyle w:val="Heading1Char"/>
        </w:rPr>
        <w:br w:type="page"/>
      </w:r>
    </w:p>
    <w:p w14:paraId="72D19BB3" w14:textId="507983FF" w:rsidR="00C23616" w:rsidRPr="00BA14E9" w:rsidRDefault="0077213F" w:rsidP="00F634FE">
      <w:pPr>
        <w:pStyle w:val="Heading1"/>
      </w:pPr>
      <w:bookmarkStart w:id="99" w:name="_Toc222925518"/>
      <w:r w:rsidRPr="00F634FE">
        <w:rPr>
          <w:rStyle w:val="Heading1Char"/>
        </w:rPr>
        <w:lastRenderedPageBreak/>
        <w:t xml:space="preserve">Chapter </w:t>
      </w:r>
      <w:r w:rsidR="0068670A">
        <w:rPr>
          <w:rStyle w:val="Heading1Char"/>
        </w:rPr>
        <w:t>7</w:t>
      </w:r>
      <w:r w:rsidRPr="00F634FE">
        <w:rPr>
          <w:rStyle w:val="Heading1Char"/>
        </w:rPr>
        <w:t xml:space="preserve"> – Other safety laws</w:t>
      </w:r>
      <w:bookmarkEnd w:id="99"/>
    </w:p>
    <w:p w14:paraId="2A492531" w14:textId="474C5B3A" w:rsidR="005A371B" w:rsidRPr="00BA14E9" w:rsidDel="00AA6E32" w:rsidRDefault="001A1D0C" w:rsidP="00E83908">
      <w:pPr>
        <w:pStyle w:val="Heading2"/>
      </w:pPr>
      <w:bookmarkStart w:id="100" w:name="_Toc215810576"/>
      <w:bookmarkStart w:id="101" w:name="_Toc200490191"/>
      <w:bookmarkStart w:id="102" w:name="_Toc222925519"/>
      <w:bookmarkEnd w:id="98"/>
      <w:bookmarkEnd w:id="100"/>
      <w:r w:rsidRPr="00BA14E9">
        <w:t>Dangerous Goods and Substances</w:t>
      </w:r>
      <w:bookmarkEnd w:id="102"/>
    </w:p>
    <w:p w14:paraId="0170A5EC" w14:textId="22CA77ED" w:rsidR="00C23616" w:rsidRPr="00BA14E9" w:rsidRDefault="00C23616" w:rsidP="00C23616">
      <w:r w:rsidRPr="00BA14E9">
        <w:t>Further reading in Hydrogen Production Guidebook</w:t>
      </w:r>
    </w:p>
    <w:p w14:paraId="6B07DC45" w14:textId="77777777" w:rsidR="00C23616" w:rsidRPr="00BA14E9" w:rsidRDefault="00C23616" w:rsidP="005656FA">
      <w:pPr>
        <w:pStyle w:val="ListParagraph"/>
        <w:numPr>
          <w:ilvl w:val="0"/>
          <w:numId w:val="62"/>
        </w:numPr>
        <w:contextualSpacing w:val="0"/>
      </w:pPr>
      <w:r w:rsidRPr="00BA14E9">
        <w:t>Annexure 3, Table 3.6 – Application of dangerous goods / substances laws to hydrogen</w:t>
      </w:r>
    </w:p>
    <w:p w14:paraId="2D5683B7" w14:textId="22B974E0" w:rsidR="00C23616" w:rsidRPr="00BA14E9" w:rsidRDefault="00C23616" w:rsidP="005656FA">
      <w:pPr>
        <w:pStyle w:val="ListParagraph"/>
        <w:numPr>
          <w:ilvl w:val="0"/>
          <w:numId w:val="62"/>
        </w:numPr>
        <w:contextualSpacing w:val="0"/>
      </w:pPr>
      <w:r w:rsidRPr="00BA14E9">
        <w:t xml:space="preserve">Annexure 3, Table 3.7 – Examples of </w:t>
      </w:r>
      <w:r w:rsidR="009F0D21" w:rsidRPr="00BA14E9">
        <w:t>dangerous goods / substances obligations applying to hydrogen</w:t>
      </w:r>
    </w:p>
    <w:p w14:paraId="53248CFC" w14:textId="77777777" w:rsidR="001A1D0C" w:rsidRPr="00BA14E9" w:rsidRDefault="001A1D0C" w:rsidP="001A1D0C">
      <w:pPr>
        <w:rPr>
          <w:rFonts w:cs="Calibri"/>
        </w:rPr>
      </w:pPr>
      <w:r w:rsidRPr="00BA14E9">
        <w:rPr>
          <w:rFonts w:cs="Calibri"/>
        </w:rPr>
        <w:t xml:space="preserve">Dangerous goods (or dangerous substances) legislation aims to keep people and property safe from dangerous goods and explosives. </w:t>
      </w:r>
    </w:p>
    <w:p w14:paraId="3C4184A0" w14:textId="77777777" w:rsidR="001A1D0C" w:rsidRPr="00BA14E9" w:rsidRDefault="001A1D0C" w:rsidP="001A1D0C">
      <w:pPr>
        <w:rPr>
          <w:rFonts w:cs="Calibri"/>
        </w:rPr>
      </w:pPr>
      <w:r w:rsidRPr="00BA14E9">
        <w:rPr>
          <w:rFonts w:cs="Calibri"/>
        </w:rPr>
        <w:t>In Australia, pipelines used to convey hazardous materials such as hydrogen are subject to a layered regulatory framework that spans dangerous goods laws, hazardous chemicals regulations, and pipeline-specific safety standards. These laws are designed to manage the risks associated with the storage, handling, and transfer of substances that pose threats to human health, property, and the environment.</w:t>
      </w:r>
    </w:p>
    <w:p w14:paraId="008EC139" w14:textId="490EC94F" w:rsidR="00975E3C" w:rsidRPr="00BA14E9" w:rsidRDefault="001A1D0C" w:rsidP="005F68E3">
      <w:pPr>
        <w:rPr>
          <w:rFonts w:cs="Calibri"/>
        </w:rPr>
      </w:pPr>
      <w:r w:rsidRPr="00BA14E9">
        <w:rPr>
          <w:rFonts w:cs="Calibri"/>
        </w:rPr>
        <w:t xml:space="preserve">Under state and territory dangerous goods legislation, pipelines that carry dangerous goods must often be registered and comply with specific safety obligations. </w:t>
      </w:r>
      <w:r w:rsidR="005F68E3" w:rsidRPr="00BA14E9">
        <w:rPr>
          <w:rFonts w:cs="Calibri"/>
        </w:rPr>
        <w:t xml:space="preserve">Not all jurisdictions have specific dangerous goods or dangerous substances </w:t>
      </w:r>
      <w:r w:rsidR="00975E3C" w:rsidRPr="00BA14E9">
        <w:rPr>
          <w:rFonts w:cs="Calibri"/>
        </w:rPr>
        <w:t>legislation,</w:t>
      </w:r>
      <w:r w:rsidR="005F68E3" w:rsidRPr="00BA14E9">
        <w:rPr>
          <w:rFonts w:cs="Calibri"/>
        </w:rPr>
        <w:t xml:space="preserve"> or the legislation does not apply to pipelines. </w:t>
      </w:r>
      <w:r w:rsidR="0003607A">
        <w:rPr>
          <w:rFonts w:cs="Calibri"/>
        </w:rPr>
        <w:t xml:space="preserve">Annexure 2, Table </w:t>
      </w:r>
      <w:r w:rsidR="000E054C">
        <w:rPr>
          <w:rFonts w:cs="Calibri"/>
        </w:rPr>
        <w:t xml:space="preserve">2.10 discusses the interaction </w:t>
      </w:r>
      <w:r w:rsidR="000E7173">
        <w:rPr>
          <w:rFonts w:cs="Calibri"/>
        </w:rPr>
        <w:t xml:space="preserve">pipelines legislation, WHS </w:t>
      </w:r>
      <w:r w:rsidR="00F75D0C">
        <w:rPr>
          <w:rFonts w:cs="Calibri"/>
        </w:rPr>
        <w:t>Laws and dangerous goods legislation.</w:t>
      </w:r>
    </w:p>
    <w:p w14:paraId="568802E9" w14:textId="3D4D5E8F" w:rsidR="005F68E3" w:rsidRPr="00BA14E9" w:rsidRDefault="005F68E3" w:rsidP="005F68E3">
      <w:pPr>
        <w:rPr>
          <w:rFonts w:cs="Calibri"/>
        </w:rPr>
      </w:pPr>
      <w:r w:rsidRPr="00BA14E9">
        <w:rPr>
          <w:rFonts w:cs="Calibri"/>
        </w:rPr>
        <w:t xml:space="preserve">Only the Northern Territory, South Australia, Victoria and Western Australia have standalone dangerous goods laws (refer to </w:t>
      </w:r>
      <w:r w:rsidR="00BE32F0">
        <w:rPr>
          <w:rFonts w:cs="Calibri"/>
        </w:rPr>
        <w:t xml:space="preserve">Production Guidebook </w:t>
      </w:r>
      <w:r w:rsidRPr="00BA14E9">
        <w:rPr>
          <w:rFonts w:cs="Calibri"/>
        </w:rPr>
        <w:t>Annexure 3, table 3.5). In jurisdictions that do not have specific dangerous goods laws hydrogen is regulated through a combination of the other safety regimes identified in this chapter (</w:t>
      </w:r>
      <w:r w:rsidR="003A6F86">
        <w:rPr>
          <w:rFonts w:cs="Calibri"/>
        </w:rPr>
        <w:t xml:space="preserve">for </w:t>
      </w:r>
      <w:r w:rsidR="000A71ED">
        <w:rPr>
          <w:rFonts w:cs="Calibri"/>
        </w:rPr>
        <w:t>example,</w:t>
      </w:r>
      <w:r w:rsidRPr="00BA14E9">
        <w:rPr>
          <w:rFonts w:cs="Calibri"/>
        </w:rPr>
        <w:t xml:space="preserve"> Health &amp; Safety Legislation, primary and general duties of care, whole-of-facility regulation, and plant and equipment regulation). </w:t>
      </w:r>
    </w:p>
    <w:p w14:paraId="4FFF40CD" w14:textId="57F122BE" w:rsidR="00975E3C" w:rsidRPr="00BA14E9" w:rsidRDefault="00975E3C" w:rsidP="00975E3C">
      <w:pPr>
        <w:rPr>
          <w:rFonts w:cs="Calibri"/>
        </w:rPr>
      </w:pPr>
      <w:r w:rsidRPr="00BA14E9">
        <w:rPr>
          <w:rFonts w:cs="Calibri"/>
          <w:color w:val="000000" w:themeColor="text1"/>
        </w:rPr>
        <w:t>In South Australia, Victoria and Western Australia, d</w:t>
      </w:r>
      <w:r w:rsidRPr="00BA14E9">
        <w:rPr>
          <w:rFonts w:cs="Calibri"/>
        </w:rPr>
        <w:t xml:space="preserve">angerous goods legislation defines dangerous goods by reference to the </w:t>
      </w:r>
      <w:r w:rsidR="00DA388C">
        <w:rPr>
          <w:rFonts w:cs="Calibri"/>
        </w:rPr>
        <w:t xml:space="preserve">Australian </w:t>
      </w:r>
      <w:r w:rsidR="000C1C59">
        <w:rPr>
          <w:rFonts w:cs="Calibri"/>
        </w:rPr>
        <w:t xml:space="preserve">Code </w:t>
      </w:r>
      <w:r w:rsidR="00AA0BE5">
        <w:rPr>
          <w:rFonts w:cs="Calibri"/>
        </w:rPr>
        <w:t>for the Transport</w:t>
      </w:r>
      <w:r w:rsidRPr="00BA14E9">
        <w:rPr>
          <w:rFonts w:cs="Calibri"/>
        </w:rPr>
        <w:t xml:space="preserve"> </w:t>
      </w:r>
      <w:r w:rsidR="0062135B">
        <w:rPr>
          <w:rFonts w:cs="Calibri"/>
        </w:rPr>
        <w:t>of Dangerous Goods by Road and Rail</w:t>
      </w:r>
      <w:r w:rsidRPr="00BA14E9">
        <w:rPr>
          <w:rFonts w:cs="Calibri"/>
        </w:rPr>
        <w:t xml:space="preserve"> </w:t>
      </w:r>
      <w:r w:rsidR="00DA388C">
        <w:rPr>
          <w:rFonts w:cs="Calibri"/>
        </w:rPr>
        <w:t>(</w:t>
      </w:r>
      <w:r w:rsidRPr="00BA14E9">
        <w:rPr>
          <w:rFonts w:cs="Calibri"/>
        </w:rPr>
        <w:t>ADG Code</w:t>
      </w:r>
      <w:r w:rsidR="00DA388C">
        <w:rPr>
          <w:rFonts w:cs="Calibri"/>
        </w:rPr>
        <w:t>)</w:t>
      </w:r>
      <w:r w:rsidRPr="00BA14E9">
        <w:rPr>
          <w:rFonts w:cs="Calibri"/>
        </w:rPr>
        <w:t>.</w:t>
      </w:r>
      <w:r w:rsidR="00976C84">
        <w:rPr>
          <w:rFonts w:cs="Calibri"/>
        </w:rPr>
        <w:t xml:space="preserve"> H</w:t>
      </w:r>
      <w:r w:rsidRPr="00BA14E9">
        <w:rPr>
          <w:rFonts w:cs="Calibri"/>
        </w:rPr>
        <w:t xml:space="preserve">ydrogen is classified as a division 2.1 flammable gas under the ADG Code and so will meet these definitions of dangerous goods. In the Northern Territory, the </w:t>
      </w:r>
      <w:r w:rsidRPr="00BA14E9">
        <w:rPr>
          <w:rFonts w:cs="Calibri"/>
          <w:i/>
        </w:rPr>
        <w:t>Dangerous Goods Act 1998</w:t>
      </w:r>
      <w:r w:rsidRPr="00BA14E9">
        <w:rPr>
          <w:rFonts w:cs="Calibri"/>
        </w:rPr>
        <w:t xml:space="preserve"> (NT) applies to hydrogen where it is a ‘fuel gas’ (see </w:t>
      </w:r>
      <w:r w:rsidR="00BE32F0">
        <w:rPr>
          <w:rFonts w:cs="Calibri"/>
        </w:rPr>
        <w:t xml:space="preserve">Production Guidebook: </w:t>
      </w:r>
      <w:r w:rsidRPr="00BA14E9">
        <w:rPr>
          <w:rFonts w:cs="Calibri"/>
        </w:rPr>
        <w:t>Annexure 3, table 3.6).</w:t>
      </w:r>
    </w:p>
    <w:p w14:paraId="6214A058" w14:textId="09DD92CC" w:rsidR="00975E3C" w:rsidRPr="00BA14E9" w:rsidRDefault="005F68E3" w:rsidP="00975E3C">
      <w:pPr>
        <w:rPr>
          <w:rFonts w:eastAsia="Times New Roman" w:cs="Calibri"/>
          <w:color w:val="000000"/>
          <w:szCs w:val="24"/>
          <w:lang w:eastAsia="en-AU"/>
        </w:rPr>
      </w:pPr>
      <w:r w:rsidRPr="00BA14E9">
        <w:rPr>
          <w:rFonts w:cs="Calibri"/>
        </w:rPr>
        <w:t xml:space="preserve">In the Northern Territory the </w:t>
      </w:r>
      <w:r w:rsidRPr="00BA14E9">
        <w:rPr>
          <w:rFonts w:cs="Calibri"/>
          <w:i/>
          <w:iCs/>
          <w:szCs w:val="24"/>
        </w:rPr>
        <w:t xml:space="preserve">Dangerous Goods Act 1998 </w:t>
      </w:r>
      <w:r w:rsidRPr="00BA14E9">
        <w:rPr>
          <w:rFonts w:cs="Calibri"/>
          <w:szCs w:val="24"/>
        </w:rPr>
        <w:t xml:space="preserve">(NT) </w:t>
      </w:r>
      <w:r w:rsidRPr="00BA14E9">
        <w:rPr>
          <w:rFonts w:eastAsia="Times New Roman" w:cs="Calibri"/>
          <w:color w:val="000000"/>
          <w:szCs w:val="24"/>
          <w:lang w:eastAsia="en-AU"/>
        </w:rPr>
        <w:t xml:space="preserve">does not apply to an activity involving dangerous goods to the extent that the activity is regulated under the WHS Act (hydrogen is regulated as a hazardous chemical, under the WHS Act). </w:t>
      </w:r>
      <w:r w:rsidRPr="00BA14E9">
        <w:rPr>
          <w:rFonts w:cs="Calibri"/>
          <w:szCs w:val="24"/>
        </w:rPr>
        <w:t xml:space="preserve">The </w:t>
      </w:r>
      <w:r w:rsidRPr="00BA14E9">
        <w:rPr>
          <w:rFonts w:cs="Calibri"/>
          <w:i/>
          <w:iCs/>
          <w:szCs w:val="24"/>
        </w:rPr>
        <w:t>Dangerous Goods Act 1998</w:t>
      </w:r>
      <w:r>
        <w:rPr>
          <w:rFonts w:cs="Calibri"/>
          <w:szCs w:val="24"/>
        </w:rPr>
        <w:t xml:space="preserve"> </w:t>
      </w:r>
      <w:r w:rsidR="00447EB7">
        <w:rPr>
          <w:rFonts w:cs="Calibri"/>
          <w:szCs w:val="24"/>
        </w:rPr>
        <w:t>(NT)</w:t>
      </w:r>
      <w:r w:rsidRPr="00BA14E9">
        <w:rPr>
          <w:rFonts w:cs="Calibri"/>
          <w:i/>
          <w:iCs/>
          <w:szCs w:val="24"/>
        </w:rPr>
        <w:t xml:space="preserve"> </w:t>
      </w:r>
      <w:r w:rsidRPr="00BA14E9">
        <w:rPr>
          <w:rFonts w:cs="Calibri"/>
          <w:szCs w:val="24"/>
        </w:rPr>
        <w:t xml:space="preserve">also does not apply to any pipelines licenced or regulated by the </w:t>
      </w:r>
      <w:r w:rsidRPr="00BA14E9">
        <w:rPr>
          <w:rFonts w:cs="Calibri"/>
          <w:i/>
          <w:iCs/>
          <w:szCs w:val="24"/>
        </w:rPr>
        <w:t xml:space="preserve">Energy Pipelines Act 1981 </w:t>
      </w:r>
      <w:r w:rsidRPr="00BA14E9">
        <w:rPr>
          <w:rFonts w:cs="Calibri"/>
          <w:szCs w:val="24"/>
        </w:rPr>
        <w:t>(NT).</w:t>
      </w:r>
      <w:r w:rsidR="00975E3C" w:rsidRPr="00BA14E9">
        <w:rPr>
          <w:rFonts w:cs="Calibri"/>
          <w:szCs w:val="24"/>
        </w:rPr>
        <w:t xml:space="preserve"> Nevertheless, h</w:t>
      </w:r>
      <w:r w:rsidR="00975E3C" w:rsidRPr="00BA14E9">
        <w:rPr>
          <w:rFonts w:eastAsia="Times New Roman" w:cs="Calibri"/>
          <w:color w:val="000000"/>
          <w:szCs w:val="24"/>
          <w:lang w:eastAsia="en-AU"/>
        </w:rPr>
        <w:t xml:space="preserve">ydrogen qualifies as a ‘fuel gas’ under regulation 3 of the </w:t>
      </w:r>
      <w:r w:rsidR="00975E3C" w:rsidRPr="00BA14E9">
        <w:rPr>
          <w:rFonts w:cs="Calibri"/>
          <w:i/>
          <w:iCs/>
          <w:szCs w:val="24"/>
        </w:rPr>
        <w:t>Dangerous Goods Regulations 1985</w:t>
      </w:r>
      <w:r w:rsidR="00975E3C">
        <w:rPr>
          <w:rFonts w:cs="Calibri"/>
          <w:szCs w:val="24"/>
        </w:rPr>
        <w:t xml:space="preserve"> </w:t>
      </w:r>
      <w:r w:rsidR="00920176">
        <w:rPr>
          <w:rFonts w:cs="Calibri"/>
          <w:szCs w:val="24"/>
        </w:rPr>
        <w:t>(NT)</w:t>
      </w:r>
      <w:r w:rsidR="00975E3C" w:rsidRPr="00BA14E9">
        <w:rPr>
          <w:rFonts w:cs="Calibri"/>
          <w:i/>
          <w:iCs/>
          <w:szCs w:val="24"/>
        </w:rPr>
        <w:t xml:space="preserve"> </w:t>
      </w:r>
      <w:r w:rsidR="00975E3C" w:rsidRPr="00BA14E9">
        <w:rPr>
          <w:rFonts w:eastAsia="Times New Roman" w:cs="Calibri"/>
          <w:color w:val="000000"/>
          <w:szCs w:val="24"/>
          <w:lang w:eastAsia="en-AU"/>
        </w:rPr>
        <w:t xml:space="preserve">because it is a gas that may be burned with air to produce heat or power. Accordingly, pipelines that convey hydrogen for any purpose that </w:t>
      </w:r>
      <w:r w:rsidR="00975E3C" w:rsidRPr="00BA14E9">
        <w:rPr>
          <w:rFonts w:eastAsia="Times New Roman" w:cs="Calibri"/>
          <w:color w:val="000000"/>
          <w:szCs w:val="24"/>
          <w:lang w:eastAsia="en-AU"/>
        </w:rPr>
        <w:lastRenderedPageBreak/>
        <w:t xml:space="preserve">involves or could involve combustion are fuel-gas pipelines for the purposes of Part 4, Division 2 of the Regulations, unless they are licensed under the </w:t>
      </w:r>
      <w:r w:rsidR="00975E3C" w:rsidRPr="00BA14E9">
        <w:rPr>
          <w:rFonts w:eastAsia="Times New Roman" w:cs="Calibri"/>
          <w:i/>
          <w:iCs/>
          <w:color w:val="000000"/>
          <w:szCs w:val="24"/>
          <w:lang w:eastAsia="en-AU"/>
        </w:rPr>
        <w:t>Energy Pipelines Act 1981</w:t>
      </w:r>
      <w:r w:rsidR="00975E3C" w:rsidRPr="00BA14E9">
        <w:rPr>
          <w:rFonts w:eastAsia="Times New Roman" w:cs="Calibri"/>
          <w:color w:val="000000"/>
          <w:szCs w:val="24"/>
          <w:lang w:eastAsia="en-AU"/>
        </w:rPr>
        <w:t xml:space="preserve"> (NT). The applicable obligations are in Part 3 of the </w:t>
      </w:r>
      <w:r w:rsidR="00975E3C" w:rsidRPr="00BA14E9">
        <w:rPr>
          <w:rFonts w:cs="Calibri"/>
          <w:i/>
          <w:iCs/>
          <w:szCs w:val="24"/>
        </w:rPr>
        <w:t xml:space="preserve">Dangerous Goods Act 1998 </w:t>
      </w:r>
      <w:r w:rsidR="00975E3C" w:rsidRPr="00BA14E9">
        <w:rPr>
          <w:rFonts w:cs="Calibri"/>
          <w:szCs w:val="24"/>
        </w:rPr>
        <w:t>(</w:t>
      </w:r>
      <w:r w:rsidR="00616208" w:rsidRPr="00BA14E9">
        <w:rPr>
          <w:rFonts w:cs="Calibri"/>
          <w:szCs w:val="24"/>
        </w:rPr>
        <w:t>NT</w:t>
      </w:r>
      <w:proofErr w:type="gramStart"/>
      <w:r w:rsidR="00616208" w:rsidRPr="00BA14E9">
        <w:rPr>
          <w:rFonts w:cs="Calibri"/>
          <w:szCs w:val="24"/>
        </w:rPr>
        <w:t>)</w:t>
      </w:r>
      <w:r w:rsidR="00975E3C" w:rsidRPr="00BA14E9">
        <w:rPr>
          <w:rFonts w:eastAsia="Times New Roman" w:cs="Calibri"/>
          <w:color w:val="000000"/>
          <w:szCs w:val="24"/>
          <w:lang w:eastAsia="en-AU"/>
        </w:rPr>
        <w:t>(</w:t>
      </w:r>
      <w:proofErr w:type="gramEnd"/>
      <w:r w:rsidR="00975E3C" w:rsidRPr="00BA14E9">
        <w:rPr>
          <w:rFonts w:eastAsia="Times New Roman" w:cs="Calibri"/>
          <w:color w:val="000000"/>
          <w:szCs w:val="24"/>
          <w:lang w:eastAsia="en-AU"/>
        </w:rPr>
        <w:t>which covers the general duties and offences in relation to dangerous goods), but these provisions will only apply where the WHS Act does not. A notice of commencement of gas work is required in relation to the construction or operation of a hydrogen pipeline. It would also apply to the construction and operation of a hydrogen pipeline given that the pipeline is supplying, using or distributing fuel gas.</w:t>
      </w:r>
    </w:p>
    <w:p w14:paraId="087B631F" w14:textId="05EC801A" w:rsidR="00F85177" w:rsidRPr="00BA14E9" w:rsidRDefault="00F85177" w:rsidP="00F85177">
      <w:pPr>
        <w:rPr>
          <w:rFonts w:eastAsia="Times New Roman" w:cs="Calibri"/>
          <w:color w:val="000000"/>
          <w:szCs w:val="24"/>
          <w:lang w:eastAsia="en-AU"/>
        </w:rPr>
      </w:pPr>
      <w:r w:rsidRPr="00BA14E9">
        <w:rPr>
          <w:rFonts w:cs="Calibri"/>
        </w:rPr>
        <w:t xml:space="preserve">In South Australia, </w:t>
      </w:r>
      <w:r w:rsidRPr="00BA14E9">
        <w:rPr>
          <w:rFonts w:eastAsia="Times New Roman" w:cs="Calibri"/>
          <w:color w:val="000000"/>
          <w:szCs w:val="24"/>
          <w:lang w:eastAsia="en-AU"/>
        </w:rPr>
        <w:t xml:space="preserve">the general duties under the </w:t>
      </w:r>
      <w:r w:rsidRPr="00BA14E9">
        <w:rPr>
          <w:rFonts w:eastAsia="Times New Roman" w:cs="Calibri"/>
          <w:i/>
          <w:iCs/>
          <w:color w:val="000000"/>
          <w:szCs w:val="24"/>
          <w:lang w:eastAsia="en-AU"/>
        </w:rPr>
        <w:t>Dangerous Substances Act 1979</w:t>
      </w:r>
      <w:r w:rsidRPr="00BA14E9">
        <w:rPr>
          <w:rFonts w:eastAsia="Times New Roman" w:cs="Calibri"/>
          <w:color w:val="000000"/>
          <w:szCs w:val="24"/>
          <w:lang w:eastAsia="en-AU"/>
        </w:rPr>
        <w:t xml:space="preserve"> (SA) apply to hydrogen pipelines. Hydrogen is a dangerous substance within the definitions of the Dangerous Substances (Dangerous Goods Transport) Regulations 2023 (SA) (the Regulations rely on the dangerous substances classifications of the Australian Code for the Transport of Dangerous Goods by Road &amp; Rail) and is accordingly regulated by the </w:t>
      </w:r>
      <w:r w:rsidRPr="00BA14E9">
        <w:rPr>
          <w:rFonts w:eastAsia="Times New Roman" w:cs="Calibri"/>
          <w:i/>
          <w:iCs/>
          <w:color w:val="000000"/>
          <w:szCs w:val="24"/>
          <w:lang w:eastAsia="en-AU"/>
        </w:rPr>
        <w:t xml:space="preserve">Dangerous Substances Act 1979 </w:t>
      </w:r>
      <w:r w:rsidRPr="00BA14E9">
        <w:rPr>
          <w:rFonts w:eastAsia="Times New Roman" w:cs="Calibri"/>
          <w:color w:val="000000"/>
          <w:szCs w:val="24"/>
          <w:lang w:eastAsia="en-AU"/>
        </w:rPr>
        <w:t xml:space="preserve">(SA). The </w:t>
      </w:r>
      <w:r w:rsidRPr="00BA14E9">
        <w:rPr>
          <w:rFonts w:eastAsia="Times New Roman" w:cs="Calibri"/>
          <w:i/>
          <w:color w:val="000000"/>
          <w:szCs w:val="24"/>
          <w:lang w:eastAsia="en-AU"/>
        </w:rPr>
        <w:t>Dangerous Substances Act</w:t>
      </w:r>
      <w:r w:rsidRPr="00BA14E9">
        <w:rPr>
          <w:rFonts w:eastAsia="Times New Roman" w:cs="Calibri"/>
          <w:color w:val="000000"/>
          <w:szCs w:val="24"/>
          <w:lang w:eastAsia="en-AU"/>
        </w:rPr>
        <w:t xml:space="preserve"> </w:t>
      </w:r>
      <w:r w:rsidRPr="00BA14E9">
        <w:rPr>
          <w:rFonts w:eastAsia="Times New Roman" w:cs="Calibri"/>
          <w:i/>
          <w:iCs/>
          <w:color w:val="000000"/>
          <w:szCs w:val="24"/>
          <w:lang w:eastAsia="en-AU"/>
        </w:rPr>
        <w:t>1979</w:t>
      </w:r>
      <w:r w:rsidRPr="00BA14E9">
        <w:rPr>
          <w:rFonts w:eastAsia="Times New Roman" w:cs="Calibri"/>
          <w:color w:val="000000"/>
          <w:szCs w:val="24"/>
          <w:lang w:eastAsia="en-AU"/>
        </w:rPr>
        <w:t xml:space="preserve"> </w:t>
      </w:r>
      <w:r w:rsidR="00E625B6" w:rsidRPr="00BA14E9">
        <w:rPr>
          <w:rFonts w:eastAsia="Times New Roman" w:cs="Calibri"/>
          <w:color w:val="000000"/>
          <w:szCs w:val="24"/>
          <w:lang w:eastAsia="en-AU"/>
        </w:rPr>
        <w:t>(SA)</w:t>
      </w:r>
      <w:r w:rsidRPr="00BA14E9">
        <w:rPr>
          <w:rFonts w:eastAsia="Times New Roman" w:cs="Calibri"/>
          <w:color w:val="000000"/>
          <w:szCs w:val="24"/>
          <w:lang w:eastAsia="en-AU"/>
        </w:rPr>
        <w:t xml:space="preserve"> establishes a general duty for the safety of property and environmental safety.</w:t>
      </w:r>
    </w:p>
    <w:p w14:paraId="79BF5C6D" w14:textId="1119F524" w:rsidR="00975E3C" w:rsidRPr="00BA14E9" w:rsidRDefault="00975E3C" w:rsidP="00F85177">
      <w:pPr>
        <w:rPr>
          <w:rFonts w:eastAsia="Times New Roman" w:cs="Calibri"/>
          <w:color w:val="000000"/>
          <w:szCs w:val="24"/>
          <w:lang w:eastAsia="en-AU"/>
        </w:rPr>
      </w:pPr>
      <w:r w:rsidRPr="00BA14E9">
        <w:rPr>
          <w:rFonts w:eastAsia="Times New Roman" w:cs="Calibri"/>
          <w:color w:val="000000"/>
          <w:szCs w:val="24"/>
          <w:lang w:eastAsia="en-AU"/>
        </w:rPr>
        <w:t xml:space="preserve">In Victoria the </w:t>
      </w:r>
      <w:r w:rsidRPr="00BA14E9">
        <w:rPr>
          <w:rFonts w:eastAsia="Times New Roman" w:cs="Calibri"/>
          <w:i/>
          <w:iCs/>
          <w:color w:val="000000"/>
          <w:szCs w:val="24"/>
          <w:lang w:eastAsia="en-AU"/>
        </w:rPr>
        <w:t>Dangerous Goods Act 1985</w:t>
      </w:r>
      <w:r w:rsidR="00330CB8" w:rsidRPr="00BA14E9">
        <w:rPr>
          <w:rFonts w:eastAsia="Times New Roman" w:cs="Calibri"/>
          <w:color w:val="000000"/>
          <w:szCs w:val="24"/>
          <w:lang w:eastAsia="en-AU"/>
        </w:rPr>
        <w:t xml:space="preserve"> (Vic)</w:t>
      </w:r>
      <w:r w:rsidRPr="00BA14E9">
        <w:rPr>
          <w:rFonts w:eastAsia="Times New Roman" w:cs="Calibri"/>
          <w:i/>
          <w:iCs/>
          <w:color w:val="000000"/>
          <w:szCs w:val="24"/>
          <w:lang w:eastAsia="en-AU"/>
        </w:rPr>
        <w:t xml:space="preserve"> </w:t>
      </w:r>
      <w:r w:rsidRPr="00BA14E9">
        <w:rPr>
          <w:rFonts w:eastAsia="Times New Roman" w:cs="Calibri"/>
          <w:color w:val="000000"/>
          <w:szCs w:val="24"/>
          <w:lang w:eastAsia="en-AU"/>
        </w:rPr>
        <w:t>applies in relation to the manufacture, storage, transport, transfer, sale and use of dangerous goods and the import of explosives into Victoria. The Act applies to hydrogen, as it is designated as a dangerous good by reference to the ADG Code Chapter 2.2: Class 2 – Gases, and the Dangerous Goods (Transport by Road and Rail) Regulations. The key obligations relevant to hydrogen pipelines are found in the Dangerous Goods (Storage and Handling) Regulations 2022</w:t>
      </w:r>
      <w:r w:rsidR="001D0513">
        <w:rPr>
          <w:rFonts w:eastAsia="Times New Roman" w:cs="Calibri"/>
          <w:color w:val="000000"/>
          <w:szCs w:val="24"/>
          <w:lang w:eastAsia="en-AU"/>
        </w:rPr>
        <w:t xml:space="preserve"> (Vic)</w:t>
      </w:r>
      <w:r w:rsidRPr="00BA14E9">
        <w:rPr>
          <w:rFonts w:eastAsia="Times New Roman" w:cs="Calibri"/>
          <w:color w:val="000000"/>
          <w:szCs w:val="24"/>
          <w:lang w:eastAsia="en-AU"/>
        </w:rPr>
        <w:t xml:space="preserve">. </w:t>
      </w:r>
      <w:r w:rsidR="00BA7334" w:rsidRPr="00BA14E9">
        <w:rPr>
          <w:rFonts w:eastAsia="Times New Roman" w:cs="Calibri"/>
          <w:color w:val="000000"/>
          <w:szCs w:val="24"/>
          <w:lang w:eastAsia="en-AU"/>
        </w:rPr>
        <w:t>These regulations are relevant to hydrogen pipelines to the extent those regulations prescribe obligations for entities that meet the definitions of consignors, consignees, loaders and packers of dangerous goods, and definitions of various terms which are used in the Storage and Handling Regulations. The Storage and Handling Regulations impose obligations which include placarding, manifest, safety data sheets, and notifications to authorities and emergency services. Placarding quantity commences at 500L and includes notification. Manifest, fire protection and notification quantity is 5000L.</w:t>
      </w:r>
      <w:r w:rsidR="00B1071C">
        <w:rPr>
          <w:rFonts w:eastAsia="Times New Roman" w:cs="Calibri"/>
          <w:color w:val="000000"/>
          <w:szCs w:val="24"/>
          <w:lang w:eastAsia="en-AU"/>
        </w:rPr>
        <w:t xml:space="preserve"> </w:t>
      </w:r>
      <w:r w:rsidRPr="00BA14E9">
        <w:rPr>
          <w:rFonts w:eastAsia="Times New Roman" w:cs="Calibri"/>
          <w:color w:val="000000"/>
          <w:szCs w:val="24"/>
          <w:lang w:eastAsia="en-AU"/>
        </w:rPr>
        <w:t xml:space="preserve">These Regulations do not currently require a hydrogen pipeline to hold a license pursuant to section 21 of the Act. This means that most obligations, except for notification and emergency services engagement at 5000L, are ‘those generally applicable' which include placarding, manifest, safety data sheets, and notifications to authorities and emergency services. </w:t>
      </w:r>
      <w:r w:rsidR="00145FBA">
        <w:rPr>
          <w:rFonts w:eastAsia="Times New Roman" w:cs="Calibri"/>
          <w:color w:val="000000"/>
          <w:szCs w:val="24"/>
          <w:lang w:eastAsia="en-AU"/>
        </w:rPr>
        <w:t>Under the OHS regulations V</w:t>
      </w:r>
      <w:r w:rsidR="0025417B">
        <w:rPr>
          <w:rFonts w:eastAsia="Times New Roman" w:cs="Calibri"/>
          <w:color w:val="000000"/>
          <w:szCs w:val="24"/>
          <w:lang w:eastAsia="en-AU"/>
        </w:rPr>
        <w:t>ic</w:t>
      </w:r>
      <w:r w:rsidR="00145FBA">
        <w:rPr>
          <w:rFonts w:eastAsia="Times New Roman" w:cs="Calibri"/>
          <w:color w:val="000000"/>
          <w:szCs w:val="24"/>
          <w:lang w:eastAsia="en-AU"/>
        </w:rPr>
        <w:t xml:space="preserve">, regulation 360 requires notification to the authority (with the information contained in Schedule 18) when exceeding 10% of </w:t>
      </w:r>
      <w:r w:rsidR="00B23AC6">
        <w:rPr>
          <w:rFonts w:eastAsia="Times New Roman" w:cs="Calibri"/>
          <w:color w:val="000000"/>
          <w:szCs w:val="24"/>
          <w:lang w:eastAsia="en-AU"/>
        </w:rPr>
        <w:t>the</w:t>
      </w:r>
      <w:r w:rsidR="00145FBA">
        <w:rPr>
          <w:rFonts w:eastAsia="Times New Roman" w:cs="Calibri"/>
          <w:color w:val="000000"/>
          <w:szCs w:val="24"/>
          <w:lang w:eastAsia="en-AU"/>
        </w:rPr>
        <w:t xml:space="preserve"> Schedule 14 Materials Major Hazards thresholds, unless deemed exempt </w:t>
      </w:r>
      <w:r w:rsidR="00B23AC6">
        <w:rPr>
          <w:rFonts w:eastAsia="Times New Roman" w:cs="Calibri"/>
          <w:color w:val="000000"/>
          <w:szCs w:val="24"/>
          <w:lang w:eastAsia="en-AU"/>
        </w:rPr>
        <w:t xml:space="preserve">in accordance with </w:t>
      </w:r>
      <w:r w:rsidR="00145FBA">
        <w:rPr>
          <w:rFonts w:eastAsia="Times New Roman" w:cs="Calibri"/>
          <w:color w:val="000000"/>
          <w:szCs w:val="24"/>
          <w:lang w:eastAsia="en-AU"/>
        </w:rPr>
        <w:t>regulation 356.</w:t>
      </w:r>
    </w:p>
    <w:p w14:paraId="4999F0F3" w14:textId="1A86AD90" w:rsidR="001A1D0C" w:rsidRPr="00BA14E9" w:rsidRDefault="005F68E3" w:rsidP="001A1D0C">
      <w:pPr>
        <w:rPr>
          <w:rFonts w:cs="Calibri"/>
        </w:rPr>
      </w:pPr>
      <w:r w:rsidRPr="00BA14E9">
        <w:rPr>
          <w:rFonts w:cs="Calibri"/>
        </w:rPr>
        <w:t>I</w:t>
      </w:r>
      <w:r w:rsidR="001A1D0C" w:rsidRPr="00BA14E9">
        <w:rPr>
          <w:rFonts w:cs="Calibri"/>
        </w:rPr>
        <w:t>n Western Australia,</w:t>
      </w:r>
      <w:r w:rsidR="005A695B" w:rsidRPr="005A695B">
        <w:rPr>
          <w:rFonts w:cs="Calibri"/>
        </w:rPr>
        <w:t xml:space="preserve"> </w:t>
      </w:r>
      <w:r w:rsidR="005A695B" w:rsidRPr="00CE6F8F">
        <w:rPr>
          <w:rFonts w:cs="Calibri"/>
        </w:rPr>
        <w:t xml:space="preserve">Major Hazard Facilities (MHFs) and Dangerous Goods Sites are regulated under the </w:t>
      </w:r>
      <w:r w:rsidR="005A695B" w:rsidRPr="00CE6F8F">
        <w:rPr>
          <w:rFonts w:cs="Calibri"/>
          <w:i/>
          <w:iCs/>
        </w:rPr>
        <w:t xml:space="preserve">Dangerous Goods Safety Act 2004 </w:t>
      </w:r>
      <w:r w:rsidR="005A695B" w:rsidRPr="005656FA">
        <w:rPr>
          <w:rFonts w:cs="Calibri"/>
        </w:rPr>
        <w:t>(WA)</w:t>
      </w:r>
      <w:r w:rsidR="005A695B" w:rsidRPr="00CE6F8F">
        <w:rPr>
          <w:rFonts w:cs="Calibri"/>
        </w:rPr>
        <w:t xml:space="preserve"> and its associated regulations, rather than the WHS framework. For a detailed overview of WA’s dangerous goods legislation, including obligations for hydrogen pipelines, refer to subsection 6.1.</w:t>
      </w:r>
      <w:r w:rsidR="005A695B">
        <w:rPr>
          <w:rFonts w:cs="Calibri"/>
        </w:rPr>
        <w:t>1.</w:t>
      </w:r>
    </w:p>
    <w:p w14:paraId="3D742FC6" w14:textId="5B2EEBA9" w:rsidR="00656654" w:rsidRPr="00BA14E9" w:rsidRDefault="00656654" w:rsidP="00401DAF">
      <w:pPr>
        <w:pStyle w:val="Heading3"/>
        <w:rPr>
          <w:rFonts w:cs="Calibri"/>
          <w:lang w:eastAsia="en-AU"/>
        </w:rPr>
      </w:pPr>
      <w:bookmarkStart w:id="103" w:name="_Toc222925520"/>
      <w:r w:rsidRPr="00BA14E9">
        <w:rPr>
          <w:lang w:eastAsia="en-AU"/>
        </w:rPr>
        <w:lastRenderedPageBreak/>
        <w:t>Western Australia: Dangerous Goods Safety Act</w:t>
      </w:r>
      <w:bookmarkEnd w:id="103"/>
      <w:r w:rsidRPr="00BA14E9">
        <w:rPr>
          <w:lang w:eastAsia="en-AU"/>
        </w:rPr>
        <w:t xml:space="preserve"> </w:t>
      </w:r>
    </w:p>
    <w:p w14:paraId="2D598C1B" w14:textId="6B4CD99D" w:rsidR="00656654" w:rsidRPr="005656FA" w:rsidRDefault="00C17BA0" w:rsidP="00656654">
      <w:pPr>
        <w:rPr>
          <w:rFonts w:eastAsia="Times New Roman" w:cs="Calibri"/>
          <w:color w:val="000000" w:themeColor="text1"/>
          <w:highlight w:val="red"/>
          <w:lang w:eastAsia="en-AU"/>
        </w:rPr>
      </w:pPr>
      <w:r w:rsidRPr="006D0F7B">
        <w:rPr>
          <w:rFonts w:eastAsia="Times New Roman" w:cs="Calibri"/>
          <w:lang w:eastAsia="en-AU"/>
        </w:rPr>
        <w:t xml:space="preserve">The safe storage, transport and handling of gaseous and liquefied hydrogen is controlled by the </w:t>
      </w:r>
      <w:r w:rsidRPr="006D0F7B">
        <w:rPr>
          <w:rFonts w:eastAsia="Times New Roman" w:cs="Calibri"/>
          <w:i/>
          <w:iCs/>
          <w:lang w:eastAsia="en-AU"/>
        </w:rPr>
        <w:t>Dangerous Goods Safety Act 2004</w:t>
      </w:r>
      <w:r w:rsidRPr="006D0F7B">
        <w:rPr>
          <w:rFonts w:eastAsia="Times New Roman" w:cs="Calibri"/>
          <w:lang w:eastAsia="en-AU"/>
        </w:rPr>
        <w:t xml:space="preserve"> (WA) and associated regulations</w:t>
      </w:r>
      <w:r w:rsidR="001A3488">
        <w:rPr>
          <w:rFonts w:eastAsia="Times New Roman" w:cs="Calibri"/>
          <w:lang w:eastAsia="en-AU"/>
        </w:rPr>
        <w:t>, which applies</w:t>
      </w:r>
      <w:r w:rsidR="007C517A">
        <w:rPr>
          <w:rFonts w:eastAsia="Times New Roman" w:cs="Calibri"/>
          <w:lang w:eastAsia="en-AU"/>
        </w:rPr>
        <w:t xml:space="preserve"> to</w:t>
      </w:r>
      <w:r w:rsidR="00656654" w:rsidRPr="005656FA">
        <w:rPr>
          <w:rFonts w:eastAsia="Times New Roman" w:cs="Calibri"/>
          <w:lang w:eastAsia="en-AU"/>
        </w:rPr>
        <w:t xml:space="preserve"> all aspects of dangerous goods production, storage, handling, pip</w:t>
      </w:r>
      <w:r w:rsidR="00F455ED" w:rsidRPr="005656FA">
        <w:rPr>
          <w:rFonts w:eastAsia="Times New Roman" w:cs="Calibri"/>
          <w:lang w:eastAsia="en-AU"/>
        </w:rPr>
        <w:t>elines</w:t>
      </w:r>
      <w:r w:rsidR="00656654" w:rsidRPr="005656FA">
        <w:rPr>
          <w:rFonts w:eastAsia="Times New Roman" w:cs="Calibri"/>
          <w:lang w:eastAsia="en-AU"/>
        </w:rPr>
        <w:t xml:space="preserve"> and transport. It is independent of</w:t>
      </w:r>
      <w:r w:rsidR="00F84DF1" w:rsidRPr="005656FA">
        <w:rPr>
          <w:rFonts w:eastAsia="Times New Roman" w:cs="Calibri"/>
          <w:lang w:eastAsia="en-AU"/>
        </w:rPr>
        <w:t>,</w:t>
      </w:r>
      <w:r w:rsidR="00656654" w:rsidRPr="005656FA">
        <w:rPr>
          <w:rFonts w:eastAsia="Times New Roman" w:cs="Calibri"/>
          <w:lang w:eastAsia="en-AU"/>
        </w:rPr>
        <w:t xml:space="preserve"> but operates in parallel with</w:t>
      </w:r>
      <w:r w:rsidR="002F6850" w:rsidRPr="005656FA">
        <w:rPr>
          <w:rFonts w:eastAsia="Times New Roman" w:cs="Calibri"/>
          <w:lang w:eastAsia="en-AU"/>
        </w:rPr>
        <w:t>,</w:t>
      </w:r>
      <w:r w:rsidR="00656654" w:rsidRPr="005656FA">
        <w:rPr>
          <w:rFonts w:eastAsia="Times New Roman" w:cs="Calibri"/>
          <w:lang w:eastAsia="en-AU"/>
        </w:rPr>
        <w:t xml:space="preserve"> the </w:t>
      </w:r>
      <w:r w:rsidR="00656654" w:rsidRPr="005656FA">
        <w:rPr>
          <w:rFonts w:eastAsia="Times New Roman" w:cs="Calibri"/>
          <w:i/>
          <w:color w:val="000000" w:themeColor="text1"/>
          <w:lang w:eastAsia="en-AU"/>
        </w:rPr>
        <w:t>Work Health and Safety Act 2020</w:t>
      </w:r>
      <w:r w:rsidR="00656654" w:rsidRPr="005656FA">
        <w:rPr>
          <w:rFonts w:eastAsia="Times New Roman" w:cs="Calibri"/>
          <w:color w:val="000000" w:themeColor="text1"/>
          <w:lang w:eastAsia="en-AU"/>
        </w:rPr>
        <w:t xml:space="preserve"> (WA) and the Work Health and Safety (General) Regulations 2022 (WA), and Work Health and Safety (Petroleum and Geothermal Energy Operations) Regulations 2022</w:t>
      </w:r>
      <w:r w:rsidR="00656654" w:rsidRPr="005656FA">
        <w:rPr>
          <w:rFonts w:eastAsia="Times New Roman" w:cs="Calibri"/>
          <w:lang w:eastAsia="en-AU"/>
        </w:rPr>
        <w:t xml:space="preserve">. </w:t>
      </w:r>
      <w:r w:rsidR="00B10648" w:rsidRPr="003D1EA3">
        <w:rPr>
          <w:rFonts w:eastAsia="Times New Roman" w:cs="Calibri"/>
          <w:lang w:eastAsia="en-AU"/>
        </w:rPr>
        <w:t xml:space="preserve">The DGS Act does not apply to a pipeline carrying dangerous goods to which the </w:t>
      </w:r>
      <w:r w:rsidR="00B10648" w:rsidRPr="003D1EA3">
        <w:rPr>
          <w:rFonts w:eastAsia="Times New Roman" w:cs="Calibri"/>
          <w:i/>
          <w:iCs/>
          <w:lang w:eastAsia="en-AU"/>
        </w:rPr>
        <w:t>Gas Standards Act 1972</w:t>
      </w:r>
      <w:r w:rsidR="001B034C">
        <w:rPr>
          <w:rFonts w:eastAsia="Times New Roman" w:cs="Calibri"/>
          <w:lang w:eastAsia="en-AU"/>
        </w:rPr>
        <w:t xml:space="preserve"> (WA)</w:t>
      </w:r>
      <w:r w:rsidR="00B10648" w:rsidRPr="003D1EA3">
        <w:rPr>
          <w:rFonts w:eastAsia="Times New Roman" w:cs="Calibri"/>
          <w:lang w:eastAsia="en-AU"/>
        </w:rPr>
        <w:t xml:space="preserve">, </w:t>
      </w:r>
      <w:r w:rsidR="00B10648" w:rsidRPr="003D1EA3">
        <w:rPr>
          <w:rFonts w:eastAsia="Times New Roman" w:cs="Calibri"/>
          <w:i/>
          <w:iCs/>
          <w:lang w:eastAsia="en-AU"/>
        </w:rPr>
        <w:t>Petroleum Pipelines Act 1969</w:t>
      </w:r>
      <w:r w:rsidR="00B10648" w:rsidRPr="003D1EA3">
        <w:rPr>
          <w:rFonts w:eastAsia="Times New Roman" w:cs="Calibri"/>
          <w:lang w:eastAsia="en-AU"/>
        </w:rPr>
        <w:t xml:space="preserve"> </w:t>
      </w:r>
      <w:r w:rsidR="00790A45">
        <w:rPr>
          <w:rFonts w:eastAsia="Times New Roman" w:cs="Calibri"/>
          <w:lang w:eastAsia="en-AU"/>
        </w:rPr>
        <w:t xml:space="preserve">(WA) </w:t>
      </w:r>
      <w:r w:rsidR="00B10648" w:rsidRPr="003D1EA3">
        <w:rPr>
          <w:rFonts w:eastAsia="Times New Roman" w:cs="Calibri"/>
          <w:lang w:eastAsia="en-AU"/>
        </w:rPr>
        <w:t xml:space="preserve">or </w:t>
      </w:r>
      <w:r w:rsidR="00B10648" w:rsidRPr="003D1EA3">
        <w:rPr>
          <w:rFonts w:eastAsia="Times New Roman" w:cs="Calibri"/>
          <w:i/>
          <w:iCs/>
          <w:lang w:eastAsia="en-AU"/>
        </w:rPr>
        <w:t>Petroleum (Submerged Lands) Act 1982</w:t>
      </w:r>
      <w:r w:rsidR="00B10648" w:rsidRPr="003D1EA3">
        <w:rPr>
          <w:rFonts w:eastAsia="Times New Roman" w:cs="Calibri"/>
          <w:lang w:eastAsia="en-AU"/>
        </w:rPr>
        <w:t xml:space="preserve"> </w:t>
      </w:r>
      <w:r w:rsidR="00790A45">
        <w:rPr>
          <w:rFonts w:eastAsia="Times New Roman" w:cs="Calibri"/>
          <w:lang w:eastAsia="en-AU"/>
        </w:rPr>
        <w:t xml:space="preserve">(WA) </w:t>
      </w:r>
      <w:r w:rsidR="00B10648" w:rsidRPr="003D1EA3">
        <w:rPr>
          <w:rFonts w:eastAsia="Times New Roman" w:cs="Calibri"/>
          <w:lang w:eastAsia="en-AU"/>
        </w:rPr>
        <w:t>applies.</w:t>
      </w:r>
    </w:p>
    <w:p w14:paraId="5F60C518" w14:textId="02F5ECE6" w:rsidR="00656654" w:rsidRPr="00F634FE" w:rsidRDefault="00656654" w:rsidP="00656654">
      <w:pPr>
        <w:rPr>
          <w:rFonts w:eastAsia="Times New Roman" w:cs="Calibri"/>
          <w:highlight w:val="red"/>
          <w:lang w:eastAsia="en-AU"/>
        </w:rPr>
      </w:pPr>
      <w:r w:rsidRPr="005656FA">
        <w:rPr>
          <w:rFonts w:eastAsia="Times New Roman" w:cs="Calibri"/>
          <w:lang w:eastAsia="en-AU"/>
        </w:rPr>
        <w:t xml:space="preserve">In many respects this regime is broader than the WA WHS Act and Regulations as it regulates risks to people, property and the environment. It has different language but similar outcomes in relation to the duty of care in relation to assessment and mitigation of risk to the lowest reasonable level. </w:t>
      </w:r>
      <w:r w:rsidR="00FC0323" w:rsidRPr="006D0F7B">
        <w:rPr>
          <w:lang w:eastAsia="en-AU"/>
        </w:rPr>
        <w:t>This is the only dangerous goods legislation, or WHS legislation that invokes a licensing threshold below the MHF scheduled amount of 50 tonnes of hydrogen or 10% notification threshold.</w:t>
      </w:r>
    </w:p>
    <w:p w14:paraId="1E760908" w14:textId="7C473283" w:rsidR="00656654" w:rsidRPr="005656FA" w:rsidRDefault="00656654" w:rsidP="00656654">
      <w:pPr>
        <w:rPr>
          <w:rFonts w:eastAsia="Times New Roman" w:cs="Calibri"/>
          <w:lang w:eastAsia="en-AU"/>
        </w:rPr>
      </w:pPr>
      <w:r w:rsidRPr="005656FA">
        <w:rPr>
          <w:rFonts w:eastAsia="Times New Roman" w:cs="Calibri"/>
          <w:lang w:eastAsia="en-AU"/>
        </w:rPr>
        <w:t xml:space="preserve">Under section 8 of the </w:t>
      </w:r>
      <w:r w:rsidRPr="005656FA">
        <w:rPr>
          <w:rFonts w:eastAsia="Times New Roman" w:cs="Calibri"/>
          <w:i/>
          <w:color w:val="000000" w:themeColor="text1"/>
          <w:lang w:eastAsia="en-AU"/>
        </w:rPr>
        <w:t xml:space="preserve">Dangerous Goods Safety Act 2004 </w:t>
      </w:r>
      <w:r w:rsidRPr="005656FA">
        <w:rPr>
          <w:rFonts w:eastAsia="Times New Roman" w:cs="Calibri"/>
          <w:color w:val="000000" w:themeColor="text1"/>
          <w:lang w:eastAsia="en-AU"/>
        </w:rPr>
        <w:t>(WA)</w:t>
      </w:r>
      <w:r w:rsidRPr="005656FA">
        <w:rPr>
          <w:rFonts w:eastAsia="Times New Roman" w:cs="Calibri"/>
          <w:lang w:eastAsia="en-AU"/>
        </w:rPr>
        <w:t xml:space="preserve">, there is a duty </w:t>
      </w:r>
      <w:r w:rsidR="009454D6" w:rsidRPr="005656FA">
        <w:rPr>
          <w:rFonts w:eastAsia="Times New Roman" w:cs="Calibri"/>
          <w:lang w:eastAsia="en-AU"/>
        </w:rPr>
        <w:t>for all</w:t>
      </w:r>
      <w:r w:rsidRPr="005656FA">
        <w:rPr>
          <w:rFonts w:eastAsia="Times New Roman" w:cs="Calibri"/>
          <w:lang w:eastAsia="en-AU"/>
        </w:rPr>
        <w:t xml:space="preserve"> persons involved in storing, handling or transporting dangerous goods to </w:t>
      </w:r>
      <w:r w:rsidR="00C768C9" w:rsidRPr="005656FA">
        <w:rPr>
          <w:rFonts w:eastAsia="Times New Roman" w:cs="Calibri"/>
          <w:lang w:eastAsia="en-AU"/>
        </w:rPr>
        <w:t>take a</w:t>
      </w:r>
      <w:r w:rsidR="000426B6" w:rsidRPr="005656FA">
        <w:rPr>
          <w:rFonts w:eastAsia="Times New Roman" w:cs="Calibri"/>
          <w:lang w:eastAsia="en-AU"/>
        </w:rPr>
        <w:t>ll</w:t>
      </w:r>
      <w:r w:rsidRPr="005656FA">
        <w:rPr>
          <w:rFonts w:eastAsia="Times New Roman" w:cs="Calibri"/>
          <w:lang w:eastAsia="en-AU"/>
        </w:rPr>
        <w:t xml:space="preserve"> reasonably practicable </w:t>
      </w:r>
      <w:r w:rsidR="00285918" w:rsidRPr="005656FA">
        <w:rPr>
          <w:rFonts w:eastAsia="Times New Roman" w:cs="Calibri"/>
          <w:lang w:eastAsia="en-AU"/>
        </w:rPr>
        <w:t>measures to minimise</w:t>
      </w:r>
      <w:r w:rsidR="00B06F64" w:rsidRPr="005656FA">
        <w:rPr>
          <w:rFonts w:eastAsia="Times New Roman" w:cs="Calibri"/>
          <w:lang w:eastAsia="en-AU"/>
        </w:rPr>
        <w:t xml:space="preserve"> risk</w:t>
      </w:r>
      <w:r w:rsidRPr="005656FA">
        <w:rPr>
          <w:rFonts w:eastAsia="Times New Roman" w:cs="Calibri"/>
          <w:lang w:eastAsia="en-AU"/>
        </w:rPr>
        <w:t xml:space="preserve"> to people, property and the environment</w:t>
      </w:r>
      <w:r w:rsidR="008E3001" w:rsidRPr="005656FA">
        <w:rPr>
          <w:rFonts w:eastAsia="Times New Roman" w:cs="Calibri"/>
          <w:lang w:eastAsia="en-AU"/>
        </w:rPr>
        <w:t xml:space="preserve"> from dangerous goods</w:t>
      </w:r>
      <w:r w:rsidR="001B034C">
        <w:rPr>
          <w:rFonts w:eastAsia="Times New Roman" w:cs="Calibri"/>
          <w:lang w:eastAsia="en-AU"/>
        </w:rPr>
        <w:t>.</w:t>
      </w:r>
    </w:p>
    <w:p w14:paraId="508835BF" w14:textId="77777777" w:rsidR="00F16ED8" w:rsidRPr="00B42986" w:rsidRDefault="00F16ED8" w:rsidP="00F16ED8">
      <w:pPr>
        <w:rPr>
          <w:rFonts w:eastAsia="Times New Roman" w:cs="Calibri"/>
          <w:szCs w:val="24"/>
          <w:lang w:eastAsia="en-AU"/>
        </w:rPr>
      </w:pPr>
      <w:r w:rsidRPr="00325416">
        <w:rPr>
          <w:rFonts w:eastAsia="Times New Roman" w:cs="Calibri"/>
          <w:szCs w:val="24"/>
          <w:lang w:eastAsia="en-AU"/>
        </w:rPr>
        <w:t xml:space="preserve">Under this Act and its regulations, there are three relevant quantities of dangerous goods </w:t>
      </w:r>
      <w:r>
        <w:rPr>
          <w:rFonts w:eastAsia="Times New Roman" w:cs="Calibri"/>
          <w:szCs w:val="24"/>
          <w:lang w:eastAsia="en-AU"/>
        </w:rPr>
        <w:t xml:space="preserve">at a site </w:t>
      </w:r>
      <w:r w:rsidRPr="00325416">
        <w:rPr>
          <w:rFonts w:eastAsia="Times New Roman" w:cs="Calibri"/>
          <w:szCs w:val="24"/>
          <w:lang w:eastAsia="en-AU"/>
        </w:rPr>
        <w:t xml:space="preserve">that trigger </w:t>
      </w:r>
      <w:r w:rsidRPr="00B42986">
        <w:rPr>
          <w:rFonts w:eastAsia="Times New Roman" w:cs="Calibri"/>
          <w:szCs w:val="24"/>
          <w:lang w:eastAsia="en-AU"/>
        </w:rPr>
        <w:t>legislative obligations:</w:t>
      </w:r>
    </w:p>
    <w:p w14:paraId="1482C53E" w14:textId="77777777" w:rsidR="00F16ED8" w:rsidRDefault="00F16ED8" w:rsidP="005656FA">
      <w:pPr>
        <w:pStyle w:val="ListParagraph"/>
        <w:numPr>
          <w:ilvl w:val="0"/>
          <w:numId w:val="80"/>
        </w:numPr>
        <w:spacing w:line="278" w:lineRule="auto"/>
        <w:contextualSpacing w:val="0"/>
        <w:rPr>
          <w:rFonts w:eastAsia="Times New Roman" w:cs="Calibri"/>
          <w:szCs w:val="24"/>
          <w:lang w:eastAsia="en-AU"/>
        </w:rPr>
      </w:pPr>
      <w:r w:rsidRPr="00B42986">
        <w:rPr>
          <w:rFonts w:eastAsia="Times New Roman" w:cs="Calibri"/>
          <w:szCs w:val="24"/>
          <w:lang w:eastAsia="en-AU"/>
        </w:rPr>
        <w:t>the "manifest quantity" is the threshold for licensing a "dangerous goods site" under the Dangerous Goods Safety (Storage and Handling of Non-explosives) Regulations 2007 (WA)</w:t>
      </w:r>
      <w:r>
        <w:rPr>
          <w:rFonts w:eastAsia="Times New Roman" w:cs="Calibri"/>
          <w:szCs w:val="24"/>
          <w:lang w:eastAsia="en-AU"/>
        </w:rPr>
        <w:t xml:space="preserve">, as specified in Schedule 1, </w:t>
      </w:r>
      <w:r w:rsidRPr="003D1EA3">
        <w:rPr>
          <w:rFonts w:cs="Calibri"/>
          <w:color w:val="000000" w:themeColor="text1"/>
        </w:rPr>
        <w:t>which for hydrogen is 5,000L</w:t>
      </w:r>
      <w:r>
        <w:rPr>
          <w:rFonts w:cs="Calibri"/>
          <w:color w:val="000000" w:themeColor="text1"/>
        </w:rPr>
        <w:t>.</w:t>
      </w:r>
      <w:r w:rsidRPr="00B42986">
        <w:rPr>
          <w:rFonts w:eastAsia="Times New Roman" w:cs="Calibri"/>
          <w:szCs w:val="24"/>
          <w:lang w:eastAsia="en-AU"/>
        </w:rPr>
        <w:t xml:space="preserve"> </w:t>
      </w:r>
    </w:p>
    <w:p w14:paraId="77D5A1BA" w14:textId="03681B7F" w:rsidR="00F16ED8" w:rsidRPr="00A65C8A" w:rsidRDefault="00F16ED8" w:rsidP="005656FA">
      <w:pPr>
        <w:pStyle w:val="ListParagraph"/>
        <w:numPr>
          <w:ilvl w:val="0"/>
          <w:numId w:val="80"/>
        </w:numPr>
        <w:spacing w:line="278" w:lineRule="auto"/>
        <w:contextualSpacing w:val="0"/>
        <w:rPr>
          <w:rFonts w:eastAsia="Times New Roman" w:cs="Calibri"/>
          <w:szCs w:val="24"/>
          <w:lang w:eastAsia="en-AU"/>
        </w:rPr>
      </w:pPr>
      <w:r w:rsidRPr="00A65C8A">
        <w:rPr>
          <w:rFonts w:eastAsia="Times New Roman" w:cs="Calibri"/>
          <w:szCs w:val="24"/>
          <w:lang w:eastAsia="en-AU"/>
        </w:rPr>
        <w:t>the “critical quantity”</w:t>
      </w:r>
      <w:r>
        <w:rPr>
          <w:rFonts w:eastAsia="Times New Roman" w:cs="Calibri"/>
          <w:szCs w:val="24"/>
          <w:lang w:eastAsia="en-AU"/>
        </w:rPr>
        <w:t xml:space="preserve"> is set at 10% of the applicable “threshold quantity” for each substance</w:t>
      </w:r>
      <w:r w:rsidRPr="00A65C8A">
        <w:rPr>
          <w:rFonts w:eastAsia="Times New Roman" w:cs="Calibri"/>
          <w:szCs w:val="24"/>
          <w:lang w:eastAsia="en-AU"/>
        </w:rPr>
        <w:t xml:space="preserve"> under the Dangerous Goods Safety (Major Hazard Facilities) Regulations 2007 (WA)</w:t>
      </w:r>
      <w:r>
        <w:rPr>
          <w:rFonts w:eastAsia="Times New Roman" w:cs="Calibri"/>
          <w:szCs w:val="24"/>
          <w:lang w:eastAsia="en-AU"/>
        </w:rPr>
        <w:t>. It</w:t>
      </w:r>
      <w:r w:rsidRPr="00A65C8A">
        <w:rPr>
          <w:rFonts w:eastAsia="Times New Roman" w:cs="Calibri"/>
          <w:szCs w:val="24"/>
          <w:lang w:eastAsia="en-AU"/>
        </w:rPr>
        <w:t xml:space="preserve"> </w:t>
      </w:r>
      <w:r>
        <w:rPr>
          <w:rFonts w:eastAsia="Times New Roman" w:cs="Calibri"/>
          <w:szCs w:val="24"/>
          <w:lang w:eastAsia="en-AU"/>
        </w:rPr>
        <w:t xml:space="preserve">prompts notification to the Chief Dangerous Goods Officer, pre-MHF risk screening and management, and notification of significant facility changes. </w:t>
      </w:r>
    </w:p>
    <w:p w14:paraId="59AA6457" w14:textId="77777777" w:rsidR="00F16ED8" w:rsidRDefault="00F16ED8" w:rsidP="005656FA">
      <w:pPr>
        <w:pStyle w:val="ListParagraph"/>
        <w:numPr>
          <w:ilvl w:val="0"/>
          <w:numId w:val="80"/>
        </w:numPr>
        <w:spacing w:line="278" w:lineRule="auto"/>
        <w:contextualSpacing w:val="0"/>
        <w:rPr>
          <w:rFonts w:eastAsia="Times New Roman" w:cs="Calibri"/>
          <w:szCs w:val="24"/>
          <w:lang w:eastAsia="en-AU"/>
        </w:rPr>
      </w:pPr>
      <w:r w:rsidRPr="00B42986">
        <w:rPr>
          <w:rFonts w:eastAsia="Times New Roman" w:cs="Calibri"/>
          <w:szCs w:val="24"/>
          <w:lang w:eastAsia="en-AU"/>
        </w:rPr>
        <w:t xml:space="preserve">the "threshold quantity" under the Dangerous Goods Safety (Major Hazard Facilities) Regulations 2007 (WA) is a reference point for determining whether a facility qualifies as a Major Hazard Facility (MHF). </w:t>
      </w:r>
    </w:p>
    <w:p w14:paraId="78D83C89" w14:textId="77777777" w:rsidR="00F16ED8" w:rsidRPr="007F29DB" w:rsidRDefault="00F16ED8" w:rsidP="005656FA">
      <w:pPr>
        <w:pStyle w:val="ListParagraph"/>
        <w:numPr>
          <w:ilvl w:val="0"/>
          <w:numId w:val="80"/>
        </w:numPr>
        <w:spacing w:line="278" w:lineRule="auto"/>
        <w:contextualSpacing w:val="0"/>
        <w:rPr>
          <w:rFonts w:eastAsia="Times New Roman" w:cs="Calibri"/>
          <w:szCs w:val="24"/>
          <w:lang w:eastAsia="en-AU"/>
        </w:rPr>
      </w:pPr>
      <w:r w:rsidRPr="007F29DB">
        <w:rPr>
          <w:rFonts w:eastAsia="Times New Roman" w:cs="Calibri"/>
          <w:szCs w:val="24"/>
          <w:lang w:eastAsia="en-AU"/>
        </w:rPr>
        <w:t>There remain duties and responsibilities for operators of sites below these thresholds, including registration of pipelines, placarding of sites above placard quantities, and implementing appropriate risk controls.</w:t>
      </w:r>
    </w:p>
    <w:p w14:paraId="15B88793" w14:textId="77777777" w:rsidR="00A13752" w:rsidRPr="00225F3F" w:rsidRDefault="00A13752" w:rsidP="00A13752">
      <w:pPr>
        <w:rPr>
          <w:rFonts w:eastAsia="Times New Roman" w:cs="Calibri"/>
          <w:color w:val="000000" w:themeColor="text1"/>
          <w:lang w:eastAsia="en-AU"/>
        </w:rPr>
      </w:pPr>
      <w:r w:rsidRPr="00225F3F">
        <w:rPr>
          <w:rFonts w:eastAsia="Times New Roman" w:cs="Calibri"/>
          <w:color w:val="000000" w:themeColor="text1"/>
          <w:lang w:eastAsia="en-AU"/>
        </w:rPr>
        <w:t xml:space="preserve">Dangerous Goods Safety (Storage and Handling of Non-explosives) Regulations 2007 (DGSH Regulations) and the </w:t>
      </w:r>
      <w:r w:rsidRPr="00225F3F">
        <w:rPr>
          <w:rFonts w:eastAsia="Times New Roman" w:cs="Calibri"/>
          <w:szCs w:val="24"/>
          <w:lang w:eastAsia="en-AU"/>
        </w:rPr>
        <w:t>Dangerous Goods Safety (Major Hazard Facilities) Regulations 2007 are the potentially applicable to hydrogen pipelines.</w:t>
      </w:r>
    </w:p>
    <w:p w14:paraId="6335C1C1" w14:textId="29EE1172" w:rsidR="00A13752" w:rsidRDefault="00A13752" w:rsidP="00A13752">
      <w:pPr>
        <w:spacing w:line="278" w:lineRule="auto"/>
        <w:rPr>
          <w:rFonts w:eastAsia="Times New Roman" w:cs="Calibri"/>
          <w:szCs w:val="24"/>
          <w:lang w:eastAsia="en-AU"/>
        </w:rPr>
      </w:pPr>
      <w:r>
        <w:rPr>
          <w:rFonts w:eastAsia="Times New Roman" w:cs="Calibri"/>
          <w:szCs w:val="24"/>
          <w:lang w:eastAsia="en-AU"/>
        </w:rPr>
        <w:t xml:space="preserve">Pipelines are required to be registered under the DGSH regulation if: </w:t>
      </w:r>
    </w:p>
    <w:p w14:paraId="20570186" w14:textId="77777777" w:rsidR="00A13752" w:rsidRDefault="00A13752" w:rsidP="00A13752">
      <w:pPr>
        <w:pStyle w:val="ListParagraph"/>
        <w:numPr>
          <w:ilvl w:val="0"/>
          <w:numId w:val="55"/>
        </w:numPr>
        <w:spacing w:line="278" w:lineRule="auto"/>
        <w:contextualSpacing w:val="0"/>
        <w:rPr>
          <w:rFonts w:eastAsia="Times New Roman" w:cs="Calibri"/>
          <w:szCs w:val="24"/>
          <w:lang w:eastAsia="en-AU"/>
        </w:rPr>
      </w:pPr>
      <w:r w:rsidRPr="00225F3F">
        <w:rPr>
          <w:rFonts w:eastAsia="Times New Roman" w:cs="Calibri"/>
          <w:szCs w:val="24"/>
          <w:lang w:eastAsia="en-AU"/>
        </w:rPr>
        <w:lastRenderedPageBreak/>
        <w:t xml:space="preserve">they are not covered under the other specific Acts (mentioned above) and </w:t>
      </w:r>
    </w:p>
    <w:p w14:paraId="44E2478C" w14:textId="77777777" w:rsidR="00A13752" w:rsidRDefault="00A13752" w:rsidP="00A13752">
      <w:pPr>
        <w:pStyle w:val="ListParagraph"/>
        <w:numPr>
          <w:ilvl w:val="0"/>
          <w:numId w:val="55"/>
        </w:numPr>
        <w:spacing w:line="278" w:lineRule="auto"/>
        <w:contextualSpacing w:val="0"/>
        <w:rPr>
          <w:rFonts w:eastAsia="Times New Roman" w:cs="Calibri"/>
          <w:szCs w:val="24"/>
          <w:lang w:eastAsia="en-AU"/>
        </w:rPr>
      </w:pPr>
      <w:r w:rsidRPr="00225F3F">
        <w:rPr>
          <w:rFonts w:eastAsia="Times New Roman" w:cs="Calibri"/>
          <w:szCs w:val="24"/>
          <w:lang w:eastAsia="en-AU"/>
        </w:rPr>
        <w:t xml:space="preserve">the pipeline leaves a </w:t>
      </w:r>
      <w:r>
        <w:rPr>
          <w:rFonts w:eastAsia="Times New Roman" w:cs="Calibri"/>
          <w:szCs w:val="24"/>
          <w:lang w:eastAsia="en-AU"/>
        </w:rPr>
        <w:t xml:space="preserve">licenced </w:t>
      </w:r>
      <w:r w:rsidRPr="00225F3F">
        <w:rPr>
          <w:rFonts w:eastAsia="Times New Roman" w:cs="Calibri"/>
          <w:szCs w:val="24"/>
          <w:lang w:eastAsia="en-AU"/>
        </w:rPr>
        <w:t>Dangerous Goods site</w:t>
      </w:r>
      <w:r>
        <w:rPr>
          <w:rFonts w:eastAsia="Times New Roman" w:cs="Calibri"/>
          <w:szCs w:val="24"/>
          <w:lang w:eastAsia="en-AU"/>
        </w:rPr>
        <w:t xml:space="preserve"> and</w:t>
      </w:r>
    </w:p>
    <w:p w14:paraId="37DFA5D8" w14:textId="77777777" w:rsidR="00A13752" w:rsidRPr="00225F3F" w:rsidRDefault="00A13752" w:rsidP="00A13752">
      <w:pPr>
        <w:pStyle w:val="ListParagraph"/>
        <w:numPr>
          <w:ilvl w:val="0"/>
          <w:numId w:val="55"/>
        </w:numPr>
        <w:spacing w:line="278" w:lineRule="auto"/>
        <w:contextualSpacing w:val="0"/>
        <w:rPr>
          <w:rFonts w:eastAsia="Times New Roman" w:cs="Calibri"/>
          <w:szCs w:val="24"/>
          <w:lang w:eastAsia="en-AU"/>
        </w:rPr>
      </w:pPr>
      <w:r>
        <w:rPr>
          <w:rFonts w:eastAsia="Times New Roman" w:cs="Calibri"/>
          <w:szCs w:val="24"/>
          <w:lang w:eastAsia="en-AU"/>
        </w:rPr>
        <w:t>the internal diameter is greater than 60 mm.</w:t>
      </w:r>
    </w:p>
    <w:p w14:paraId="04AA6220" w14:textId="77777777" w:rsidR="00510F97" w:rsidRDefault="00510F97" w:rsidP="00510F97">
      <w:pPr>
        <w:spacing w:line="278" w:lineRule="auto"/>
        <w:rPr>
          <w:rFonts w:eastAsia="Times New Roman" w:cs="Calibri"/>
          <w:szCs w:val="24"/>
          <w:lang w:eastAsia="en-AU"/>
        </w:rPr>
      </w:pPr>
    </w:p>
    <w:p w14:paraId="08D3A502" w14:textId="77777777" w:rsidR="00510F97" w:rsidRDefault="00510F97" w:rsidP="00510F97">
      <w:pPr>
        <w:rPr>
          <w:rFonts w:eastAsia="Times New Roman" w:cs="Calibri"/>
          <w:szCs w:val="24"/>
          <w:lang w:eastAsia="en-AU"/>
        </w:rPr>
      </w:pPr>
      <w:r>
        <w:rPr>
          <w:rFonts w:eastAsia="Times New Roman" w:cs="Calibri"/>
          <w:szCs w:val="24"/>
          <w:lang w:eastAsia="en-AU"/>
        </w:rPr>
        <w:t xml:space="preserve">Part 4 Division 2 outlines the </w:t>
      </w:r>
      <w:r w:rsidRPr="00CC62A0">
        <w:rPr>
          <w:rFonts w:eastAsia="Times New Roman" w:cs="Calibri"/>
          <w:szCs w:val="24"/>
          <w:lang w:eastAsia="en-AU"/>
        </w:rPr>
        <w:t xml:space="preserve">risk control requirements </w:t>
      </w:r>
      <w:r>
        <w:rPr>
          <w:rFonts w:eastAsia="Times New Roman" w:cs="Calibri"/>
          <w:szCs w:val="24"/>
          <w:lang w:eastAsia="en-AU"/>
        </w:rPr>
        <w:t xml:space="preserve">for dangerous goods sites </w:t>
      </w:r>
      <w:r w:rsidRPr="00CC62A0">
        <w:rPr>
          <w:rFonts w:eastAsia="Times New Roman" w:cs="Calibri"/>
          <w:szCs w:val="24"/>
          <w:lang w:eastAsia="en-AU"/>
        </w:rPr>
        <w:t xml:space="preserve">including conducting a written risk assessment to identify </w:t>
      </w:r>
      <w:r>
        <w:rPr>
          <w:rFonts w:eastAsia="Times New Roman" w:cs="Calibri"/>
          <w:szCs w:val="24"/>
          <w:lang w:eastAsia="en-AU"/>
        </w:rPr>
        <w:t>and control risks; design, build and maintain systems to minimise risk;</w:t>
      </w:r>
      <w:r w:rsidRPr="00CC62A0">
        <w:rPr>
          <w:rFonts w:eastAsia="Times New Roman" w:cs="Calibri"/>
          <w:szCs w:val="24"/>
          <w:lang w:eastAsia="en-AU"/>
        </w:rPr>
        <w:t xml:space="preserve"> and </w:t>
      </w:r>
      <w:r>
        <w:rPr>
          <w:rFonts w:eastAsia="Times New Roman" w:cs="Calibri"/>
          <w:szCs w:val="24"/>
          <w:lang w:eastAsia="en-AU"/>
        </w:rPr>
        <w:t>specific controls such as placarding,</w:t>
      </w:r>
      <w:r w:rsidRPr="00CC62A0">
        <w:rPr>
          <w:rFonts w:eastAsia="Times New Roman" w:cs="Calibri"/>
          <w:szCs w:val="24"/>
          <w:lang w:eastAsia="en-AU"/>
        </w:rPr>
        <w:t xml:space="preserve"> se</w:t>
      </w:r>
      <w:r>
        <w:rPr>
          <w:rFonts w:eastAsia="Times New Roman" w:cs="Calibri"/>
          <w:szCs w:val="24"/>
          <w:lang w:eastAsia="en-AU"/>
        </w:rPr>
        <w:t>grega</w:t>
      </w:r>
      <w:r w:rsidRPr="00CC62A0">
        <w:rPr>
          <w:rFonts w:eastAsia="Times New Roman" w:cs="Calibri"/>
          <w:szCs w:val="24"/>
          <w:lang w:eastAsia="en-AU"/>
        </w:rPr>
        <w:t xml:space="preserve">tion, fire protection, </w:t>
      </w:r>
      <w:r>
        <w:rPr>
          <w:rFonts w:eastAsia="Times New Roman" w:cs="Calibri"/>
          <w:szCs w:val="24"/>
          <w:lang w:eastAsia="en-AU"/>
        </w:rPr>
        <w:t>hazardous atmosphere management, fire hazards</w:t>
      </w:r>
      <w:r w:rsidRPr="00CC62A0">
        <w:rPr>
          <w:rFonts w:eastAsia="Times New Roman" w:cs="Calibri"/>
          <w:szCs w:val="24"/>
          <w:lang w:eastAsia="en-AU"/>
        </w:rPr>
        <w:t>; preparing a site plan</w:t>
      </w:r>
      <w:r>
        <w:rPr>
          <w:rFonts w:eastAsia="Times New Roman" w:cs="Calibri"/>
          <w:szCs w:val="24"/>
          <w:lang w:eastAsia="en-AU"/>
        </w:rPr>
        <w:t xml:space="preserve">, </w:t>
      </w:r>
      <w:r w:rsidRPr="00CC62A0">
        <w:rPr>
          <w:rFonts w:eastAsia="Times New Roman" w:cs="Calibri"/>
          <w:szCs w:val="24"/>
          <w:lang w:eastAsia="en-AU"/>
        </w:rPr>
        <w:t xml:space="preserve">manifest </w:t>
      </w:r>
      <w:r>
        <w:rPr>
          <w:rFonts w:eastAsia="Times New Roman" w:cs="Calibri"/>
          <w:szCs w:val="24"/>
          <w:lang w:eastAsia="en-AU"/>
        </w:rPr>
        <w:t>and emergency plan; adequate supervision and training of personnel.</w:t>
      </w:r>
    </w:p>
    <w:p w14:paraId="3A6DE909" w14:textId="77777777" w:rsidR="00510F97" w:rsidRDefault="00510F97" w:rsidP="00510F97">
      <w:pPr>
        <w:rPr>
          <w:rFonts w:eastAsia="Times New Roman" w:cs="Calibri"/>
          <w:color w:val="000000" w:themeColor="text1"/>
          <w:lang w:eastAsia="en-AU"/>
        </w:rPr>
      </w:pPr>
      <w:r>
        <w:rPr>
          <w:rFonts w:eastAsia="Times New Roman" w:cs="Calibri"/>
          <w:szCs w:val="24"/>
          <w:lang w:eastAsia="en-AU"/>
        </w:rPr>
        <w:t xml:space="preserve">Additionally, Part 5 Division 2 outlines the required risk controls for dangerous goods pipelines </w:t>
      </w:r>
      <w:r w:rsidRPr="001519E6">
        <w:rPr>
          <w:rFonts w:eastAsia="Times New Roman" w:cs="Calibri"/>
          <w:szCs w:val="24"/>
          <w:lang w:eastAsia="en-AU"/>
        </w:rPr>
        <w:t xml:space="preserve">including </w:t>
      </w:r>
      <w:r>
        <w:rPr>
          <w:rFonts w:eastAsia="Times New Roman" w:cs="Calibri"/>
          <w:szCs w:val="24"/>
          <w:lang w:eastAsia="en-AU"/>
        </w:rPr>
        <w:t xml:space="preserve">being </w:t>
      </w:r>
      <w:r w:rsidRPr="001519E6">
        <w:rPr>
          <w:rFonts w:eastAsia="Times New Roman" w:cs="Calibri"/>
          <w:szCs w:val="24"/>
          <w:lang w:eastAsia="en-AU"/>
        </w:rPr>
        <w:t>design</w:t>
      </w:r>
      <w:r>
        <w:rPr>
          <w:rFonts w:eastAsia="Times New Roman" w:cs="Calibri"/>
          <w:szCs w:val="24"/>
          <w:lang w:eastAsia="en-AU"/>
        </w:rPr>
        <w:t>ed, built and maintained</w:t>
      </w:r>
      <w:r w:rsidRPr="001519E6">
        <w:rPr>
          <w:rFonts w:eastAsia="Times New Roman" w:cs="Calibri"/>
          <w:szCs w:val="24"/>
          <w:lang w:eastAsia="en-AU"/>
        </w:rPr>
        <w:t xml:space="preserve"> </w:t>
      </w:r>
      <w:r>
        <w:rPr>
          <w:rFonts w:eastAsia="Times New Roman" w:cs="Calibri"/>
          <w:szCs w:val="24"/>
          <w:lang w:eastAsia="en-AU"/>
        </w:rPr>
        <w:t>to reduce risks</w:t>
      </w:r>
      <w:r w:rsidRPr="001519E6">
        <w:rPr>
          <w:rFonts w:eastAsia="Times New Roman" w:cs="Calibri"/>
          <w:szCs w:val="24"/>
          <w:lang w:eastAsia="en-AU"/>
        </w:rPr>
        <w:t>,</w:t>
      </w:r>
      <w:r>
        <w:rPr>
          <w:rFonts w:eastAsia="Times New Roman" w:cs="Calibri"/>
          <w:szCs w:val="24"/>
          <w:lang w:eastAsia="en-AU"/>
        </w:rPr>
        <w:t xml:space="preserve"> labelling, accessibility for </w:t>
      </w:r>
      <w:r w:rsidRPr="001519E6">
        <w:rPr>
          <w:rFonts w:eastAsia="Times New Roman" w:cs="Calibri"/>
          <w:szCs w:val="24"/>
          <w:lang w:eastAsia="en-AU"/>
        </w:rPr>
        <w:t>maintenance, SDS availability,</w:t>
      </w:r>
      <w:r>
        <w:rPr>
          <w:rFonts w:eastAsia="Times New Roman" w:cs="Calibri"/>
          <w:szCs w:val="24"/>
          <w:lang w:eastAsia="en-AU"/>
        </w:rPr>
        <w:t xml:space="preserve"> and</w:t>
      </w:r>
      <w:r w:rsidRPr="001519E6">
        <w:rPr>
          <w:rFonts w:eastAsia="Times New Roman" w:cs="Calibri"/>
          <w:szCs w:val="24"/>
          <w:lang w:eastAsia="en-AU"/>
        </w:rPr>
        <w:t xml:space="preserve"> </w:t>
      </w:r>
      <w:r>
        <w:rPr>
          <w:rFonts w:eastAsia="Times New Roman" w:cs="Calibri"/>
          <w:szCs w:val="24"/>
          <w:lang w:eastAsia="en-AU"/>
        </w:rPr>
        <w:t>adequate</w:t>
      </w:r>
      <w:r w:rsidRPr="001519E6">
        <w:rPr>
          <w:rFonts w:eastAsia="Times New Roman" w:cs="Calibri"/>
          <w:szCs w:val="24"/>
          <w:lang w:eastAsia="en-AU"/>
        </w:rPr>
        <w:t xml:space="preserve"> decommissioning.</w:t>
      </w:r>
    </w:p>
    <w:p w14:paraId="7CB6F36A" w14:textId="7F3D0785" w:rsidR="007A509A" w:rsidRPr="00BA14E9" w:rsidRDefault="00510F97" w:rsidP="00656654">
      <w:pPr>
        <w:rPr>
          <w:lang w:eastAsia="en-AU"/>
        </w:rPr>
      </w:pPr>
      <w:r w:rsidRPr="006D0F7B">
        <w:rPr>
          <w:lang w:eastAsia="en-AU"/>
        </w:rPr>
        <w:t xml:space="preserve">The Dangerous Goods Safety (Major Hazard Facilities) Regulations 2007 (WA) </w:t>
      </w:r>
      <w:r>
        <w:rPr>
          <w:rFonts w:eastAsia="Times New Roman" w:cs="Calibri"/>
          <w:szCs w:val="24"/>
          <w:lang w:eastAsia="en-AU"/>
        </w:rPr>
        <w:t>require</w:t>
      </w:r>
      <w:r w:rsidRPr="00B42986">
        <w:rPr>
          <w:rFonts w:eastAsia="Times New Roman" w:cs="Calibri"/>
          <w:szCs w:val="24"/>
          <w:lang w:eastAsia="en-AU"/>
        </w:rPr>
        <w:t xml:space="preserve"> any facility with a capacity exceeding the critical quantity (for hydrogen: 5 tonnes, as this is 10% of the threshold quantity of 50 tonnes) to notify the </w:t>
      </w:r>
      <w:r>
        <w:rPr>
          <w:rFonts w:eastAsia="Times New Roman" w:cs="Calibri"/>
          <w:szCs w:val="24"/>
          <w:lang w:eastAsia="en-AU"/>
        </w:rPr>
        <w:t xml:space="preserve">Chief Dangerous Goods Officer. </w:t>
      </w:r>
      <w:r w:rsidRPr="00B42986">
        <w:rPr>
          <w:rFonts w:eastAsia="Times New Roman" w:cs="Calibri"/>
          <w:szCs w:val="24"/>
          <w:lang w:eastAsia="en-AU"/>
        </w:rPr>
        <w:t xml:space="preserve">At the 10% notification threshold, the Department will assess these facilities and determine if they will be classed as </w:t>
      </w:r>
      <w:proofErr w:type="gramStart"/>
      <w:r w:rsidRPr="00B42986">
        <w:rPr>
          <w:rFonts w:eastAsia="Times New Roman" w:cs="Calibri"/>
          <w:szCs w:val="24"/>
          <w:lang w:eastAsia="en-AU"/>
        </w:rPr>
        <w:t>a</w:t>
      </w:r>
      <w:proofErr w:type="gramEnd"/>
      <w:r>
        <w:rPr>
          <w:rFonts w:eastAsia="Times New Roman" w:cs="Calibri"/>
          <w:szCs w:val="24"/>
          <w:lang w:eastAsia="en-AU"/>
        </w:rPr>
        <w:t xml:space="preserve"> </w:t>
      </w:r>
      <w:r w:rsidRPr="00B42986">
        <w:rPr>
          <w:rFonts w:eastAsia="Times New Roman" w:cs="Calibri"/>
          <w:szCs w:val="24"/>
          <w:lang w:eastAsia="en-AU"/>
        </w:rPr>
        <w:t>MHF.</w:t>
      </w:r>
    </w:p>
    <w:p w14:paraId="2CE0E03B" w14:textId="189E1CB3" w:rsidR="007B590D" w:rsidRPr="00BA14E9" w:rsidRDefault="007B590D" w:rsidP="007B590D">
      <w:pPr>
        <w:rPr>
          <w:rFonts w:eastAsia="Times New Roman" w:cs="Calibri"/>
          <w:lang w:eastAsia="en-AU"/>
        </w:rPr>
      </w:pPr>
      <w:r w:rsidRPr="00BA14E9">
        <w:rPr>
          <w:rFonts w:eastAsia="Times New Roman" w:cs="Calibri"/>
          <w:lang w:eastAsia="en-AU"/>
        </w:rPr>
        <w:t xml:space="preserve">Proponents should be aware that the WA Government published a </w:t>
      </w:r>
      <w:r w:rsidR="00055AE2">
        <w:rPr>
          <w:rFonts w:eastAsia="Times New Roman" w:cs="Calibri"/>
          <w:lang w:eastAsia="en-AU"/>
        </w:rPr>
        <w:t>‘</w:t>
      </w:r>
      <w:r w:rsidRPr="00BA14E9">
        <w:rPr>
          <w:rFonts w:eastAsia="Times New Roman" w:cs="Calibri"/>
          <w:lang w:eastAsia="en-AU"/>
        </w:rPr>
        <w:t>Storage, handling and production of hydrogen</w:t>
      </w:r>
      <w:r w:rsidR="00A74E88">
        <w:rPr>
          <w:rFonts w:eastAsia="Times New Roman" w:cs="Calibri"/>
          <w:lang w:eastAsia="en-AU"/>
        </w:rPr>
        <w:t>’ guide in</w:t>
      </w:r>
      <w:r w:rsidRPr="00BA14E9">
        <w:rPr>
          <w:rFonts w:eastAsia="Times New Roman" w:cs="Calibri"/>
          <w:lang w:eastAsia="en-AU"/>
        </w:rPr>
        <w:t xml:space="preserve"> June 2024. The guide is designed to assist all persons who store, handle or produce hydrogen gas and liquid in WA to understand what is required from a dangerous goods safety perspective. The guide relevantly notes that hydrogen pipelines that leave a site (</w:t>
      </w:r>
      <w:r w:rsidR="0053072E">
        <w:rPr>
          <w:rFonts w:eastAsia="Times New Roman" w:cs="Calibri"/>
          <w:lang w:eastAsia="en-AU"/>
        </w:rPr>
        <w:t>for example,</w:t>
      </w:r>
      <w:r w:rsidRPr="00BA14E9">
        <w:rPr>
          <w:rFonts w:eastAsia="Times New Roman" w:cs="Calibri"/>
          <w:lang w:eastAsia="en-AU"/>
        </w:rPr>
        <w:t xml:space="preserve"> manufacturing or storage facility to an export or import facility) may need to be registered under the DGSH Regulations.</w:t>
      </w:r>
    </w:p>
    <w:p w14:paraId="4A070698" w14:textId="59A4FAC8" w:rsidR="007B590D" w:rsidRPr="005656FA" w:rsidRDefault="007B590D" w:rsidP="007B590D">
      <w:pPr>
        <w:rPr>
          <w:rFonts w:eastAsia="Times New Roman" w:cs="Calibri"/>
          <w:lang w:eastAsia="en-AU"/>
        </w:rPr>
      </w:pPr>
      <w:r w:rsidRPr="005656FA">
        <w:rPr>
          <w:rFonts w:eastAsia="Times New Roman" w:cs="Calibri"/>
          <w:lang w:eastAsia="en-AU"/>
        </w:rPr>
        <w:t>The Guide also provides the following table:</w:t>
      </w:r>
    </w:p>
    <w:tbl>
      <w:tblPr>
        <w:tblStyle w:val="TableGrid"/>
        <w:tblW w:w="0" w:type="auto"/>
        <w:tblLook w:val="04A0" w:firstRow="1" w:lastRow="0" w:firstColumn="1" w:lastColumn="0" w:noHBand="0" w:noVBand="1"/>
      </w:tblPr>
      <w:tblGrid>
        <w:gridCol w:w="4508"/>
        <w:gridCol w:w="4508"/>
      </w:tblGrid>
      <w:tr w:rsidR="007B590D" w:rsidRPr="001F06BC" w14:paraId="3C852D23" w14:textId="77777777" w:rsidTr="005656FA">
        <w:trPr>
          <w:trHeight w:val="300"/>
          <w:tblHeader/>
        </w:trPr>
        <w:tc>
          <w:tcPr>
            <w:tcW w:w="4508" w:type="dxa"/>
          </w:tcPr>
          <w:p w14:paraId="0A94DE89" w14:textId="77777777" w:rsidR="007B590D" w:rsidRPr="005656FA" w:rsidRDefault="007B590D" w:rsidP="000246F4">
            <w:pPr>
              <w:rPr>
                <w:rFonts w:eastAsia="Times New Roman" w:cs="Calibri"/>
                <w:b/>
                <w:lang w:val="en-AU" w:eastAsia="en-AU"/>
              </w:rPr>
            </w:pPr>
            <w:r w:rsidRPr="005656FA">
              <w:rPr>
                <w:rFonts w:eastAsia="Times New Roman" w:cs="Calibri"/>
                <w:b/>
                <w:lang w:eastAsia="en-AU"/>
              </w:rPr>
              <w:t>Hydrogen Use</w:t>
            </w:r>
          </w:p>
        </w:tc>
        <w:tc>
          <w:tcPr>
            <w:tcW w:w="4508" w:type="dxa"/>
          </w:tcPr>
          <w:p w14:paraId="0C29D962" w14:textId="77777777" w:rsidR="007B590D" w:rsidRPr="005656FA" w:rsidRDefault="007B590D" w:rsidP="000246F4">
            <w:pPr>
              <w:rPr>
                <w:rFonts w:eastAsia="Times New Roman" w:cs="Calibri"/>
                <w:b/>
                <w:lang w:val="en-AU" w:eastAsia="en-AU"/>
              </w:rPr>
            </w:pPr>
            <w:r w:rsidRPr="005656FA">
              <w:rPr>
                <w:rFonts w:eastAsia="Times New Roman" w:cs="Calibri"/>
                <w:b/>
                <w:lang w:eastAsia="en-AU"/>
              </w:rPr>
              <w:t>Applicable Safety Legislation</w:t>
            </w:r>
          </w:p>
        </w:tc>
      </w:tr>
      <w:tr w:rsidR="007B590D" w:rsidRPr="001F06BC" w14:paraId="2125672F" w14:textId="77777777" w:rsidTr="606C9B12">
        <w:trPr>
          <w:trHeight w:val="300"/>
        </w:trPr>
        <w:tc>
          <w:tcPr>
            <w:tcW w:w="4508" w:type="dxa"/>
          </w:tcPr>
          <w:p w14:paraId="5C217BD1" w14:textId="77777777" w:rsidR="007B590D" w:rsidRPr="005656FA" w:rsidRDefault="007B590D" w:rsidP="000246F4">
            <w:pPr>
              <w:rPr>
                <w:rFonts w:eastAsia="Times New Roman" w:cs="Calibri"/>
                <w:lang w:val="en-AU" w:eastAsia="en-AU"/>
              </w:rPr>
            </w:pPr>
            <w:r w:rsidRPr="005656FA">
              <w:rPr>
                <w:rFonts w:eastAsia="Times New Roman" w:cs="Calibri"/>
                <w:lang w:eastAsia="en-AU"/>
              </w:rPr>
              <w:t>Transport by road</w:t>
            </w:r>
          </w:p>
        </w:tc>
        <w:tc>
          <w:tcPr>
            <w:tcW w:w="4508" w:type="dxa"/>
          </w:tcPr>
          <w:p w14:paraId="0B97F48B" w14:textId="77777777" w:rsidR="007B590D" w:rsidRPr="005656FA" w:rsidRDefault="007B590D" w:rsidP="00D33BE1">
            <w:pPr>
              <w:pStyle w:val="ListParagraph"/>
              <w:numPr>
                <w:ilvl w:val="0"/>
                <w:numId w:val="52"/>
              </w:numPr>
              <w:tabs>
                <w:tab w:val="left" w:pos="2713"/>
              </w:tabs>
              <w:rPr>
                <w:rFonts w:eastAsia="Times New Roman" w:cs="Calibri"/>
                <w:lang w:val="en-AU" w:eastAsia="en-AU"/>
              </w:rPr>
            </w:pPr>
            <w:r w:rsidRPr="005656FA">
              <w:rPr>
                <w:rFonts w:eastAsia="Times New Roman" w:cs="Calibri"/>
                <w:i/>
                <w:color w:val="000000" w:themeColor="text1"/>
                <w:lang w:eastAsia="en-AU"/>
              </w:rPr>
              <w:t xml:space="preserve">Dangerous Goods Safety Act 2004 </w:t>
            </w:r>
            <w:r w:rsidRPr="005656FA">
              <w:rPr>
                <w:rFonts w:eastAsia="Times New Roman" w:cs="Calibri"/>
                <w:color w:val="000000" w:themeColor="text1"/>
                <w:lang w:eastAsia="en-AU"/>
              </w:rPr>
              <w:t>(WA)</w:t>
            </w:r>
          </w:p>
          <w:p w14:paraId="5F8D3663" w14:textId="77777777" w:rsidR="007B590D" w:rsidRPr="005656FA" w:rsidRDefault="007B590D" w:rsidP="00D33BE1">
            <w:pPr>
              <w:pStyle w:val="ListParagraph"/>
              <w:numPr>
                <w:ilvl w:val="0"/>
                <w:numId w:val="52"/>
              </w:numPr>
              <w:tabs>
                <w:tab w:val="left" w:pos="2713"/>
              </w:tabs>
              <w:rPr>
                <w:rFonts w:eastAsia="Times New Roman" w:cs="Calibri"/>
                <w:lang w:val="en-AU" w:eastAsia="en-AU"/>
              </w:rPr>
            </w:pPr>
            <w:r w:rsidRPr="005656FA">
              <w:rPr>
                <w:rFonts w:eastAsia="Times New Roman" w:cs="Calibri"/>
                <w:lang w:eastAsia="en-AU"/>
              </w:rPr>
              <w:t>Dangerous Goods Safety (Road and Rail Transport of Non-explosives) Regulations 2007</w:t>
            </w:r>
          </w:p>
          <w:p w14:paraId="476C4F27" w14:textId="77777777" w:rsidR="007B590D" w:rsidRPr="005656FA" w:rsidRDefault="007B590D" w:rsidP="00D33BE1">
            <w:pPr>
              <w:pStyle w:val="ListParagraph"/>
              <w:numPr>
                <w:ilvl w:val="0"/>
                <w:numId w:val="52"/>
              </w:numPr>
              <w:tabs>
                <w:tab w:val="left" w:pos="2713"/>
              </w:tabs>
              <w:rPr>
                <w:rFonts w:eastAsia="Times New Roman" w:cs="Calibri"/>
                <w:lang w:val="en-AU" w:eastAsia="en-AU"/>
              </w:rPr>
            </w:pPr>
            <w:r w:rsidRPr="005656FA">
              <w:rPr>
                <w:rFonts w:eastAsia="Times New Roman" w:cs="Calibri"/>
                <w:lang w:eastAsia="en-AU"/>
              </w:rPr>
              <w:t>Australian Dangerous Goods Code – Edition 7.8</w:t>
            </w:r>
          </w:p>
        </w:tc>
      </w:tr>
      <w:tr w:rsidR="007B590D" w:rsidRPr="001F06BC" w14:paraId="6B1CDA84" w14:textId="77777777" w:rsidTr="606C9B12">
        <w:trPr>
          <w:trHeight w:val="300"/>
        </w:trPr>
        <w:tc>
          <w:tcPr>
            <w:tcW w:w="4508" w:type="dxa"/>
          </w:tcPr>
          <w:p w14:paraId="32F42BA6" w14:textId="77777777" w:rsidR="007B590D" w:rsidRPr="005656FA" w:rsidRDefault="007B590D" w:rsidP="000246F4">
            <w:pPr>
              <w:rPr>
                <w:rFonts w:eastAsia="Times New Roman" w:cs="Calibri"/>
                <w:lang w:val="en-AU" w:eastAsia="en-AU"/>
              </w:rPr>
            </w:pPr>
            <w:r w:rsidRPr="005656FA">
              <w:rPr>
                <w:rFonts w:eastAsia="Times New Roman" w:cs="Calibri"/>
                <w:lang w:eastAsia="en-AU"/>
              </w:rPr>
              <w:t>Blended in a natural gas transmission pipeline</w:t>
            </w:r>
          </w:p>
        </w:tc>
        <w:tc>
          <w:tcPr>
            <w:tcW w:w="4508" w:type="dxa"/>
          </w:tcPr>
          <w:p w14:paraId="5C3B5446" w14:textId="77777777" w:rsidR="007B590D" w:rsidRPr="005656FA" w:rsidRDefault="007B590D" w:rsidP="00D33BE1">
            <w:pPr>
              <w:pStyle w:val="ListParagraph"/>
              <w:numPr>
                <w:ilvl w:val="0"/>
                <w:numId w:val="53"/>
              </w:numPr>
              <w:rPr>
                <w:rFonts w:eastAsia="Times New Roman" w:cs="Calibri"/>
                <w:lang w:val="en-AU" w:eastAsia="en-AU"/>
              </w:rPr>
            </w:pPr>
            <w:r w:rsidRPr="005656FA">
              <w:rPr>
                <w:rFonts w:eastAsia="Times New Roman" w:cs="Calibri"/>
                <w:lang w:eastAsia="en-AU"/>
              </w:rPr>
              <w:t>Work Health and Safety (Petroleum and Geothermal Energy Operations) Regulations 2022</w:t>
            </w:r>
          </w:p>
        </w:tc>
      </w:tr>
      <w:tr w:rsidR="007B590D" w:rsidRPr="001F06BC" w14:paraId="4DEF49EB" w14:textId="77777777" w:rsidTr="606C9B12">
        <w:trPr>
          <w:trHeight w:val="300"/>
        </w:trPr>
        <w:tc>
          <w:tcPr>
            <w:tcW w:w="4508" w:type="dxa"/>
          </w:tcPr>
          <w:p w14:paraId="4CF7F908" w14:textId="115D8D61" w:rsidR="007B590D" w:rsidRPr="005656FA" w:rsidRDefault="007B590D" w:rsidP="000246F4">
            <w:pPr>
              <w:rPr>
                <w:rFonts w:eastAsia="Times New Roman" w:cs="Calibri"/>
                <w:lang w:val="en-AU" w:eastAsia="en-AU"/>
              </w:rPr>
            </w:pPr>
            <w:r w:rsidRPr="005656FA">
              <w:rPr>
                <w:rFonts w:eastAsia="Times New Roman" w:cs="Calibri"/>
                <w:lang w:eastAsia="en-AU"/>
              </w:rPr>
              <w:t>Fuel for gas appliances (</w:t>
            </w:r>
            <w:r w:rsidR="00C35592">
              <w:rPr>
                <w:rFonts w:eastAsia="Times New Roman" w:cs="Calibri"/>
                <w:lang w:val="en-AU" w:eastAsia="en-AU"/>
              </w:rPr>
              <w:t>for example,</w:t>
            </w:r>
            <w:r w:rsidRPr="005656FA">
              <w:rPr>
                <w:rFonts w:eastAsia="Times New Roman" w:cs="Calibri"/>
                <w:lang w:eastAsia="en-AU"/>
              </w:rPr>
              <w:t xml:space="preserve"> fuel cells)</w:t>
            </w:r>
          </w:p>
        </w:tc>
        <w:tc>
          <w:tcPr>
            <w:tcW w:w="4508" w:type="dxa"/>
          </w:tcPr>
          <w:p w14:paraId="60198424" w14:textId="77777777" w:rsidR="007B590D" w:rsidRPr="005656FA" w:rsidRDefault="007B590D" w:rsidP="00D33BE1">
            <w:pPr>
              <w:pStyle w:val="ListParagraph"/>
              <w:numPr>
                <w:ilvl w:val="0"/>
                <w:numId w:val="53"/>
              </w:numPr>
              <w:rPr>
                <w:rFonts w:eastAsia="Times New Roman" w:cs="Calibri"/>
                <w:i/>
                <w:lang w:val="en-AU" w:eastAsia="en-AU"/>
              </w:rPr>
            </w:pPr>
            <w:r w:rsidRPr="005656FA">
              <w:rPr>
                <w:rFonts w:eastAsia="Times New Roman" w:cs="Calibri"/>
                <w:i/>
                <w:lang w:eastAsia="en-AU"/>
              </w:rPr>
              <w:t xml:space="preserve">Gas Standards Act 1972 </w:t>
            </w:r>
            <w:r w:rsidRPr="005656FA">
              <w:rPr>
                <w:rFonts w:eastAsia="Times New Roman" w:cs="Calibri"/>
                <w:color w:val="000000" w:themeColor="text1"/>
                <w:lang w:eastAsia="en-AU"/>
              </w:rPr>
              <w:t>(WA)</w:t>
            </w:r>
          </w:p>
        </w:tc>
      </w:tr>
      <w:tr w:rsidR="007B590D" w:rsidRPr="001F06BC" w14:paraId="2BD60071" w14:textId="77777777" w:rsidTr="606C9B12">
        <w:trPr>
          <w:trHeight w:val="300"/>
        </w:trPr>
        <w:tc>
          <w:tcPr>
            <w:tcW w:w="4508" w:type="dxa"/>
          </w:tcPr>
          <w:p w14:paraId="6FF3AB56" w14:textId="4CF855F6" w:rsidR="007B590D" w:rsidRPr="005656FA" w:rsidRDefault="007B590D" w:rsidP="000246F4">
            <w:pPr>
              <w:rPr>
                <w:rFonts w:eastAsia="Times New Roman" w:cs="Calibri"/>
                <w:lang w:val="en-AU" w:eastAsia="en-AU"/>
              </w:rPr>
            </w:pPr>
            <w:r w:rsidRPr="005656FA">
              <w:rPr>
                <w:rFonts w:eastAsia="Times New Roman" w:cs="Calibri"/>
                <w:lang w:eastAsia="en-AU"/>
              </w:rPr>
              <w:t>Distribution</w:t>
            </w:r>
            <w:r w:rsidR="00C35592">
              <w:rPr>
                <w:rFonts w:eastAsia="Times New Roman" w:cs="Calibri"/>
                <w:lang w:val="en-AU" w:eastAsia="en-AU"/>
              </w:rPr>
              <w:t xml:space="preserve"> </w:t>
            </w:r>
            <w:r w:rsidRPr="005656FA">
              <w:rPr>
                <w:rFonts w:eastAsia="Times New Roman" w:cs="Calibri"/>
                <w:lang w:eastAsia="en-AU"/>
              </w:rPr>
              <w:t>/</w:t>
            </w:r>
            <w:r w:rsidR="00C35592">
              <w:rPr>
                <w:rFonts w:eastAsia="Times New Roman" w:cs="Calibri"/>
                <w:lang w:val="en-AU" w:eastAsia="en-AU"/>
              </w:rPr>
              <w:t xml:space="preserve"> </w:t>
            </w:r>
            <w:r w:rsidRPr="005656FA">
              <w:rPr>
                <w:rFonts w:eastAsia="Times New Roman" w:cs="Calibri"/>
                <w:lang w:eastAsia="en-AU"/>
              </w:rPr>
              <w:t>blending through gas network</w:t>
            </w:r>
          </w:p>
        </w:tc>
        <w:tc>
          <w:tcPr>
            <w:tcW w:w="4508" w:type="dxa"/>
          </w:tcPr>
          <w:p w14:paraId="720102D1" w14:textId="77777777" w:rsidR="007B590D" w:rsidRPr="005656FA" w:rsidRDefault="007B590D" w:rsidP="00D33BE1">
            <w:pPr>
              <w:pStyle w:val="ListParagraph"/>
              <w:numPr>
                <w:ilvl w:val="0"/>
                <w:numId w:val="53"/>
              </w:numPr>
              <w:rPr>
                <w:rFonts w:eastAsia="Times New Roman" w:cs="Calibri"/>
                <w:i/>
                <w:lang w:val="en-AU" w:eastAsia="en-AU"/>
              </w:rPr>
            </w:pPr>
            <w:r w:rsidRPr="005656FA">
              <w:rPr>
                <w:rFonts w:eastAsia="Times New Roman" w:cs="Calibri"/>
                <w:i/>
                <w:lang w:eastAsia="en-AU"/>
              </w:rPr>
              <w:t xml:space="preserve">Gas Standards Act 1972 </w:t>
            </w:r>
            <w:r w:rsidRPr="005656FA">
              <w:rPr>
                <w:rFonts w:eastAsia="Times New Roman" w:cs="Calibri"/>
                <w:color w:val="000000" w:themeColor="text1"/>
                <w:lang w:eastAsia="en-AU"/>
              </w:rPr>
              <w:t>(WA)</w:t>
            </w:r>
          </w:p>
        </w:tc>
      </w:tr>
      <w:tr w:rsidR="007B590D" w:rsidRPr="001F06BC" w14:paraId="61CDCA81" w14:textId="77777777" w:rsidTr="606C9B12">
        <w:trPr>
          <w:trHeight w:val="300"/>
        </w:trPr>
        <w:tc>
          <w:tcPr>
            <w:tcW w:w="4508" w:type="dxa"/>
          </w:tcPr>
          <w:p w14:paraId="4BDBB3E9" w14:textId="77777777" w:rsidR="007B590D" w:rsidRPr="005656FA" w:rsidRDefault="007B590D" w:rsidP="000246F4">
            <w:pPr>
              <w:rPr>
                <w:rFonts w:eastAsia="Times New Roman" w:cs="Calibri"/>
                <w:lang w:val="en-AU" w:eastAsia="en-AU"/>
              </w:rPr>
            </w:pPr>
            <w:r w:rsidRPr="005656FA">
              <w:rPr>
                <w:rFonts w:eastAsia="Times New Roman" w:cs="Calibri"/>
                <w:lang w:eastAsia="en-AU"/>
              </w:rPr>
              <w:lastRenderedPageBreak/>
              <w:t>Export</w:t>
            </w:r>
          </w:p>
        </w:tc>
        <w:tc>
          <w:tcPr>
            <w:tcW w:w="4508" w:type="dxa"/>
          </w:tcPr>
          <w:p w14:paraId="4691C8B6" w14:textId="77777777" w:rsidR="007B590D" w:rsidRPr="005656FA" w:rsidRDefault="007B590D" w:rsidP="00D33BE1">
            <w:pPr>
              <w:pStyle w:val="ListParagraph"/>
              <w:numPr>
                <w:ilvl w:val="0"/>
                <w:numId w:val="53"/>
              </w:numPr>
              <w:rPr>
                <w:rFonts w:eastAsia="Times New Roman" w:cs="Calibri"/>
                <w:lang w:val="en-AU" w:eastAsia="en-AU"/>
              </w:rPr>
            </w:pPr>
            <w:r w:rsidRPr="005656FA">
              <w:rPr>
                <w:rFonts w:eastAsia="Times New Roman" w:cs="Calibri"/>
                <w:lang w:eastAsia="en-AU"/>
              </w:rPr>
              <w:t>International Maritime Dangerous Goods Code (Australian Maritime Safety Authority)</w:t>
            </w:r>
          </w:p>
        </w:tc>
      </w:tr>
      <w:tr w:rsidR="007B590D" w:rsidRPr="00BA14E9" w14:paraId="3E7B3248" w14:textId="77777777" w:rsidTr="606C9B12">
        <w:trPr>
          <w:trHeight w:val="300"/>
        </w:trPr>
        <w:tc>
          <w:tcPr>
            <w:tcW w:w="4508" w:type="dxa"/>
          </w:tcPr>
          <w:p w14:paraId="2EDE8F48" w14:textId="77777777" w:rsidR="007B590D" w:rsidRPr="005656FA" w:rsidRDefault="007B590D" w:rsidP="000246F4">
            <w:pPr>
              <w:rPr>
                <w:rFonts w:eastAsia="Times New Roman" w:cs="Calibri"/>
                <w:lang w:val="en-AU" w:eastAsia="en-AU"/>
              </w:rPr>
            </w:pPr>
            <w:r w:rsidRPr="005656FA">
              <w:rPr>
                <w:rFonts w:eastAsia="Times New Roman" w:cs="Calibri"/>
                <w:lang w:eastAsia="en-AU"/>
              </w:rPr>
              <w:t>Gas installations</w:t>
            </w:r>
          </w:p>
        </w:tc>
        <w:tc>
          <w:tcPr>
            <w:tcW w:w="4508" w:type="dxa"/>
          </w:tcPr>
          <w:p w14:paraId="2B2B7D85" w14:textId="77777777" w:rsidR="007B590D" w:rsidRPr="005656FA" w:rsidRDefault="007B590D" w:rsidP="00D33BE1">
            <w:pPr>
              <w:pStyle w:val="ListParagraph"/>
              <w:numPr>
                <w:ilvl w:val="0"/>
                <w:numId w:val="53"/>
              </w:numPr>
              <w:rPr>
                <w:rFonts w:eastAsia="Times New Roman" w:cs="Calibri"/>
                <w:i/>
                <w:lang w:val="en-AU" w:eastAsia="en-AU"/>
              </w:rPr>
            </w:pPr>
            <w:r w:rsidRPr="005656FA">
              <w:rPr>
                <w:rFonts w:eastAsia="Times New Roman" w:cs="Calibri"/>
                <w:i/>
                <w:lang w:eastAsia="en-AU"/>
              </w:rPr>
              <w:t xml:space="preserve">Gas Standards Act 1972 </w:t>
            </w:r>
            <w:r w:rsidRPr="005656FA">
              <w:rPr>
                <w:rFonts w:eastAsia="Times New Roman" w:cs="Calibri"/>
                <w:color w:val="000000" w:themeColor="text1"/>
                <w:lang w:eastAsia="en-AU"/>
              </w:rPr>
              <w:t>(WA)</w:t>
            </w:r>
          </w:p>
        </w:tc>
      </w:tr>
    </w:tbl>
    <w:p w14:paraId="1744BB44" w14:textId="77777777" w:rsidR="007B590D" w:rsidRPr="00BA14E9" w:rsidRDefault="007B590D" w:rsidP="007B590D">
      <w:pPr>
        <w:rPr>
          <w:rFonts w:eastAsia="Times New Roman" w:cs="Calibri"/>
          <w:lang w:eastAsia="en-AU"/>
        </w:rPr>
      </w:pPr>
    </w:p>
    <w:p w14:paraId="09556A6F" w14:textId="77777777" w:rsidR="007B590D" w:rsidRPr="00BA14E9" w:rsidRDefault="007B590D" w:rsidP="00656654">
      <w:pPr>
        <w:rPr>
          <w:lang w:eastAsia="en-AU"/>
        </w:rPr>
      </w:pPr>
    </w:p>
    <w:p w14:paraId="4556CA4D" w14:textId="34AB86EC" w:rsidR="005A371B" w:rsidRPr="00BA14E9" w:rsidRDefault="005A371B" w:rsidP="00401DAF">
      <w:pPr>
        <w:pStyle w:val="Heading3"/>
        <w:rPr>
          <w:rFonts w:cs="Calibri"/>
        </w:rPr>
      </w:pPr>
      <w:bookmarkStart w:id="104" w:name="_Toc215810579"/>
      <w:bookmarkStart w:id="105" w:name="_Toc222925521"/>
      <w:bookmarkEnd w:id="104"/>
      <w:r w:rsidRPr="00BA14E9">
        <w:t>Classification of hazardous chemicals and dangerous goods</w:t>
      </w:r>
      <w:bookmarkEnd w:id="101"/>
      <w:bookmarkEnd w:id="105"/>
    </w:p>
    <w:p w14:paraId="2D9BC3DD" w14:textId="77777777" w:rsidR="005A371B" w:rsidRPr="00BA14E9" w:rsidRDefault="005A371B" w:rsidP="005C6CAE">
      <w:pPr>
        <w:rPr>
          <w:rFonts w:cs="Calibri"/>
        </w:rPr>
      </w:pPr>
      <w:proofErr w:type="gramStart"/>
      <w:r w:rsidRPr="00BA14E9">
        <w:rPr>
          <w:rFonts w:cs="Calibri"/>
        </w:rPr>
        <w:t>A number of</w:t>
      </w:r>
      <w:proofErr w:type="gramEnd"/>
      <w:r w:rsidRPr="00BA14E9">
        <w:rPr>
          <w:rFonts w:cs="Calibri"/>
        </w:rPr>
        <w:t xml:space="preserve"> chemical classification frameworks are relevant to the definition of hydrogen in Australian regulations as a hazardous chemical or dangerous good. Among these, two classification frameworks are particularly relevant: the Globally Harmonised System (GHS) and the ADG Code.</w:t>
      </w:r>
    </w:p>
    <w:p w14:paraId="7388B9FD" w14:textId="119B94B4" w:rsidR="00743FCD" w:rsidRPr="00BA14E9" w:rsidRDefault="00743FCD" w:rsidP="005C6CAE">
      <w:pPr>
        <w:rPr>
          <w:rFonts w:cs="Calibri"/>
        </w:rPr>
      </w:pPr>
      <w:r w:rsidRPr="00BA14E9">
        <w:rPr>
          <w:rFonts w:cs="Calibri"/>
        </w:rPr>
        <w:t xml:space="preserve">See chapter </w:t>
      </w:r>
      <w:r w:rsidR="001D2873" w:rsidRPr="00BA14E9">
        <w:rPr>
          <w:rFonts w:cs="Calibri"/>
        </w:rPr>
        <w:t>3.6.2 of the Hydrogen Production Guidebook for further information on the GHS and ADG Code.</w:t>
      </w:r>
    </w:p>
    <w:p w14:paraId="31AD2015" w14:textId="150B6227" w:rsidR="005A371B" w:rsidRPr="00BA14E9" w:rsidDel="00095DF4" w:rsidRDefault="005A371B" w:rsidP="00E83908">
      <w:pPr>
        <w:pStyle w:val="Heading2"/>
      </w:pPr>
      <w:bookmarkStart w:id="106" w:name="_Toc215654678"/>
      <w:bookmarkStart w:id="107" w:name="_Toc215810715"/>
      <w:bookmarkStart w:id="108" w:name="_Toc200490199"/>
      <w:bookmarkStart w:id="109" w:name="_Toc222925522"/>
      <w:bookmarkEnd w:id="106"/>
      <w:bookmarkEnd w:id="107"/>
      <w:r w:rsidRPr="005656FA">
        <w:t>Electrical equipment and installations</w:t>
      </w:r>
      <w:bookmarkEnd w:id="108"/>
      <w:bookmarkEnd w:id="109"/>
    </w:p>
    <w:p w14:paraId="2C149037" w14:textId="77777777" w:rsidR="00A05811" w:rsidRPr="00BA14E9" w:rsidRDefault="00A05811" w:rsidP="00A05811">
      <w:r w:rsidRPr="00BA14E9">
        <w:t>Further reading in Hydrogen Production Guidebook</w:t>
      </w:r>
    </w:p>
    <w:p w14:paraId="2BED4CEC" w14:textId="52170D38" w:rsidR="00A05811" w:rsidRPr="00BA14E9" w:rsidRDefault="00A05811" w:rsidP="005656FA">
      <w:pPr>
        <w:pStyle w:val="ListParagraph"/>
        <w:numPr>
          <w:ilvl w:val="0"/>
          <w:numId w:val="62"/>
        </w:numPr>
        <w:contextualSpacing w:val="0"/>
      </w:pPr>
      <w:r w:rsidRPr="00BA14E9">
        <w:t>Annexure 3, Table 3.</w:t>
      </w:r>
      <w:r w:rsidR="000F6F15" w:rsidRPr="00BA14E9">
        <w:t>8 Examples of electrical safety obligations</w:t>
      </w:r>
    </w:p>
    <w:p w14:paraId="083D2080" w14:textId="16C12C82" w:rsidR="00A05811" w:rsidRPr="00833A6F" w:rsidRDefault="00A05811" w:rsidP="005656FA">
      <w:pPr>
        <w:pStyle w:val="ListParagraph"/>
        <w:numPr>
          <w:ilvl w:val="0"/>
          <w:numId w:val="62"/>
        </w:numPr>
        <w:contextualSpacing w:val="0"/>
        <w:rPr>
          <w:rFonts w:cs="Calibri"/>
        </w:rPr>
      </w:pPr>
      <w:r w:rsidRPr="00BA14E9">
        <w:t>Annexure 3, Table 3.</w:t>
      </w:r>
      <w:r w:rsidR="003E3993" w:rsidRPr="00BA14E9">
        <w:t>9</w:t>
      </w:r>
      <w:r w:rsidRPr="00BA14E9">
        <w:t xml:space="preserve"> – </w:t>
      </w:r>
      <w:r w:rsidR="003E3993" w:rsidRPr="00BA14E9">
        <w:t>Definitions of electrical installation, equipment and work</w:t>
      </w:r>
    </w:p>
    <w:p w14:paraId="59B4A1CA" w14:textId="4FD70DE6" w:rsidR="005A371B" w:rsidRPr="00BA14E9" w:rsidRDefault="005A371B" w:rsidP="005C6CAE">
      <w:pPr>
        <w:rPr>
          <w:rFonts w:cs="Calibri"/>
        </w:rPr>
      </w:pPr>
      <w:r w:rsidRPr="00BA14E9">
        <w:rPr>
          <w:rFonts w:cs="Calibri"/>
        </w:rPr>
        <w:t xml:space="preserve">Within Australia, electrical equipment safety is the responsibility of </w:t>
      </w:r>
      <w:r w:rsidR="00393D33" w:rsidRPr="00BA14E9">
        <w:rPr>
          <w:rFonts w:cs="Calibri"/>
        </w:rPr>
        <w:t>s</w:t>
      </w:r>
      <w:r w:rsidRPr="00BA14E9">
        <w:rPr>
          <w:rFonts w:cs="Calibri"/>
        </w:rPr>
        <w:t xml:space="preserve">tate and </w:t>
      </w:r>
      <w:r w:rsidR="00393D33" w:rsidRPr="00BA14E9">
        <w:rPr>
          <w:rFonts w:cs="Calibri"/>
        </w:rPr>
        <w:t>t</w:t>
      </w:r>
      <w:r w:rsidRPr="00BA14E9">
        <w:rPr>
          <w:rFonts w:cs="Calibri"/>
        </w:rPr>
        <w:t xml:space="preserve">erritory governments administered through local legislation, regulatory requirements and compliance activities. Although minor inter-jurisdictional differences exist, the broad objectives are consistent. The obligations are mandatory in every </w:t>
      </w:r>
      <w:r w:rsidR="00393D33" w:rsidRPr="00BA14E9">
        <w:rPr>
          <w:rFonts w:cs="Calibri"/>
        </w:rPr>
        <w:t>s</w:t>
      </w:r>
      <w:r w:rsidRPr="00BA14E9">
        <w:rPr>
          <w:rFonts w:cs="Calibri"/>
        </w:rPr>
        <w:t xml:space="preserve">tate and </w:t>
      </w:r>
      <w:r w:rsidR="00393D33" w:rsidRPr="00BA14E9">
        <w:rPr>
          <w:rFonts w:cs="Calibri"/>
        </w:rPr>
        <w:t>t</w:t>
      </w:r>
      <w:r w:rsidRPr="00BA14E9">
        <w:rPr>
          <w:rFonts w:cs="Calibri"/>
        </w:rPr>
        <w:t>erritory. Primary duties of care require a person conducting a business or undertaking to ensure the business is conducted in a way that is ‘electrically safe.’ This includes making sure the electrical equipment used, designed, manufactured, imported and supplied is also ‘electrically safe’.</w:t>
      </w:r>
    </w:p>
    <w:p w14:paraId="01AFAC43" w14:textId="77777777" w:rsidR="005A371B" w:rsidRPr="00BA14E9" w:rsidRDefault="005A371B" w:rsidP="005C6CAE">
      <w:pPr>
        <w:rPr>
          <w:rFonts w:cs="Calibri"/>
        </w:rPr>
      </w:pPr>
      <w:r w:rsidRPr="00BA14E9">
        <w:rPr>
          <w:rFonts w:cs="Calibri"/>
        </w:rPr>
        <w:t xml:space="preserve">An example is section 10 of the </w:t>
      </w:r>
      <w:r w:rsidRPr="00BA14E9">
        <w:rPr>
          <w:rFonts w:cs="Calibri"/>
          <w:i/>
        </w:rPr>
        <w:t xml:space="preserve">Electrical Safety Act 2002 </w:t>
      </w:r>
      <w:r w:rsidRPr="00BA14E9">
        <w:rPr>
          <w:rFonts w:cs="Calibri"/>
        </w:rPr>
        <w:t>(Qld) which defines electrical risk, electrically safe and electrical safety. The regulation of electrical components includes the following definitions:</w:t>
      </w:r>
    </w:p>
    <w:p w14:paraId="4B702CB4" w14:textId="77777777" w:rsidR="005A371B" w:rsidRPr="00BA14E9" w:rsidRDefault="005A371B" w:rsidP="005656FA">
      <w:pPr>
        <w:pStyle w:val="ListParagraph"/>
        <w:numPr>
          <w:ilvl w:val="0"/>
          <w:numId w:val="19"/>
        </w:numPr>
        <w:contextualSpacing w:val="0"/>
        <w:rPr>
          <w:rFonts w:cs="Calibri"/>
        </w:rPr>
      </w:pPr>
      <w:r w:rsidRPr="00BA14E9">
        <w:rPr>
          <w:rFonts w:cs="Calibri"/>
        </w:rPr>
        <w:t>Electrical installation</w:t>
      </w:r>
      <w:r w:rsidRPr="00BA14E9">
        <w:rPr>
          <w:rStyle w:val="FootnoteReference"/>
          <w:rFonts w:cs="Calibri"/>
        </w:rPr>
        <w:footnoteReference w:id="12"/>
      </w:r>
    </w:p>
    <w:p w14:paraId="296FCF3C" w14:textId="77777777" w:rsidR="005A371B" w:rsidRPr="00BA14E9" w:rsidRDefault="005A371B" w:rsidP="005656FA">
      <w:pPr>
        <w:pStyle w:val="ListParagraph"/>
        <w:numPr>
          <w:ilvl w:val="0"/>
          <w:numId w:val="19"/>
        </w:numPr>
        <w:contextualSpacing w:val="0"/>
        <w:rPr>
          <w:rFonts w:cs="Calibri"/>
        </w:rPr>
      </w:pPr>
      <w:r w:rsidRPr="00BA14E9">
        <w:rPr>
          <w:rFonts w:cs="Calibri"/>
        </w:rPr>
        <w:t>Electrical equipment</w:t>
      </w:r>
      <w:r w:rsidRPr="00BA14E9">
        <w:rPr>
          <w:rStyle w:val="FootnoteReference"/>
          <w:rFonts w:cs="Calibri"/>
        </w:rPr>
        <w:footnoteReference w:id="13"/>
      </w:r>
    </w:p>
    <w:p w14:paraId="416DF31C" w14:textId="77777777" w:rsidR="005A371B" w:rsidRPr="00BA14E9" w:rsidRDefault="005A371B" w:rsidP="005656FA">
      <w:pPr>
        <w:pStyle w:val="ListParagraph"/>
        <w:numPr>
          <w:ilvl w:val="0"/>
          <w:numId w:val="19"/>
        </w:numPr>
        <w:contextualSpacing w:val="0"/>
        <w:rPr>
          <w:rFonts w:cs="Calibri"/>
        </w:rPr>
      </w:pPr>
      <w:r w:rsidRPr="00BA14E9">
        <w:rPr>
          <w:rFonts w:cs="Calibri"/>
        </w:rPr>
        <w:t>Electrical appliance.</w:t>
      </w:r>
    </w:p>
    <w:p w14:paraId="3214497F" w14:textId="49B7C428" w:rsidR="005A371B" w:rsidRPr="00BA14E9" w:rsidRDefault="005A371B" w:rsidP="005C6CAE">
      <w:pPr>
        <w:rPr>
          <w:rFonts w:cs="Calibri"/>
        </w:rPr>
      </w:pPr>
      <w:r w:rsidRPr="00BA14E9">
        <w:rPr>
          <w:rFonts w:cs="Calibri"/>
        </w:rPr>
        <w:lastRenderedPageBreak/>
        <w:t>Because hydro</w:t>
      </w:r>
      <w:r w:rsidR="00BD45A1" w:rsidRPr="00BA14E9">
        <w:rPr>
          <w:rFonts w:cs="Calibri"/>
        </w:rPr>
        <w:t xml:space="preserve">gen pipelines </w:t>
      </w:r>
      <w:r w:rsidRPr="00BA14E9">
        <w:rPr>
          <w:rFonts w:cs="Calibri"/>
        </w:rPr>
        <w:t>use electrical equipment such as compressors, understanding the definitions of electrical equipment, installations, and appliances is important for compliance and safety.</w:t>
      </w:r>
    </w:p>
    <w:p w14:paraId="4F545C2F" w14:textId="77777777" w:rsidR="005A371B" w:rsidRPr="00BA14E9" w:rsidRDefault="005A371B" w:rsidP="005C6CAE">
      <w:pPr>
        <w:rPr>
          <w:rFonts w:cs="Calibri"/>
        </w:rPr>
      </w:pPr>
      <w:r w:rsidRPr="00BA14E9">
        <w:rPr>
          <w:rFonts w:cs="Calibri"/>
        </w:rPr>
        <w:t>Electrical installations are the broadest classification and encompass the complete system of wiring components and equipment used to deliver and utilise electricity. Electrical installations can include one or more pieces of electrical equipment. Examples include:</w:t>
      </w:r>
    </w:p>
    <w:p w14:paraId="7261691D" w14:textId="2CED8880" w:rsidR="005A371B" w:rsidRPr="00BA14E9" w:rsidRDefault="005A371B" w:rsidP="00D33BE1">
      <w:pPr>
        <w:pStyle w:val="ListParagraph"/>
        <w:numPr>
          <w:ilvl w:val="0"/>
          <w:numId w:val="19"/>
        </w:numPr>
        <w:spacing w:after="80"/>
        <w:ind w:left="714" w:hanging="357"/>
        <w:contextualSpacing w:val="0"/>
        <w:rPr>
          <w:rFonts w:cs="Calibri"/>
        </w:rPr>
      </w:pPr>
      <w:r w:rsidRPr="00BA14E9">
        <w:rPr>
          <w:rFonts w:cs="Calibri"/>
        </w:rPr>
        <w:t>Power Distribution Systems: Infrastructure that delivers electricity to various components like compressors</w:t>
      </w:r>
    </w:p>
    <w:p w14:paraId="1E0A68E9" w14:textId="55690B87" w:rsidR="005A371B" w:rsidRPr="00BA14E9" w:rsidRDefault="005A371B" w:rsidP="00D33BE1">
      <w:pPr>
        <w:pStyle w:val="ListParagraph"/>
        <w:numPr>
          <w:ilvl w:val="0"/>
          <w:numId w:val="19"/>
        </w:numPr>
        <w:rPr>
          <w:rFonts w:cs="Calibri"/>
        </w:rPr>
      </w:pPr>
      <w:r w:rsidRPr="00BA14E9">
        <w:rPr>
          <w:rFonts w:cs="Calibri"/>
        </w:rPr>
        <w:t xml:space="preserve">Control Systems: Automated systems that manage the operation of hydrogen </w:t>
      </w:r>
      <w:r w:rsidR="007107A7" w:rsidRPr="00BA14E9">
        <w:rPr>
          <w:rFonts w:cs="Calibri"/>
        </w:rPr>
        <w:t>pipelines</w:t>
      </w:r>
      <w:r w:rsidR="00BD45A1" w:rsidRPr="00BA14E9">
        <w:rPr>
          <w:rFonts w:cs="Calibri"/>
        </w:rPr>
        <w:t>.</w:t>
      </w:r>
    </w:p>
    <w:p w14:paraId="76CBA9CF" w14:textId="769E15FD" w:rsidR="005A371B" w:rsidRPr="00BA14E9" w:rsidRDefault="005A371B" w:rsidP="003B6B4B">
      <w:pPr>
        <w:rPr>
          <w:rFonts w:cs="Calibri"/>
        </w:rPr>
      </w:pPr>
      <w:r w:rsidRPr="00BA14E9">
        <w:rPr>
          <w:rFonts w:cs="Calibri"/>
        </w:rPr>
        <w:t>Electrical equipment includes any apparatus, appliance, or device used for generating, transmitting, converting, or utili</w:t>
      </w:r>
      <w:r w:rsidR="00886F34" w:rsidRPr="00BA14E9">
        <w:rPr>
          <w:rFonts w:cs="Calibri"/>
        </w:rPr>
        <w:t>s</w:t>
      </w:r>
      <w:r w:rsidRPr="00BA14E9">
        <w:rPr>
          <w:rFonts w:cs="Calibri"/>
        </w:rPr>
        <w:t>ing electrical energy. Examples include</w:t>
      </w:r>
      <w:r w:rsidR="00BD45A1" w:rsidRPr="00BA14E9">
        <w:rPr>
          <w:rFonts w:cs="Calibri"/>
        </w:rPr>
        <w:t xml:space="preserve"> c</w:t>
      </w:r>
      <w:r w:rsidRPr="00BA14E9">
        <w:rPr>
          <w:rFonts w:cs="Calibri"/>
        </w:rPr>
        <w:t>ompressors</w:t>
      </w:r>
      <w:r w:rsidR="00BD45A1" w:rsidRPr="00BA14E9">
        <w:rPr>
          <w:rFonts w:cs="Calibri"/>
        </w:rPr>
        <w:t xml:space="preserve"> u</w:t>
      </w:r>
      <w:r w:rsidRPr="00BA14E9">
        <w:rPr>
          <w:rFonts w:cs="Calibri"/>
        </w:rPr>
        <w:t>sed to compress hydrogen gas</w:t>
      </w:r>
      <w:r w:rsidR="00BD45A1" w:rsidRPr="00BA14E9">
        <w:rPr>
          <w:rFonts w:cs="Calibri"/>
        </w:rPr>
        <w:t>.</w:t>
      </w:r>
    </w:p>
    <w:p w14:paraId="1ABE6268" w14:textId="43E9BC94" w:rsidR="005A371B" w:rsidRPr="00BA14E9" w:rsidRDefault="005A371B" w:rsidP="003B6B4B">
      <w:pPr>
        <w:rPr>
          <w:rFonts w:cs="Calibri"/>
        </w:rPr>
      </w:pPr>
      <w:r w:rsidRPr="00BA14E9">
        <w:rPr>
          <w:rFonts w:cs="Calibri"/>
        </w:rPr>
        <w:t>Electrical appliances include devices that consume electrical energy to perform a specific function. Examples include</w:t>
      </w:r>
      <w:r w:rsidR="00BD45A1" w:rsidRPr="00BA14E9">
        <w:rPr>
          <w:rFonts w:cs="Calibri"/>
        </w:rPr>
        <w:t xml:space="preserve"> c</w:t>
      </w:r>
      <w:r w:rsidRPr="00BA14E9">
        <w:rPr>
          <w:rFonts w:cs="Calibri"/>
        </w:rPr>
        <w:t xml:space="preserve">ooling </w:t>
      </w:r>
      <w:r w:rsidR="00BD45A1" w:rsidRPr="00BA14E9">
        <w:rPr>
          <w:rFonts w:cs="Calibri"/>
        </w:rPr>
        <w:t>s</w:t>
      </w:r>
      <w:r w:rsidRPr="00BA14E9">
        <w:rPr>
          <w:rFonts w:cs="Calibri"/>
        </w:rPr>
        <w:t>ystem</w:t>
      </w:r>
      <w:r w:rsidR="00BD45A1" w:rsidRPr="00BA14E9">
        <w:rPr>
          <w:rFonts w:cs="Calibri"/>
        </w:rPr>
        <w:t xml:space="preserve"> e</w:t>
      </w:r>
      <w:r w:rsidRPr="00BA14E9">
        <w:rPr>
          <w:rFonts w:cs="Calibri"/>
        </w:rPr>
        <w:t xml:space="preserve">mployed to maintain optimal temperatures for hydrogen </w:t>
      </w:r>
      <w:r w:rsidR="00BD45A1" w:rsidRPr="00BA14E9">
        <w:rPr>
          <w:rFonts w:cs="Calibri"/>
        </w:rPr>
        <w:t xml:space="preserve">and </w:t>
      </w:r>
      <w:r w:rsidRPr="00BA14E9">
        <w:rPr>
          <w:rFonts w:cs="Calibri"/>
        </w:rPr>
        <w:t>compression.</w:t>
      </w:r>
    </w:p>
    <w:p w14:paraId="14D202E1" w14:textId="0D46A4F8" w:rsidR="005A371B" w:rsidRPr="00BA14E9" w:rsidRDefault="00BE32F0" w:rsidP="005C6CAE">
      <w:pPr>
        <w:rPr>
          <w:rFonts w:cs="Calibri"/>
        </w:rPr>
      </w:pPr>
      <w:r>
        <w:rPr>
          <w:rFonts w:cs="Calibri"/>
        </w:rPr>
        <w:t xml:space="preserve">See Production Guidebook </w:t>
      </w:r>
      <w:r w:rsidR="005A371B" w:rsidRPr="00BA14E9">
        <w:rPr>
          <w:rFonts w:cs="Calibri"/>
        </w:rPr>
        <w:t xml:space="preserve">Annexure 3, </w:t>
      </w:r>
      <w:r>
        <w:rPr>
          <w:rFonts w:cs="Calibri"/>
        </w:rPr>
        <w:t>T</w:t>
      </w:r>
      <w:r w:rsidR="005A371B" w:rsidRPr="00BA14E9">
        <w:rPr>
          <w:rFonts w:cs="Calibri"/>
        </w:rPr>
        <w:t>able 3.</w:t>
      </w:r>
      <w:r w:rsidR="00A976D0" w:rsidRPr="00BA14E9">
        <w:rPr>
          <w:rFonts w:cs="Calibri"/>
        </w:rPr>
        <w:t xml:space="preserve">8 </w:t>
      </w:r>
      <w:r>
        <w:rPr>
          <w:rFonts w:cs="Calibri"/>
        </w:rPr>
        <w:t>which</w:t>
      </w:r>
      <w:r w:rsidRPr="00BA14E9">
        <w:rPr>
          <w:rFonts w:cs="Calibri"/>
        </w:rPr>
        <w:t xml:space="preserve"> </w:t>
      </w:r>
      <w:r w:rsidR="005A371B" w:rsidRPr="00BA14E9">
        <w:rPr>
          <w:rFonts w:cs="Calibri"/>
        </w:rPr>
        <w:t>identif</w:t>
      </w:r>
      <w:r>
        <w:rPr>
          <w:rFonts w:cs="Calibri"/>
        </w:rPr>
        <w:t>ies</w:t>
      </w:r>
      <w:r w:rsidR="005A371B" w:rsidRPr="00BA14E9">
        <w:rPr>
          <w:rFonts w:cs="Calibri"/>
        </w:rPr>
        <w:t xml:space="preserve"> relevant laws and provides detail on specific definitions across jurisdictions. </w:t>
      </w:r>
    </w:p>
    <w:p w14:paraId="57C53612" w14:textId="594577EE" w:rsidR="005A371B" w:rsidRPr="00BA14E9" w:rsidRDefault="005A371B" w:rsidP="00E83908">
      <w:pPr>
        <w:pStyle w:val="Heading2"/>
      </w:pPr>
      <w:bookmarkStart w:id="110" w:name="_Toc200490200"/>
      <w:bookmarkStart w:id="111" w:name="_Toc222925523"/>
      <w:r w:rsidRPr="00BA14E9">
        <w:t>Gas plant and equipment</w:t>
      </w:r>
      <w:bookmarkEnd w:id="110"/>
      <w:bookmarkEnd w:id="111"/>
    </w:p>
    <w:p w14:paraId="3B3ED84D" w14:textId="77777777" w:rsidR="00891BF4" w:rsidRPr="00BA14E9" w:rsidRDefault="00891BF4" w:rsidP="00891BF4">
      <w:r w:rsidRPr="00BA14E9">
        <w:t>Further reading in Hydrogen Production Guidebook</w:t>
      </w:r>
    </w:p>
    <w:p w14:paraId="74FCC435" w14:textId="30636177" w:rsidR="00891BF4" w:rsidRPr="00BA14E9" w:rsidRDefault="00891BF4" w:rsidP="005656FA">
      <w:pPr>
        <w:pStyle w:val="ListParagraph"/>
        <w:numPr>
          <w:ilvl w:val="0"/>
          <w:numId w:val="62"/>
        </w:numPr>
        <w:contextualSpacing w:val="0"/>
      </w:pPr>
      <w:r w:rsidRPr="00BA14E9">
        <w:t xml:space="preserve">Annexure 3, Table 3.10 </w:t>
      </w:r>
      <w:r w:rsidR="00165C0D" w:rsidRPr="00BA14E9">
        <w:t>Examples of gas-related appliance obligations</w:t>
      </w:r>
    </w:p>
    <w:p w14:paraId="147A84A1" w14:textId="13567193" w:rsidR="00891BF4" w:rsidRPr="001A5F39" w:rsidRDefault="00891BF4" w:rsidP="005656FA">
      <w:pPr>
        <w:pStyle w:val="ListParagraph"/>
        <w:numPr>
          <w:ilvl w:val="0"/>
          <w:numId w:val="62"/>
        </w:numPr>
        <w:contextualSpacing w:val="0"/>
        <w:rPr>
          <w:rFonts w:cs="Calibri"/>
        </w:rPr>
      </w:pPr>
      <w:r w:rsidRPr="00BA14E9">
        <w:t>Annexure 3, Table 3.9 – Definitions of electrical installation, equipment and work</w:t>
      </w:r>
    </w:p>
    <w:p w14:paraId="43B8438E" w14:textId="129FB8A0" w:rsidR="005A371B" w:rsidRPr="00BA14E9" w:rsidRDefault="005A371B" w:rsidP="005C6CAE">
      <w:pPr>
        <w:rPr>
          <w:rFonts w:cs="Calibri"/>
        </w:rPr>
      </w:pPr>
      <w:r w:rsidRPr="00BA14E9">
        <w:rPr>
          <w:rFonts w:cs="Calibri"/>
        </w:rPr>
        <w:t xml:space="preserve">Hydrogen </w:t>
      </w:r>
      <w:r w:rsidR="00922B1A" w:rsidRPr="00BA14E9">
        <w:rPr>
          <w:rFonts w:cs="Calibri"/>
        </w:rPr>
        <w:t>pipelines</w:t>
      </w:r>
      <w:r w:rsidRPr="00BA14E9">
        <w:rPr>
          <w:rFonts w:cs="Calibri"/>
        </w:rPr>
        <w:t xml:space="preserve"> may include various gas components and systems including, for example, hydrogen compressors that must adhere to specific safety legislation and standards. The regulation of gas plant and equipment can include gas distribution systems and gas infrastructure, gas appliances and gas installations. </w:t>
      </w:r>
    </w:p>
    <w:p w14:paraId="0F047176" w14:textId="0421D2F3" w:rsidR="005A371B" w:rsidRPr="00BA14E9" w:rsidRDefault="005A371B" w:rsidP="005C6CAE">
      <w:pPr>
        <w:rPr>
          <w:rFonts w:cs="Calibri"/>
          <w:bCs/>
        </w:rPr>
      </w:pPr>
      <w:r w:rsidRPr="00BA14E9">
        <w:rPr>
          <w:rFonts w:cs="Calibri"/>
          <w:bCs/>
        </w:rPr>
        <w:t>Gas distribution systems and gas infrastructure: This broadly includes the pipelines used to supply gas to customers. Examples include:</w:t>
      </w:r>
    </w:p>
    <w:p w14:paraId="38816B4C" w14:textId="7EFECCBC" w:rsidR="005A371B" w:rsidRPr="00BA14E9" w:rsidRDefault="005A371B" w:rsidP="00D33BE1">
      <w:pPr>
        <w:pStyle w:val="ListParagraph"/>
        <w:numPr>
          <w:ilvl w:val="0"/>
          <w:numId w:val="19"/>
        </w:numPr>
        <w:spacing w:after="80"/>
        <w:ind w:left="714" w:hanging="357"/>
        <w:contextualSpacing w:val="0"/>
        <w:rPr>
          <w:rFonts w:cs="Calibri"/>
        </w:rPr>
      </w:pPr>
      <w:r w:rsidRPr="00BA14E9">
        <w:rPr>
          <w:rFonts w:cs="Calibri"/>
        </w:rPr>
        <w:t>Gas Distribution Systems: Infrastructure that delivers gas to various components like compressors</w:t>
      </w:r>
    </w:p>
    <w:p w14:paraId="57FE1BA0" w14:textId="4E02FB5E" w:rsidR="005A371B" w:rsidRPr="00BA14E9" w:rsidRDefault="005A371B" w:rsidP="00D33BE1">
      <w:pPr>
        <w:pStyle w:val="ListParagraph"/>
        <w:numPr>
          <w:ilvl w:val="0"/>
          <w:numId w:val="19"/>
        </w:numPr>
        <w:ind w:left="714" w:hanging="357"/>
        <w:contextualSpacing w:val="0"/>
        <w:rPr>
          <w:rFonts w:cs="Calibri"/>
        </w:rPr>
      </w:pPr>
      <w:r w:rsidRPr="00BA14E9">
        <w:rPr>
          <w:rFonts w:cs="Calibri"/>
        </w:rPr>
        <w:t xml:space="preserve">Control Systems: Automated systems that manage the operation of hydrogen </w:t>
      </w:r>
      <w:r w:rsidR="00750DDF" w:rsidRPr="00BA14E9">
        <w:rPr>
          <w:rFonts w:cs="Calibri"/>
        </w:rPr>
        <w:t>pipelines</w:t>
      </w:r>
      <w:r w:rsidR="00BD45A1" w:rsidRPr="00BA14E9">
        <w:rPr>
          <w:rFonts w:cs="Calibri"/>
        </w:rPr>
        <w:t>.</w:t>
      </w:r>
    </w:p>
    <w:p w14:paraId="4A769ADF" w14:textId="33127939" w:rsidR="005A371B" w:rsidRPr="00BA14E9" w:rsidRDefault="005A371B" w:rsidP="005C6CAE">
      <w:pPr>
        <w:rPr>
          <w:rFonts w:cs="Calibri"/>
        </w:rPr>
      </w:pPr>
      <w:r w:rsidRPr="00BA14E9">
        <w:rPr>
          <w:rFonts w:cs="Calibri"/>
          <w:bCs/>
        </w:rPr>
        <w:t>Gas appliances: Gas</w:t>
      </w:r>
      <w:r w:rsidRPr="00BA14E9">
        <w:rPr>
          <w:rFonts w:cs="Calibri"/>
        </w:rPr>
        <w:t xml:space="preserve"> appliances are devices that consume gas energy to perform a specific function. Definitions of gas appliance predominantly capture end-use appliances and are generally not applicable to plant and equipment at a hydrogen </w:t>
      </w:r>
      <w:r w:rsidR="00E37848" w:rsidRPr="00BA14E9">
        <w:rPr>
          <w:rFonts w:cs="Calibri"/>
        </w:rPr>
        <w:t>pipeline</w:t>
      </w:r>
      <w:r w:rsidRPr="00BA14E9">
        <w:rPr>
          <w:rFonts w:cs="Calibri"/>
        </w:rPr>
        <w:t>. End-use gas appliances are out of scope for this Guidebook. Gas Appliances can be:</w:t>
      </w:r>
    </w:p>
    <w:p w14:paraId="43203D5F" w14:textId="4A92E2DC" w:rsidR="005A371B" w:rsidRPr="00BA14E9" w:rsidRDefault="005A371B" w:rsidP="00D33BE1">
      <w:pPr>
        <w:pStyle w:val="ListParagraph"/>
        <w:numPr>
          <w:ilvl w:val="0"/>
          <w:numId w:val="19"/>
        </w:numPr>
        <w:spacing w:after="80"/>
        <w:ind w:left="714" w:hanging="357"/>
        <w:contextualSpacing w:val="0"/>
        <w:rPr>
          <w:rFonts w:cs="Calibri"/>
        </w:rPr>
      </w:pPr>
      <w:r w:rsidRPr="00BA14E9">
        <w:rPr>
          <w:rFonts w:cs="Calibri"/>
        </w:rPr>
        <w:lastRenderedPageBreak/>
        <w:t xml:space="preserve">Type A Appliances: Typically, domestic or light commercial appliances </w:t>
      </w:r>
    </w:p>
    <w:p w14:paraId="46DF2F9E" w14:textId="30F07C60" w:rsidR="005A371B" w:rsidRPr="00BA14E9" w:rsidRDefault="005A371B" w:rsidP="00D33BE1">
      <w:pPr>
        <w:pStyle w:val="ListParagraph"/>
        <w:numPr>
          <w:ilvl w:val="0"/>
          <w:numId w:val="19"/>
        </w:numPr>
        <w:ind w:left="714" w:hanging="357"/>
        <w:contextualSpacing w:val="0"/>
        <w:rPr>
          <w:rFonts w:cs="Calibri"/>
        </w:rPr>
      </w:pPr>
      <w:r w:rsidRPr="00BA14E9">
        <w:rPr>
          <w:rFonts w:cs="Calibri"/>
        </w:rPr>
        <w:t>Type B Appliances: Industrial or heavy commercial appliances</w:t>
      </w:r>
    </w:p>
    <w:p w14:paraId="7B328C86" w14:textId="420B64C2" w:rsidR="005A371B" w:rsidRPr="00BA14E9" w:rsidRDefault="005A371B" w:rsidP="005C6CAE">
      <w:pPr>
        <w:rPr>
          <w:rFonts w:cs="Calibri"/>
          <w:bCs/>
        </w:rPr>
      </w:pPr>
      <w:r w:rsidRPr="00BA14E9">
        <w:rPr>
          <w:rFonts w:cs="Calibri"/>
          <w:bCs/>
        </w:rPr>
        <w:t>Gas installations: the system of pipes, fittings and equipment used to convey, use or control gas and generally used to capture all or part of a facility (refer to chapter 3.</w:t>
      </w:r>
      <w:r w:rsidR="00E50D2C" w:rsidRPr="00BA14E9">
        <w:rPr>
          <w:rFonts w:cs="Calibri"/>
          <w:bCs/>
        </w:rPr>
        <w:t>5</w:t>
      </w:r>
      <w:r w:rsidRPr="00BA14E9">
        <w:rPr>
          <w:rFonts w:cs="Calibri"/>
          <w:bCs/>
        </w:rPr>
        <w:t xml:space="preserve"> whole</w:t>
      </w:r>
      <w:r w:rsidR="00217430" w:rsidRPr="00BA14E9">
        <w:rPr>
          <w:rFonts w:cs="Calibri"/>
          <w:bCs/>
        </w:rPr>
        <w:t>-</w:t>
      </w:r>
      <w:r w:rsidRPr="00BA14E9">
        <w:rPr>
          <w:rFonts w:cs="Calibri"/>
          <w:bCs/>
        </w:rPr>
        <w:t>of</w:t>
      </w:r>
      <w:r w:rsidR="00217430" w:rsidRPr="00BA14E9">
        <w:rPr>
          <w:rFonts w:cs="Calibri"/>
          <w:bCs/>
        </w:rPr>
        <w:t>-</w:t>
      </w:r>
      <w:r w:rsidRPr="00BA14E9">
        <w:rPr>
          <w:rFonts w:cs="Calibri"/>
          <w:bCs/>
        </w:rPr>
        <w:t>facility).</w:t>
      </w:r>
    </w:p>
    <w:p w14:paraId="3D107B55" w14:textId="429D6337" w:rsidR="00220C6F" w:rsidRDefault="005A371B">
      <w:r w:rsidRPr="00BA14E9">
        <w:rPr>
          <w:rFonts w:cs="Calibri"/>
          <w:bCs/>
        </w:rPr>
        <w:t>Gas Infrastructure: Refers to the larger</w:t>
      </w:r>
      <w:r w:rsidRPr="00BA14E9">
        <w:rPr>
          <w:rFonts w:cs="Calibri"/>
        </w:rPr>
        <w:t xml:space="preserve"> network of pipelines, storage facilities, and distribution</w:t>
      </w:r>
      <w:r w:rsidR="00CE1DCE">
        <w:rPr>
          <w:rFonts w:cs="Calibri"/>
        </w:rPr>
        <w:t xml:space="preserve">. </w:t>
      </w:r>
      <w:r w:rsidRPr="00220C6F">
        <w:t xml:space="preserve">Refer to </w:t>
      </w:r>
      <w:r w:rsidR="00BE32F0">
        <w:t>Production Guidebook:</w:t>
      </w:r>
      <w:r w:rsidRPr="00220C6F">
        <w:t xml:space="preserve"> Annexure 3, </w:t>
      </w:r>
      <w:r w:rsidR="00BE32F0">
        <w:t>T</w:t>
      </w:r>
      <w:r w:rsidRPr="00220C6F">
        <w:t>able 3.</w:t>
      </w:r>
      <w:r w:rsidR="00DC39A3" w:rsidRPr="00220C6F">
        <w:t>9</w:t>
      </w:r>
      <w:r w:rsidRPr="00220C6F">
        <w:t xml:space="preserve"> for examples of relevant State legislation regulating the safety of gas installations and equipment.</w:t>
      </w:r>
      <w:bookmarkStart w:id="112" w:name="_Toc215810743"/>
      <w:bookmarkStart w:id="113" w:name="_Toc215810816"/>
      <w:bookmarkStart w:id="114" w:name="_Toc215810869"/>
      <w:bookmarkEnd w:id="112"/>
      <w:bookmarkEnd w:id="113"/>
      <w:bookmarkEnd w:id="114"/>
    </w:p>
    <w:p w14:paraId="64392DD7" w14:textId="77777777" w:rsidR="005656FA" w:rsidRDefault="005656FA">
      <w:pPr>
        <w:rPr>
          <w:rFonts w:eastAsiaTheme="majorEastAsia" w:cstheme="majorBidi"/>
          <w:color w:val="0F4761" w:themeColor="accent1" w:themeShade="BF"/>
          <w:sz w:val="40"/>
          <w:szCs w:val="40"/>
        </w:rPr>
      </w:pPr>
      <w:r>
        <w:br w:type="page"/>
      </w:r>
    </w:p>
    <w:p w14:paraId="377D274A" w14:textId="6CF3E8DC" w:rsidR="005A371B" w:rsidRPr="002D1645" w:rsidDel="009E567E" w:rsidRDefault="005836F2" w:rsidP="005C5123">
      <w:pPr>
        <w:pStyle w:val="Heading1"/>
      </w:pPr>
      <w:bookmarkStart w:id="115" w:name="_Toc222925524"/>
      <w:r w:rsidRPr="00BA14E9">
        <w:lastRenderedPageBreak/>
        <w:t xml:space="preserve">Chapter </w:t>
      </w:r>
      <w:r w:rsidR="00C05FEF">
        <w:t>8</w:t>
      </w:r>
      <w:r w:rsidRPr="00BA14E9">
        <w:t xml:space="preserve"> –</w:t>
      </w:r>
      <w:r w:rsidR="0037240C" w:rsidRPr="00BA14E9">
        <w:t xml:space="preserve"> </w:t>
      </w:r>
      <w:r w:rsidRPr="00BA14E9">
        <w:t>Planning</w:t>
      </w:r>
      <w:bookmarkStart w:id="116" w:name="_Toc201238282"/>
      <w:bookmarkStart w:id="117" w:name="_Toc201238526"/>
      <w:bookmarkStart w:id="118" w:name="_Toc201248179"/>
      <w:bookmarkStart w:id="119" w:name="_Toc201248180"/>
      <w:bookmarkStart w:id="120" w:name="_Toc203492342"/>
      <w:bookmarkStart w:id="121" w:name="_Toc200492079"/>
      <w:bookmarkEnd w:id="115"/>
      <w:bookmarkEnd w:id="116"/>
      <w:bookmarkEnd w:id="117"/>
      <w:bookmarkEnd w:id="118"/>
      <w:bookmarkEnd w:id="119"/>
      <w:bookmarkEnd w:id="120"/>
    </w:p>
    <w:p w14:paraId="1F9EF69D" w14:textId="76A0DB6A" w:rsidR="00715A70" w:rsidRPr="00BA14E9" w:rsidDel="00D32DB0" w:rsidRDefault="002D1645" w:rsidP="00E83908">
      <w:pPr>
        <w:pStyle w:val="Heading2"/>
        <w:rPr>
          <w:rStyle w:val="Heading4Char"/>
          <w:szCs w:val="22"/>
          <w:lang w:val="en-AU"/>
        </w:rPr>
      </w:pPr>
      <w:bookmarkStart w:id="122" w:name="_Toc203570296"/>
      <w:bookmarkStart w:id="123" w:name="_Toc203983987"/>
      <w:bookmarkStart w:id="124" w:name="_Toc203570299"/>
      <w:bookmarkStart w:id="125" w:name="_Toc203983990"/>
      <w:bookmarkStart w:id="126" w:name="_Toc222925525"/>
      <w:bookmarkEnd w:id="121"/>
      <w:bookmarkEnd w:id="122"/>
      <w:bookmarkEnd w:id="123"/>
      <w:bookmarkEnd w:id="124"/>
      <w:bookmarkEnd w:id="125"/>
      <w:r w:rsidRPr="00BA14E9">
        <w:t>Australian planning frameworks in context</w:t>
      </w:r>
      <w:bookmarkEnd w:id="126"/>
      <w:r w:rsidRPr="00BA14E9">
        <w:rPr>
          <w:rFonts w:cstheme="majorBidi"/>
          <w:b/>
          <w:noProof/>
          <w:szCs w:val="28"/>
        </w:rPr>
        <w:t xml:space="preserve"> </w:t>
      </w:r>
      <w:bookmarkStart w:id="127" w:name="_Toc200492086"/>
      <w:r w:rsidRPr="00BA14E9" w:rsidDel="002D1645">
        <w:t xml:space="preserve"> </w:t>
      </w:r>
      <w:bookmarkEnd w:id="127"/>
    </w:p>
    <w:p w14:paraId="7A584E2F" w14:textId="16F4F8DC" w:rsidR="00446EFE" w:rsidRPr="00BA14E9" w:rsidRDefault="00C04E5C" w:rsidP="005C6CAE">
      <w:pPr>
        <w:rPr>
          <w:rFonts w:cs="Calibri"/>
        </w:rPr>
      </w:pPr>
      <w:r>
        <w:rPr>
          <w:rFonts w:cs="Calibri"/>
        </w:rPr>
        <w:t>For f</w:t>
      </w:r>
      <w:r w:rsidR="00446EFE" w:rsidRPr="00BA14E9">
        <w:rPr>
          <w:rFonts w:cs="Calibri"/>
        </w:rPr>
        <w:t>urther reading refer to Hydrogen Production Guidebook</w:t>
      </w:r>
      <w:r w:rsidR="00B85CD1" w:rsidRPr="00BA14E9">
        <w:rPr>
          <w:rFonts w:cs="Calibri"/>
        </w:rPr>
        <w:t xml:space="preserve">. While these chapters are written in the context of hydrogen production facilities, the concepts are </w:t>
      </w:r>
      <w:r w:rsidR="00043F0D" w:rsidRPr="00BA14E9">
        <w:rPr>
          <w:rFonts w:cs="Calibri"/>
        </w:rPr>
        <w:t>also relevant to hydrogen pipelines, although readers will need to ensure that any pipeline specific considerations are also overlayed</w:t>
      </w:r>
      <w:r w:rsidR="00446EFE" w:rsidRPr="00BA14E9">
        <w:rPr>
          <w:rFonts w:cs="Calibri"/>
        </w:rPr>
        <w:t>:</w:t>
      </w:r>
    </w:p>
    <w:p w14:paraId="78AB04E3" w14:textId="21D3EFF4" w:rsidR="00446EFE" w:rsidRPr="00BA14E9" w:rsidRDefault="00CE5AAA" w:rsidP="005656FA">
      <w:pPr>
        <w:pStyle w:val="ListParagraph"/>
        <w:numPr>
          <w:ilvl w:val="0"/>
          <w:numId w:val="63"/>
        </w:numPr>
        <w:contextualSpacing w:val="0"/>
        <w:rPr>
          <w:rFonts w:cs="Calibri"/>
        </w:rPr>
      </w:pPr>
      <w:r w:rsidRPr="00BA14E9">
        <w:rPr>
          <w:rFonts w:cs="Calibri"/>
        </w:rPr>
        <w:t>Overview of Australian planning laws in the hydrogen context (Chapter 4.2.1)</w:t>
      </w:r>
    </w:p>
    <w:p w14:paraId="14636117" w14:textId="019B217C" w:rsidR="007942EA" w:rsidRPr="00BA14E9" w:rsidRDefault="007942EA" w:rsidP="005656FA">
      <w:pPr>
        <w:pStyle w:val="ListParagraph"/>
        <w:numPr>
          <w:ilvl w:val="0"/>
          <w:numId w:val="63"/>
        </w:numPr>
        <w:contextualSpacing w:val="0"/>
        <w:rPr>
          <w:rFonts w:cs="Calibri"/>
        </w:rPr>
      </w:pPr>
      <w:r w:rsidRPr="00BA14E9">
        <w:rPr>
          <w:rFonts w:cs="Calibri"/>
        </w:rPr>
        <w:t>Is a hydrogen facility a development (chapter 4.2.3)</w:t>
      </w:r>
    </w:p>
    <w:p w14:paraId="7BEDA557" w14:textId="4F3A0ECA" w:rsidR="00B71A2C" w:rsidRPr="00BA14E9" w:rsidRDefault="00B71A2C" w:rsidP="005656FA">
      <w:pPr>
        <w:pStyle w:val="ListParagraph"/>
        <w:numPr>
          <w:ilvl w:val="0"/>
          <w:numId w:val="63"/>
        </w:numPr>
        <w:contextualSpacing w:val="0"/>
        <w:rPr>
          <w:rFonts w:cs="Calibri"/>
        </w:rPr>
      </w:pPr>
      <w:r w:rsidRPr="00BA14E9">
        <w:rPr>
          <w:rFonts w:cs="Calibri"/>
        </w:rPr>
        <w:t xml:space="preserve">Chapter </w:t>
      </w:r>
      <w:r w:rsidR="00584DB1" w:rsidRPr="00BA14E9">
        <w:rPr>
          <w:rFonts w:cs="Calibri"/>
        </w:rPr>
        <w:t>4.2.4 Requirements for development approvals</w:t>
      </w:r>
    </w:p>
    <w:p w14:paraId="5EE8DDB8" w14:textId="59F836C7" w:rsidR="007B202C" w:rsidRPr="00BA14E9" w:rsidRDefault="00B71A2C" w:rsidP="005656FA">
      <w:pPr>
        <w:pStyle w:val="ListParagraph"/>
        <w:numPr>
          <w:ilvl w:val="0"/>
          <w:numId w:val="63"/>
        </w:numPr>
        <w:contextualSpacing w:val="0"/>
        <w:rPr>
          <w:rFonts w:cs="Calibri"/>
        </w:rPr>
      </w:pPr>
      <w:r w:rsidRPr="00BA14E9">
        <w:rPr>
          <w:rFonts w:cs="Calibri"/>
        </w:rPr>
        <w:t>Chapter 4.2.5 Planning laws and facility safety</w:t>
      </w:r>
    </w:p>
    <w:p w14:paraId="57BA8C92" w14:textId="63871584" w:rsidR="00B71A2C" w:rsidRPr="00BA14E9" w:rsidRDefault="00B71A2C" w:rsidP="005656FA">
      <w:pPr>
        <w:pStyle w:val="ListParagraph"/>
        <w:numPr>
          <w:ilvl w:val="0"/>
          <w:numId w:val="63"/>
        </w:numPr>
        <w:contextualSpacing w:val="0"/>
        <w:rPr>
          <w:rFonts w:cs="Calibri"/>
        </w:rPr>
      </w:pPr>
      <w:r w:rsidRPr="00BA14E9">
        <w:rPr>
          <w:rFonts w:cs="Calibri"/>
        </w:rPr>
        <w:t>Chapter 4.2.8 Land use classification</w:t>
      </w:r>
    </w:p>
    <w:p w14:paraId="76C8D8A7" w14:textId="72E70BD2" w:rsidR="00584DB1" w:rsidRPr="00BA14E9" w:rsidRDefault="00584DB1" w:rsidP="005656FA">
      <w:pPr>
        <w:pStyle w:val="ListParagraph"/>
        <w:numPr>
          <w:ilvl w:val="0"/>
          <w:numId w:val="63"/>
        </w:numPr>
        <w:contextualSpacing w:val="0"/>
        <w:rPr>
          <w:rFonts w:cs="Calibri"/>
        </w:rPr>
      </w:pPr>
      <w:r w:rsidRPr="00BA14E9">
        <w:rPr>
          <w:rFonts w:cs="Calibri"/>
        </w:rPr>
        <w:t xml:space="preserve">Chapter 4.2.8 Nature of development application </w:t>
      </w:r>
      <w:r w:rsidR="00FD5816" w:rsidRPr="00BA14E9">
        <w:rPr>
          <w:rFonts w:cs="Calibri"/>
        </w:rPr>
        <w:t>(land use permissibility)</w:t>
      </w:r>
    </w:p>
    <w:p w14:paraId="51DD25F8" w14:textId="15D9DFF4" w:rsidR="004C1913" w:rsidRPr="00BA14E9" w:rsidRDefault="004C1913" w:rsidP="005656FA">
      <w:pPr>
        <w:pStyle w:val="ListParagraph"/>
        <w:numPr>
          <w:ilvl w:val="0"/>
          <w:numId w:val="63"/>
        </w:numPr>
        <w:contextualSpacing w:val="0"/>
        <w:rPr>
          <w:rFonts w:cs="Calibri"/>
        </w:rPr>
      </w:pPr>
      <w:r w:rsidRPr="00BA14E9">
        <w:rPr>
          <w:rFonts w:cs="Calibri"/>
        </w:rPr>
        <w:t>Chapter 4.3 Environmental Impact Assessments</w:t>
      </w:r>
    </w:p>
    <w:p w14:paraId="3067A866" w14:textId="687C0EFF" w:rsidR="00715A70" w:rsidRPr="00BA14E9" w:rsidRDefault="00715A70" w:rsidP="005C6CAE">
      <w:pPr>
        <w:rPr>
          <w:rFonts w:cs="Calibri"/>
        </w:rPr>
      </w:pPr>
      <w:r w:rsidRPr="00BA14E9">
        <w:rPr>
          <w:rFonts w:cs="Calibri"/>
        </w:rPr>
        <w:t xml:space="preserve">Planning regulation in each Australian </w:t>
      </w:r>
      <w:r w:rsidR="00393D33" w:rsidRPr="00BA14E9">
        <w:rPr>
          <w:rFonts w:cs="Calibri"/>
        </w:rPr>
        <w:t>s</w:t>
      </w:r>
      <w:r w:rsidRPr="00BA14E9">
        <w:rPr>
          <w:rFonts w:cs="Calibri"/>
        </w:rPr>
        <w:t xml:space="preserve">tate and </w:t>
      </w:r>
      <w:r w:rsidR="00393D33" w:rsidRPr="00BA14E9">
        <w:rPr>
          <w:rFonts w:cs="Calibri"/>
        </w:rPr>
        <w:t>t</w:t>
      </w:r>
      <w:r w:rsidRPr="00BA14E9">
        <w:rPr>
          <w:rFonts w:cs="Calibri"/>
        </w:rPr>
        <w:t xml:space="preserve">erritory </w:t>
      </w:r>
      <w:r w:rsidR="00C2257C" w:rsidRPr="00BA14E9">
        <w:rPr>
          <w:rFonts w:cs="Calibri"/>
        </w:rPr>
        <w:t>applies</w:t>
      </w:r>
      <w:r w:rsidRPr="00BA14E9">
        <w:rPr>
          <w:rFonts w:cs="Calibri"/>
        </w:rPr>
        <w:t xml:space="preserve"> controls on land use and development of projects. </w:t>
      </w:r>
      <w:r w:rsidR="00D12211" w:rsidRPr="00BA14E9">
        <w:rPr>
          <w:rFonts w:cs="Calibri"/>
        </w:rPr>
        <w:t>S</w:t>
      </w:r>
      <w:r w:rsidRPr="00BA14E9">
        <w:rPr>
          <w:rFonts w:cs="Calibri"/>
        </w:rPr>
        <w:t xml:space="preserve">tate and </w:t>
      </w:r>
      <w:r w:rsidR="00393D33" w:rsidRPr="00BA14E9">
        <w:rPr>
          <w:rFonts w:cs="Calibri"/>
        </w:rPr>
        <w:t>t</w:t>
      </w:r>
      <w:r w:rsidRPr="00BA14E9">
        <w:rPr>
          <w:rFonts w:cs="Calibri"/>
        </w:rPr>
        <w:t>erritory planning regulation broadly includ</w:t>
      </w:r>
      <w:r w:rsidR="00D12211" w:rsidRPr="00BA14E9">
        <w:rPr>
          <w:rFonts w:cs="Calibri"/>
        </w:rPr>
        <w:t>es</w:t>
      </w:r>
      <w:r w:rsidRPr="00BA14E9">
        <w:rPr>
          <w:rFonts w:cs="Calibri"/>
        </w:rPr>
        <w:t xml:space="preserve">: </w:t>
      </w:r>
    </w:p>
    <w:p w14:paraId="13B40FD9" w14:textId="0306DD34" w:rsidR="00715A70" w:rsidRPr="00BA14E9" w:rsidRDefault="00715A70" w:rsidP="00D33BE1">
      <w:pPr>
        <w:pStyle w:val="ListParagraph"/>
        <w:numPr>
          <w:ilvl w:val="0"/>
          <w:numId w:val="17"/>
        </w:numPr>
        <w:spacing w:after="80"/>
        <w:ind w:left="714" w:hanging="357"/>
        <w:contextualSpacing w:val="0"/>
        <w:rPr>
          <w:rFonts w:cs="Calibri"/>
        </w:rPr>
      </w:pPr>
      <w:r w:rsidRPr="00BA14E9">
        <w:rPr>
          <w:rFonts w:cs="Calibri"/>
        </w:rPr>
        <w:t>strategic land use planning which prescribes high-level planning objectives and requirements</w:t>
      </w:r>
    </w:p>
    <w:p w14:paraId="7DD0B38C" w14:textId="18453A94" w:rsidR="00715A70" w:rsidRPr="00BA14E9" w:rsidRDefault="00715A70" w:rsidP="00D33BE1">
      <w:pPr>
        <w:pStyle w:val="ListParagraph"/>
        <w:numPr>
          <w:ilvl w:val="0"/>
          <w:numId w:val="17"/>
        </w:numPr>
        <w:rPr>
          <w:rFonts w:cs="Calibri"/>
        </w:rPr>
      </w:pPr>
      <w:r w:rsidRPr="00BA14E9">
        <w:rPr>
          <w:rFonts w:cs="Calibri"/>
        </w:rPr>
        <w:t xml:space="preserve">site specific development controls where </w:t>
      </w:r>
      <w:r w:rsidR="00D12211" w:rsidRPr="00BA14E9">
        <w:rPr>
          <w:rFonts w:cs="Calibri"/>
        </w:rPr>
        <w:t xml:space="preserve">the </w:t>
      </w:r>
      <w:r w:rsidRPr="00BA14E9">
        <w:rPr>
          <w:rFonts w:cs="Calibri"/>
        </w:rPr>
        <w:t xml:space="preserve">development of individual projects </w:t>
      </w:r>
      <w:r w:rsidR="00D12211" w:rsidRPr="00BA14E9">
        <w:rPr>
          <w:rFonts w:cs="Calibri"/>
        </w:rPr>
        <w:t>is</w:t>
      </w:r>
      <w:r w:rsidRPr="00BA14E9">
        <w:rPr>
          <w:rFonts w:cs="Calibri"/>
        </w:rPr>
        <w:t xml:space="preserve"> assessed against applicable planning frameworks, usually through the submission and assessment of a development application.</w:t>
      </w:r>
    </w:p>
    <w:p w14:paraId="7089FCFE" w14:textId="5AAFC7DA" w:rsidR="00CE21E1" w:rsidRPr="00BA14E9" w:rsidRDefault="00A77123" w:rsidP="606C9B12">
      <w:pPr>
        <w:spacing w:line="278" w:lineRule="auto"/>
        <w:rPr>
          <w:rFonts w:cs="Calibri"/>
          <w:szCs w:val="24"/>
        </w:rPr>
      </w:pPr>
      <w:r w:rsidRPr="00BA14E9">
        <w:rPr>
          <w:rFonts w:cs="Calibri"/>
          <w:szCs w:val="24"/>
        </w:rPr>
        <w:t xml:space="preserve">Development approval for pipelines typically follows a similar process as other development applications. The pipeline must align with the zoning regulations for the area. The suitability of the proposed pipeline route will be assessed by the relevant planning authority in accordance with the relevant process. Hydrogen and hydrogen blends are a hazardous chemical and any specific requirements relating to hazardous chemicals will </w:t>
      </w:r>
      <w:r w:rsidR="009F4BBC" w:rsidRPr="00BA14E9">
        <w:rPr>
          <w:rFonts w:cs="Calibri"/>
          <w:szCs w:val="24"/>
        </w:rPr>
        <w:t xml:space="preserve">also </w:t>
      </w:r>
      <w:r w:rsidRPr="00BA14E9">
        <w:rPr>
          <w:rFonts w:cs="Calibri"/>
          <w:szCs w:val="24"/>
        </w:rPr>
        <w:t>apply.</w:t>
      </w:r>
    </w:p>
    <w:p w14:paraId="0CB91034" w14:textId="0E207C92" w:rsidR="00A77123" w:rsidRPr="00BA14E9" w:rsidRDefault="00A77123" w:rsidP="606C9B12">
      <w:pPr>
        <w:spacing w:line="278" w:lineRule="auto"/>
        <w:rPr>
          <w:rFonts w:cs="Calibri"/>
          <w:szCs w:val="24"/>
        </w:rPr>
      </w:pPr>
      <w:r w:rsidRPr="00BA14E9">
        <w:rPr>
          <w:rFonts w:cs="Calibri"/>
          <w:szCs w:val="24"/>
        </w:rPr>
        <w:t>While each state and territory has its own framework, the overarching principles remain consistent, pipelines must align with land use planning, environmental safeguards, and public safety.</w:t>
      </w:r>
    </w:p>
    <w:p w14:paraId="4C8E5163" w14:textId="29FC52F5" w:rsidR="00DA72D0" w:rsidRPr="00BA14E9" w:rsidRDefault="00A77123" w:rsidP="00A77123">
      <w:pPr>
        <w:spacing w:line="278" w:lineRule="auto"/>
        <w:rPr>
          <w:rFonts w:cs="Calibri"/>
          <w:szCs w:val="24"/>
        </w:rPr>
      </w:pPr>
      <w:r w:rsidRPr="00BA14E9">
        <w:rPr>
          <w:rFonts w:cs="Calibri"/>
          <w:szCs w:val="24"/>
        </w:rPr>
        <w:t>Pipeline development is treated like any other major infrastructure proposal. The process typically begins with a development application lodged with the relevant local or state planning authority. The proposal is then assessed against zoning regulations, strategic plans, and infrastructure overlays. Pipelines</w:t>
      </w:r>
      <w:r w:rsidR="00DA72D0" w:rsidRPr="00BA14E9">
        <w:rPr>
          <w:rFonts w:cs="Calibri"/>
          <w:szCs w:val="24"/>
        </w:rPr>
        <w:t xml:space="preserve"> </w:t>
      </w:r>
      <w:r w:rsidRPr="00BA14E9">
        <w:rPr>
          <w:rFonts w:cs="Calibri"/>
          <w:szCs w:val="24"/>
        </w:rPr>
        <w:t>carrying hazardous materials</w:t>
      </w:r>
      <w:r w:rsidR="00370E43" w:rsidRPr="00BA14E9">
        <w:rPr>
          <w:rFonts w:cs="Calibri"/>
          <w:szCs w:val="24"/>
        </w:rPr>
        <w:t xml:space="preserve"> such as hydrogen</w:t>
      </w:r>
      <w:r w:rsidRPr="00BA14E9">
        <w:rPr>
          <w:rFonts w:cs="Calibri"/>
          <w:szCs w:val="24"/>
        </w:rPr>
        <w:t xml:space="preserve"> trigger additional scrutiny.</w:t>
      </w:r>
    </w:p>
    <w:p w14:paraId="638337D3" w14:textId="247D7466" w:rsidR="00DA72D0" w:rsidRPr="00BA14E9" w:rsidRDefault="00A77123" w:rsidP="00A77123">
      <w:pPr>
        <w:spacing w:line="278" w:lineRule="auto"/>
        <w:rPr>
          <w:rFonts w:cs="Calibri"/>
          <w:szCs w:val="24"/>
        </w:rPr>
      </w:pPr>
      <w:r w:rsidRPr="00BA14E9">
        <w:rPr>
          <w:rFonts w:cs="Calibri"/>
          <w:szCs w:val="24"/>
        </w:rPr>
        <w:lastRenderedPageBreak/>
        <w:t xml:space="preserve">In NSW the State Environmental Planning Policy (Transport and Infrastructure) 2021 (NSW) </w:t>
      </w:r>
      <w:r w:rsidR="002647E9">
        <w:rPr>
          <w:rFonts w:cs="Calibri"/>
          <w:szCs w:val="24"/>
        </w:rPr>
        <w:t>(</w:t>
      </w:r>
      <w:r w:rsidR="00C55F84">
        <w:rPr>
          <w:rFonts w:cs="Calibri"/>
          <w:szCs w:val="24"/>
        </w:rPr>
        <w:t>Transport and Infrastructure</w:t>
      </w:r>
      <w:r w:rsidR="002647E9">
        <w:rPr>
          <w:rFonts w:cs="Calibri"/>
          <w:szCs w:val="24"/>
        </w:rPr>
        <w:t xml:space="preserve"> SEPP) provides for development of pipelines such as</w:t>
      </w:r>
      <w:r w:rsidR="002647E9" w:rsidRPr="00BA14E9">
        <w:rPr>
          <w:rFonts w:cs="Calibri"/>
          <w:szCs w:val="24"/>
        </w:rPr>
        <w:t xml:space="preserve"> hydrogen pipelines</w:t>
      </w:r>
      <w:r w:rsidR="002647E9">
        <w:rPr>
          <w:rFonts w:cs="Calibri"/>
          <w:szCs w:val="24"/>
        </w:rPr>
        <w:t>.</w:t>
      </w:r>
      <w:r w:rsidR="002647E9" w:rsidRPr="00BA14E9" w:rsidDel="002647E9">
        <w:rPr>
          <w:rFonts w:cs="Calibri"/>
          <w:szCs w:val="24"/>
        </w:rPr>
        <w:t xml:space="preserve"> </w:t>
      </w:r>
    </w:p>
    <w:p w14:paraId="02016CB7" w14:textId="2126A431" w:rsidR="00BB6716" w:rsidRPr="00BA14E9" w:rsidRDefault="00A77123" w:rsidP="00A77123">
      <w:pPr>
        <w:spacing w:line="278" w:lineRule="auto"/>
        <w:rPr>
          <w:rFonts w:cs="Calibri"/>
          <w:szCs w:val="24"/>
        </w:rPr>
      </w:pPr>
      <w:r w:rsidRPr="00BA14E9">
        <w:rPr>
          <w:rFonts w:cs="Calibri"/>
          <w:szCs w:val="24"/>
        </w:rPr>
        <w:t xml:space="preserve">Under Division 12A of the </w:t>
      </w:r>
      <w:r w:rsidR="00C55F84">
        <w:rPr>
          <w:rFonts w:cs="Calibri"/>
          <w:szCs w:val="24"/>
        </w:rPr>
        <w:t>Transport and Infrastructure</w:t>
      </w:r>
      <w:r w:rsidR="000C4CE5">
        <w:rPr>
          <w:rFonts w:cs="Calibri"/>
          <w:szCs w:val="24"/>
        </w:rPr>
        <w:t xml:space="preserve"> SEPP</w:t>
      </w:r>
      <w:r w:rsidRPr="00BA14E9">
        <w:rPr>
          <w:rFonts w:cs="Calibri"/>
          <w:szCs w:val="24"/>
        </w:rPr>
        <w:t>, development</w:t>
      </w:r>
      <w:r w:rsidR="00BB6716" w:rsidRPr="00BA14E9">
        <w:rPr>
          <w:rFonts w:cs="Calibri"/>
          <w:szCs w:val="24"/>
        </w:rPr>
        <w:t>:</w:t>
      </w:r>
    </w:p>
    <w:p w14:paraId="03584C42" w14:textId="52426293" w:rsidR="00BB6716" w:rsidRPr="00BA14E9" w:rsidRDefault="00BB6716" w:rsidP="00D33BE1">
      <w:pPr>
        <w:pStyle w:val="ListParagraph"/>
        <w:numPr>
          <w:ilvl w:val="0"/>
          <w:numId w:val="56"/>
        </w:numPr>
        <w:rPr>
          <w:rFonts w:cs="Calibri"/>
          <w:szCs w:val="24"/>
        </w:rPr>
      </w:pPr>
      <w:r w:rsidRPr="00BA14E9">
        <w:rPr>
          <w:rFonts w:cs="Calibri"/>
          <w:szCs w:val="24"/>
        </w:rPr>
        <w:t>for the purpose of a pipeline may be carried out without consent on any land if the pipeline is subject to a licence under the </w:t>
      </w:r>
      <w:hyperlink r:id="rId45" w:history="1">
        <w:r w:rsidRPr="00BA14E9">
          <w:rPr>
            <w:rStyle w:val="Hyperlink"/>
            <w:rFonts w:cs="Calibri"/>
            <w:i/>
            <w:iCs/>
            <w:color w:val="auto"/>
            <w:szCs w:val="24"/>
            <w:u w:val="none"/>
          </w:rPr>
          <w:t>Pipelines Act 1967</w:t>
        </w:r>
      </w:hyperlink>
      <w:r w:rsidRPr="00BA14E9">
        <w:rPr>
          <w:rFonts w:cs="Calibri"/>
          <w:szCs w:val="24"/>
        </w:rPr>
        <w:t xml:space="preserve"> (NSW) or a licence or authorisation under the </w:t>
      </w:r>
      <w:hyperlink r:id="rId46" w:history="1">
        <w:r w:rsidRPr="00BA14E9">
          <w:rPr>
            <w:rStyle w:val="Hyperlink"/>
            <w:rFonts w:cs="Calibri"/>
            <w:i/>
            <w:iCs/>
            <w:color w:val="auto"/>
            <w:szCs w:val="24"/>
            <w:u w:val="none"/>
          </w:rPr>
          <w:t>Gas Supply Act 1996</w:t>
        </w:r>
      </w:hyperlink>
      <w:r w:rsidRPr="00BA14E9">
        <w:rPr>
          <w:rFonts w:cs="Calibri"/>
          <w:szCs w:val="24"/>
        </w:rPr>
        <w:t xml:space="preserve"> (NSW)</w:t>
      </w:r>
    </w:p>
    <w:p w14:paraId="78767B9A" w14:textId="5D44AC02" w:rsidR="00E43D15" w:rsidRPr="00BA14E9" w:rsidRDefault="00E43D15" w:rsidP="00E43D15">
      <w:pPr>
        <w:pStyle w:val="ListParagraph"/>
        <w:numPr>
          <w:ilvl w:val="0"/>
          <w:numId w:val="56"/>
        </w:numPr>
        <w:rPr>
          <w:rFonts w:cs="Calibri"/>
          <w:szCs w:val="24"/>
        </w:rPr>
      </w:pPr>
      <w:r>
        <w:rPr>
          <w:rFonts w:cs="Calibri"/>
          <w:szCs w:val="24"/>
        </w:rPr>
        <w:t xml:space="preserve">for certain pipeline-related purposes </w:t>
      </w:r>
      <w:r w:rsidRPr="00BA14E9">
        <w:rPr>
          <w:rFonts w:cs="Calibri"/>
          <w:szCs w:val="24"/>
        </w:rPr>
        <w:t xml:space="preserve">is exempt development if </w:t>
      </w:r>
      <w:r>
        <w:rPr>
          <w:rFonts w:cs="Calibri"/>
          <w:szCs w:val="24"/>
        </w:rPr>
        <w:t>it</w:t>
      </w:r>
      <w:r w:rsidRPr="00BA14E9">
        <w:rPr>
          <w:rFonts w:cs="Calibri"/>
          <w:szCs w:val="24"/>
        </w:rPr>
        <w:t xml:space="preserve"> </w:t>
      </w:r>
      <w:r>
        <w:rPr>
          <w:rFonts w:cs="Calibri"/>
          <w:szCs w:val="24"/>
        </w:rPr>
        <w:t xml:space="preserve">is </w:t>
      </w:r>
      <w:r w:rsidRPr="00BA14E9">
        <w:rPr>
          <w:rFonts w:cs="Calibri"/>
          <w:szCs w:val="24"/>
        </w:rPr>
        <w:t>in connection with a pipeline that is the subject of a licence under the </w:t>
      </w:r>
      <w:hyperlink r:id="rId47" w:history="1">
        <w:r w:rsidRPr="00BA14E9">
          <w:rPr>
            <w:rStyle w:val="Hyperlink"/>
            <w:rFonts w:cs="Calibri"/>
            <w:i/>
            <w:iCs/>
            <w:color w:val="auto"/>
            <w:szCs w:val="24"/>
            <w:u w:val="none"/>
          </w:rPr>
          <w:t>Pipelines</w:t>
        </w:r>
        <w:r>
          <w:rPr>
            <w:rStyle w:val="Hyperlink"/>
            <w:rFonts w:cs="Calibri"/>
            <w:i/>
            <w:iCs/>
            <w:color w:val="auto"/>
            <w:szCs w:val="24"/>
            <w:u w:val="none"/>
          </w:rPr>
          <w:t> </w:t>
        </w:r>
        <w:r w:rsidRPr="00BA14E9">
          <w:rPr>
            <w:rStyle w:val="Hyperlink"/>
            <w:rFonts w:cs="Calibri"/>
            <w:i/>
            <w:iCs/>
            <w:color w:val="auto"/>
            <w:szCs w:val="24"/>
            <w:u w:val="none"/>
          </w:rPr>
          <w:t>Act</w:t>
        </w:r>
        <w:r>
          <w:rPr>
            <w:rStyle w:val="Hyperlink"/>
            <w:rFonts w:cs="Calibri"/>
            <w:i/>
            <w:iCs/>
            <w:color w:val="auto"/>
            <w:szCs w:val="24"/>
            <w:u w:val="none"/>
          </w:rPr>
          <w:t> </w:t>
        </w:r>
        <w:r w:rsidRPr="00BA14E9">
          <w:rPr>
            <w:rStyle w:val="Hyperlink"/>
            <w:rFonts w:cs="Calibri"/>
            <w:i/>
            <w:iCs/>
            <w:color w:val="auto"/>
            <w:szCs w:val="24"/>
            <w:u w:val="none"/>
          </w:rPr>
          <w:t>1967</w:t>
        </w:r>
      </w:hyperlink>
      <w:r w:rsidRPr="00BA14E9">
        <w:rPr>
          <w:rFonts w:cs="Calibri"/>
          <w:szCs w:val="24"/>
        </w:rPr>
        <w:t xml:space="preserve"> (NSW) or</w:t>
      </w:r>
      <w:r>
        <w:rPr>
          <w:rFonts w:cs="Calibri"/>
          <w:szCs w:val="24"/>
        </w:rPr>
        <w:t xml:space="preserve"> licence or authorisation under</w:t>
      </w:r>
      <w:r w:rsidRPr="00BA14E9">
        <w:rPr>
          <w:rFonts w:cs="Calibri"/>
          <w:szCs w:val="24"/>
        </w:rPr>
        <w:t xml:space="preserve"> the </w:t>
      </w:r>
      <w:r w:rsidRPr="00BA14E9">
        <w:rPr>
          <w:rFonts w:cs="Calibri"/>
          <w:i/>
          <w:iCs/>
          <w:szCs w:val="24"/>
        </w:rPr>
        <w:t>Gas Supply Act 1996</w:t>
      </w:r>
      <w:r w:rsidR="00567C16">
        <w:rPr>
          <w:rFonts w:cs="Calibri"/>
          <w:i/>
          <w:iCs/>
          <w:szCs w:val="24"/>
        </w:rPr>
        <w:t xml:space="preserve"> </w:t>
      </w:r>
      <w:r w:rsidR="00567C16">
        <w:rPr>
          <w:rFonts w:cs="Calibri"/>
          <w:szCs w:val="24"/>
        </w:rPr>
        <w:t>(NSW)</w:t>
      </w:r>
      <w:r>
        <w:rPr>
          <w:rFonts w:cs="Calibri"/>
          <w:i/>
          <w:iCs/>
          <w:szCs w:val="24"/>
        </w:rPr>
        <w:t>,</w:t>
      </w:r>
      <w:r w:rsidRPr="00BA14E9">
        <w:rPr>
          <w:rFonts w:cs="Calibri"/>
          <w:szCs w:val="24"/>
        </w:rPr>
        <w:t xml:space="preserve"> and </w:t>
      </w:r>
      <w:r>
        <w:rPr>
          <w:rFonts w:cs="Calibri"/>
          <w:szCs w:val="24"/>
        </w:rPr>
        <w:t xml:space="preserve">if the development </w:t>
      </w:r>
      <w:r w:rsidRPr="00BA14E9">
        <w:rPr>
          <w:rFonts w:cs="Calibri"/>
          <w:szCs w:val="24"/>
        </w:rPr>
        <w:t xml:space="preserve">complies with </w:t>
      </w:r>
      <w:r>
        <w:rPr>
          <w:rFonts w:cs="Calibri"/>
          <w:szCs w:val="24"/>
        </w:rPr>
        <w:t>applicable</w:t>
      </w:r>
      <w:r w:rsidRPr="00BA14E9">
        <w:rPr>
          <w:rFonts w:cs="Calibri"/>
          <w:szCs w:val="24"/>
        </w:rPr>
        <w:t xml:space="preserve"> requirements </w:t>
      </w:r>
      <w:r>
        <w:rPr>
          <w:rFonts w:cs="Calibri"/>
          <w:szCs w:val="24"/>
        </w:rPr>
        <w:t xml:space="preserve">specified </w:t>
      </w:r>
      <w:r w:rsidRPr="00BA14E9">
        <w:rPr>
          <w:rFonts w:cs="Calibri"/>
          <w:szCs w:val="24"/>
        </w:rPr>
        <w:t xml:space="preserve">in the </w:t>
      </w:r>
      <w:r w:rsidR="00C55F84">
        <w:rPr>
          <w:rFonts w:cs="Calibri"/>
          <w:szCs w:val="24"/>
        </w:rPr>
        <w:t>Transport and Infrastructure</w:t>
      </w:r>
      <w:r>
        <w:rPr>
          <w:rFonts w:cs="Calibri"/>
          <w:szCs w:val="24"/>
        </w:rPr>
        <w:t xml:space="preserve"> SEPP</w:t>
      </w:r>
      <w:r w:rsidRPr="00BA14E9">
        <w:rPr>
          <w:rFonts w:cs="Calibri"/>
          <w:szCs w:val="24"/>
        </w:rPr>
        <w:t>.</w:t>
      </w:r>
    </w:p>
    <w:p w14:paraId="5BFA0640" w14:textId="1B991F01" w:rsidR="00A77123" w:rsidRPr="00BA14E9" w:rsidRDefault="00F53660" w:rsidP="00A77123">
      <w:pPr>
        <w:spacing w:line="278" w:lineRule="auto"/>
        <w:rPr>
          <w:rFonts w:cs="Calibri"/>
          <w:szCs w:val="24"/>
        </w:rPr>
      </w:pPr>
      <w:r>
        <w:rPr>
          <w:rFonts w:cs="Calibri"/>
          <w:szCs w:val="24"/>
        </w:rPr>
        <w:t xml:space="preserve">In addition to the </w:t>
      </w:r>
      <w:r w:rsidR="00C55F84">
        <w:rPr>
          <w:rFonts w:cs="Calibri"/>
          <w:szCs w:val="24"/>
        </w:rPr>
        <w:t>Transport and Infrastructure</w:t>
      </w:r>
      <w:r>
        <w:rPr>
          <w:rFonts w:cs="Calibri"/>
          <w:szCs w:val="24"/>
        </w:rPr>
        <w:t xml:space="preserve"> SEPP, t</w:t>
      </w:r>
      <w:r w:rsidRPr="00BA14E9">
        <w:rPr>
          <w:rFonts w:cs="Calibri"/>
          <w:szCs w:val="24"/>
        </w:rPr>
        <w:t xml:space="preserve">he </w:t>
      </w:r>
      <w:r w:rsidR="00A77123" w:rsidRPr="00BA14E9">
        <w:rPr>
          <w:rFonts w:cs="Calibri"/>
          <w:szCs w:val="24"/>
        </w:rPr>
        <w:t>State Environmental Planning Policy (Planning Systems) 2021 (NSW)</w:t>
      </w:r>
      <w:r w:rsidR="00C55F84">
        <w:rPr>
          <w:rFonts w:cs="Calibri"/>
          <w:szCs w:val="24"/>
        </w:rPr>
        <w:t xml:space="preserve"> (Planning Systems SEPP)</w:t>
      </w:r>
      <w:r w:rsidR="00230584" w:rsidRPr="00230584">
        <w:rPr>
          <w:rFonts w:cs="Calibri"/>
          <w:szCs w:val="24"/>
        </w:rPr>
        <w:t xml:space="preserve"> </w:t>
      </w:r>
      <w:r w:rsidR="00230584">
        <w:rPr>
          <w:rFonts w:cs="Calibri"/>
          <w:szCs w:val="24"/>
        </w:rPr>
        <w:t xml:space="preserve">may also be relevant to a hydrogen pipeline proposal. The </w:t>
      </w:r>
      <w:r w:rsidR="00C55F84">
        <w:rPr>
          <w:rFonts w:cs="Calibri"/>
          <w:szCs w:val="24"/>
        </w:rPr>
        <w:t>Planning Systems</w:t>
      </w:r>
      <w:r w:rsidR="00230584">
        <w:rPr>
          <w:rFonts w:cs="Calibri"/>
          <w:szCs w:val="24"/>
        </w:rPr>
        <w:t xml:space="preserve"> SEPP</w:t>
      </w:r>
      <w:r w:rsidR="00A77123" w:rsidRPr="00BA14E9">
        <w:rPr>
          <w:rFonts w:cs="Calibri"/>
          <w:szCs w:val="24"/>
        </w:rPr>
        <w:t xml:space="preserve"> identifies state or regionally significant development, state-significant infrastructure, and critical state-significant infrastructure. Pursuant to section 2.13(1) of the State Environmental Planning Policy (Planning Systems) 2021, development is declared to be State significant infrastructure if: </w:t>
      </w:r>
    </w:p>
    <w:p w14:paraId="21CEA828" w14:textId="132BB6B2" w:rsidR="00A77123" w:rsidRPr="00BA14E9" w:rsidRDefault="00A77123" w:rsidP="00D33BE1">
      <w:pPr>
        <w:numPr>
          <w:ilvl w:val="0"/>
          <w:numId w:val="43"/>
        </w:numPr>
        <w:spacing w:line="278" w:lineRule="auto"/>
        <w:rPr>
          <w:rFonts w:cs="Calibri"/>
          <w:szCs w:val="24"/>
        </w:rPr>
      </w:pPr>
      <w:r w:rsidRPr="00BA14E9">
        <w:rPr>
          <w:rFonts w:cs="Calibri"/>
          <w:szCs w:val="24"/>
        </w:rPr>
        <w:t>the development on the land</w:t>
      </w:r>
      <w:r w:rsidR="00230584">
        <w:rPr>
          <w:rFonts w:cs="Calibri"/>
          <w:szCs w:val="24"/>
        </w:rPr>
        <w:t xml:space="preserve"> concerned</w:t>
      </w:r>
      <w:r w:rsidRPr="00BA14E9">
        <w:rPr>
          <w:rFonts w:cs="Calibri"/>
          <w:szCs w:val="24"/>
        </w:rPr>
        <w:t xml:space="preserve"> is, by the operation of a State environmental planning policy, permissible without development consent under Part 4 of </w:t>
      </w:r>
      <w:r w:rsidRPr="00BA14E9">
        <w:rPr>
          <w:rFonts w:cs="Calibri"/>
          <w:i/>
          <w:iCs/>
          <w:szCs w:val="24"/>
        </w:rPr>
        <w:t>Environmental Planning and Assessment Act 1979</w:t>
      </w:r>
      <w:r w:rsidRPr="00BA14E9">
        <w:rPr>
          <w:rFonts w:cs="Calibri"/>
          <w:szCs w:val="24"/>
        </w:rPr>
        <w:t> (NSW)</w:t>
      </w:r>
      <w:r w:rsidR="002E4863">
        <w:rPr>
          <w:rFonts w:cs="Calibri"/>
          <w:szCs w:val="24"/>
        </w:rPr>
        <w:t xml:space="preserve"> (EP&amp;A Act)</w:t>
      </w:r>
      <w:r w:rsidRPr="00BA14E9">
        <w:rPr>
          <w:rFonts w:cs="Calibri"/>
          <w:szCs w:val="24"/>
        </w:rPr>
        <w:t>; and </w:t>
      </w:r>
    </w:p>
    <w:p w14:paraId="0719C086" w14:textId="20CD28B4" w:rsidR="00377DF0" w:rsidRPr="00BA14E9" w:rsidRDefault="00A77123" w:rsidP="00D33BE1">
      <w:pPr>
        <w:numPr>
          <w:ilvl w:val="0"/>
          <w:numId w:val="43"/>
        </w:numPr>
        <w:spacing w:line="278" w:lineRule="auto"/>
        <w:rPr>
          <w:rFonts w:cs="Calibri"/>
          <w:szCs w:val="24"/>
        </w:rPr>
      </w:pPr>
      <w:r w:rsidRPr="00BA14E9">
        <w:rPr>
          <w:rFonts w:cs="Calibri"/>
          <w:szCs w:val="24"/>
        </w:rPr>
        <w:t xml:space="preserve">the development is specified in </w:t>
      </w:r>
      <w:r w:rsidR="002E4863">
        <w:rPr>
          <w:rFonts w:cs="Calibri"/>
          <w:szCs w:val="24"/>
        </w:rPr>
        <w:t>S</w:t>
      </w:r>
      <w:r w:rsidRPr="00BA14E9">
        <w:rPr>
          <w:rFonts w:cs="Calibri"/>
          <w:szCs w:val="24"/>
        </w:rPr>
        <w:t xml:space="preserve">chedule 3 of the </w:t>
      </w:r>
      <w:r w:rsidR="00C55F84">
        <w:rPr>
          <w:rFonts w:cs="Calibri"/>
          <w:szCs w:val="24"/>
        </w:rPr>
        <w:t>Planning Systems SEPP</w:t>
      </w:r>
      <w:r w:rsidRPr="00BA14E9">
        <w:rPr>
          <w:rFonts w:cs="Calibri"/>
          <w:szCs w:val="24"/>
        </w:rPr>
        <w:t xml:space="preserve">. </w:t>
      </w:r>
    </w:p>
    <w:p w14:paraId="1015D762" w14:textId="38D482A7" w:rsidR="00A77123" w:rsidRPr="00BA14E9" w:rsidRDefault="00A77123" w:rsidP="003B6B4B">
      <w:pPr>
        <w:spacing w:line="278" w:lineRule="auto"/>
        <w:rPr>
          <w:rFonts w:cs="Calibri"/>
          <w:szCs w:val="24"/>
        </w:rPr>
      </w:pPr>
      <w:r w:rsidRPr="00BA14E9">
        <w:rPr>
          <w:rFonts w:cs="Calibri"/>
          <w:szCs w:val="24"/>
        </w:rPr>
        <w:t>Development for the purpose of a pipeline for which a licence is required under </w:t>
      </w:r>
      <w:r w:rsidR="00C55F84">
        <w:rPr>
          <w:rFonts w:cs="Calibri"/>
          <w:szCs w:val="24"/>
        </w:rPr>
        <w:t xml:space="preserve">the </w:t>
      </w:r>
      <w:hyperlink r:id="rId48" w:tgtFrame="_blank" w:history="1">
        <w:r w:rsidRPr="00BA14E9">
          <w:rPr>
            <w:rStyle w:val="Hyperlink"/>
            <w:rFonts w:cs="Calibri"/>
            <w:i/>
            <w:iCs/>
            <w:color w:val="auto"/>
            <w:szCs w:val="24"/>
            <w:u w:val="none"/>
          </w:rPr>
          <w:t>Pipelines Act 1967</w:t>
        </w:r>
      </w:hyperlink>
      <w:r w:rsidRPr="00BA14E9">
        <w:rPr>
          <w:rFonts w:cs="Calibri"/>
          <w:szCs w:val="24"/>
        </w:rPr>
        <w:t> (NSW) is specified in Schedule 3</w:t>
      </w:r>
      <w:r w:rsidR="002431E4">
        <w:rPr>
          <w:rFonts w:cs="Calibri"/>
          <w:szCs w:val="24"/>
        </w:rPr>
        <w:t xml:space="preserve"> of the Planning Systems SEPP</w:t>
      </w:r>
      <w:r w:rsidRPr="00BA14E9">
        <w:rPr>
          <w:rFonts w:cs="Calibri"/>
          <w:szCs w:val="24"/>
        </w:rPr>
        <w:t>. </w:t>
      </w:r>
      <w:r w:rsidR="00FD2CEB">
        <w:rPr>
          <w:rFonts w:cs="Calibri"/>
          <w:szCs w:val="24"/>
        </w:rPr>
        <w:t>Therefore, this type of pipeline development is State significant infrastructure, and the assessment requirements in Division 5.2 of the EP&amp;A Act (NSW) apply.</w:t>
      </w:r>
    </w:p>
    <w:p w14:paraId="30F47DB4" w14:textId="4AF52CED" w:rsidR="00A77123" w:rsidRPr="00BA14E9" w:rsidRDefault="00A77123" w:rsidP="606C9B12">
      <w:pPr>
        <w:spacing w:line="278" w:lineRule="auto"/>
        <w:rPr>
          <w:rFonts w:cs="Calibri"/>
          <w:szCs w:val="24"/>
        </w:rPr>
      </w:pPr>
      <w:r w:rsidRPr="00BA14E9">
        <w:rPr>
          <w:rFonts w:cs="Calibri"/>
          <w:szCs w:val="24"/>
        </w:rPr>
        <w:t>In Victoria, planning approvals intersect with the</w:t>
      </w:r>
      <w:r w:rsidR="00E7520D" w:rsidRPr="00BA14E9">
        <w:rPr>
          <w:rFonts w:cs="Calibri"/>
          <w:szCs w:val="24"/>
        </w:rPr>
        <w:t xml:space="preserve"> </w:t>
      </w:r>
      <w:r w:rsidRPr="00BA14E9">
        <w:rPr>
          <w:rFonts w:cs="Calibri"/>
          <w:i/>
          <w:iCs/>
          <w:szCs w:val="24"/>
        </w:rPr>
        <w:t>Pipelines Act 2005</w:t>
      </w:r>
      <w:r w:rsidR="002452F4" w:rsidRPr="00BA14E9">
        <w:rPr>
          <w:rFonts w:cs="Calibri"/>
          <w:i/>
          <w:iCs/>
          <w:szCs w:val="24"/>
        </w:rPr>
        <w:t xml:space="preserve"> </w:t>
      </w:r>
      <w:r w:rsidR="002452F4" w:rsidRPr="00BA14E9">
        <w:rPr>
          <w:rFonts w:cs="Calibri"/>
          <w:szCs w:val="24"/>
        </w:rPr>
        <w:t>(Vic)</w:t>
      </w:r>
      <w:r w:rsidRPr="00BA14E9">
        <w:rPr>
          <w:rFonts w:cs="Calibri"/>
          <w:szCs w:val="24"/>
        </w:rPr>
        <w:t>, with the land use component governed by local planning schemes under the</w:t>
      </w:r>
      <w:r w:rsidR="00E7520D" w:rsidRPr="00BA14E9">
        <w:rPr>
          <w:rFonts w:cs="Calibri"/>
          <w:szCs w:val="24"/>
        </w:rPr>
        <w:t xml:space="preserve"> </w:t>
      </w:r>
      <w:r w:rsidRPr="00BA14E9">
        <w:rPr>
          <w:rFonts w:cs="Calibri"/>
          <w:i/>
          <w:iCs/>
          <w:szCs w:val="24"/>
        </w:rPr>
        <w:t>Planning and Environment Act 1987</w:t>
      </w:r>
      <w:r w:rsidR="00E30E0D" w:rsidRPr="00BA14E9">
        <w:rPr>
          <w:rFonts w:cs="Calibri"/>
          <w:i/>
          <w:iCs/>
          <w:szCs w:val="24"/>
        </w:rPr>
        <w:t xml:space="preserve"> </w:t>
      </w:r>
      <w:r w:rsidR="00E30E0D" w:rsidRPr="00BA14E9">
        <w:rPr>
          <w:rFonts w:cs="Calibri"/>
          <w:szCs w:val="24"/>
        </w:rPr>
        <w:t>(Vic)</w:t>
      </w:r>
      <w:r w:rsidRPr="00BA14E9">
        <w:rPr>
          <w:rFonts w:cs="Calibri"/>
          <w:szCs w:val="24"/>
        </w:rPr>
        <w:t>. If a licence is issued under the</w:t>
      </w:r>
      <w:r w:rsidR="00E7520D" w:rsidRPr="00BA14E9">
        <w:rPr>
          <w:rFonts w:cs="Calibri"/>
          <w:szCs w:val="24"/>
        </w:rPr>
        <w:t xml:space="preserve"> </w:t>
      </w:r>
      <w:r w:rsidRPr="00BA14E9">
        <w:rPr>
          <w:rFonts w:cs="Calibri"/>
          <w:i/>
          <w:iCs/>
          <w:szCs w:val="24"/>
        </w:rPr>
        <w:t>Pipelines Act 2005</w:t>
      </w:r>
      <w:r w:rsidR="00E7520D">
        <w:rPr>
          <w:rFonts w:cs="Calibri"/>
          <w:szCs w:val="24"/>
        </w:rPr>
        <w:t xml:space="preserve"> </w:t>
      </w:r>
      <w:r w:rsidR="006E4A0B">
        <w:rPr>
          <w:rFonts w:cs="Calibri"/>
          <w:szCs w:val="24"/>
        </w:rPr>
        <w:t>(Vic)</w:t>
      </w:r>
      <w:r w:rsidR="00E7520D" w:rsidRPr="00BA14E9">
        <w:rPr>
          <w:rFonts w:cs="Calibri"/>
          <w:i/>
          <w:iCs/>
          <w:szCs w:val="24"/>
        </w:rPr>
        <w:t xml:space="preserve"> </w:t>
      </w:r>
      <w:r w:rsidRPr="00BA14E9">
        <w:rPr>
          <w:rFonts w:cs="Calibri"/>
          <w:szCs w:val="24"/>
        </w:rPr>
        <w:t>for the construction and operation of a pipeline, a planning permit under a planning scheme made under the </w:t>
      </w:r>
      <w:r w:rsidRPr="00BA14E9">
        <w:rPr>
          <w:rFonts w:cs="Calibri"/>
          <w:i/>
          <w:iCs/>
          <w:szCs w:val="24"/>
        </w:rPr>
        <w:t>Planning and Environment Act 1987 </w:t>
      </w:r>
      <w:r w:rsidRPr="00BA14E9">
        <w:rPr>
          <w:rFonts w:cs="Calibri"/>
          <w:szCs w:val="24"/>
        </w:rPr>
        <w:t>(V</w:t>
      </w:r>
      <w:r w:rsidR="00E30E0D" w:rsidRPr="00BA14E9">
        <w:rPr>
          <w:rFonts w:cs="Calibri"/>
          <w:szCs w:val="24"/>
        </w:rPr>
        <w:t>ic</w:t>
      </w:r>
      <w:r w:rsidRPr="00BA14E9">
        <w:rPr>
          <w:rFonts w:cs="Calibri"/>
          <w:szCs w:val="24"/>
        </w:rPr>
        <w:t>) will not be required.</w:t>
      </w:r>
      <w:r w:rsidR="00E7520D" w:rsidRPr="00BA14E9">
        <w:rPr>
          <w:rFonts w:cs="Calibri"/>
          <w:szCs w:val="24"/>
        </w:rPr>
        <w:t xml:space="preserve"> </w:t>
      </w:r>
      <w:r w:rsidRPr="00BA14E9">
        <w:rPr>
          <w:rFonts w:cs="Calibri"/>
          <w:szCs w:val="24"/>
        </w:rPr>
        <w:t>A planning permit is also not required for pipeline projects approved following the preparation of an Environmental Effects Statement (EES) under the </w:t>
      </w:r>
      <w:r w:rsidRPr="00BA14E9">
        <w:rPr>
          <w:rFonts w:cs="Calibri"/>
          <w:i/>
          <w:iCs/>
          <w:szCs w:val="24"/>
        </w:rPr>
        <w:t>Environment Effects Act 1978</w:t>
      </w:r>
      <w:r w:rsidRPr="00BA14E9">
        <w:rPr>
          <w:rFonts w:cs="Calibri"/>
          <w:szCs w:val="24"/>
        </w:rPr>
        <w:t> (V</w:t>
      </w:r>
      <w:r w:rsidR="00E30E0D" w:rsidRPr="00BA14E9">
        <w:rPr>
          <w:rFonts w:cs="Calibri"/>
          <w:szCs w:val="24"/>
        </w:rPr>
        <w:t>ic</w:t>
      </w:r>
      <w:r w:rsidRPr="00BA14E9">
        <w:rPr>
          <w:rFonts w:cs="Calibri"/>
          <w:szCs w:val="24"/>
        </w:rPr>
        <w:t>). </w:t>
      </w:r>
    </w:p>
    <w:p w14:paraId="1C202775" w14:textId="012B14C2" w:rsidR="00E30E0D" w:rsidRPr="00BA14E9" w:rsidRDefault="00A77123" w:rsidP="00A77123">
      <w:pPr>
        <w:spacing w:line="278" w:lineRule="auto"/>
        <w:rPr>
          <w:rFonts w:cs="Calibri"/>
          <w:szCs w:val="24"/>
        </w:rPr>
      </w:pPr>
      <w:r w:rsidRPr="00BA14E9">
        <w:rPr>
          <w:rFonts w:cs="Calibri"/>
          <w:szCs w:val="24"/>
        </w:rPr>
        <w:t>If a pipeline is not authorised under the </w:t>
      </w:r>
      <w:r w:rsidRPr="00BA14E9">
        <w:rPr>
          <w:rFonts w:cs="Calibri"/>
          <w:i/>
          <w:iCs/>
          <w:szCs w:val="24"/>
        </w:rPr>
        <w:t>Pipelines Act 2005</w:t>
      </w:r>
      <w:r w:rsidRPr="00BA14E9">
        <w:rPr>
          <w:rFonts w:cs="Calibri"/>
          <w:szCs w:val="24"/>
        </w:rPr>
        <w:t> (V</w:t>
      </w:r>
      <w:r w:rsidR="00E30E0D" w:rsidRPr="00BA14E9">
        <w:rPr>
          <w:rFonts w:cs="Calibri"/>
          <w:szCs w:val="24"/>
        </w:rPr>
        <w:t>ic</w:t>
      </w:r>
      <w:r w:rsidRPr="00BA14E9">
        <w:rPr>
          <w:rFonts w:cs="Calibri"/>
          <w:szCs w:val="24"/>
        </w:rPr>
        <w:t>) or no ESS is required for the pipeline project, a planning permit may be required under the </w:t>
      </w:r>
      <w:r w:rsidRPr="00BA14E9">
        <w:rPr>
          <w:rFonts w:cs="Calibri"/>
          <w:i/>
          <w:iCs/>
          <w:szCs w:val="24"/>
        </w:rPr>
        <w:t>Planning and Environment Act 1987</w:t>
      </w:r>
      <w:r w:rsidRPr="00BA14E9">
        <w:rPr>
          <w:rFonts w:cs="Calibri"/>
          <w:szCs w:val="24"/>
        </w:rPr>
        <w:t> (V</w:t>
      </w:r>
      <w:r w:rsidR="00444845">
        <w:rPr>
          <w:rFonts w:cs="Calibri"/>
          <w:szCs w:val="24"/>
        </w:rPr>
        <w:t>ic</w:t>
      </w:r>
      <w:r w:rsidRPr="00BA14E9">
        <w:rPr>
          <w:rFonts w:cs="Calibri"/>
          <w:szCs w:val="24"/>
        </w:rPr>
        <w:t>)</w:t>
      </w:r>
      <w:r w:rsidR="00E30E0D" w:rsidRPr="00BA14E9">
        <w:rPr>
          <w:rFonts w:cs="Calibri"/>
          <w:szCs w:val="24"/>
        </w:rPr>
        <w:t xml:space="preserve"> for the pipeline</w:t>
      </w:r>
      <w:r w:rsidRPr="00BA14E9">
        <w:rPr>
          <w:rFonts w:cs="Calibri"/>
          <w:szCs w:val="24"/>
        </w:rPr>
        <w:t xml:space="preserve">. </w:t>
      </w:r>
    </w:p>
    <w:p w14:paraId="66AFEEDA" w14:textId="7B93A1AB" w:rsidR="00E30E0D" w:rsidRPr="00BA14E9" w:rsidRDefault="00E30E0D" w:rsidP="606C9B12">
      <w:pPr>
        <w:spacing w:line="278" w:lineRule="auto"/>
        <w:rPr>
          <w:rFonts w:cs="Calibri"/>
          <w:szCs w:val="24"/>
        </w:rPr>
      </w:pPr>
      <w:r w:rsidRPr="00BA14E9">
        <w:rPr>
          <w:rFonts w:cs="Calibri"/>
        </w:rPr>
        <w:lastRenderedPageBreak/>
        <w:t xml:space="preserve">Pursuant to section 126 of the </w:t>
      </w:r>
      <w:r w:rsidR="000553F8" w:rsidRPr="00BA14E9">
        <w:rPr>
          <w:rFonts w:cs="Calibri"/>
          <w:i/>
          <w:iCs/>
          <w:szCs w:val="24"/>
        </w:rPr>
        <w:t xml:space="preserve">Planning and Environment Act 1987 </w:t>
      </w:r>
      <w:r w:rsidR="000553F8" w:rsidRPr="00BA14E9">
        <w:rPr>
          <w:rFonts w:cs="Calibri"/>
          <w:szCs w:val="24"/>
        </w:rPr>
        <w:t xml:space="preserve">(Vic) </w:t>
      </w:r>
      <w:r w:rsidR="00784CAD" w:rsidRPr="00BA14E9">
        <w:rPr>
          <w:rFonts w:cs="Calibri"/>
        </w:rPr>
        <w:t>i</w:t>
      </w:r>
      <w:r w:rsidRPr="00BA14E9">
        <w:rPr>
          <w:rFonts w:cs="Calibri"/>
        </w:rPr>
        <w:t xml:space="preserve">t is an offence for any person to use or develop land in contravention of or fail to comply with a planning scheme, permit, or agreement under section 173 of the Act. </w:t>
      </w:r>
      <w:r w:rsidR="000553F8" w:rsidRPr="00BA14E9">
        <w:rPr>
          <w:rFonts w:cs="Calibri"/>
        </w:rPr>
        <w:t>Section 126 also provides that t</w:t>
      </w:r>
      <w:r w:rsidRPr="00BA14E9">
        <w:rPr>
          <w:rFonts w:cs="Calibri"/>
        </w:rPr>
        <w:t>he owner or occupier of land is also guilty of an offence if the land is used or developed in contravention of a planning scheme, permit, or agreement.</w:t>
      </w:r>
    </w:p>
    <w:p w14:paraId="2E873796" w14:textId="109EF2C3" w:rsidR="00A77123" w:rsidRPr="00BA14E9" w:rsidRDefault="00A77123" w:rsidP="00A77123">
      <w:pPr>
        <w:spacing w:line="278" w:lineRule="auto"/>
        <w:rPr>
          <w:rFonts w:cs="Calibri"/>
          <w:szCs w:val="24"/>
        </w:rPr>
      </w:pPr>
      <w:r w:rsidRPr="00BA14E9">
        <w:rPr>
          <w:rFonts w:cs="Calibri"/>
          <w:szCs w:val="24"/>
        </w:rPr>
        <w:t>Environment</w:t>
      </w:r>
      <w:r w:rsidR="00E30E0D" w:rsidRPr="00BA14E9">
        <w:rPr>
          <w:rFonts w:cs="Calibri"/>
          <w:szCs w:val="24"/>
        </w:rPr>
        <w:t xml:space="preserve">al </w:t>
      </w:r>
      <w:r w:rsidRPr="00BA14E9">
        <w:rPr>
          <w:rFonts w:cs="Calibri"/>
          <w:szCs w:val="24"/>
        </w:rPr>
        <w:t>assessment of the potential environmental impacts or effects of a proposed pipeline project may be required under the </w:t>
      </w:r>
      <w:r w:rsidRPr="00BA14E9">
        <w:rPr>
          <w:rFonts w:cs="Calibri"/>
          <w:i/>
          <w:iCs/>
          <w:szCs w:val="24"/>
        </w:rPr>
        <w:t>Environment Effects Act 1978</w:t>
      </w:r>
      <w:r w:rsidRPr="00BA14E9">
        <w:rPr>
          <w:rFonts w:cs="Calibri"/>
          <w:szCs w:val="24"/>
        </w:rPr>
        <w:t> (V</w:t>
      </w:r>
      <w:r w:rsidR="00E30E0D" w:rsidRPr="00BA14E9">
        <w:rPr>
          <w:rFonts w:cs="Calibri"/>
          <w:szCs w:val="24"/>
        </w:rPr>
        <w:t>ic</w:t>
      </w:r>
      <w:r w:rsidRPr="00BA14E9">
        <w:rPr>
          <w:rFonts w:cs="Calibri"/>
          <w:szCs w:val="24"/>
        </w:rPr>
        <w:t xml:space="preserve">) including the preparation of an ESS. A decision to grant a licence under any Act including the </w:t>
      </w:r>
      <w:r w:rsidRPr="00BA14E9">
        <w:rPr>
          <w:rFonts w:cs="Calibri"/>
          <w:i/>
          <w:iCs/>
          <w:szCs w:val="24"/>
        </w:rPr>
        <w:t>Pipelines Act 2005</w:t>
      </w:r>
      <w:r w:rsidRPr="00BA14E9">
        <w:rPr>
          <w:rFonts w:cs="Calibri"/>
          <w:szCs w:val="24"/>
        </w:rPr>
        <w:t xml:space="preserve"> (V</w:t>
      </w:r>
      <w:r w:rsidR="00E30E0D" w:rsidRPr="00BA14E9">
        <w:rPr>
          <w:rFonts w:cs="Calibri"/>
          <w:szCs w:val="24"/>
        </w:rPr>
        <w:t>ic</w:t>
      </w:r>
      <w:r w:rsidRPr="00BA14E9">
        <w:rPr>
          <w:rFonts w:cs="Calibri"/>
          <w:szCs w:val="24"/>
        </w:rPr>
        <w:t>) or a planning permit under the </w:t>
      </w:r>
      <w:r w:rsidRPr="00BA14E9">
        <w:rPr>
          <w:rFonts w:cs="Calibri"/>
          <w:i/>
          <w:iCs/>
          <w:szCs w:val="24"/>
        </w:rPr>
        <w:t>Planning and Environment Act 1987</w:t>
      </w:r>
      <w:r w:rsidRPr="00BA14E9">
        <w:rPr>
          <w:rFonts w:cs="Calibri"/>
          <w:szCs w:val="24"/>
        </w:rPr>
        <w:t> (V</w:t>
      </w:r>
      <w:r w:rsidR="00E30E0D" w:rsidRPr="00BA14E9">
        <w:rPr>
          <w:rFonts w:cs="Calibri"/>
          <w:szCs w:val="24"/>
        </w:rPr>
        <w:t>ic</w:t>
      </w:r>
      <w:r w:rsidRPr="00BA14E9">
        <w:rPr>
          <w:rFonts w:cs="Calibri"/>
          <w:szCs w:val="24"/>
        </w:rPr>
        <w:t>) cannot be made until the Minister has assessed the EES. </w:t>
      </w:r>
    </w:p>
    <w:p w14:paraId="146C3D20" w14:textId="2977E912" w:rsidR="00A77123" w:rsidRPr="00BA14E9" w:rsidRDefault="00A77123" w:rsidP="00A77123">
      <w:pPr>
        <w:spacing w:line="278" w:lineRule="auto"/>
        <w:rPr>
          <w:rFonts w:cs="Calibri"/>
          <w:szCs w:val="24"/>
        </w:rPr>
      </w:pPr>
      <w:r w:rsidRPr="00BA14E9">
        <w:rPr>
          <w:rFonts w:cs="Calibri"/>
          <w:szCs w:val="24"/>
        </w:rPr>
        <w:t>Licenses or permissions may also be required under the </w:t>
      </w:r>
      <w:r w:rsidRPr="00BA14E9">
        <w:rPr>
          <w:rFonts w:cs="Calibri"/>
          <w:i/>
          <w:iCs/>
          <w:szCs w:val="24"/>
        </w:rPr>
        <w:t>Environment Protection Act 2017</w:t>
      </w:r>
      <w:r w:rsidRPr="00BA14E9">
        <w:rPr>
          <w:rFonts w:cs="Calibri"/>
          <w:szCs w:val="24"/>
        </w:rPr>
        <w:t> (V</w:t>
      </w:r>
      <w:r w:rsidR="00E30E0D" w:rsidRPr="00BA14E9">
        <w:rPr>
          <w:rFonts w:cs="Calibri"/>
          <w:szCs w:val="24"/>
        </w:rPr>
        <w:t>ic</w:t>
      </w:r>
      <w:r w:rsidRPr="00BA14E9">
        <w:rPr>
          <w:rFonts w:cs="Calibri"/>
          <w:szCs w:val="24"/>
        </w:rPr>
        <w:t>) if the project triggers prescribed development activity or prescribed operating activity under Schedule 1 of the Environment Protection Regulations 2021 (V</w:t>
      </w:r>
      <w:r w:rsidR="00F86B1C" w:rsidRPr="00BA14E9">
        <w:rPr>
          <w:rFonts w:cs="Calibri"/>
          <w:szCs w:val="24"/>
        </w:rPr>
        <w:t>ic</w:t>
      </w:r>
      <w:r w:rsidRPr="00BA14E9">
        <w:rPr>
          <w:rFonts w:cs="Calibri"/>
          <w:szCs w:val="24"/>
        </w:rPr>
        <w:t>) for example discharges or emissions to the atmosphere. </w:t>
      </w:r>
    </w:p>
    <w:p w14:paraId="1771C0FB" w14:textId="0C72F513" w:rsidR="00A77123" w:rsidRPr="00BA14E9" w:rsidRDefault="00A77123" w:rsidP="00A77123">
      <w:pPr>
        <w:spacing w:line="278" w:lineRule="auto"/>
        <w:rPr>
          <w:rFonts w:cs="Calibri"/>
          <w:szCs w:val="24"/>
        </w:rPr>
      </w:pPr>
      <w:r w:rsidRPr="00BA14E9">
        <w:rPr>
          <w:rFonts w:cs="Calibri"/>
          <w:szCs w:val="24"/>
        </w:rPr>
        <w:t>Queensland’s </w:t>
      </w:r>
      <w:r w:rsidRPr="00BA14E9">
        <w:rPr>
          <w:rFonts w:cs="Calibri"/>
          <w:i/>
          <w:iCs/>
          <w:szCs w:val="24"/>
        </w:rPr>
        <w:t>Planning Act 2016</w:t>
      </w:r>
      <w:r w:rsidRPr="00BA14E9">
        <w:rPr>
          <w:rFonts w:cs="Calibri"/>
          <w:szCs w:val="24"/>
        </w:rPr>
        <w:t> </w:t>
      </w:r>
      <w:r w:rsidR="00A0447B" w:rsidRPr="00BA14E9">
        <w:rPr>
          <w:rFonts w:cs="Calibri"/>
          <w:szCs w:val="24"/>
        </w:rPr>
        <w:t xml:space="preserve">(Qld) </w:t>
      </w:r>
      <w:r w:rsidRPr="00BA14E9">
        <w:rPr>
          <w:rFonts w:cs="Calibri"/>
          <w:szCs w:val="24"/>
        </w:rPr>
        <w:t>provides the framework for assessing pipeline proposals. Depending on the location and scale, pipelines may be classified as assessable development, requiring impact assessment and public consultation. The state also integrates environmental approvals under the </w:t>
      </w:r>
      <w:r w:rsidRPr="00BA14E9">
        <w:rPr>
          <w:rFonts w:cs="Calibri"/>
          <w:i/>
          <w:iCs/>
          <w:szCs w:val="24"/>
        </w:rPr>
        <w:t>Environmental Protection Act 1994</w:t>
      </w:r>
      <w:r w:rsidR="00C20468">
        <w:rPr>
          <w:rFonts w:cs="Calibri"/>
          <w:i/>
          <w:iCs/>
          <w:szCs w:val="24"/>
        </w:rPr>
        <w:t xml:space="preserve"> </w:t>
      </w:r>
      <w:r w:rsidR="00C20468">
        <w:rPr>
          <w:rFonts w:cs="Calibri"/>
          <w:szCs w:val="24"/>
        </w:rPr>
        <w:t>(Qld)</w:t>
      </w:r>
      <w:r w:rsidRPr="00BA14E9">
        <w:rPr>
          <w:rFonts w:cs="Calibri"/>
          <w:szCs w:val="24"/>
        </w:rPr>
        <w:t>, which may be triggered for hydrogen pipelines due to their hazardous nature. </w:t>
      </w:r>
    </w:p>
    <w:p w14:paraId="0205142F" w14:textId="0431DDE7" w:rsidR="00A77123" w:rsidRPr="00BA14E9" w:rsidRDefault="00A77123" w:rsidP="00A77123">
      <w:pPr>
        <w:spacing w:line="278" w:lineRule="auto"/>
        <w:rPr>
          <w:rFonts w:cs="Calibri"/>
          <w:szCs w:val="24"/>
        </w:rPr>
      </w:pPr>
      <w:r w:rsidRPr="00BA14E9">
        <w:rPr>
          <w:rFonts w:cs="Calibri"/>
          <w:szCs w:val="24"/>
        </w:rPr>
        <w:t>Development approval under the </w:t>
      </w:r>
      <w:r w:rsidRPr="00BA14E9">
        <w:rPr>
          <w:rFonts w:cs="Calibri"/>
          <w:i/>
          <w:iCs/>
          <w:szCs w:val="24"/>
        </w:rPr>
        <w:t>Planning Act 2016</w:t>
      </w:r>
      <w:r w:rsidRPr="00BA14E9">
        <w:rPr>
          <w:rFonts w:cs="Calibri"/>
          <w:szCs w:val="24"/>
        </w:rPr>
        <w:t> (Q</w:t>
      </w:r>
      <w:r w:rsidR="001A73B9">
        <w:rPr>
          <w:rFonts w:cs="Calibri"/>
          <w:szCs w:val="24"/>
        </w:rPr>
        <w:t>ld</w:t>
      </w:r>
      <w:r w:rsidRPr="00BA14E9">
        <w:rPr>
          <w:rFonts w:cs="Calibri"/>
          <w:szCs w:val="24"/>
        </w:rPr>
        <w:t>)</w:t>
      </w:r>
      <w:r w:rsidRPr="00BA14E9">
        <w:rPr>
          <w:rFonts w:cs="Calibri"/>
          <w:i/>
          <w:iCs/>
          <w:szCs w:val="24"/>
        </w:rPr>
        <w:t> </w:t>
      </w:r>
      <w:r w:rsidRPr="00BA14E9">
        <w:rPr>
          <w:rFonts w:cs="Calibri"/>
          <w:szCs w:val="24"/>
        </w:rPr>
        <w:t>is not required for the construction and operation of a pipeline authorised under the </w:t>
      </w:r>
      <w:r w:rsidRPr="00BA14E9">
        <w:rPr>
          <w:rFonts w:cs="Calibri"/>
          <w:i/>
          <w:iCs/>
          <w:szCs w:val="24"/>
        </w:rPr>
        <w:t>Petroleum and Gas (Production and Safety) Act 2004 </w:t>
      </w:r>
      <w:r w:rsidRPr="00BA14E9">
        <w:rPr>
          <w:rFonts w:cs="Calibri"/>
          <w:szCs w:val="24"/>
        </w:rPr>
        <w:t>(</w:t>
      </w:r>
      <w:r w:rsidR="00232013">
        <w:rPr>
          <w:rFonts w:cs="Calibri"/>
          <w:szCs w:val="24"/>
        </w:rPr>
        <w:t>Qld)</w:t>
      </w:r>
      <w:r w:rsidR="00232013">
        <w:rPr>
          <w:rFonts w:cs="Calibri"/>
          <w:i/>
          <w:iCs/>
          <w:szCs w:val="24"/>
        </w:rPr>
        <w:t xml:space="preserve"> </w:t>
      </w:r>
      <w:r w:rsidRPr="00BA14E9">
        <w:rPr>
          <w:rFonts w:cs="Calibri"/>
          <w:szCs w:val="24"/>
        </w:rPr>
        <w:t>(P</w:t>
      </w:r>
      <w:r w:rsidR="00502125" w:rsidRPr="00BA14E9">
        <w:rPr>
          <w:rFonts w:cs="Calibri"/>
          <w:szCs w:val="24"/>
        </w:rPr>
        <w:t>&amp;</w:t>
      </w:r>
      <w:r w:rsidRPr="00BA14E9">
        <w:rPr>
          <w:rFonts w:cs="Calibri"/>
          <w:szCs w:val="24"/>
        </w:rPr>
        <w:t>G Act). However, approval may be required for certain aspects of the development associated with pipelines authorised under the P</w:t>
      </w:r>
      <w:r w:rsidR="00502125" w:rsidRPr="00BA14E9">
        <w:rPr>
          <w:rFonts w:cs="Calibri"/>
          <w:szCs w:val="24"/>
        </w:rPr>
        <w:t>&amp;</w:t>
      </w:r>
      <w:r w:rsidRPr="00BA14E9">
        <w:rPr>
          <w:rFonts w:cs="Calibri"/>
          <w:szCs w:val="24"/>
        </w:rPr>
        <w:t>G Act including: </w:t>
      </w:r>
    </w:p>
    <w:p w14:paraId="17E40EFE" w14:textId="77777777" w:rsidR="00A77123" w:rsidRPr="00BA14E9" w:rsidRDefault="00A77123" w:rsidP="00D33BE1">
      <w:pPr>
        <w:numPr>
          <w:ilvl w:val="0"/>
          <w:numId w:val="44"/>
        </w:numPr>
        <w:spacing w:line="278" w:lineRule="auto"/>
        <w:rPr>
          <w:rFonts w:cs="Calibri"/>
          <w:szCs w:val="24"/>
        </w:rPr>
      </w:pPr>
      <w:r w:rsidRPr="00BA14E9">
        <w:rPr>
          <w:rFonts w:cs="Calibri"/>
          <w:szCs w:val="24"/>
        </w:rPr>
        <w:t>reconfiguring a lot or material change of use of premises subject to a pipeline easement, </w:t>
      </w:r>
    </w:p>
    <w:p w14:paraId="231FD76E" w14:textId="795248D2" w:rsidR="00A77123" w:rsidRPr="00BA14E9" w:rsidRDefault="00A77123" w:rsidP="00D33BE1">
      <w:pPr>
        <w:numPr>
          <w:ilvl w:val="0"/>
          <w:numId w:val="44"/>
        </w:numPr>
        <w:spacing w:line="278" w:lineRule="auto"/>
        <w:rPr>
          <w:rFonts w:cs="Calibri"/>
          <w:szCs w:val="24"/>
        </w:rPr>
      </w:pPr>
      <w:r w:rsidRPr="00BA14E9">
        <w:rPr>
          <w:rFonts w:cs="Calibri"/>
          <w:szCs w:val="24"/>
        </w:rPr>
        <w:t>other development not incidental to the activities authorised under the relevant authority in the P</w:t>
      </w:r>
      <w:r w:rsidR="00502125" w:rsidRPr="00BA14E9">
        <w:rPr>
          <w:rFonts w:cs="Calibri"/>
          <w:szCs w:val="24"/>
        </w:rPr>
        <w:t>&amp;</w:t>
      </w:r>
      <w:r w:rsidRPr="00BA14E9">
        <w:rPr>
          <w:rFonts w:cs="Calibri"/>
          <w:szCs w:val="24"/>
        </w:rPr>
        <w:t>G Act. </w:t>
      </w:r>
    </w:p>
    <w:p w14:paraId="17986770" w14:textId="2979B2F8" w:rsidR="00A77123" w:rsidRPr="00BA14E9" w:rsidRDefault="00A77123" w:rsidP="00A77123">
      <w:pPr>
        <w:spacing w:line="278" w:lineRule="auto"/>
        <w:rPr>
          <w:rFonts w:cs="Calibri"/>
          <w:szCs w:val="24"/>
        </w:rPr>
      </w:pPr>
      <w:r w:rsidRPr="00BA14E9">
        <w:rPr>
          <w:rFonts w:cs="Calibri"/>
          <w:szCs w:val="24"/>
        </w:rPr>
        <w:t>An environmental authority under the </w:t>
      </w:r>
      <w:r w:rsidRPr="00BA14E9">
        <w:rPr>
          <w:rFonts w:cs="Calibri"/>
          <w:i/>
          <w:iCs/>
          <w:szCs w:val="24"/>
        </w:rPr>
        <w:t>Environmental Protection Act</w:t>
      </w:r>
      <w:r w:rsidRPr="00BA14E9">
        <w:rPr>
          <w:rFonts w:cs="Calibri"/>
          <w:szCs w:val="24"/>
        </w:rPr>
        <w:t> </w:t>
      </w:r>
      <w:r w:rsidRPr="00BA14E9">
        <w:rPr>
          <w:rFonts w:cs="Calibri"/>
          <w:i/>
          <w:iCs/>
          <w:szCs w:val="24"/>
        </w:rPr>
        <w:t>1994</w:t>
      </w:r>
      <w:r w:rsidRPr="00BA14E9">
        <w:rPr>
          <w:rFonts w:cs="Calibri"/>
          <w:szCs w:val="24"/>
        </w:rPr>
        <w:t> (Q</w:t>
      </w:r>
      <w:r w:rsidR="001A73B9">
        <w:rPr>
          <w:rFonts w:cs="Calibri"/>
          <w:szCs w:val="24"/>
        </w:rPr>
        <w:t>ld</w:t>
      </w:r>
      <w:r w:rsidRPr="00BA14E9">
        <w:rPr>
          <w:rFonts w:cs="Calibri"/>
          <w:szCs w:val="24"/>
        </w:rPr>
        <w:t>) is required to carry out an environmentally relevant activity (ERA). An ERA includes a resource activity being an activity that involves a petroleum activity authorised under the P</w:t>
      </w:r>
      <w:r w:rsidR="00502125" w:rsidRPr="00BA14E9">
        <w:rPr>
          <w:rFonts w:cs="Calibri"/>
          <w:szCs w:val="24"/>
        </w:rPr>
        <w:t>&amp;</w:t>
      </w:r>
      <w:r w:rsidRPr="00BA14E9">
        <w:rPr>
          <w:rFonts w:cs="Calibri"/>
          <w:szCs w:val="24"/>
        </w:rPr>
        <w:t>G Act.  </w:t>
      </w:r>
    </w:p>
    <w:p w14:paraId="4CC4EA4F" w14:textId="6AEBCE31" w:rsidR="00A77123" w:rsidRDefault="00A77123" w:rsidP="00A77123">
      <w:pPr>
        <w:spacing w:line="278" w:lineRule="auto"/>
        <w:rPr>
          <w:rFonts w:cs="Calibri"/>
          <w:szCs w:val="24"/>
        </w:rPr>
      </w:pPr>
      <w:r w:rsidRPr="00BA14E9">
        <w:rPr>
          <w:rFonts w:cs="Calibri"/>
          <w:szCs w:val="24"/>
        </w:rPr>
        <w:t>In Queensland</w:t>
      </w:r>
      <w:r w:rsidR="008B1A7E" w:rsidRPr="00BA14E9">
        <w:rPr>
          <w:rFonts w:cs="Calibri"/>
          <w:szCs w:val="24"/>
        </w:rPr>
        <w:t>,</w:t>
      </w:r>
      <w:r w:rsidRPr="00BA14E9">
        <w:rPr>
          <w:rFonts w:cs="Calibri"/>
          <w:szCs w:val="24"/>
        </w:rPr>
        <w:t> the construction and operation of distribution and transmission pipelines under the </w:t>
      </w:r>
      <w:r w:rsidRPr="00BA14E9">
        <w:rPr>
          <w:rFonts w:cs="Calibri"/>
          <w:i/>
          <w:iCs/>
          <w:szCs w:val="24"/>
        </w:rPr>
        <w:t>Gas Supply Act 2003</w:t>
      </w:r>
      <w:r w:rsidRPr="00BA14E9">
        <w:rPr>
          <w:rFonts w:cs="Calibri"/>
          <w:szCs w:val="24"/>
        </w:rPr>
        <w:t> (Qld) are required to comply with the applicable requirements under planning and environmental legislation and therefore may also require approval under the </w:t>
      </w:r>
      <w:r w:rsidRPr="00BA14E9">
        <w:rPr>
          <w:rFonts w:cs="Calibri"/>
          <w:i/>
          <w:iCs/>
          <w:szCs w:val="24"/>
        </w:rPr>
        <w:t>Planning Act 2016 </w:t>
      </w:r>
      <w:r w:rsidRPr="00BA14E9">
        <w:rPr>
          <w:rFonts w:cs="Calibri"/>
          <w:szCs w:val="24"/>
        </w:rPr>
        <w:t>(Q</w:t>
      </w:r>
      <w:r w:rsidR="001A73B9">
        <w:rPr>
          <w:rFonts w:cs="Calibri"/>
          <w:szCs w:val="24"/>
        </w:rPr>
        <w:t>ld</w:t>
      </w:r>
      <w:r w:rsidRPr="00BA14E9">
        <w:rPr>
          <w:rFonts w:cs="Calibri"/>
          <w:szCs w:val="24"/>
        </w:rPr>
        <w:t>) and the </w:t>
      </w:r>
      <w:r w:rsidRPr="00BA14E9">
        <w:rPr>
          <w:rFonts w:cs="Calibri"/>
          <w:i/>
          <w:iCs/>
          <w:szCs w:val="24"/>
        </w:rPr>
        <w:t>Environmental Protection Act 1994</w:t>
      </w:r>
      <w:r w:rsidRPr="00BA14E9">
        <w:rPr>
          <w:rFonts w:cs="Calibri"/>
          <w:szCs w:val="24"/>
        </w:rPr>
        <w:t> (Q</w:t>
      </w:r>
      <w:r w:rsidR="001A73B9">
        <w:rPr>
          <w:rFonts w:cs="Calibri"/>
          <w:szCs w:val="24"/>
        </w:rPr>
        <w:t>ld</w:t>
      </w:r>
      <w:r w:rsidRPr="00BA14E9">
        <w:rPr>
          <w:rFonts w:cs="Calibri"/>
          <w:szCs w:val="24"/>
        </w:rPr>
        <w:t>). </w:t>
      </w:r>
    </w:p>
    <w:p w14:paraId="51CD1F68" w14:textId="320D5E2E" w:rsidR="00C545C5" w:rsidRPr="001C26A6" w:rsidRDefault="0058356C" w:rsidP="00C545C5">
      <w:r>
        <w:lastRenderedPageBreak/>
        <w:t>Under s</w:t>
      </w:r>
      <w:r w:rsidR="00C545C5">
        <w:t xml:space="preserve">ection 437A of the </w:t>
      </w:r>
      <w:r w:rsidR="00C545C5" w:rsidRPr="5419A45F">
        <w:rPr>
          <w:i/>
          <w:iCs/>
        </w:rPr>
        <w:t>Petroleum and Gas (Production and Safety) Act 2004</w:t>
      </w:r>
      <w:r w:rsidR="00C545C5">
        <w:t xml:space="preserve"> (</w:t>
      </w:r>
      <w:r w:rsidR="00F30CC1">
        <w:t xml:space="preserve">Qld) </w:t>
      </w:r>
      <w:r w:rsidR="00C545C5">
        <w:t xml:space="preserve">(P&amp;G Act), an easement over pipeline land or public land may be created for a pipeline licence holder by registering a document creating the easement under the </w:t>
      </w:r>
      <w:r w:rsidR="00C545C5" w:rsidRPr="5419A45F">
        <w:rPr>
          <w:i/>
          <w:iCs/>
        </w:rPr>
        <w:t>Land Act 1994</w:t>
      </w:r>
      <w:r w:rsidR="00C545C5">
        <w:t xml:space="preserve"> </w:t>
      </w:r>
      <w:r w:rsidR="00F30CC1">
        <w:t xml:space="preserve">(Qld) </w:t>
      </w:r>
      <w:r w:rsidR="00C545C5">
        <w:t xml:space="preserve">or an instrument of easement under the </w:t>
      </w:r>
      <w:r w:rsidR="00C545C5" w:rsidRPr="5419A45F">
        <w:rPr>
          <w:i/>
          <w:iCs/>
        </w:rPr>
        <w:t>Land Title Act 1994</w:t>
      </w:r>
      <w:r w:rsidR="00F30CC1">
        <w:rPr>
          <w:i/>
          <w:iCs/>
        </w:rPr>
        <w:t xml:space="preserve"> </w:t>
      </w:r>
      <w:r w:rsidR="00F30CC1">
        <w:t>(Qld)</w:t>
      </w:r>
      <w:r w:rsidR="00C545C5">
        <w:t>.</w:t>
      </w:r>
    </w:p>
    <w:p w14:paraId="2B60F3EE" w14:textId="4364A619" w:rsidR="00C312E1" w:rsidRPr="00BA14E9" w:rsidRDefault="00A77123" w:rsidP="00A77123">
      <w:pPr>
        <w:spacing w:line="278" w:lineRule="auto"/>
        <w:rPr>
          <w:rFonts w:cs="Calibri"/>
          <w:szCs w:val="24"/>
        </w:rPr>
      </w:pPr>
      <w:r w:rsidRPr="00BA14E9">
        <w:rPr>
          <w:rFonts w:cs="Calibri"/>
          <w:szCs w:val="24"/>
        </w:rPr>
        <w:t>WA’s planning approvals are coordinated through the </w:t>
      </w:r>
      <w:r w:rsidRPr="00BA14E9">
        <w:rPr>
          <w:rFonts w:cs="Calibri"/>
          <w:i/>
          <w:iCs/>
          <w:szCs w:val="24"/>
        </w:rPr>
        <w:t>Planning and Development Act 2005</w:t>
      </w:r>
      <w:r w:rsidR="00C312E1" w:rsidRPr="00BA14E9">
        <w:rPr>
          <w:rFonts w:cs="Calibri"/>
          <w:i/>
          <w:iCs/>
          <w:szCs w:val="24"/>
        </w:rPr>
        <w:t xml:space="preserve"> </w:t>
      </w:r>
      <w:r w:rsidR="00C312E1" w:rsidRPr="00BA14E9">
        <w:rPr>
          <w:rFonts w:cs="Calibri"/>
          <w:szCs w:val="24"/>
        </w:rPr>
        <w:t>(WA)</w:t>
      </w:r>
      <w:r w:rsidRPr="00BA14E9">
        <w:rPr>
          <w:rFonts w:cs="Calibri"/>
          <w:szCs w:val="24"/>
        </w:rPr>
        <w:t>, but pipeline-specific considerations fall under the </w:t>
      </w:r>
      <w:r w:rsidRPr="00BA14E9">
        <w:rPr>
          <w:rFonts w:cs="Calibri"/>
          <w:i/>
          <w:iCs/>
          <w:szCs w:val="24"/>
        </w:rPr>
        <w:t>Petroleum Pipelines Act 1969</w:t>
      </w:r>
      <w:r w:rsidR="00C312E1" w:rsidRPr="00BA14E9">
        <w:rPr>
          <w:rFonts w:cs="Calibri"/>
          <w:i/>
          <w:iCs/>
          <w:szCs w:val="24"/>
        </w:rPr>
        <w:t xml:space="preserve"> </w:t>
      </w:r>
      <w:r w:rsidR="00C312E1" w:rsidRPr="00BA14E9">
        <w:rPr>
          <w:rFonts w:cs="Calibri"/>
          <w:szCs w:val="24"/>
        </w:rPr>
        <w:t>(WA)</w:t>
      </w:r>
      <w:r w:rsidRPr="00BA14E9">
        <w:rPr>
          <w:rFonts w:cs="Calibri"/>
          <w:szCs w:val="24"/>
        </w:rPr>
        <w:t>.</w:t>
      </w:r>
      <w:r w:rsidR="00F86B1C" w:rsidRPr="00BA14E9">
        <w:rPr>
          <w:rFonts w:cs="Calibri"/>
          <w:szCs w:val="24"/>
        </w:rPr>
        <w:t xml:space="preserve"> </w:t>
      </w:r>
      <w:r w:rsidRPr="00BA14E9">
        <w:rPr>
          <w:rFonts w:cs="Calibri"/>
          <w:szCs w:val="24"/>
        </w:rPr>
        <w:t>A pipeline licensee means the holder of a pipeline licence granted under the </w:t>
      </w:r>
      <w:r w:rsidRPr="00BA14E9">
        <w:rPr>
          <w:rFonts w:cs="Calibri"/>
          <w:i/>
          <w:iCs/>
          <w:szCs w:val="24"/>
        </w:rPr>
        <w:t>Petroleum Pipelines Act 1969</w:t>
      </w:r>
      <w:r w:rsidR="004760CD">
        <w:rPr>
          <w:rFonts w:cs="Calibri"/>
          <w:i/>
          <w:iCs/>
          <w:szCs w:val="24"/>
        </w:rPr>
        <w:t xml:space="preserve"> </w:t>
      </w:r>
      <w:r w:rsidR="004760CD">
        <w:rPr>
          <w:rFonts w:cs="Calibri"/>
          <w:szCs w:val="24"/>
        </w:rPr>
        <w:t>(WA)</w:t>
      </w:r>
      <w:r w:rsidR="00C312E1" w:rsidRPr="00BA14E9">
        <w:rPr>
          <w:rFonts w:cs="Calibri"/>
          <w:szCs w:val="24"/>
        </w:rPr>
        <w:t xml:space="preserve">. </w:t>
      </w:r>
    </w:p>
    <w:p w14:paraId="395DC280" w14:textId="31D27908" w:rsidR="00A77123" w:rsidRPr="00BA14E9" w:rsidRDefault="00A77123" w:rsidP="00A77123">
      <w:pPr>
        <w:spacing w:line="278" w:lineRule="auto"/>
        <w:rPr>
          <w:rFonts w:cs="Calibri"/>
          <w:szCs w:val="24"/>
        </w:rPr>
      </w:pPr>
      <w:r w:rsidRPr="00BA14E9">
        <w:rPr>
          <w:rFonts w:cs="Calibri"/>
          <w:szCs w:val="24"/>
        </w:rPr>
        <w:t>Hydrogen pipelines may be required to comply with the approval requirements under the </w:t>
      </w:r>
      <w:r w:rsidRPr="00BA14E9">
        <w:rPr>
          <w:rFonts w:cs="Calibri"/>
          <w:i/>
          <w:iCs/>
          <w:szCs w:val="24"/>
        </w:rPr>
        <w:t>Planning and Development Act 2005</w:t>
      </w:r>
      <w:r w:rsidRPr="00BA14E9">
        <w:rPr>
          <w:rFonts w:cs="Calibri"/>
          <w:szCs w:val="24"/>
        </w:rPr>
        <w:t> </w:t>
      </w:r>
      <w:r w:rsidR="00C312E1" w:rsidRPr="00BA14E9">
        <w:rPr>
          <w:rFonts w:cs="Calibri"/>
          <w:szCs w:val="24"/>
        </w:rPr>
        <w:t xml:space="preserve">(WA) </w:t>
      </w:r>
      <w:r w:rsidRPr="00BA14E9">
        <w:rPr>
          <w:rFonts w:cs="Calibri"/>
          <w:szCs w:val="24"/>
        </w:rPr>
        <w:t>and local planning schemes. In granting a licence under the </w:t>
      </w:r>
      <w:r w:rsidRPr="00BA14E9">
        <w:rPr>
          <w:rFonts w:cs="Calibri"/>
          <w:i/>
          <w:iCs/>
          <w:szCs w:val="24"/>
        </w:rPr>
        <w:t>Petroleum Pipelines Act 1969</w:t>
      </w:r>
      <w:r w:rsidRPr="00BA14E9">
        <w:rPr>
          <w:rFonts w:cs="Calibri"/>
          <w:szCs w:val="24"/>
        </w:rPr>
        <w:t> (WA), the Minister must consider whether the construction of the proposed pipeline would contravene any planning scheme under the </w:t>
      </w:r>
      <w:r w:rsidRPr="00BA14E9">
        <w:rPr>
          <w:rFonts w:cs="Calibri"/>
          <w:i/>
          <w:iCs/>
          <w:szCs w:val="24"/>
        </w:rPr>
        <w:t>Planning and Development Act 2005</w:t>
      </w:r>
      <w:r w:rsidRPr="00BA14E9">
        <w:rPr>
          <w:rFonts w:cs="Calibri"/>
          <w:szCs w:val="24"/>
        </w:rPr>
        <w:t> (WA). A development approval for a significant proposal likely to have a significant environmental effect on the environment may be referred to the Environmental Protection Agency for assessment under the </w:t>
      </w:r>
      <w:r w:rsidRPr="00BA14E9">
        <w:rPr>
          <w:rFonts w:cs="Calibri"/>
          <w:i/>
          <w:iCs/>
          <w:szCs w:val="24"/>
        </w:rPr>
        <w:t>Environmental Protection Act 1986</w:t>
      </w:r>
      <w:r w:rsidRPr="00BA14E9">
        <w:rPr>
          <w:rFonts w:cs="Calibri"/>
          <w:szCs w:val="24"/>
        </w:rPr>
        <w:t> (WA). </w:t>
      </w:r>
    </w:p>
    <w:p w14:paraId="5CFB6E42" w14:textId="69B17665" w:rsidR="00A77123" w:rsidRPr="00BA14E9" w:rsidRDefault="00A77123" w:rsidP="00A77123">
      <w:pPr>
        <w:spacing w:line="278" w:lineRule="auto"/>
        <w:rPr>
          <w:rFonts w:cs="Calibri"/>
          <w:szCs w:val="24"/>
        </w:rPr>
      </w:pPr>
      <w:r w:rsidRPr="00BA14E9">
        <w:rPr>
          <w:rFonts w:cs="Calibri"/>
          <w:szCs w:val="24"/>
        </w:rPr>
        <w:t>South Australia’s </w:t>
      </w:r>
      <w:r w:rsidRPr="00BA14E9">
        <w:rPr>
          <w:rFonts w:cs="Calibri"/>
          <w:i/>
          <w:iCs/>
          <w:szCs w:val="24"/>
        </w:rPr>
        <w:t>Energy Resources Act 2000</w:t>
      </w:r>
      <w:r w:rsidRPr="00BA14E9">
        <w:rPr>
          <w:rFonts w:cs="Calibri"/>
          <w:szCs w:val="24"/>
        </w:rPr>
        <w:t> (SA) imposes licensing requirements in relation to certain activities, including transmission by pipeline, carried out in relation to a range of substances, including hydrogen. A development approval may not be required under the </w:t>
      </w:r>
      <w:r w:rsidRPr="00BA14E9">
        <w:rPr>
          <w:rFonts w:cs="Calibri"/>
          <w:i/>
          <w:iCs/>
          <w:szCs w:val="24"/>
        </w:rPr>
        <w:t>Planning, Development and Infrastructure Act 2016</w:t>
      </w:r>
      <w:r w:rsidRPr="00BA14E9">
        <w:rPr>
          <w:rFonts w:cs="Calibri"/>
          <w:szCs w:val="24"/>
        </w:rPr>
        <w:t> (SA) as that Act does not prevent, or otherwise affect, operations carried on in pursuance of any of the Mining Acts, which includes the </w:t>
      </w:r>
      <w:r w:rsidRPr="00BA14E9">
        <w:rPr>
          <w:rFonts w:cs="Calibri"/>
          <w:i/>
          <w:iCs/>
          <w:szCs w:val="24"/>
        </w:rPr>
        <w:t>Energy Resources Act 2000</w:t>
      </w:r>
      <w:r w:rsidR="006370B4">
        <w:rPr>
          <w:rFonts w:cs="Calibri"/>
          <w:i/>
          <w:iCs/>
          <w:szCs w:val="24"/>
        </w:rPr>
        <w:t xml:space="preserve"> </w:t>
      </w:r>
      <w:r w:rsidR="006370B4">
        <w:rPr>
          <w:rFonts w:cs="Calibri"/>
          <w:szCs w:val="24"/>
        </w:rPr>
        <w:t>(SA)</w:t>
      </w:r>
      <w:r w:rsidRPr="00BA14E9">
        <w:rPr>
          <w:rFonts w:cs="Calibri"/>
          <w:szCs w:val="24"/>
        </w:rPr>
        <w:t xml:space="preserve">. However, nothing prevents the </w:t>
      </w:r>
      <w:proofErr w:type="gramStart"/>
      <w:r w:rsidRPr="00BA14E9">
        <w:rPr>
          <w:rFonts w:cs="Calibri"/>
          <w:szCs w:val="24"/>
        </w:rPr>
        <w:t>Planning Minister</w:t>
      </w:r>
      <w:proofErr w:type="gramEnd"/>
      <w:r w:rsidRPr="00BA14E9">
        <w:rPr>
          <w:rFonts w:cs="Calibri"/>
          <w:szCs w:val="24"/>
        </w:rPr>
        <w:t xml:space="preserve"> under the </w:t>
      </w:r>
      <w:r w:rsidRPr="00BA14E9">
        <w:rPr>
          <w:rFonts w:cs="Calibri"/>
          <w:i/>
          <w:iCs/>
          <w:szCs w:val="24"/>
        </w:rPr>
        <w:t>Planning, Development and Infrastructure Act 2016</w:t>
      </w:r>
      <w:r w:rsidRPr="00BA14E9">
        <w:rPr>
          <w:rFonts w:cs="Calibri"/>
          <w:szCs w:val="24"/>
        </w:rPr>
        <w:t> (SA) from declaring that a project is impact assessed development, which requires planning consent and an EIS, even where a licence has been granted under the </w:t>
      </w:r>
      <w:r w:rsidRPr="00BA14E9">
        <w:rPr>
          <w:rFonts w:cs="Calibri"/>
          <w:i/>
          <w:iCs/>
          <w:szCs w:val="24"/>
        </w:rPr>
        <w:t>Energy Resources Act 2000</w:t>
      </w:r>
      <w:r w:rsidRPr="00BA14E9">
        <w:rPr>
          <w:rFonts w:cs="Calibri"/>
          <w:szCs w:val="24"/>
        </w:rPr>
        <w:t> (SA). </w:t>
      </w:r>
    </w:p>
    <w:p w14:paraId="34C1B7F0" w14:textId="74DD36EA" w:rsidR="00A77123" w:rsidRPr="00BA14E9" w:rsidRDefault="004501D8" w:rsidP="00A77123">
      <w:pPr>
        <w:spacing w:line="278" w:lineRule="auto"/>
        <w:rPr>
          <w:rFonts w:cs="Calibri"/>
          <w:szCs w:val="24"/>
        </w:rPr>
      </w:pPr>
      <w:r>
        <w:rPr>
          <w:rFonts w:cs="Calibri"/>
          <w:szCs w:val="24"/>
        </w:rPr>
        <w:t>The Australian Capital Territory</w:t>
      </w:r>
      <w:r w:rsidR="00A77123" w:rsidRPr="00BA14E9">
        <w:rPr>
          <w:rFonts w:cs="Calibri"/>
          <w:szCs w:val="24"/>
        </w:rPr>
        <w:t>, Tasmania, and Northern Territory follow similar planning principles, with local planning schemes and strategic infrastructure overlays guiding approvals.</w:t>
      </w:r>
      <w:r w:rsidR="00FB1DA5" w:rsidRPr="00BA14E9">
        <w:rPr>
          <w:rFonts w:cs="Calibri"/>
          <w:szCs w:val="24"/>
        </w:rPr>
        <w:t xml:space="preserve"> </w:t>
      </w:r>
      <w:r w:rsidR="00A77123" w:rsidRPr="00BA14E9">
        <w:rPr>
          <w:rFonts w:cs="Calibri"/>
          <w:szCs w:val="24"/>
        </w:rPr>
        <w:t>While pipeline-specific legislation exists, the planning component is generally managed through standard development pathways, with additional referrals for hazardous materials. </w:t>
      </w:r>
    </w:p>
    <w:p w14:paraId="06BA437D" w14:textId="0615359B" w:rsidR="00A77123" w:rsidRPr="00BA14E9" w:rsidRDefault="00A77123" w:rsidP="00A77123">
      <w:pPr>
        <w:spacing w:line="278" w:lineRule="auto"/>
        <w:rPr>
          <w:rFonts w:cs="Calibri"/>
          <w:szCs w:val="24"/>
        </w:rPr>
      </w:pPr>
      <w:r w:rsidRPr="00BA14E9">
        <w:rPr>
          <w:rFonts w:cs="Calibri"/>
          <w:szCs w:val="24"/>
        </w:rPr>
        <w:t>Hydrogen’s</w:t>
      </w:r>
      <w:r w:rsidR="0077178D" w:rsidRPr="00BA14E9">
        <w:rPr>
          <w:rFonts w:cs="Calibri"/>
          <w:szCs w:val="24"/>
        </w:rPr>
        <w:t xml:space="preserve"> </w:t>
      </w:r>
      <w:r w:rsidRPr="00BA14E9">
        <w:rPr>
          <w:rFonts w:cs="Calibri"/>
          <w:szCs w:val="24"/>
        </w:rPr>
        <w:t>classification as a hazardous chemical introduces</w:t>
      </w:r>
      <w:r w:rsidR="0077178D" w:rsidRPr="00BA14E9">
        <w:rPr>
          <w:rFonts w:cs="Calibri"/>
          <w:szCs w:val="24"/>
        </w:rPr>
        <w:t xml:space="preserve"> </w:t>
      </w:r>
      <w:r w:rsidRPr="00BA14E9">
        <w:rPr>
          <w:rFonts w:cs="Calibri"/>
          <w:szCs w:val="24"/>
        </w:rPr>
        <w:t>unique planning challenges. Authorities must consider:</w:t>
      </w:r>
    </w:p>
    <w:p w14:paraId="32BBC8F6" w14:textId="016FEDE2" w:rsidR="00A77123" w:rsidRPr="00BA14E9" w:rsidRDefault="00A77123" w:rsidP="00D33BE1">
      <w:pPr>
        <w:numPr>
          <w:ilvl w:val="0"/>
          <w:numId w:val="45"/>
        </w:numPr>
        <w:spacing w:line="278" w:lineRule="auto"/>
        <w:rPr>
          <w:rFonts w:cs="Calibri"/>
          <w:szCs w:val="24"/>
        </w:rPr>
      </w:pPr>
      <w:r w:rsidRPr="00BA14E9">
        <w:rPr>
          <w:rFonts w:cs="Calibri"/>
          <w:szCs w:val="24"/>
        </w:rPr>
        <w:t>Buffer zones and exclusion areas</w:t>
      </w:r>
    </w:p>
    <w:p w14:paraId="691941D5" w14:textId="6CB7E1D9" w:rsidR="00A77123" w:rsidRPr="00BA14E9" w:rsidRDefault="00A77123" w:rsidP="00D33BE1">
      <w:pPr>
        <w:numPr>
          <w:ilvl w:val="0"/>
          <w:numId w:val="45"/>
        </w:numPr>
        <w:spacing w:line="278" w:lineRule="auto"/>
        <w:rPr>
          <w:rFonts w:cs="Calibri"/>
          <w:szCs w:val="24"/>
        </w:rPr>
      </w:pPr>
      <w:r w:rsidRPr="00BA14E9">
        <w:rPr>
          <w:rFonts w:cs="Calibri"/>
          <w:szCs w:val="24"/>
        </w:rPr>
        <w:t>Emergency response planning</w:t>
      </w:r>
    </w:p>
    <w:p w14:paraId="08FF78A0" w14:textId="6B03EA07" w:rsidR="00A77123" w:rsidRPr="00BA14E9" w:rsidRDefault="00A77123" w:rsidP="00D33BE1">
      <w:pPr>
        <w:numPr>
          <w:ilvl w:val="0"/>
          <w:numId w:val="45"/>
        </w:numPr>
        <w:spacing w:line="278" w:lineRule="auto"/>
        <w:rPr>
          <w:rFonts w:cs="Calibri"/>
          <w:szCs w:val="24"/>
        </w:rPr>
      </w:pPr>
      <w:r w:rsidRPr="00BA14E9">
        <w:rPr>
          <w:rFonts w:cs="Calibri"/>
          <w:szCs w:val="24"/>
        </w:rPr>
        <w:t>Compatibility with surrounding land uses</w:t>
      </w:r>
    </w:p>
    <w:p w14:paraId="4BC34959" w14:textId="44AE01CA" w:rsidR="00A77123" w:rsidRPr="00BA14E9" w:rsidRDefault="00A77123" w:rsidP="00D33BE1">
      <w:pPr>
        <w:numPr>
          <w:ilvl w:val="0"/>
          <w:numId w:val="45"/>
        </w:numPr>
        <w:spacing w:line="278" w:lineRule="auto"/>
        <w:rPr>
          <w:rFonts w:cs="Calibri"/>
          <w:szCs w:val="24"/>
        </w:rPr>
      </w:pPr>
      <w:r w:rsidRPr="00BA14E9">
        <w:rPr>
          <w:rFonts w:cs="Calibri"/>
          <w:szCs w:val="24"/>
        </w:rPr>
        <w:t>Referral to safety regulators and pipeline operators</w:t>
      </w:r>
      <w:r w:rsidR="00C312E1" w:rsidRPr="00BA14E9">
        <w:rPr>
          <w:rFonts w:cs="Calibri"/>
          <w:szCs w:val="24"/>
        </w:rPr>
        <w:t>.</w:t>
      </w:r>
    </w:p>
    <w:p w14:paraId="690BAF86" w14:textId="7617F403" w:rsidR="00A14290" w:rsidRPr="00BA14E9" w:rsidRDefault="008578C2" w:rsidP="606C9B12">
      <w:pPr>
        <w:rPr>
          <w:rFonts w:cs="Calibri"/>
        </w:rPr>
      </w:pPr>
      <w:r w:rsidRPr="00BA14E9">
        <w:rPr>
          <w:rFonts w:cs="Calibri"/>
        </w:rPr>
        <w:lastRenderedPageBreak/>
        <w:t xml:space="preserve">See </w:t>
      </w:r>
      <w:r w:rsidR="00F86B1C" w:rsidRPr="00BA14E9">
        <w:rPr>
          <w:rFonts w:cs="Calibri"/>
        </w:rPr>
        <w:t>A</w:t>
      </w:r>
      <w:r w:rsidRPr="00BA14E9">
        <w:rPr>
          <w:rFonts w:cs="Calibri"/>
        </w:rPr>
        <w:t xml:space="preserve">nnexure </w:t>
      </w:r>
      <w:r w:rsidR="004A1D35" w:rsidRPr="00BA14E9">
        <w:rPr>
          <w:rFonts w:cs="Calibri"/>
        </w:rPr>
        <w:t xml:space="preserve">4, table </w:t>
      </w:r>
      <w:r w:rsidR="00097634" w:rsidRPr="00BA14E9">
        <w:rPr>
          <w:rFonts w:cs="Calibri"/>
        </w:rPr>
        <w:t xml:space="preserve">4.4 </w:t>
      </w:r>
      <w:r w:rsidR="006E0A7C" w:rsidRPr="00BA14E9">
        <w:rPr>
          <w:rFonts w:cs="Calibri"/>
        </w:rPr>
        <w:t xml:space="preserve">for planning </w:t>
      </w:r>
      <w:r w:rsidR="008108CD" w:rsidRPr="00BA14E9">
        <w:rPr>
          <w:rFonts w:cs="Calibri"/>
        </w:rPr>
        <w:t>law obligations for pipelines</w:t>
      </w:r>
      <w:r w:rsidR="008E0218" w:rsidRPr="00BA14E9">
        <w:rPr>
          <w:rFonts w:cs="Calibri"/>
        </w:rPr>
        <w:t>.</w:t>
      </w:r>
    </w:p>
    <w:p w14:paraId="2876733C" w14:textId="06F65DAC" w:rsidR="00715A70" w:rsidRPr="00BA14E9" w:rsidRDefault="00715A70" w:rsidP="00E83908">
      <w:pPr>
        <w:pStyle w:val="Heading2"/>
      </w:pPr>
      <w:bookmarkStart w:id="128" w:name="_Toc215810992"/>
      <w:bookmarkStart w:id="129" w:name="_Toc200492091"/>
      <w:bookmarkStart w:id="130" w:name="_Toc222925526"/>
      <w:bookmarkEnd w:id="128"/>
      <w:r w:rsidRPr="00BA14E9">
        <w:t>Assessment of environmental impacts</w:t>
      </w:r>
      <w:bookmarkEnd w:id="129"/>
      <w:bookmarkEnd w:id="130"/>
    </w:p>
    <w:p w14:paraId="632F975E" w14:textId="77777777" w:rsidR="00715A70" w:rsidRPr="00BA14E9" w:rsidRDefault="00715A70" w:rsidP="005C6CAE">
      <w:pPr>
        <w:rPr>
          <w:rFonts w:cs="Calibri"/>
        </w:rPr>
      </w:pPr>
      <w:r w:rsidRPr="00BA14E9">
        <w:rPr>
          <w:rFonts w:cs="Calibri"/>
        </w:rPr>
        <w:t xml:space="preserve">Planning frameworks require that the likely impacts of a development on the natural and built environments, and social and economic impacts in a locality are considered in the evaluation of development applications. </w:t>
      </w:r>
    </w:p>
    <w:p w14:paraId="33CED16F" w14:textId="77777777" w:rsidR="00715A70" w:rsidRPr="00BA14E9" w:rsidRDefault="00715A70" w:rsidP="005C6CAE">
      <w:pPr>
        <w:rPr>
          <w:rFonts w:cs="Calibri"/>
        </w:rPr>
      </w:pPr>
      <w:r w:rsidRPr="00BA14E9">
        <w:rPr>
          <w:rFonts w:cs="Calibri"/>
        </w:rPr>
        <w:t xml:space="preserve">As such, proponents are required to undertake an environmental impact assessment (EIA) and report to government on the potential environmental impacts of their project. </w:t>
      </w:r>
    </w:p>
    <w:p w14:paraId="0412FDA5" w14:textId="6396E336" w:rsidR="00715A70" w:rsidRPr="00BA14E9" w:rsidRDefault="00715A70" w:rsidP="606C9B12">
      <w:pPr>
        <w:rPr>
          <w:rFonts w:cs="Calibri"/>
        </w:rPr>
      </w:pPr>
      <w:r w:rsidRPr="00BA14E9">
        <w:rPr>
          <w:rFonts w:cs="Calibri"/>
        </w:rPr>
        <w:t>Chapter</w:t>
      </w:r>
      <w:r w:rsidR="00CF2C5A" w:rsidRPr="00BA14E9">
        <w:rPr>
          <w:rFonts w:cs="Calibri"/>
        </w:rPr>
        <w:t xml:space="preserve"> 4.2.6 of the Hydrogen Production Guidebook provides more general information on assessment of environmental impacts in the planning context for hydrogen projects. Chapter 4.3 of the Hydrogen Production Guidebook </w:t>
      </w:r>
      <w:r w:rsidRPr="00BA14E9">
        <w:rPr>
          <w:rFonts w:cs="Calibri"/>
        </w:rPr>
        <w:t xml:space="preserve">provides details on specific environmental assessment triggers and requirements. </w:t>
      </w:r>
    </w:p>
    <w:p w14:paraId="6232E758" w14:textId="7396E3D1" w:rsidR="00715A70" w:rsidRPr="00BA14E9" w:rsidRDefault="00715A70" w:rsidP="00E83908">
      <w:pPr>
        <w:pStyle w:val="Heading2"/>
      </w:pPr>
      <w:bookmarkStart w:id="131" w:name="_Toc200492093"/>
      <w:bookmarkStart w:id="132" w:name="_Toc222925527"/>
      <w:r w:rsidRPr="00BA14E9">
        <w:t>Land use classification</w:t>
      </w:r>
      <w:bookmarkEnd w:id="131"/>
      <w:bookmarkEnd w:id="132"/>
    </w:p>
    <w:p w14:paraId="55E20358" w14:textId="29DDB8C3" w:rsidR="00715A70" w:rsidRPr="00BA14E9" w:rsidRDefault="00715A70" w:rsidP="005C6CAE">
      <w:pPr>
        <w:rPr>
          <w:rFonts w:cs="Calibri"/>
        </w:rPr>
      </w:pPr>
      <w:r w:rsidRPr="00BA14E9">
        <w:rPr>
          <w:rFonts w:cs="Calibri"/>
        </w:rPr>
        <w:t xml:space="preserve">In most jurisdictions, hydrogen </w:t>
      </w:r>
      <w:r w:rsidR="00B5427B" w:rsidRPr="00BA14E9">
        <w:rPr>
          <w:rFonts w:cs="Calibri"/>
        </w:rPr>
        <w:t>pipelines</w:t>
      </w:r>
      <w:r w:rsidRPr="00BA14E9">
        <w:rPr>
          <w:rFonts w:cs="Calibri"/>
        </w:rPr>
        <w:t xml:space="preserve"> are not expressly identified in a standalone land use classification. Hydrogen </w:t>
      </w:r>
      <w:r w:rsidR="00B5427B" w:rsidRPr="00BA14E9">
        <w:rPr>
          <w:rFonts w:cs="Calibri"/>
        </w:rPr>
        <w:t>pipelines</w:t>
      </w:r>
      <w:r w:rsidRPr="00BA14E9">
        <w:rPr>
          <w:rFonts w:cs="Calibri"/>
        </w:rPr>
        <w:t xml:space="preserve"> will commonly be captured in one or more separate land use definitions relating to hazardous chemicals or under more general industry land uses, which differ in each jurisdiction.</w:t>
      </w:r>
    </w:p>
    <w:p w14:paraId="054A82FC" w14:textId="3C017FB0" w:rsidR="00715A70" w:rsidRPr="00BA14E9" w:rsidRDefault="00715A70" w:rsidP="00DF62C0">
      <w:pPr>
        <w:rPr>
          <w:rFonts w:cs="Calibri"/>
        </w:rPr>
      </w:pPr>
      <w:r w:rsidRPr="00BA14E9">
        <w:rPr>
          <w:rFonts w:cs="Calibri"/>
        </w:rPr>
        <w:t xml:space="preserve">While there is variation between jurisdictions, hydrogen </w:t>
      </w:r>
      <w:r w:rsidR="00170A0A" w:rsidRPr="00BA14E9">
        <w:rPr>
          <w:rFonts w:cs="Calibri"/>
        </w:rPr>
        <w:t>pipelines</w:t>
      </w:r>
      <w:r w:rsidRPr="00BA14E9">
        <w:rPr>
          <w:rFonts w:cs="Calibri"/>
        </w:rPr>
        <w:t xml:space="preserve"> are considered a high-risk industry (in its plain English meaning). As such, for each facility, proponents should demonstrate as part of their application for planning approval how they meet the facility safety requirements identified in chapter </w:t>
      </w:r>
      <w:r w:rsidR="00DF62C0" w:rsidRPr="00BA14E9">
        <w:rPr>
          <w:rFonts w:cs="Calibri"/>
        </w:rPr>
        <w:t>5</w:t>
      </w:r>
      <w:r w:rsidRPr="00BA14E9">
        <w:rPr>
          <w:rFonts w:cs="Calibri"/>
        </w:rPr>
        <w:t xml:space="preserve"> of this Guidebook.</w:t>
      </w:r>
    </w:p>
    <w:p w14:paraId="2084507E" w14:textId="26378D1E" w:rsidR="00715A70" w:rsidRPr="00BA14E9" w:rsidRDefault="00715A70" w:rsidP="005C6CAE">
      <w:pPr>
        <w:rPr>
          <w:rFonts w:cs="Calibri"/>
        </w:rPr>
      </w:pPr>
      <w:r w:rsidRPr="00BA14E9">
        <w:rPr>
          <w:rFonts w:cs="Calibri"/>
        </w:rPr>
        <w:t xml:space="preserve">Proponents will need to obtain their own independent advice to determine which land use classification(s) applies to their </w:t>
      </w:r>
      <w:r w:rsidR="00170A0A" w:rsidRPr="00BA14E9">
        <w:rPr>
          <w:rFonts w:cs="Calibri"/>
        </w:rPr>
        <w:t xml:space="preserve">pipeline </w:t>
      </w:r>
      <w:r w:rsidRPr="00BA14E9">
        <w:rPr>
          <w:rFonts w:cs="Calibri"/>
        </w:rPr>
        <w:t>project.</w:t>
      </w:r>
    </w:p>
    <w:p w14:paraId="6858067B" w14:textId="2A92A3F6" w:rsidR="00715A70" w:rsidRPr="00BA14E9" w:rsidDel="00151D3D" w:rsidRDefault="006E133C" w:rsidP="00F634FE">
      <w:pPr>
        <w:pStyle w:val="Heading1"/>
      </w:pPr>
      <w:r w:rsidRPr="00BA14E9">
        <w:rPr>
          <w:rFonts w:cs="Calibri"/>
        </w:rPr>
        <w:br w:type="page"/>
      </w:r>
      <w:bookmarkStart w:id="133" w:name="_Toc200492103"/>
      <w:bookmarkStart w:id="134" w:name="_Toc222925528"/>
      <w:r w:rsidR="007F5D1A" w:rsidRPr="00BA14E9">
        <w:lastRenderedPageBreak/>
        <w:t xml:space="preserve">Chapter </w:t>
      </w:r>
      <w:r w:rsidR="00C05FEF">
        <w:t>9</w:t>
      </w:r>
      <w:r w:rsidR="007F5D1A" w:rsidRPr="00BA14E9">
        <w:t xml:space="preserve"> - </w:t>
      </w:r>
      <w:r w:rsidR="00715A70" w:rsidRPr="00BA14E9">
        <w:t>Environmental approvals, offences and obligations</w:t>
      </w:r>
      <w:bookmarkStart w:id="135" w:name="_Toc200492104"/>
      <w:bookmarkEnd w:id="133"/>
      <w:bookmarkEnd w:id="134"/>
    </w:p>
    <w:p w14:paraId="358A1975" w14:textId="1D114A42" w:rsidR="00DE554C" w:rsidRPr="00BA14E9" w:rsidRDefault="00DE554C" w:rsidP="00E83908">
      <w:pPr>
        <w:pStyle w:val="Heading2"/>
      </w:pPr>
      <w:bookmarkStart w:id="136" w:name="_Toc222925529"/>
      <w:r w:rsidRPr="005656FA">
        <w:t>Environmental</w:t>
      </w:r>
      <w:r w:rsidRPr="00F634FE">
        <w:rPr>
          <w:rStyle w:val="Heading2Char"/>
        </w:rPr>
        <w:t xml:space="preserve"> obligations for hydrogen pipelines</w:t>
      </w:r>
      <w:bookmarkEnd w:id="136"/>
    </w:p>
    <w:p w14:paraId="7C417B54" w14:textId="13C20B29" w:rsidR="00E52DE4" w:rsidRPr="00BA14E9" w:rsidRDefault="00E52DE4" w:rsidP="00E52DE4">
      <w:r w:rsidRPr="00BA14E9">
        <w:t>Environmental approval for pipelines typically follows a similar process as other environment</w:t>
      </w:r>
      <w:r w:rsidR="00676EFA">
        <w:t xml:space="preserve"> </w:t>
      </w:r>
      <w:r w:rsidR="000477D4">
        <w:t>assessment</w:t>
      </w:r>
      <w:r w:rsidR="00676EFA">
        <w:t xml:space="preserve"> project approval</w:t>
      </w:r>
      <w:r w:rsidRPr="00BA14E9">
        <w:t xml:space="preserve"> </w:t>
      </w:r>
      <w:proofErr w:type="gramStart"/>
      <w:r w:rsidRPr="00BA14E9">
        <w:t>applications</w:t>
      </w:r>
      <w:proofErr w:type="gramEnd"/>
      <w:r w:rsidRPr="00BA14E9">
        <w:t xml:space="preserve">. The pipeline must align with the relevant </w:t>
      </w:r>
      <w:r w:rsidR="00E57786">
        <w:t>legislation</w:t>
      </w:r>
      <w:r w:rsidR="00E57786" w:rsidRPr="00BA14E9">
        <w:t xml:space="preserve"> </w:t>
      </w:r>
      <w:r w:rsidRPr="00BA14E9">
        <w:t>for the area. The suitability of the proposed pipeline route will be assessed by the relevant environmental authority in accordance with the relevant process and legislation. Hydrogen and hydrogen blends are a hazardous chemical and any specific requirements relating to hazardous chemicals will apply.  </w:t>
      </w:r>
    </w:p>
    <w:p w14:paraId="77253ADA" w14:textId="76E137FC" w:rsidR="00E52DE4" w:rsidRPr="00BA14E9" w:rsidRDefault="00E52DE4" w:rsidP="00E52DE4">
      <w:r w:rsidRPr="00BA14E9">
        <w:t xml:space="preserve">The development of pipelines, especially those designed to transport hazardous substances like hydrogen or hydrogen blends, requires navigation through environmental legislation. </w:t>
      </w:r>
    </w:p>
    <w:p w14:paraId="3F1EEA53" w14:textId="65D0E0A6" w:rsidR="00E52DE4" w:rsidRPr="00BA14E9" w:rsidRDefault="00E52DE4" w:rsidP="00DF739F">
      <w:r w:rsidRPr="00BA14E9">
        <w:t>In Australia, the environmental approval process involves the pipeline complying with relevant Commonwealth, state, and territory legislation. This includes assessing the suitability of the pipeline route, understanding the environmental sensitivities of the area, and ensuring that any risks associated with hazardous chemicals are properly managed. </w:t>
      </w:r>
    </w:p>
    <w:p w14:paraId="091408F1" w14:textId="695D8EDD" w:rsidR="00A1784C" w:rsidRPr="00BA14E9" w:rsidRDefault="00A1784C" w:rsidP="00A1784C">
      <w:r w:rsidRPr="00BA14E9">
        <w:t>Pipeline approvals require an approach that balances infrastructure development with environmental stewardship. Whether navigating Commonwealth protections or state-specific controls, proponents must engage with a legislative landscape designed to protect Australia’s environment while enabling safe and sustainable energy infrastructure. </w:t>
      </w:r>
    </w:p>
    <w:p w14:paraId="3B0C710C" w14:textId="471EDF9E" w:rsidR="00820B11" w:rsidRPr="00BA14E9" w:rsidRDefault="00820B11" w:rsidP="00A1784C">
      <w:r w:rsidRPr="00BA14E9">
        <w:t>Many environmental approvals and obligations are based on the potential for certain environmental impacts / harms</w:t>
      </w:r>
      <w:r w:rsidR="0016095F" w:rsidRPr="00BA14E9">
        <w:t xml:space="preserve">. For example, the </w:t>
      </w:r>
      <w:r w:rsidR="000B3322">
        <w:rPr>
          <w:i/>
          <w:iCs/>
        </w:rPr>
        <w:t xml:space="preserve">Environment Protection and Biodiversity Conservation Act </w:t>
      </w:r>
      <w:r w:rsidR="00CF51C1">
        <w:rPr>
          <w:i/>
          <w:iCs/>
        </w:rPr>
        <w:t xml:space="preserve">1999 </w:t>
      </w:r>
      <w:r w:rsidR="00CF51C1">
        <w:t>(</w:t>
      </w:r>
      <w:proofErr w:type="spellStart"/>
      <w:r w:rsidR="00CF51C1">
        <w:t>Cth</w:t>
      </w:r>
      <w:proofErr w:type="spellEnd"/>
      <w:r w:rsidR="00CF51C1">
        <w:t>) (</w:t>
      </w:r>
      <w:r w:rsidR="0016095F" w:rsidRPr="006E19E4">
        <w:t>EPBC Act</w:t>
      </w:r>
      <w:r w:rsidR="00CF51C1" w:rsidRPr="000E2AC9">
        <w:t>)</w:t>
      </w:r>
      <w:r w:rsidR="0016095F" w:rsidRPr="00BA14E9">
        <w:t xml:space="preserve"> does not specifically refer to </w:t>
      </w:r>
      <w:proofErr w:type="gramStart"/>
      <w:r w:rsidR="0016095F" w:rsidRPr="00BA14E9">
        <w:t>pipelines</w:t>
      </w:r>
      <w:proofErr w:type="gramEnd"/>
      <w:r w:rsidR="0016095F" w:rsidRPr="00BA14E9">
        <w:t xml:space="preserve"> but proponents will need to assess its application the same way </w:t>
      </w:r>
      <w:r w:rsidR="00A661FE">
        <w:t xml:space="preserve">they would </w:t>
      </w:r>
      <w:r w:rsidR="0016095F" w:rsidRPr="00BA14E9">
        <w:t>for other hydrogen projects</w:t>
      </w:r>
      <w:r w:rsidR="00A661FE">
        <w:t xml:space="preserve"> / projects that may impact matters of national environmental significance (MNES)</w:t>
      </w:r>
      <w:r w:rsidR="0016095F" w:rsidRPr="00BA14E9">
        <w:t>.</w:t>
      </w:r>
    </w:p>
    <w:p w14:paraId="32164B16" w14:textId="3106D962" w:rsidR="0016095F" w:rsidRPr="00BA14E9" w:rsidRDefault="00DE5C5E" w:rsidP="00A1784C">
      <w:r w:rsidRPr="00BA14E9">
        <w:t xml:space="preserve">This Guidebook does not discuss </w:t>
      </w:r>
      <w:r w:rsidR="0016095F" w:rsidRPr="00BA14E9">
        <w:t xml:space="preserve">environmental </w:t>
      </w:r>
      <w:r w:rsidRPr="00BA14E9">
        <w:t>regulations that</w:t>
      </w:r>
      <w:r w:rsidR="0016095F" w:rsidRPr="00BA14E9">
        <w:t xml:space="preserve"> </w:t>
      </w:r>
      <w:r w:rsidRPr="00BA14E9">
        <w:t xml:space="preserve">do not specifically reference pipelines as such information is discussed in detail in the Hydrogen Production Guidebook. Chapter 9.3 sets out specific references to the Hydrogen Production Guidebook.  </w:t>
      </w:r>
    </w:p>
    <w:p w14:paraId="4A6500EF" w14:textId="3B5A910E" w:rsidR="00820B11" w:rsidRPr="00F634FE" w:rsidRDefault="00820B11" w:rsidP="00E83908">
      <w:pPr>
        <w:pStyle w:val="Heading2"/>
        <w:rPr>
          <w:lang w:val="en-AU"/>
        </w:rPr>
      </w:pPr>
      <w:bookmarkStart w:id="137" w:name="_Toc222925530"/>
      <w:r w:rsidRPr="00BA14E9">
        <w:t>Environmental obligations and pipeline licensing regulations</w:t>
      </w:r>
      <w:bookmarkEnd w:id="137"/>
    </w:p>
    <w:p w14:paraId="60A7CB3C" w14:textId="083F2656" w:rsidR="00A1784C" w:rsidRPr="00BA14E9" w:rsidRDefault="00A1784C" w:rsidP="00A1784C">
      <w:r w:rsidRPr="00BA14E9">
        <w:t xml:space="preserve">Before a pipeline licence is formally granted, proponents often need to undertake early-stage activities to assess the feasibility and environmental suitability of a proposed route. These preliminary activities such as surveying, geotechnical investigations, </w:t>
      </w:r>
      <w:r w:rsidR="00F172A4">
        <w:t>heritage assessments</w:t>
      </w:r>
      <w:r w:rsidR="00883A8C">
        <w:t xml:space="preserve">, </w:t>
      </w:r>
      <w:r w:rsidRPr="00BA14E9">
        <w:t>and ecological assessments are used for informing route selection, stakeholder engagement, and environmental impact reporting.</w:t>
      </w:r>
    </w:p>
    <w:p w14:paraId="0C24D7F0" w14:textId="610FF98C" w:rsidR="00D60647" w:rsidRPr="00BA14E9" w:rsidRDefault="00D60647" w:rsidP="00A1784C">
      <w:r w:rsidRPr="00BA14E9">
        <w:t xml:space="preserve">Preliminary pipeline activities are often permitted to be undertaken prior to obtaining a full pipeline licence. For example, an </w:t>
      </w:r>
      <w:r w:rsidR="00AF3EA2">
        <w:t>A</w:t>
      </w:r>
      <w:r w:rsidRPr="00BA14E9">
        <w:t xml:space="preserve">uthority to </w:t>
      </w:r>
      <w:r w:rsidR="00AF3EA2">
        <w:t>S</w:t>
      </w:r>
      <w:r w:rsidRPr="00BA14E9">
        <w:t xml:space="preserve">urvey under the </w:t>
      </w:r>
      <w:r w:rsidR="00AF3EA2">
        <w:rPr>
          <w:i/>
          <w:iCs/>
        </w:rPr>
        <w:t xml:space="preserve">Pipelines Act 1967 </w:t>
      </w:r>
      <w:r w:rsidR="00AF3EA2">
        <w:t>(NSW)</w:t>
      </w:r>
      <w:r w:rsidRPr="00BA14E9">
        <w:t>.</w:t>
      </w:r>
    </w:p>
    <w:p w14:paraId="6FCB3D8A" w14:textId="549D7910" w:rsidR="004F433F" w:rsidRPr="00BA14E9" w:rsidRDefault="00A1784C" w:rsidP="004F433F">
      <w:r w:rsidRPr="00BA14E9">
        <w:lastRenderedPageBreak/>
        <w:t>While the full pipeline licence is subject to rigorous environmental and planning approvals, most Australian jurisdictions provide legal mechanisms to allow these early activities under specific instruments or permits.</w:t>
      </w:r>
      <w:r w:rsidR="004F433F" w:rsidRPr="00BA14E9">
        <w:t xml:space="preserve"> Examples of the preliminary activities are set out below.</w:t>
      </w:r>
    </w:p>
    <w:p w14:paraId="6304B9D0" w14:textId="134EB9E9" w:rsidR="004F433F" w:rsidRPr="00BA14E9" w:rsidRDefault="004F433F" w:rsidP="004F433F">
      <w:r w:rsidRPr="00BA14E9">
        <w:t xml:space="preserve">At the Commonwealth level, the EPBC Act, may apply if preliminary activities are likely to </w:t>
      </w:r>
      <w:r w:rsidR="00163233" w:rsidRPr="00BA14E9">
        <w:t>impact matters of national environmental significance</w:t>
      </w:r>
      <w:r w:rsidR="00163233">
        <w:t xml:space="preserve"> </w:t>
      </w:r>
      <w:r w:rsidR="001721B7">
        <w:t xml:space="preserve">and any activity should undertake a self-assessment of potential impacts under the EPBC Act (further information is available here </w:t>
      </w:r>
      <w:r w:rsidR="001721B7" w:rsidRPr="008D3A2D">
        <w:t>https://www.dcceew.gov.au/environment/epbc/advice/self-assessments</w:t>
      </w:r>
      <w:r w:rsidRPr="00BA14E9">
        <w:t>. </w:t>
      </w:r>
    </w:p>
    <w:p w14:paraId="475942F1" w14:textId="6C53A60F" w:rsidR="004F433F" w:rsidRPr="00BA14E9" w:rsidRDefault="004F433F" w:rsidP="004F433F">
      <w:r w:rsidRPr="00BA14E9">
        <w:t>In NSW, pipeline proponents may apply for an Authority to Survey (ATS) under the</w:t>
      </w:r>
      <w:r w:rsidR="00DF62C0" w:rsidRPr="00BA14E9">
        <w:t xml:space="preserve"> </w:t>
      </w:r>
      <w:r w:rsidRPr="00BA14E9">
        <w:rPr>
          <w:i/>
          <w:iCs/>
        </w:rPr>
        <w:t>Pipelines Act 1967</w:t>
      </w:r>
      <w:r w:rsidR="00DF62C0" w:rsidRPr="00BA14E9">
        <w:rPr>
          <w:i/>
          <w:iCs/>
        </w:rPr>
        <w:t xml:space="preserve"> </w:t>
      </w:r>
      <w:r w:rsidR="00DF62C0" w:rsidRPr="00BA14E9">
        <w:t>(NSW)</w:t>
      </w:r>
      <w:r w:rsidRPr="00BA14E9">
        <w:t>. This allows access to private land for non-intrusive surveys such as environmental, cultural heritage, and engineering assessments. The ATS is often used when voluntary access agreements with landholders cannot be reached. </w:t>
      </w:r>
    </w:p>
    <w:p w14:paraId="466A0459" w14:textId="5E90B155" w:rsidR="004F433F" w:rsidRPr="00BA14E9" w:rsidRDefault="004F433F" w:rsidP="004F433F">
      <w:r w:rsidRPr="00BA14E9">
        <w:t xml:space="preserve">Additionally, project-level approval under the </w:t>
      </w:r>
      <w:r w:rsidRPr="00BA14E9">
        <w:rPr>
          <w:i/>
          <w:iCs/>
        </w:rPr>
        <w:t>Environmental Planning and Assessment Act 1979</w:t>
      </w:r>
      <w:r w:rsidRPr="00BA14E9">
        <w:t xml:space="preserve"> </w:t>
      </w:r>
      <w:r w:rsidR="00DF62C0" w:rsidRPr="00BA14E9">
        <w:t xml:space="preserve">(NSW) </w:t>
      </w:r>
      <w:r w:rsidRPr="00BA14E9">
        <w:t>may be required for broader environmental investigations. </w:t>
      </w:r>
      <w:r w:rsidR="00960C94">
        <w:t>I</w:t>
      </w:r>
      <w:r w:rsidR="00960C94" w:rsidRPr="00960C94">
        <w:t>n some circumstances an</w:t>
      </w:r>
      <w:r w:rsidR="008D62A2">
        <w:t xml:space="preserve"> </w:t>
      </w:r>
      <w:r w:rsidR="00960C94" w:rsidRPr="00960C94">
        <w:t xml:space="preserve">environment protection licence granted under the </w:t>
      </w:r>
      <w:r w:rsidR="00960C94" w:rsidRPr="00960C94">
        <w:rPr>
          <w:i/>
          <w:iCs/>
        </w:rPr>
        <w:t xml:space="preserve">Protection of the Environment Operations Act 1997 </w:t>
      </w:r>
      <w:r w:rsidR="00623121">
        <w:t xml:space="preserve">(NSW) </w:t>
      </w:r>
      <w:r w:rsidR="00960C94" w:rsidRPr="00960C94">
        <w:t>may be required for activities related to the construction and operation of a hydrogen pipeline facility in NSW</w:t>
      </w:r>
      <w:r w:rsidR="008D62A2">
        <w:rPr>
          <w:rStyle w:val="FootnoteReference"/>
        </w:rPr>
        <w:footnoteReference w:id="14"/>
      </w:r>
      <w:r w:rsidR="00960C94" w:rsidRPr="00960C94">
        <w:t>.</w:t>
      </w:r>
    </w:p>
    <w:p w14:paraId="6C359A47" w14:textId="3B59D29A" w:rsidR="004F433F" w:rsidRPr="00BA14E9" w:rsidRDefault="004F433F" w:rsidP="004F433F">
      <w:r w:rsidRPr="00BA14E9">
        <w:t xml:space="preserve">Victoria’s </w:t>
      </w:r>
      <w:r w:rsidRPr="00BA14E9">
        <w:rPr>
          <w:i/>
          <w:iCs/>
        </w:rPr>
        <w:t xml:space="preserve">Pipelines Act 2005 </w:t>
      </w:r>
      <w:r w:rsidR="00DF62C0" w:rsidRPr="00BA14E9">
        <w:t xml:space="preserve">(Vic) </w:t>
      </w:r>
      <w:r w:rsidRPr="00BA14E9">
        <w:t xml:space="preserve">and Pipelines Regulations 2017 </w:t>
      </w:r>
      <w:r w:rsidR="004B10DF">
        <w:t xml:space="preserve">(Vic) </w:t>
      </w:r>
      <w:r w:rsidRPr="00BA14E9">
        <w:t>explicitly provide for pre-licence activities. These activities must be communicated to landholders and comply with environmental and safety standards. </w:t>
      </w:r>
    </w:p>
    <w:p w14:paraId="5F6C8EBA" w14:textId="38E310FA" w:rsidR="004F433F" w:rsidRDefault="004F433F" w:rsidP="004F433F">
      <w:r w:rsidRPr="00BA14E9">
        <w:t>Under the </w:t>
      </w:r>
      <w:r w:rsidRPr="00BA14E9">
        <w:rPr>
          <w:i/>
          <w:iCs/>
        </w:rPr>
        <w:t>Petroleum and Gas (Production and Safety) Act 2004 </w:t>
      </w:r>
      <w:r w:rsidRPr="00BA14E9">
        <w:t>(Q</w:t>
      </w:r>
      <w:r w:rsidR="004B10DF">
        <w:t>ld</w:t>
      </w:r>
      <w:r w:rsidRPr="00BA14E9">
        <w:t>), proponents can apply for a Petroleum Survey Licence, which authorises access to land for information gathering, including environmental and geotechnical surveys. These preliminary activities are regulated to ensure minimal impact on landholders and the environment. </w:t>
      </w:r>
    </w:p>
    <w:p w14:paraId="133B5858" w14:textId="5B8D9959" w:rsidR="005459F8" w:rsidRPr="001C26A6" w:rsidRDefault="005459F8" w:rsidP="005459F8">
      <w:r w:rsidRPr="001C26A6">
        <w:t>While development inconsistent with the statutory purposes of tenures managed by the Queensland Parks and Wildlife Service &amp; Partnership (QPWS&amp;P) on behalf of the Department of the Environment, Tourism, Science &amp; Innovation, should be avoided, the</w:t>
      </w:r>
      <w:r w:rsidR="00D91A58">
        <w:t>re are specific provisions that enable them to exist over such tenures</w:t>
      </w:r>
      <w:r w:rsidRPr="001C26A6">
        <w:t xml:space="preserve">: </w:t>
      </w:r>
    </w:p>
    <w:p w14:paraId="6F31A9BF" w14:textId="57A2499C" w:rsidR="0039193E" w:rsidRDefault="00233D17" w:rsidP="00E23B16">
      <w:pPr>
        <w:pStyle w:val="ListParagraph"/>
        <w:numPr>
          <w:ilvl w:val="0"/>
          <w:numId w:val="74"/>
        </w:numPr>
        <w:contextualSpacing w:val="0"/>
      </w:pPr>
      <w:r>
        <w:t xml:space="preserve">the </w:t>
      </w:r>
      <w:r w:rsidRPr="00335000">
        <w:rPr>
          <w:i/>
          <w:iCs/>
        </w:rPr>
        <w:t>Forestry Act 1959</w:t>
      </w:r>
      <w:r>
        <w:t xml:space="preserve"> </w:t>
      </w:r>
      <w:r w:rsidR="00742C12">
        <w:t xml:space="preserve">(Qld) </w:t>
      </w:r>
      <w:r>
        <w:t xml:space="preserve">does not provide for the grant of easements, and restricts the setting apart, exclusion, lease or revocation of land in a </w:t>
      </w:r>
      <w:r w:rsidR="00742C12">
        <w:t>s</w:t>
      </w:r>
      <w:r>
        <w:t xml:space="preserve">tate forest or timber reserve, except in accordance with the provisions of the Act (Section 26 of the Forestry Act). However, the creation of pipeline easements for a Pipeline Licence holder on </w:t>
      </w:r>
      <w:r w:rsidR="00742C12">
        <w:t>s</w:t>
      </w:r>
      <w:r w:rsidRPr="00E23B16">
        <w:t>tate forest and timber reserve</w:t>
      </w:r>
      <w:r>
        <w:t xml:space="preserve"> are provided for under Section 437A of P&amp;G Act by registering a document creating the easement under the provisions of the Land Act (except s.369(2)). The creation of the easement by registration is subject to the approval of the owner of the land to be burdened, which for </w:t>
      </w:r>
      <w:r w:rsidR="00E54017">
        <w:t>s</w:t>
      </w:r>
      <w:r>
        <w:t>tate forest and timber reserve is the Chief Executive of Queensland State</w:t>
      </w:r>
      <w:r w:rsidR="00B30E3F">
        <w:t xml:space="preserve"> Department of the Environment, Tourism, Science &amp; Innovation (DETSI).</w:t>
      </w:r>
    </w:p>
    <w:p w14:paraId="2CFACE3D" w14:textId="5AAB0952" w:rsidR="00472EC9" w:rsidRPr="00BA14E9" w:rsidRDefault="00472EC9" w:rsidP="00E23B16">
      <w:pPr>
        <w:pStyle w:val="ListParagraph"/>
        <w:numPr>
          <w:ilvl w:val="0"/>
          <w:numId w:val="74"/>
        </w:numPr>
        <w:contextualSpacing w:val="0"/>
      </w:pPr>
      <w:r>
        <w:lastRenderedPageBreak/>
        <w:t xml:space="preserve">petroleum and gas exploration and production activities are prohibited on national parks (all classes), conservation parks and special wildlife reserves under Sections 27 &amp; 70QA of the </w:t>
      </w:r>
      <w:r w:rsidRPr="5419A45F">
        <w:rPr>
          <w:i/>
          <w:iCs/>
        </w:rPr>
        <w:t>Nature Conversation Act 1992</w:t>
      </w:r>
      <w:r>
        <w:t xml:space="preserve"> (</w:t>
      </w:r>
      <w:r w:rsidR="00201C6C">
        <w:t>Qld</w:t>
      </w:r>
      <w:r w:rsidR="00E54017">
        <w:t xml:space="preserve">) </w:t>
      </w:r>
      <w:r>
        <w:t>(the NCA). Subsection 27 (2) of the NCA does allows for a survey licence or pipeline licence to be granted over national parks, national parks (CYPAL), conservation parks and special wildlife reserves, in certain circumstances where all relevant legislative criteria can be met, and an authority is granted under Section 34, 35, 42AD, 42AE, 43F or 43G of the NCA.</w:t>
      </w:r>
    </w:p>
    <w:p w14:paraId="62AC5600" w14:textId="7A12B9F1" w:rsidR="004F433F" w:rsidRPr="00BA14E9" w:rsidRDefault="004F433F" w:rsidP="004F433F">
      <w:r w:rsidRPr="00BA14E9">
        <w:t>South Australia requires proponents to obtain a Preliminary Survey Licence (PSL) under the </w:t>
      </w:r>
      <w:r w:rsidRPr="00BA14E9">
        <w:rPr>
          <w:i/>
          <w:iCs/>
        </w:rPr>
        <w:t>Energy Resources Act 2000</w:t>
      </w:r>
      <w:r w:rsidR="0057638B">
        <w:rPr>
          <w:i/>
          <w:iCs/>
        </w:rPr>
        <w:t xml:space="preserve"> </w:t>
      </w:r>
      <w:r w:rsidR="0057638B">
        <w:t>(SA)</w:t>
      </w:r>
      <w:r w:rsidRPr="00BA14E9">
        <w:t>. This licence authorises environmental evaluations, route surveys, and other assessments prior to applying for a full pipeline licence. The PSL may also include incidental activities such as marking out the proposed route. </w:t>
      </w:r>
    </w:p>
    <w:p w14:paraId="086C3570" w14:textId="77777777" w:rsidR="004F433F" w:rsidRPr="00BA14E9" w:rsidRDefault="004F433F" w:rsidP="004F433F">
      <w:r w:rsidRPr="00BA14E9">
        <w:t>Across Australia, preliminary pipeline activities are legally permitted under various instruments that balance the need for early project development with environmental protection and landholder rights. These activities typically include: </w:t>
      </w:r>
    </w:p>
    <w:p w14:paraId="3A4AD1B2" w14:textId="77777777" w:rsidR="004F433F" w:rsidRPr="00BA14E9" w:rsidRDefault="004F433F" w:rsidP="00D33BE1">
      <w:pPr>
        <w:numPr>
          <w:ilvl w:val="0"/>
          <w:numId w:val="38"/>
        </w:numPr>
      </w:pPr>
      <w:r w:rsidRPr="00BA14E9">
        <w:t>Route surveys and mapping </w:t>
      </w:r>
    </w:p>
    <w:p w14:paraId="635B627E" w14:textId="77777777" w:rsidR="004F433F" w:rsidRPr="00BA14E9" w:rsidRDefault="004F433F" w:rsidP="00D33BE1">
      <w:pPr>
        <w:numPr>
          <w:ilvl w:val="0"/>
          <w:numId w:val="38"/>
        </w:numPr>
      </w:pPr>
      <w:r w:rsidRPr="00BA14E9">
        <w:t>Ecological and heritage assessments </w:t>
      </w:r>
    </w:p>
    <w:p w14:paraId="43DE6AE4" w14:textId="77777777" w:rsidR="004F433F" w:rsidRPr="00BA14E9" w:rsidRDefault="004F433F" w:rsidP="00D33BE1">
      <w:pPr>
        <w:numPr>
          <w:ilvl w:val="0"/>
          <w:numId w:val="38"/>
        </w:numPr>
      </w:pPr>
      <w:r w:rsidRPr="00BA14E9">
        <w:t>Geotechnical investigations </w:t>
      </w:r>
    </w:p>
    <w:p w14:paraId="46B794FA" w14:textId="77777777" w:rsidR="004F433F" w:rsidRPr="00BA14E9" w:rsidRDefault="004F433F" w:rsidP="00D33BE1">
      <w:pPr>
        <w:numPr>
          <w:ilvl w:val="0"/>
          <w:numId w:val="38"/>
        </w:numPr>
      </w:pPr>
      <w:r w:rsidRPr="00BA14E9">
        <w:t>Stakeholder consultation and access agreements </w:t>
      </w:r>
    </w:p>
    <w:p w14:paraId="0BDB2718" w14:textId="7B1A5F82" w:rsidR="004F433F" w:rsidRPr="00BA14E9" w:rsidRDefault="004F433F" w:rsidP="004F433F">
      <w:r w:rsidRPr="00BA14E9">
        <w:t xml:space="preserve">Each jurisdiction has its own process, but all require transparency, minimal disturbance, and compliance with environmental standards. These early steps are </w:t>
      </w:r>
      <w:proofErr w:type="gramStart"/>
      <w:r w:rsidRPr="00BA14E9">
        <w:t>shape</w:t>
      </w:r>
      <w:proofErr w:type="gramEnd"/>
      <w:r w:rsidRPr="00BA14E9">
        <w:t xml:space="preserve"> responsible pipeline development and ensure that licence applications are well-informed and robust.</w:t>
      </w:r>
    </w:p>
    <w:p w14:paraId="6C17E28A" w14:textId="1C7BA014" w:rsidR="0055760D" w:rsidRPr="00BA14E9" w:rsidRDefault="00DE554C" w:rsidP="00E83908">
      <w:pPr>
        <w:pStyle w:val="Heading2"/>
      </w:pPr>
      <w:bookmarkStart w:id="138" w:name="_Toc212652021"/>
      <w:bookmarkStart w:id="139" w:name="_Toc212652188"/>
      <w:bookmarkStart w:id="140" w:name="_Toc212652354"/>
      <w:bookmarkStart w:id="141" w:name="_Toc212652519"/>
      <w:bookmarkStart w:id="142" w:name="_Toc212717555"/>
      <w:bookmarkStart w:id="143" w:name="_Toc213254764"/>
      <w:bookmarkStart w:id="144" w:name="_Toc212652022"/>
      <w:bookmarkStart w:id="145" w:name="_Toc212652189"/>
      <w:bookmarkStart w:id="146" w:name="_Toc212652355"/>
      <w:bookmarkStart w:id="147" w:name="_Toc212652520"/>
      <w:bookmarkStart w:id="148" w:name="_Toc212717556"/>
      <w:bookmarkStart w:id="149" w:name="_Toc213254765"/>
      <w:bookmarkStart w:id="150" w:name="_Toc222925531"/>
      <w:bookmarkEnd w:id="138"/>
      <w:bookmarkEnd w:id="139"/>
      <w:bookmarkEnd w:id="140"/>
      <w:bookmarkEnd w:id="141"/>
      <w:bookmarkEnd w:id="142"/>
      <w:bookmarkEnd w:id="143"/>
      <w:bookmarkEnd w:id="144"/>
      <w:bookmarkEnd w:id="145"/>
      <w:bookmarkEnd w:id="146"/>
      <w:bookmarkEnd w:id="147"/>
      <w:bookmarkEnd w:id="148"/>
      <w:bookmarkEnd w:id="149"/>
      <w:r w:rsidRPr="00BA14E9">
        <w:t>Environmental regulations applying to hydrogen projects generally</w:t>
      </w:r>
      <w:bookmarkEnd w:id="150"/>
    </w:p>
    <w:p w14:paraId="6F5D3FB2" w14:textId="6FB0C8E5" w:rsidR="00E516CA" w:rsidRPr="00BA14E9" w:rsidRDefault="00A46134" w:rsidP="001E35D9">
      <w:r w:rsidRPr="00BA14E9">
        <w:t xml:space="preserve">The Hydrogen Production Guidebook provides information on the application of </w:t>
      </w:r>
      <w:r w:rsidR="00E516CA" w:rsidRPr="00BA14E9">
        <w:t>environmental laws to a hydrogen project. This Guidebook only discusses environmental matters that are unique to pipelines</w:t>
      </w:r>
      <w:r w:rsidR="0055760D" w:rsidRPr="00BA14E9">
        <w:t xml:space="preserve"> (Chapter 9.1)</w:t>
      </w:r>
      <w:r w:rsidR="00E516CA" w:rsidRPr="00BA14E9">
        <w:t xml:space="preserve"> rather than those </w:t>
      </w:r>
      <w:r w:rsidR="0048689E" w:rsidRPr="00BA14E9">
        <w:t xml:space="preserve">equally applicable or </w:t>
      </w:r>
      <w:proofErr w:type="gramStart"/>
      <w:r w:rsidR="0048689E" w:rsidRPr="00BA14E9">
        <w:t>similar to</w:t>
      </w:r>
      <w:proofErr w:type="gramEnd"/>
      <w:r w:rsidR="0048689E" w:rsidRPr="00BA14E9">
        <w:t xml:space="preserve"> an industrial facility storing hydrogen. </w:t>
      </w:r>
    </w:p>
    <w:p w14:paraId="690FC8FC" w14:textId="5649E459" w:rsidR="00E516CA" w:rsidRPr="00BA14E9" w:rsidRDefault="00E516CA" w:rsidP="001E35D9">
      <w:r w:rsidRPr="00BA14E9">
        <w:t>Readers should refer to</w:t>
      </w:r>
      <w:r w:rsidR="0048689E" w:rsidRPr="00BA14E9">
        <w:t xml:space="preserve"> the following chapters of the Hydrogen Production Guidebook</w:t>
      </w:r>
      <w:r w:rsidRPr="00BA14E9">
        <w:t>:</w:t>
      </w:r>
    </w:p>
    <w:p w14:paraId="6119046D" w14:textId="7DC59621" w:rsidR="00FA4CC6" w:rsidRPr="00BA14E9" w:rsidRDefault="0048689E" w:rsidP="00E23B16">
      <w:pPr>
        <w:pStyle w:val="ListParagraph"/>
        <w:numPr>
          <w:ilvl w:val="0"/>
          <w:numId w:val="64"/>
        </w:numPr>
        <w:contextualSpacing w:val="0"/>
      </w:pPr>
      <w:r w:rsidRPr="00BA14E9">
        <w:t>Chapter</w:t>
      </w:r>
      <w:r w:rsidR="00897EAF" w:rsidRPr="00BA14E9">
        <w:t xml:space="preserve"> </w:t>
      </w:r>
      <w:r w:rsidRPr="00BA14E9">
        <w:t xml:space="preserve">4.4.1 Australian environmental regulation </w:t>
      </w:r>
      <w:r w:rsidR="00897EAF" w:rsidRPr="00BA14E9">
        <w:t>in the hydrogen context</w:t>
      </w:r>
    </w:p>
    <w:p w14:paraId="7476E1A2" w14:textId="340DD4C3" w:rsidR="00897EAF" w:rsidRPr="00BA14E9" w:rsidRDefault="00897EAF" w:rsidP="00E23B16">
      <w:pPr>
        <w:pStyle w:val="ListParagraph"/>
        <w:numPr>
          <w:ilvl w:val="0"/>
          <w:numId w:val="64"/>
        </w:numPr>
        <w:contextualSpacing w:val="0"/>
      </w:pPr>
      <w:r w:rsidRPr="00BA14E9">
        <w:t>Chapter 4.4.2 The EPBC Act</w:t>
      </w:r>
    </w:p>
    <w:p w14:paraId="17ACFAF3" w14:textId="1C3BC596" w:rsidR="00897EAF" w:rsidRPr="00BA14E9" w:rsidRDefault="00897EAF" w:rsidP="00E23B16">
      <w:pPr>
        <w:pStyle w:val="ListParagraph"/>
        <w:numPr>
          <w:ilvl w:val="0"/>
          <w:numId w:val="64"/>
        </w:numPr>
        <w:contextualSpacing w:val="0"/>
      </w:pPr>
      <w:r w:rsidRPr="00BA14E9">
        <w:t>Chapter 4.4.3 General environmental duty</w:t>
      </w:r>
    </w:p>
    <w:p w14:paraId="6595578F" w14:textId="6809AA18" w:rsidR="00897EAF" w:rsidRPr="00BA14E9" w:rsidRDefault="00897EAF" w:rsidP="00E23B16">
      <w:pPr>
        <w:pStyle w:val="ListParagraph"/>
        <w:numPr>
          <w:ilvl w:val="0"/>
          <w:numId w:val="64"/>
        </w:numPr>
        <w:contextualSpacing w:val="0"/>
      </w:pPr>
      <w:r w:rsidRPr="00BA14E9">
        <w:t xml:space="preserve">Chapter 4.4.4 General environmental protection </w:t>
      </w:r>
      <w:r w:rsidR="00043AFD" w:rsidRPr="00BA14E9">
        <w:t>and pollution</w:t>
      </w:r>
    </w:p>
    <w:p w14:paraId="1147B670" w14:textId="2DE12555" w:rsidR="00043AFD" w:rsidRPr="00BA14E9" w:rsidRDefault="00043AFD" w:rsidP="00E23B16">
      <w:pPr>
        <w:pStyle w:val="ListParagraph"/>
        <w:numPr>
          <w:ilvl w:val="0"/>
          <w:numId w:val="64"/>
        </w:numPr>
        <w:contextualSpacing w:val="0"/>
      </w:pPr>
      <w:r w:rsidRPr="00BA14E9">
        <w:t xml:space="preserve">Chapter 4.4.5 Environmental approvals, authorisations, </w:t>
      </w:r>
      <w:r w:rsidR="0055760D" w:rsidRPr="00BA14E9">
        <w:t>and licences</w:t>
      </w:r>
    </w:p>
    <w:p w14:paraId="5E4E6D12" w14:textId="5A6156CA" w:rsidR="00152EBE" w:rsidRPr="00BA14E9" w:rsidRDefault="00152EBE" w:rsidP="00E23B16">
      <w:pPr>
        <w:pStyle w:val="ListParagraph"/>
        <w:numPr>
          <w:ilvl w:val="0"/>
          <w:numId w:val="64"/>
        </w:numPr>
        <w:contextualSpacing w:val="0"/>
      </w:pPr>
      <w:r w:rsidRPr="00BA14E9">
        <w:t>Chapter 4.4.6 Environmental harm</w:t>
      </w:r>
    </w:p>
    <w:p w14:paraId="413D12D5" w14:textId="3A072353" w:rsidR="00152EBE" w:rsidRPr="00BA14E9" w:rsidRDefault="00152EBE" w:rsidP="00E23B16">
      <w:pPr>
        <w:pStyle w:val="ListParagraph"/>
        <w:numPr>
          <w:ilvl w:val="0"/>
          <w:numId w:val="64"/>
        </w:numPr>
        <w:contextualSpacing w:val="0"/>
      </w:pPr>
      <w:r w:rsidRPr="00BA14E9">
        <w:t>Chapter 4.4.7 Contamination</w:t>
      </w:r>
    </w:p>
    <w:p w14:paraId="68D1FC31" w14:textId="19723AD6" w:rsidR="00152EBE" w:rsidRPr="00BA14E9" w:rsidRDefault="00152EBE" w:rsidP="00E23B16">
      <w:pPr>
        <w:pStyle w:val="ListParagraph"/>
        <w:numPr>
          <w:ilvl w:val="0"/>
          <w:numId w:val="64"/>
        </w:numPr>
        <w:contextualSpacing w:val="0"/>
      </w:pPr>
      <w:r w:rsidRPr="00BA14E9">
        <w:lastRenderedPageBreak/>
        <w:t>Chapter 4.4.8 Waste</w:t>
      </w:r>
    </w:p>
    <w:p w14:paraId="7033F777" w14:textId="49BEECDC" w:rsidR="00152EBE" w:rsidRPr="00BA14E9" w:rsidRDefault="00152EBE" w:rsidP="00E23B16">
      <w:pPr>
        <w:pStyle w:val="ListParagraph"/>
        <w:numPr>
          <w:ilvl w:val="0"/>
          <w:numId w:val="64"/>
        </w:numPr>
        <w:contextualSpacing w:val="0"/>
      </w:pPr>
      <w:r w:rsidRPr="00BA14E9">
        <w:t>Chapter 4.4.9 Notification of environmental matters / incidents</w:t>
      </w:r>
    </w:p>
    <w:p w14:paraId="724299BB" w14:textId="0F5A4A16" w:rsidR="00152EBE" w:rsidRPr="00BA14E9" w:rsidRDefault="00152EBE" w:rsidP="00E23B16">
      <w:pPr>
        <w:pStyle w:val="ListParagraph"/>
        <w:numPr>
          <w:ilvl w:val="0"/>
          <w:numId w:val="64"/>
        </w:numPr>
        <w:contextualSpacing w:val="0"/>
      </w:pPr>
      <w:r w:rsidRPr="00BA14E9">
        <w:t xml:space="preserve">Chapter 4.4.10 Requirements for persons to hold an </w:t>
      </w:r>
      <w:r w:rsidR="00E05334" w:rsidRPr="00BA14E9">
        <w:t>environmental approval</w:t>
      </w:r>
    </w:p>
    <w:p w14:paraId="0565647D" w14:textId="204CF797" w:rsidR="00401DAF" w:rsidRDefault="00401DAF">
      <w:pPr>
        <w:rPr>
          <w:rFonts w:eastAsiaTheme="majorEastAsia" w:cstheme="majorBidi"/>
          <w:color w:val="0F4761" w:themeColor="accent1" w:themeShade="BF"/>
          <w:sz w:val="40"/>
          <w:szCs w:val="40"/>
        </w:rPr>
      </w:pPr>
      <w:bookmarkStart w:id="151" w:name="_Toc215811079"/>
      <w:bookmarkStart w:id="152" w:name="_Toc200492106"/>
      <w:bookmarkStart w:id="153" w:name="_Toc215811105"/>
      <w:bookmarkStart w:id="154" w:name="_Toc215811219"/>
      <w:bookmarkStart w:id="155" w:name="_Toc200492116"/>
      <w:bookmarkStart w:id="156" w:name="_Toc215811232"/>
      <w:bookmarkEnd w:id="135"/>
      <w:bookmarkEnd w:id="151"/>
      <w:bookmarkEnd w:id="152"/>
      <w:bookmarkEnd w:id="153"/>
      <w:bookmarkEnd w:id="154"/>
      <w:bookmarkEnd w:id="155"/>
      <w:bookmarkEnd w:id="156"/>
    </w:p>
    <w:sectPr w:rsidR="00401DAF" w:rsidSect="00AA13B7">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CA41" w14:textId="77777777" w:rsidR="009A38D2" w:rsidRPr="00BA14E9" w:rsidRDefault="009A38D2" w:rsidP="005C6CAE">
      <w:r w:rsidRPr="00BA14E9">
        <w:separator/>
      </w:r>
    </w:p>
  </w:endnote>
  <w:endnote w:type="continuationSeparator" w:id="0">
    <w:p w14:paraId="643B9F80" w14:textId="77777777" w:rsidR="009A38D2" w:rsidRPr="00BA14E9" w:rsidRDefault="009A38D2" w:rsidP="005C6CAE">
      <w:r w:rsidRPr="00BA14E9">
        <w:continuationSeparator/>
      </w:r>
    </w:p>
  </w:endnote>
  <w:endnote w:type="continuationNotice" w:id="1">
    <w:p w14:paraId="10954978" w14:textId="77777777" w:rsidR="009A38D2" w:rsidRPr="00BA14E9" w:rsidRDefault="009A38D2" w:rsidP="005C6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AEA6" w14:textId="77777777" w:rsidR="00270570" w:rsidRPr="00BA14E9" w:rsidRDefault="00270570" w:rsidP="00FD4F10">
    <w:pPr>
      <w:pStyle w:val="Footer"/>
      <w:rPr>
        <w:lang w:val="en-AU"/>
      </w:rPr>
    </w:pPr>
    <w:r w:rsidRPr="00BA14E9">
      <w:rPr>
        <w:noProof/>
        <w:lang w:val="en-AU"/>
      </w:rPr>
      <mc:AlternateContent>
        <mc:Choice Requires="wps">
          <w:drawing>
            <wp:anchor distT="0" distB="0" distL="0" distR="0" simplePos="0" relativeHeight="251656704" behindDoc="0" locked="0" layoutInCell="1" allowOverlap="1" wp14:anchorId="67B7015E" wp14:editId="72BC5740">
              <wp:simplePos x="635" y="635"/>
              <wp:positionH relativeFrom="page">
                <wp:align>center</wp:align>
              </wp:positionH>
              <wp:positionV relativeFrom="page">
                <wp:align>bottom</wp:align>
              </wp:positionV>
              <wp:extent cx="1134745" cy="391160"/>
              <wp:effectExtent l="0" t="0" r="8255" b="0"/>
              <wp:wrapNone/>
              <wp:docPr id="1396939078" name="Text Box 2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717F438E" w14:textId="77777777" w:rsidR="00270570" w:rsidRPr="00BA14E9" w:rsidRDefault="00270570" w:rsidP="005C6CAE">
                          <w:r w:rsidRPr="00BA14E9">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7015E" id="_x0000_t202" coordsize="21600,21600" o:spt="202" path="m,l,21600r21600,l21600,xe">
              <v:stroke joinstyle="miter"/>
              <v:path gradientshapeok="t" o:connecttype="rect"/>
            </v:shapetype>
            <v:shape id="Text Box 23" o:spid="_x0000_s1028" type="#_x0000_t202" alt="OFFICIAL Sensitive" style="position:absolute;left:0;text-align:left;margin-left:0;margin-top:0;width:89.35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" filled="f" stroked="f">
              <v:textbox style="mso-fit-shape-to-text:t" inset="0,0,0,15pt">
                <w:txbxContent>
                  <w:p w14:paraId="717F438E" w14:textId="77777777" w:rsidR="00270570" w:rsidRPr="00BA14E9" w:rsidRDefault="00270570" w:rsidP="005C6CAE">
                    <w:r w:rsidRPr="00BA14E9">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AU"/>
      </w:rPr>
      <w:id w:val="1907868384"/>
      <w:docPartObj>
        <w:docPartGallery w:val="Page Numbers (Bottom of Page)"/>
        <w:docPartUnique/>
      </w:docPartObj>
    </w:sdtPr>
    <w:sdtContent>
      <w:p w14:paraId="2ADEBFDE" w14:textId="77777777" w:rsidR="00270570" w:rsidRPr="00BA14E9" w:rsidRDefault="00270570">
        <w:pPr>
          <w:pStyle w:val="Footer"/>
          <w:jc w:val="center"/>
          <w:rPr>
            <w:lang w:val="en-AU"/>
          </w:rPr>
        </w:pPr>
        <w:r w:rsidRPr="00BA14E9">
          <w:rPr>
            <w:lang w:val="en-AU"/>
          </w:rPr>
          <w:fldChar w:fldCharType="begin"/>
        </w:r>
        <w:r w:rsidRPr="00BA14E9">
          <w:rPr>
            <w:lang w:val="en-AU"/>
          </w:rPr>
          <w:instrText xml:space="preserve"> PAGE   \* MERGEFORMAT </w:instrText>
        </w:r>
        <w:r w:rsidRPr="00BA14E9">
          <w:rPr>
            <w:lang w:val="en-AU"/>
          </w:rPr>
          <w:fldChar w:fldCharType="separate"/>
        </w:r>
        <w:r w:rsidRPr="00BA14E9">
          <w:rPr>
            <w:lang w:val="en-AU"/>
          </w:rPr>
          <w:t>2</w:t>
        </w:r>
        <w:r w:rsidRPr="00BA14E9">
          <w:rPr>
            <w:lang w:val="en-AU"/>
          </w:rPr>
          <w:fldChar w:fldCharType="end"/>
        </w:r>
      </w:p>
    </w:sdtContent>
  </w:sdt>
  <w:p w14:paraId="3E7370C7" w14:textId="77777777" w:rsidR="00270570" w:rsidRPr="00BA14E9" w:rsidRDefault="00270570" w:rsidP="000C27BC">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7533" w14:textId="77777777" w:rsidR="00270570" w:rsidRPr="00BA14E9" w:rsidRDefault="00270570" w:rsidP="00FD4F10">
    <w:pPr>
      <w:pStyle w:val="Footer"/>
      <w:rPr>
        <w:lang w:val="en-AU"/>
      </w:rPr>
    </w:pPr>
    <w:r w:rsidRPr="00BA14E9">
      <w:rPr>
        <w:noProof/>
        <w:lang w:val="en-AU"/>
      </w:rPr>
      <mc:AlternateContent>
        <mc:Choice Requires="wps">
          <w:drawing>
            <wp:anchor distT="0" distB="0" distL="0" distR="0" simplePos="0" relativeHeight="251658752" behindDoc="0" locked="0" layoutInCell="1" allowOverlap="1" wp14:anchorId="44613031" wp14:editId="5F829FB1">
              <wp:simplePos x="635" y="635"/>
              <wp:positionH relativeFrom="page">
                <wp:align>center</wp:align>
              </wp:positionH>
              <wp:positionV relativeFrom="page">
                <wp:align>bottom</wp:align>
              </wp:positionV>
              <wp:extent cx="1134745" cy="391160"/>
              <wp:effectExtent l="0" t="0" r="8255" b="0"/>
              <wp:wrapNone/>
              <wp:docPr id="896456621" name="Text Box 2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19ED8FC1" w14:textId="77777777" w:rsidR="00270570" w:rsidRPr="00BA14E9" w:rsidRDefault="00270570" w:rsidP="005C6CAE">
                          <w:r w:rsidRPr="00BA14E9">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13031" id="_x0000_t202" coordsize="21600,21600" o:spt="202" path="m,l,21600r21600,l21600,xe">
              <v:stroke joinstyle="miter"/>
              <v:path gradientshapeok="t" o:connecttype="rect"/>
            </v:shapetype>
            <v:shape id="Text Box 22" o:spid="_x0000_s1030" type="#_x0000_t202" alt="OFFICIAL Sensitive" style="position:absolute;left:0;text-align:left;margin-left:0;margin-top:0;width:89.3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" filled="f" stroked="f">
              <v:textbox style="mso-fit-shape-to-text:t" inset="0,0,0,15pt">
                <w:txbxContent>
                  <w:p w14:paraId="19ED8FC1" w14:textId="77777777" w:rsidR="00270570" w:rsidRPr="00BA14E9" w:rsidRDefault="00270570" w:rsidP="005C6CAE">
                    <w:r w:rsidRPr="00BA14E9">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AU"/>
      </w:rPr>
      <w:id w:val="1433003497"/>
      <w:docPartObj>
        <w:docPartGallery w:val="Page Numbers (Bottom of Page)"/>
        <w:docPartUnique/>
      </w:docPartObj>
    </w:sdtPr>
    <w:sdtContent>
      <w:p w14:paraId="21840A41" w14:textId="60940C9D" w:rsidR="00FE5C9E" w:rsidRPr="00BA14E9" w:rsidRDefault="00FE5C9E">
        <w:pPr>
          <w:pStyle w:val="Footer"/>
          <w:rPr>
            <w:lang w:val="en-AU"/>
          </w:rPr>
        </w:pPr>
        <w:r w:rsidRPr="00BA14E9">
          <w:rPr>
            <w:lang w:val="en-AU"/>
          </w:rPr>
          <w:fldChar w:fldCharType="begin"/>
        </w:r>
        <w:r w:rsidRPr="00BA14E9">
          <w:rPr>
            <w:lang w:val="en-AU"/>
          </w:rPr>
          <w:instrText xml:space="preserve"> PAGE   \* MERGEFORMAT </w:instrText>
        </w:r>
        <w:r w:rsidRPr="00BA14E9">
          <w:rPr>
            <w:lang w:val="en-AU"/>
          </w:rPr>
          <w:fldChar w:fldCharType="separate"/>
        </w:r>
        <w:r w:rsidRPr="00BA14E9">
          <w:rPr>
            <w:lang w:val="en-AU"/>
          </w:rPr>
          <w:t>2</w:t>
        </w:r>
        <w:r w:rsidRPr="00BA14E9">
          <w:rPr>
            <w:lang w:val="en-AU"/>
          </w:rPr>
          <w:fldChar w:fldCharType="end"/>
        </w:r>
      </w:p>
    </w:sdtContent>
  </w:sdt>
  <w:p w14:paraId="17968469" w14:textId="77777777" w:rsidR="00740C87" w:rsidRPr="00BA14E9" w:rsidRDefault="00740C87" w:rsidP="000C27BC">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5AEC" w14:textId="77777777" w:rsidR="009A38D2" w:rsidRPr="00BA14E9" w:rsidRDefault="009A38D2" w:rsidP="005C6CAE">
      <w:r w:rsidRPr="00BA14E9">
        <w:separator/>
      </w:r>
    </w:p>
  </w:footnote>
  <w:footnote w:type="continuationSeparator" w:id="0">
    <w:p w14:paraId="2C0DBB1E" w14:textId="77777777" w:rsidR="009A38D2" w:rsidRPr="00BA14E9" w:rsidRDefault="009A38D2" w:rsidP="005C6CAE">
      <w:r w:rsidRPr="00BA14E9">
        <w:continuationSeparator/>
      </w:r>
    </w:p>
  </w:footnote>
  <w:footnote w:type="continuationNotice" w:id="1">
    <w:p w14:paraId="4096C3C4" w14:textId="77777777" w:rsidR="009A38D2" w:rsidRPr="00BA14E9" w:rsidRDefault="009A38D2" w:rsidP="005C6CAE"/>
  </w:footnote>
  <w:footnote w:id="2">
    <w:p w14:paraId="068446D8" w14:textId="77777777" w:rsidR="001D397F" w:rsidRPr="00BA14E9" w:rsidRDefault="001D397F" w:rsidP="001D397F">
      <w:r>
        <w:rPr>
          <w:rStyle w:val="FootnoteReference"/>
        </w:rPr>
        <w:footnoteRef/>
      </w:r>
      <w:r>
        <w:t xml:space="preserve"> </w:t>
      </w:r>
      <w:r w:rsidRPr="008523BD">
        <w:rPr>
          <w:sz w:val="20"/>
          <w:szCs w:val="20"/>
        </w:rPr>
        <w:t xml:space="preserve">The scope of this Guidebook includes pipelines systems as a conduit made from pipes connected end-to-end for long-distance fluid or gas transport and equipment used for pipeline operation, such as pumping, branching, transfer, </w:t>
      </w:r>
      <w:proofErr w:type="gramStart"/>
      <w:r w:rsidRPr="008523BD">
        <w:rPr>
          <w:sz w:val="20"/>
          <w:szCs w:val="20"/>
        </w:rPr>
        <w:t>shut-off</w:t>
      </w:r>
      <w:proofErr w:type="gramEnd"/>
      <w:r w:rsidRPr="008523BD">
        <w:rPr>
          <w:sz w:val="20"/>
          <w:szCs w:val="20"/>
        </w:rPr>
        <w:t xml:space="preserve"> and relief stations, as well as compressors, control and measuring systems. Pipeline protection (physical / mechanical or cathodic), flow meters, monitoring equipment, detection devices, pumps, and compressors are within the scope of the legislative definition of a pipeline. Additional elements that are within scope include valve stations, scraper stations, corrosion protection apparatus, communications equipment, and other machinery or equipment necessary for the pipeline’s operation.</w:t>
      </w:r>
      <w:r w:rsidRPr="00BA14E9">
        <w:t xml:space="preserve"> </w:t>
      </w:r>
    </w:p>
    <w:p w14:paraId="5851EB36" w14:textId="1B9E7D2D" w:rsidR="001D397F" w:rsidRDefault="001D397F">
      <w:pPr>
        <w:pStyle w:val="FootnoteText"/>
      </w:pPr>
    </w:p>
  </w:footnote>
  <w:footnote w:id="3">
    <w:p w14:paraId="1E3B845C" w14:textId="4608A7B5" w:rsidR="00EA0AA6" w:rsidRPr="00BA14E9" w:rsidRDefault="00EA0AA6" w:rsidP="00EA0AA6">
      <w:pPr>
        <w:pStyle w:val="FootnoteText"/>
        <w:rPr>
          <w:lang w:val="en-AU"/>
        </w:rPr>
      </w:pPr>
      <w:r w:rsidRPr="00BA14E9">
        <w:rPr>
          <w:rStyle w:val="FootnoteReference"/>
          <w:lang w:val="en-AU"/>
        </w:rPr>
        <w:footnoteRef/>
      </w:r>
      <w:r w:rsidRPr="00BA14E9">
        <w:rPr>
          <w:lang w:val="en-AU"/>
        </w:rPr>
        <w:t xml:space="preserve"> For example, see: Victoria, Guidelines for the preparation of Pipeline Consultation Plan, </w:t>
      </w:r>
      <w:r w:rsidRPr="00BA14E9">
        <w:rPr>
          <w:i/>
          <w:iCs/>
          <w:lang w:val="en-AU"/>
        </w:rPr>
        <w:t>Pipelines Act 2005</w:t>
      </w:r>
      <w:r w:rsidRPr="00BA14E9">
        <w:rPr>
          <w:lang w:val="en-AU"/>
        </w:rPr>
        <w:t xml:space="preserve"> and Safety Management Plan Preparation and Submission for Pipelines Gas and Pipeline Infrastructure Safety Guidelines. Queensland: Hydrogen Safety Code of Practice, Western Australia: Storage, handling and production of hydrogen: Guide</w:t>
      </w:r>
      <w:r w:rsidR="00587E6B" w:rsidRPr="00BA14E9">
        <w:rPr>
          <w:lang w:val="en-AU"/>
        </w:rPr>
        <w:t>. NSW: Department of Climate Change, Energy, the Environment and Water, Guidance Note for Licensing Hydrogen Pipelines.</w:t>
      </w:r>
    </w:p>
  </w:footnote>
  <w:footnote w:id="4">
    <w:p w14:paraId="3BDB3E1C" w14:textId="77777777" w:rsidR="00270570" w:rsidRPr="00BA14E9" w:rsidRDefault="00270570" w:rsidP="00270570">
      <w:pPr>
        <w:pStyle w:val="FootnoteText"/>
        <w:rPr>
          <w:lang w:val="en-AU"/>
        </w:rPr>
      </w:pPr>
      <w:r w:rsidRPr="00BA14E9">
        <w:rPr>
          <w:rStyle w:val="FootnoteReference"/>
          <w:lang w:val="en-AU"/>
        </w:rPr>
        <w:footnoteRef/>
      </w:r>
      <w:r w:rsidRPr="00BA14E9">
        <w:rPr>
          <w:lang w:val="en-AU"/>
        </w:rPr>
        <w:t xml:space="preserve"> ATEX (</w:t>
      </w:r>
      <w:proofErr w:type="spellStart"/>
      <w:r w:rsidRPr="00BA14E9">
        <w:rPr>
          <w:lang w:val="en-AU"/>
        </w:rPr>
        <w:t>ATmosphères</w:t>
      </w:r>
      <w:proofErr w:type="spellEnd"/>
      <w:r w:rsidRPr="00BA14E9">
        <w:rPr>
          <w:lang w:val="en-AU"/>
        </w:rPr>
        <w:t xml:space="preserve"> </w:t>
      </w:r>
      <w:proofErr w:type="spellStart"/>
      <w:r w:rsidRPr="00BA14E9">
        <w:rPr>
          <w:lang w:val="en-AU"/>
        </w:rPr>
        <w:t>EXplosibles</w:t>
      </w:r>
      <w:proofErr w:type="spellEnd"/>
      <w:r w:rsidRPr="00BA14E9">
        <w:rPr>
          <w:lang w:val="en-AU"/>
        </w:rPr>
        <w:t>) is the name commonly given to the two European Directives for controlling explosive atmospheres.</w:t>
      </w:r>
    </w:p>
  </w:footnote>
  <w:footnote w:id="5">
    <w:p w14:paraId="64EA9A1A" w14:textId="77777777" w:rsidR="00270570" w:rsidRPr="00BA14E9" w:rsidRDefault="00270570" w:rsidP="00270570">
      <w:pPr>
        <w:pStyle w:val="FootnoteText"/>
        <w:rPr>
          <w:lang w:val="en-AU"/>
        </w:rPr>
      </w:pPr>
      <w:r w:rsidRPr="00BA14E9">
        <w:rPr>
          <w:rStyle w:val="FootnoteReference"/>
          <w:lang w:val="en-AU"/>
        </w:rPr>
        <w:footnoteRef/>
      </w:r>
      <w:r w:rsidRPr="00BA14E9">
        <w:rPr>
          <w:lang w:val="en-AU"/>
        </w:rPr>
        <w:t xml:space="preserve"> Section 7.7 of AS/NZS 3000, requires that hazardous areas be classified in accordance with AS/NZS 60079.10.1 or AS/NZS 60079.10. This means that when dealing with electrical installations in hazardous areas, regard must be had to AS/NZS 60079.10.1 to determine the appropriate classification and subsequent requirements.</w:t>
      </w:r>
    </w:p>
  </w:footnote>
  <w:footnote w:id="6">
    <w:p w14:paraId="4778F1D4" w14:textId="77777777" w:rsidR="00E05E28" w:rsidRPr="00BA14E9" w:rsidRDefault="00E05E28" w:rsidP="00E05E28">
      <w:pPr>
        <w:pStyle w:val="FootnoteText"/>
        <w:rPr>
          <w:lang w:val="en-AU"/>
        </w:rPr>
      </w:pPr>
      <w:r w:rsidRPr="00BA14E9">
        <w:rPr>
          <w:rStyle w:val="FootnoteReference"/>
          <w:lang w:val="en-AU"/>
        </w:rPr>
        <w:footnoteRef/>
      </w:r>
      <w:r w:rsidRPr="00BA14E9">
        <w:rPr>
          <w:lang w:val="en-AU"/>
        </w:rPr>
        <w:t xml:space="preserve"> Made by the Victorian Essential Services Commission as a code of practice under s 76(1)(f) of the </w:t>
      </w:r>
      <w:r w:rsidRPr="00BA14E9">
        <w:rPr>
          <w:i/>
          <w:iCs/>
          <w:lang w:val="en-AU"/>
        </w:rPr>
        <w:t xml:space="preserve">Essential Services Commission Act 2001 </w:t>
      </w:r>
      <w:r w:rsidRPr="00BA14E9">
        <w:rPr>
          <w:lang w:val="en-AU"/>
        </w:rPr>
        <w:t>(Vic).</w:t>
      </w:r>
    </w:p>
  </w:footnote>
  <w:footnote w:id="7">
    <w:p w14:paraId="293B82F9" w14:textId="22CFE4D7" w:rsidR="00F6038B" w:rsidRDefault="00F6038B">
      <w:pPr>
        <w:pStyle w:val="FootnoteText"/>
      </w:pPr>
      <w:r>
        <w:rPr>
          <w:rStyle w:val="FootnoteReference"/>
        </w:rPr>
        <w:footnoteRef/>
      </w:r>
      <w:r>
        <w:t xml:space="preserve"> </w:t>
      </w:r>
      <w:hyperlink r:id="rId1" w:history="1">
        <w:r w:rsidRPr="00CF52EB">
          <w:rPr>
            <w:rStyle w:val="Hyperlink"/>
          </w:rPr>
          <w:t>https://www.erawa.com.au/licensing/gas-licensing</w:t>
        </w:r>
      </w:hyperlink>
    </w:p>
  </w:footnote>
  <w:footnote w:id="8">
    <w:p w14:paraId="242955F0" w14:textId="715B2041" w:rsidR="005A371B" w:rsidRPr="00BA14E9" w:rsidRDefault="005A371B" w:rsidP="005A371B">
      <w:pPr>
        <w:rPr>
          <w:rFonts w:cs="Calibri"/>
        </w:rPr>
      </w:pPr>
      <w:r w:rsidRPr="00BA14E9">
        <w:rPr>
          <w:rStyle w:val="FootnoteReference"/>
        </w:rPr>
        <w:footnoteRef/>
      </w:r>
      <w:r w:rsidRPr="00BA14E9">
        <w:t xml:space="preserve"> </w:t>
      </w:r>
      <w:r w:rsidRPr="00E23B16">
        <w:rPr>
          <w:rFonts w:cs="Calibri"/>
          <w:sz w:val="20"/>
          <w:szCs w:val="20"/>
        </w:rPr>
        <w:t xml:space="preserve">The hazardous chemicals at MHF threshold quantities and calculations are described in </w:t>
      </w:r>
      <w:r w:rsidR="00046E77" w:rsidRPr="00E23B16">
        <w:rPr>
          <w:rFonts w:cs="Calibri"/>
          <w:sz w:val="20"/>
          <w:szCs w:val="20"/>
        </w:rPr>
        <w:t>regulation</w:t>
      </w:r>
      <w:r w:rsidRPr="00E23B16">
        <w:rPr>
          <w:rFonts w:cs="Calibri"/>
          <w:sz w:val="20"/>
          <w:szCs w:val="20"/>
        </w:rPr>
        <w:t xml:space="preserve">s 3 and 4 of Schedule 15 of the model WHS Regulations. </w:t>
      </w:r>
      <w:r w:rsidR="00DB109D" w:rsidRPr="00E23B16">
        <w:rPr>
          <w:rFonts w:cs="Calibri"/>
          <w:sz w:val="20"/>
          <w:szCs w:val="20"/>
        </w:rPr>
        <w:t>Regulation</w:t>
      </w:r>
      <w:r w:rsidRPr="00E23B16">
        <w:rPr>
          <w:rFonts w:cs="Calibri"/>
          <w:sz w:val="20"/>
          <w:szCs w:val="20"/>
        </w:rPr>
        <w:t xml:space="preserve"> 3 addresses the threshold quantity if there is a single hazardous chemical. </w:t>
      </w:r>
      <w:r w:rsidR="00DB109D" w:rsidRPr="00E23B16">
        <w:rPr>
          <w:rFonts w:cs="Calibri"/>
          <w:sz w:val="20"/>
          <w:szCs w:val="20"/>
        </w:rPr>
        <w:t>Regulation</w:t>
      </w:r>
      <w:r w:rsidRPr="00E23B16">
        <w:rPr>
          <w:rFonts w:cs="Calibri"/>
          <w:sz w:val="20"/>
          <w:szCs w:val="20"/>
        </w:rPr>
        <w:t xml:space="preserve"> 4 sets out the approach for determining the threshold quantity if there is more than one hazardous chemical present or likely to be present at the facility</w:t>
      </w:r>
      <w:r w:rsidR="00431164" w:rsidRPr="00E23B16">
        <w:rPr>
          <w:rFonts w:cs="Calibri"/>
          <w:sz w:val="20"/>
          <w:szCs w:val="20"/>
        </w:rPr>
        <w:t>:</w:t>
      </w:r>
      <w:r w:rsidR="0017368C" w:rsidRPr="00E23B16">
        <w:rPr>
          <w:rFonts w:cs="Calibri"/>
          <w:sz w:val="20"/>
          <w:szCs w:val="20"/>
        </w:rPr>
        <w:t xml:space="preserve"> t</w:t>
      </w:r>
      <w:r w:rsidRPr="00E23B16">
        <w:rPr>
          <w:rFonts w:cs="Calibri"/>
          <w:sz w:val="20"/>
          <w:szCs w:val="20"/>
        </w:rPr>
        <w:t xml:space="preserve">he aggregation formula. If the result of </w:t>
      </w:r>
      <w:r w:rsidR="00082772" w:rsidRPr="00E23B16">
        <w:rPr>
          <w:rFonts w:cs="Calibri"/>
          <w:sz w:val="20"/>
          <w:szCs w:val="20"/>
        </w:rPr>
        <w:t xml:space="preserve">the </w:t>
      </w:r>
      <w:r w:rsidRPr="00E23B16">
        <w:rPr>
          <w:rFonts w:cs="Calibri"/>
          <w:sz w:val="20"/>
          <w:szCs w:val="20"/>
        </w:rPr>
        <w:t xml:space="preserve">aggregate formula is &gt;0.1 the </w:t>
      </w:r>
      <w:r w:rsidR="00082772" w:rsidRPr="00E23B16">
        <w:rPr>
          <w:rFonts w:cs="Calibri"/>
          <w:sz w:val="20"/>
          <w:szCs w:val="20"/>
        </w:rPr>
        <w:t>propo</w:t>
      </w:r>
      <w:r w:rsidR="00A5610F" w:rsidRPr="00E23B16">
        <w:rPr>
          <w:rFonts w:cs="Calibri"/>
          <w:sz w:val="20"/>
          <w:szCs w:val="20"/>
        </w:rPr>
        <w:t>nent</w:t>
      </w:r>
      <w:r w:rsidRPr="00E23B16">
        <w:rPr>
          <w:rFonts w:cs="Calibri"/>
          <w:sz w:val="20"/>
          <w:szCs w:val="20"/>
        </w:rPr>
        <w:t xml:space="preserve"> must notify the relevant regulator. If the result is &gt;1.0, the facility will </w:t>
      </w:r>
      <w:r w:rsidR="00A5610F" w:rsidRPr="00E23B16">
        <w:rPr>
          <w:rFonts w:cs="Calibri"/>
          <w:sz w:val="20"/>
          <w:szCs w:val="20"/>
        </w:rPr>
        <w:t xml:space="preserve">automatically </w:t>
      </w:r>
      <w:r w:rsidRPr="00E23B16">
        <w:rPr>
          <w:rFonts w:cs="Calibri"/>
          <w:sz w:val="20"/>
          <w:szCs w:val="20"/>
        </w:rPr>
        <w:t>be</w:t>
      </w:r>
      <w:r w:rsidR="001745C4" w:rsidRPr="00E23B16">
        <w:rPr>
          <w:rFonts w:cs="Calibri"/>
          <w:sz w:val="20"/>
          <w:szCs w:val="20"/>
        </w:rPr>
        <w:t xml:space="preserve"> </w:t>
      </w:r>
      <w:r w:rsidRPr="00E23B16">
        <w:rPr>
          <w:rFonts w:cs="Calibri"/>
          <w:sz w:val="20"/>
          <w:szCs w:val="20"/>
        </w:rPr>
        <w:t>a MHF</w:t>
      </w:r>
      <w:r w:rsidR="00506553" w:rsidRPr="00E23B16">
        <w:rPr>
          <w:rFonts w:cs="Calibri"/>
          <w:sz w:val="20"/>
          <w:szCs w:val="20"/>
        </w:rPr>
        <w:t xml:space="preserve"> (if not disapplied or subject to an exemption)</w:t>
      </w:r>
      <w:r w:rsidRPr="00E23B16">
        <w:rPr>
          <w:rFonts w:cs="Calibri"/>
          <w:sz w:val="20"/>
          <w:szCs w:val="20"/>
        </w:rPr>
        <w:t>.</w:t>
      </w:r>
    </w:p>
    <w:p w14:paraId="60D29C72" w14:textId="77777777" w:rsidR="005A371B" w:rsidRPr="00BA14E9" w:rsidRDefault="005A371B" w:rsidP="005A371B">
      <w:pPr>
        <w:pStyle w:val="FootnoteText"/>
        <w:rPr>
          <w:lang w:val="en-AU"/>
        </w:rPr>
      </w:pPr>
    </w:p>
  </w:footnote>
  <w:footnote w:id="9">
    <w:p w14:paraId="4E1548D9" w14:textId="77777777" w:rsidR="00A8247A" w:rsidRPr="00BA14E9" w:rsidRDefault="00A8247A" w:rsidP="00A8247A">
      <w:pPr>
        <w:pStyle w:val="FootnoteText"/>
        <w:rPr>
          <w:lang w:val="en-AU"/>
        </w:rPr>
      </w:pPr>
      <w:r w:rsidRPr="00BA14E9">
        <w:rPr>
          <w:rStyle w:val="FootnoteReference"/>
          <w:lang w:val="en-AU"/>
        </w:rPr>
        <w:footnoteRef/>
      </w:r>
      <w:r w:rsidRPr="00BA14E9">
        <w:rPr>
          <w:lang w:val="en-AU"/>
        </w:rPr>
        <w:t xml:space="preserve"> Section 35 of the OHS Act (Vic)</w:t>
      </w:r>
    </w:p>
  </w:footnote>
  <w:footnote w:id="10">
    <w:p w14:paraId="21988E77" w14:textId="77777777" w:rsidR="00A8247A" w:rsidRPr="00BA14E9" w:rsidRDefault="00A8247A" w:rsidP="00A8247A">
      <w:pPr>
        <w:pStyle w:val="FootnoteText"/>
        <w:rPr>
          <w:lang w:val="en-AU"/>
        </w:rPr>
      </w:pPr>
      <w:r w:rsidRPr="00BA14E9">
        <w:rPr>
          <w:rStyle w:val="FootnoteReference"/>
          <w:lang w:val="en-AU"/>
        </w:rPr>
        <w:footnoteRef/>
      </w:r>
      <w:r w:rsidRPr="00BA14E9">
        <w:rPr>
          <w:lang w:val="en-AU"/>
        </w:rPr>
        <w:t xml:space="preserve"> Sub-division 2, Division 2, Chapter 4 OHS Regulations (Vic)</w:t>
      </w:r>
    </w:p>
  </w:footnote>
  <w:footnote w:id="11">
    <w:p w14:paraId="47E2D106" w14:textId="77777777" w:rsidR="00981DC6" w:rsidRPr="00BA14E9" w:rsidRDefault="00981DC6" w:rsidP="00981DC6">
      <w:pPr>
        <w:pStyle w:val="FootnoteText"/>
        <w:rPr>
          <w:lang w:val="en-AU"/>
        </w:rPr>
      </w:pPr>
      <w:r w:rsidRPr="00BA14E9">
        <w:rPr>
          <w:rStyle w:val="FootnoteReference"/>
          <w:lang w:val="en-AU"/>
        </w:rPr>
        <w:footnoteRef/>
      </w:r>
      <w:r w:rsidRPr="00BA14E9">
        <w:rPr>
          <w:lang w:val="en-AU"/>
        </w:rPr>
        <w:t xml:space="preserve"> See Part 3.5 of the OHS (Vic) Regulations</w:t>
      </w:r>
    </w:p>
  </w:footnote>
  <w:footnote w:id="12">
    <w:p w14:paraId="0A5E61D6" w14:textId="77777777" w:rsidR="005A371B" w:rsidRPr="00BA14E9" w:rsidRDefault="005A371B" w:rsidP="005A371B">
      <w:pPr>
        <w:pStyle w:val="FootnoteText"/>
        <w:rPr>
          <w:lang w:val="en-AU"/>
        </w:rPr>
      </w:pPr>
      <w:r w:rsidRPr="00BA14E9">
        <w:rPr>
          <w:rStyle w:val="FootnoteReference"/>
          <w:lang w:val="en-AU"/>
        </w:rPr>
        <w:footnoteRef/>
      </w:r>
      <w:r w:rsidRPr="00BA14E9">
        <w:rPr>
          <w:lang w:val="en-AU"/>
        </w:rPr>
        <w:t xml:space="preserve"> See for example section 15 of the </w:t>
      </w:r>
      <w:r w:rsidRPr="00BA14E9">
        <w:rPr>
          <w:i/>
          <w:lang w:val="en-AU"/>
        </w:rPr>
        <w:t>Electrical Safety Act 2002</w:t>
      </w:r>
      <w:r w:rsidRPr="00BA14E9">
        <w:rPr>
          <w:lang w:val="en-AU"/>
        </w:rPr>
        <w:t xml:space="preserve"> (Qld)</w:t>
      </w:r>
    </w:p>
  </w:footnote>
  <w:footnote w:id="13">
    <w:p w14:paraId="61DC0D15" w14:textId="77777777" w:rsidR="005A371B" w:rsidRPr="00BA14E9" w:rsidRDefault="005A371B" w:rsidP="005A371B">
      <w:pPr>
        <w:pStyle w:val="FootnoteText"/>
        <w:rPr>
          <w:lang w:val="en-AU"/>
        </w:rPr>
      </w:pPr>
      <w:r w:rsidRPr="00BA14E9">
        <w:rPr>
          <w:rStyle w:val="FootnoteReference"/>
          <w:lang w:val="en-AU"/>
        </w:rPr>
        <w:footnoteRef/>
      </w:r>
      <w:r w:rsidRPr="00BA14E9">
        <w:rPr>
          <w:lang w:val="en-AU"/>
        </w:rPr>
        <w:t xml:space="preserve"> See for example section 14A of the </w:t>
      </w:r>
      <w:r w:rsidRPr="00BA14E9">
        <w:rPr>
          <w:i/>
          <w:lang w:val="en-AU"/>
        </w:rPr>
        <w:t>Electrical Safety Act 2002</w:t>
      </w:r>
      <w:r w:rsidRPr="00BA14E9">
        <w:rPr>
          <w:lang w:val="en-AU"/>
        </w:rPr>
        <w:t xml:space="preserve"> (Qld)</w:t>
      </w:r>
    </w:p>
  </w:footnote>
  <w:footnote w:id="14">
    <w:p w14:paraId="6ED3FC45" w14:textId="157BF461" w:rsidR="008D62A2" w:rsidRDefault="008D62A2">
      <w:pPr>
        <w:pStyle w:val="FootnoteText"/>
      </w:pPr>
      <w:r>
        <w:rPr>
          <w:rStyle w:val="FootnoteReference"/>
        </w:rPr>
        <w:footnoteRef/>
      </w:r>
      <w:r w:rsidR="00D54880">
        <w:t xml:space="preserve"> For example, refer to</w:t>
      </w:r>
      <w:r w:rsidR="003B7BD9">
        <w:t xml:space="preserve"> </w:t>
      </w:r>
      <w:hyperlink r:id="rId2" w:history="1">
        <w:r w:rsidR="003B7BD9" w:rsidRPr="00261A3E">
          <w:rPr>
            <w:rStyle w:val="Hyperlink"/>
          </w:rPr>
          <w:t xml:space="preserve">NSW </w:t>
        </w:r>
        <w:r w:rsidR="003B7BD9" w:rsidRPr="00261A3E">
          <w:rPr>
            <w:rStyle w:val="Hyperlink"/>
            <w:lang w:val="en-AU"/>
          </w:rPr>
          <w:t xml:space="preserve">Office of Energy and Climate Change NSW hydrogen regulatory </w:t>
        </w:r>
        <w:r w:rsidR="00413A46" w:rsidRPr="00261A3E">
          <w:rPr>
            <w:rStyle w:val="Hyperlink"/>
            <w:lang w:val="en-AU"/>
          </w:rPr>
          <w:t>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2DA" w14:textId="77777777" w:rsidR="00270570" w:rsidRPr="00BA14E9" w:rsidRDefault="00270570" w:rsidP="00FD4F10">
    <w:pPr>
      <w:pStyle w:val="Header"/>
      <w:rPr>
        <w:lang w:val="en-AU"/>
      </w:rPr>
    </w:pPr>
    <w:r w:rsidRPr="00BA14E9">
      <w:rPr>
        <w:noProof/>
        <w:lang w:val="en-AU"/>
      </w:rPr>
      <mc:AlternateContent>
        <mc:Choice Requires="wps">
          <w:drawing>
            <wp:anchor distT="0" distB="0" distL="0" distR="0" simplePos="0" relativeHeight="251655680" behindDoc="0" locked="0" layoutInCell="1" allowOverlap="1" wp14:anchorId="4FC6926B" wp14:editId="0FEBE4D9">
              <wp:simplePos x="635" y="635"/>
              <wp:positionH relativeFrom="page">
                <wp:align>center</wp:align>
              </wp:positionH>
              <wp:positionV relativeFrom="page">
                <wp:align>top</wp:align>
              </wp:positionV>
              <wp:extent cx="1134745" cy="391160"/>
              <wp:effectExtent l="0" t="0" r="8255" b="8890"/>
              <wp:wrapNone/>
              <wp:docPr id="2107258716" name="Text Box 2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44BF146C" w14:textId="77777777" w:rsidR="00270570" w:rsidRPr="00BA14E9" w:rsidRDefault="00270570" w:rsidP="005C6CAE">
                          <w:r w:rsidRPr="00BA14E9">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C6926B" id="_x0000_t202" coordsize="21600,21600" o:spt="202" path="m,l,21600r21600,l21600,xe">
              <v:stroke joinstyle="miter"/>
              <v:path gradientshapeok="t" o:connecttype="rect"/>
            </v:shapetype>
            <v:shape id="Text Box 20" o:spid="_x0000_s1027" type="#_x0000_t202" alt="OFFICIAL Sensitive" style="position:absolute;left:0;text-align:left;margin-left:0;margin-top:0;width:89.3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" filled="f" stroked="f">
              <v:textbox style="mso-fit-shape-to-text:t" inset="0,15pt,0,0">
                <w:txbxContent>
                  <w:p w14:paraId="44BF146C" w14:textId="77777777" w:rsidR="00270570" w:rsidRPr="00BA14E9" w:rsidRDefault="00270570" w:rsidP="005C6CAE">
                    <w:r w:rsidRPr="00BA14E9">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0534" w14:textId="77777777" w:rsidR="00270570" w:rsidRPr="00BA14E9" w:rsidRDefault="00000000" w:rsidP="4EBCE30E">
    <w:pPr>
      <w:spacing w:after="0" w:line="276" w:lineRule="auto"/>
      <w:ind w:left="2880"/>
    </w:pPr>
    <w:sdt>
      <w:sdtPr>
        <w:rPr>
          <w:rFonts w:eastAsia="Calibri" w:cs="Calibri"/>
          <w:color w:val="FF0000"/>
          <w:sz w:val="20"/>
          <w:szCs w:val="20"/>
        </w:rPr>
        <w:id w:val="694360561"/>
        <w:docPartObj>
          <w:docPartGallery w:val="Watermarks"/>
          <w:docPartUnique/>
        </w:docPartObj>
      </w:sdtPr>
      <w:sdtContent>
        <w:r>
          <w:rPr>
            <w:rFonts w:eastAsia="Calibri" w:cs="Calibri"/>
            <w:color w:val="FF0000"/>
            <w:sz w:val="20"/>
            <w:szCs w:val="20"/>
          </w:rPr>
          <w:pict w14:anchorId="1726C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70570" w:rsidRPr="00BA14E9">
      <w:rPr>
        <w:rFonts w:eastAsia="Calibri" w:cs="Calibri"/>
        <w:color w:val="FF0000"/>
        <w:sz w:val="20"/>
        <w:szCs w:val="20"/>
      </w:rPr>
      <w:t>OFFICIAL – DRAFT FOR CONSULTATION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4367" w14:textId="77777777" w:rsidR="00270570" w:rsidRPr="00BA14E9" w:rsidRDefault="00270570" w:rsidP="00FD4F10">
    <w:pPr>
      <w:pStyle w:val="Header"/>
      <w:rPr>
        <w:lang w:val="en-AU"/>
      </w:rPr>
    </w:pPr>
    <w:r w:rsidRPr="00BA14E9">
      <w:rPr>
        <w:noProof/>
        <w:lang w:val="en-AU"/>
      </w:rPr>
      <mc:AlternateContent>
        <mc:Choice Requires="wps">
          <w:drawing>
            <wp:anchor distT="0" distB="0" distL="0" distR="0" simplePos="0" relativeHeight="251657728" behindDoc="0" locked="0" layoutInCell="1" allowOverlap="1" wp14:anchorId="3E6C25DD" wp14:editId="55F5739D">
              <wp:simplePos x="635" y="635"/>
              <wp:positionH relativeFrom="page">
                <wp:align>center</wp:align>
              </wp:positionH>
              <wp:positionV relativeFrom="page">
                <wp:align>top</wp:align>
              </wp:positionV>
              <wp:extent cx="1134745" cy="391160"/>
              <wp:effectExtent l="0" t="0" r="8255" b="8890"/>
              <wp:wrapNone/>
              <wp:docPr id="1911496091" name="Text Box 1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3A4F9400" w14:textId="77777777" w:rsidR="00270570" w:rsidRPr="00BA14E9" w:rsidRDefault="00270570" w:rsidP="005C6CAE">
                          <w:r w:rsidRPr="00BA14E9">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C25DD" id="_x0000_t202" coordsize="21600,21600" o:spt="202" path="m,l,21600r21600,l21600,xe">
              <v:stroke joinstyle="miter"/>
              <v:path gradientshapeok="t" o:connecttype="rect"/>
            </v:shapetype>
            <v:shape id="Text Box 19" o:spid="_x0000_s1029" type="#_x0000_t202" alt="OFFICIAL Sensitive" style="position:absolute;left:0;text-align:left;margin-left:0;margin-top:0;width:89.3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" filled="f" stroked="f">
              <v:textbox style="mso-fit-shape-to-text:t" inset="0,15pt,0,0">
                <w:txbxContent>
                  <w:p w14:paraId="3A4F9400" w14:textId="77777777" w:rsidR="00270570" w:rsidRPr="00BA14E9" w:rsidRDefault="00270570" w:rsidP="005C6CAE">
                    <w:r w:rsidRPr="00BA14E9">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c1T0pkJecsyns" int2:id="IDxjByt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C4AC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4656D"/>
    <w:multiLevelType w:val="multilevel"/>
    <w:tmpl w:val="EE442CC0"/>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964"/>
        </w:tabs>
        <w:ind w:left="964"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bullet"/>
      <w:lvlText w:val=""/>
      <w:lvlJc w:val="left"/>
      <w:pPr>
        <w:ind w:left="720" w:hanging="360"/>
      </w:pPr>
      <w:rPr>
        <w:rFonts w:ascii="Symbol" w:hAnsi="Symbol" w:hint="default"/>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2" w15:restartNumberingAfterBreak="0">
    <w:nsid w:val="03906B75"/>
    <w:multiLevelType w:val="hybridMultilevel"/>
    <w:tmpl w:val="5F76C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A3FD2"/>
    <w:multiLevelType w:val="multilevel"/>
    <w:tmpl w:val="4DF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DB0"/>
    <w:multiLevelType w:val="multilevel"/>
    <w:tmpl w:val="F288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176DB"/>
    <w:multiLevelType w:val="multilevel"/>
    <w:tmpl w:val="EF32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C3A85"/>
    <w:multiLevelType w:val="hybridMultilevel"/>
    <w:tmpl w:val="8F3E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5D0D3D"/>
    <w:multiLevelType w:val="hybridMultilevel"/>
    <w:tmpl w:val="07BE42D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8" w15:restartNumberingAfterBreak="0">
    <w:nsid w:val="0F86326F"/>
    <w:multiLevelType w:val="multilevel"/>
    <w:tmpl w:val="860029D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83F1D"/>
    <w:multiLevelType w:val="hybridMultilevel"/>
    <w:tmpl w:val="C85C10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0D4718"/>
    <w:multiLevelType w:val="multilevel"/>
    <w:tmpl w:val="39B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326D9"/>
    <w:multiLevelType w:val="hybridMultilevel"/>
    <w:tmpl w:val="2C4AA2D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2" w15:restartNumberingAfterBreak="0">
    <w:nsid w:val="164B6A04"/>
    <w:multiLevelType w:val="hybridMultilevel"/>
    <w:tmpl w:val="DABA9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974698"/>
    <w:multiLevelType w:val="multilevel"/>
    <w:tmpl w:val="D3EEC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6CC3979"/>
    <w:multiLevelType w:val="hybridMultilevel"/>
    <w:tmpl w:val="52FE45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76D54C2"/>
    <w:multiLevelType w:val="hybridMultilevel"/>
    <w:tmpl w:val="E1F64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7ED1956"/>
    <w:multiLevelType w:val="hybridMultilevel"/>
    <w:tmpl w:val="683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90E5E4D"/>
    <w:multiLevelType w:val="hybridMultilevel"/>
    <w:tmpl w:val="099CE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AA3E65"/>
    <w:multiLevelType w:val="hybridMultilevel"/>
    <w:tmpl w:val="C984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FA4391"/>
    <w:multiLevelType w:val="multilevel"/>
    <w:tmpl w:val="92682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7F29EC"/>
    <w:multiLevelType w:val="multilevel"/>
    <w:tmpl w:val="FF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200FBB"/>
    <w:multiLevelType w:val="hybridMultilevel"/>
    <w:tmpl w:val="50B48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DEA46F2"/>
    <w:multiLevelType w:val="multilevel"/>
    <w:tmpl w:val="EDD0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26AAF"/>
    <w:multiLevelType w:val="hybridMultilevel"/>
    <w:tmpl w:val="80DC06DE"/>
    <w:lvl w:ilvl="0" w:tplc="0C090011">
      <w:start w:val="1"/>
      <w:numFmt w:val="decimal"/>
      <w:lvlText w:val="%1)"/>
      <w:lvlJc w:val="left"/>
      <w:pPr>
        <w:ind w:left="720" w:hanging="360"/>
      </w:pPr>
    </w:lvl>
    <w:lvl w:ilvl="1" w:tplc="896A4534">
      <w:start w:val="1"/>
      <w:numFmt w:val="lowerLetter"/>
      <w:lvlText w:val="(%2)"/>
      <w:lvlJc w:val="left"/>
      <w:pPr>
        <w:ind w:left="1364"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1A4396"/>
    <w:multiLevelType w:val="multilevel"/>
    <w:tmpl w:val="1DB2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37556"/>
    <w:multiLevelType w:val="hybridMultilevel"/>
    <w:tmpl w:val="330CA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69F5CE6"/>
    <w:multiLevelType w:val="multilevel"/>
    <w:tmpl w:val="6C5461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85A4FBB"/>
    <w:multiLevelType w:val="hybridMultilevel"/>
    <w:tmpl w:val="18283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2B59352A"/>
    <w:multiLevelType w:val="hybridMultilevel"/>
    <w:tmpl w:val="A1FCE150"/>
    <w:lvl w:ilvl="0" w:tplc="7F6A753E">
      <w:start w:val="1"/>
      <w:numFmt w:val="decimal"/>
      <w:lvlText w:val="%1."/>
      <w:lvlJc w:val="left"/>
      <w:pPr>
        <w:tabs>
          <w:tab w:val="num" w:pos="720"/>
        </w:tabs>
        <w:ind w:left="720" w:hanging="360"/>
      </w:pPr>
    </w:lvl>
    <w:lvl w:ilvl="1" w:tplc="4BC43650" w:tentative="1">
      <w:start w:val="1"/>
      <w:numFmt w:val="decimal"/>
      <w:lvlText w:val="%2."/>
      <w:lvlJc w:val="left"/>
      <w:pPr>
        <w:tabs>
          <w:tab w:val="num" w:pos="1440"/>
        </w:tabs>
        <w:ind w:left="1440" w:hanging="360"/>
      </w:pPr>
    </w:lvl>
    <w:lvl w:ilvl="2" w:tplc="EB0E07E0" w:tentative="1">
      <w:start w:val="1"/>
      <w:numFmt w:val="decimal"/>
      <w:lvlText w:val="%3."/>
      <w:lvlJc w:val="left"/>
      <w:pPr>
        <w:tabs>
          <w:tab w:val="num" w:pos="2160"/>
        </w:tabs>
        <w:ind w:left="2160" w:hanging="360"/>
      </w:pPr>
    </w:lvl>
    <w:lvl w:ilvl="3" w:tplc="A0DC94E0" w:tentative="1">
      <w:start w:val="1"/>
      <w:numFmt w:val="decimal"/>
      <w:lvlText w:val="%4."/>
      <w:lvlJc w:val="left"/>
      <w:pPr>
        <w:tabs>
          <w:tab w:val="num" w:pos="2880"/>
        </w:tabs>
        <w:ind w:left="2880" w:hanging="360"/>
      </w:pPr>
    </w:lvl>
    <w:lvl w:ilvl="4" w:tplc="E078F374" w:tentative="1">
      <w:start w:val="1"/>
      <w:numFmt w:val="decimal"/>
      <w:lvlText w:val="%5."/>
      <w:lvlJc w:val="left"/>
      <w:pPr>
        <w:tabs>
          <w:tab w:val="num" w:pos="3600"/>
        </w:tabs>
        <w:ind w:left="3600" w:hanging="360"/>
      </w:pPr>
    </w:lvl>
    <w:lvl w:ilvl="5" w:tplc="309C4276" w:tentative="1">
      <w:start w:val="1"/>
      <w:numFmt w:val="decimal"/>
      <w:lvlText w:val="%6."/>
      <w:lvlJc w:val="left"/>
      <w:pPr>
        <w:tabs>
          <w:tab w:val="num" w:pos="4320"/>
        </w:tabs>
        <w:ind w:left="4320" w:hanging="360"/>
      </w:pPr>
    </w:lvl>
    <w:lvl w:ilvl="6" w:tplc="0792A972" w:tentative="1">
      <w:start w:val="1"/>
      <w:numFmt w:val="decimal"/>
      <w:lvlText w:val="%7."/>
      <w:lvlJc w:val="left"/>
      <w:pPr>
        <w:tabs>
          <w:tab w:val="num" w:pos="5040"/>
        </w:tabs>
        <w:ind w:left="5040" w:hanging="360"/>
      </w:pPr>
    </w:lvl>
    <w:lvl w:ilvl="7" w:tplc="030C4F36" w:tentative="1">
      <w:start w:val="1"/>
      <w:numFmt w:val="decimal"/>
      <w:lvlText w:val="%8."/>
      <w:lvlJc w:val="left"/>
      <w:pPr>
        <w:tabs>
          <w:tab w:val="num" w:pos="5760"/>
        </w:tabs>
        <w:ind w:left="5760" w:hanging="360"/>
      </w:pPr>
    </w:lvl>
    <w:lvl w:ilvl="8" w:tplc="1CA8BFF6" w:tentative="1">
      <w:start w:val="1"/>
      <w:numFmt w:val="decimal"/>
      <w:lvlText w:val="%9."/>
      <w:lvlJc w:val="left"/>
      <w:pPr>
        <w:tabs>
          <w:tab w:val="num" w:pos="6480"/>
        </w:tabs>
        <w:ind w:left="6480" w:hanging="360"/>
      </w:pPr>
    </w:lvl>
  </w:abstractNum>
  <w:abstractNum w:abstractNumId="29" w15:restartNumberingAfterBreak="0">
    <w:nsid w:val="2DAB3D1B"/>
    <w:multiLevelType w:val="multilevel"/>
    <w:tmpl w:val="F4F86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E936CDE"/>
    <w:multiLevelType w:val="hybridMultilevel"/>
    <w:tmpl w:val="96B4F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B0598A"/>
    <w:multiLevelType w:val="hybridMultilevel"/>
    <w:tmpl w:val="BD18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14324D"/>
    <w:multiLevelType w:val="multilevel"/>
    <w:tmpl w:val="D87C87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12519EE"/>
    <w:multiLevelType w:val="hybridMultilevel"/>
    <w:tmpl w:val="2856F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1901950"/>
    <w:multiLevelType w:val="multilevel"/>
    <w:tmpl w:val="9B22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D3175B"/>
    <w:multiLevelType w:val="hybridMultilevel"/>
    <w:tmpl w:val="7F22C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F15022"/>
    <w:multiLevelType w:val="hybridMultilevel"/>
    <w:tmpl w:val="F3C0C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63B2734"/>
    <w:multiLevelType w:val="hybridMultilevel"/>
    <w:tmpl w:val="BDE48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8CD57E6"/>
    <w:multiLevelType w:val="hybridMultilevel"/>
    <w:tmpl w:val="BC5462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3BE74BCB"/>
    <w:multiLevelType w:val="hybridMultilevel"/>
    <w:tmpl w:val="54FA50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3C153059"/>
    <w:multiLevelType w:val="multilevel"/>
    <w:tmpl w:val="0E36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37752E"/>
    <w:multiLevelType w:val="hybridMultilevel"/>
    <w:tmpl w:val="99361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0320B27"/>
    <w:multiLevelType w:val="multilevel"/>
    <w:tmpl w:val="B448BA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304D2D"/>
    <w:multiLevelType w:val="hybridMultilevel"/>
    <w:tmpl w:val="D504B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B40B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5632F5B"/>
    <w:multiLevelType w:val="hybridMultilevel"/>
    <w:tmpl w:val="C302A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79313ED"/>
    <w:multiLevelType w:val="hybridMultilevel"/>
    <w:tmpl w:val="5BB22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4D5881"/>
    <w:multiLevelType w:val="hybridMultilevel"/>
    <w:tmpl w:val="45D0B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964"/>
        </w:tabs>
        <w:ind w:left="964"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49" w15:restartNumberingAfterBreak="0">
    <w:nsid w:val="4BCE6B41"/>
    <w:multiLevelType w:val="hybridMultilevel"/>
    <w:tmpl w:val="6182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CCD0732"/>
    <w:multiLevelType w:val="multilevel"/>
    <w:tmpl w:val="67CE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12F31D3"/>
    <w:multiLevelType w:val="hybridMultilevel"/>
    <w:tmpl w:val="515EF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19C0617"/>
    <w:multiLevelType w:val="hybridMultilevel"/>
    <w:tmpl w:val="7F704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F85204"/>
    <w:multiLevelType w:val="multilevel"/>
    <w:tmpl w:val="358A3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31D3BF7"/>
    <w:multiLevelType w:val="multilevel"/>
    <w:tmpl w:val="4C642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54063095"/>
    <w:multiLevelType w:val="hybridMultilevel"/>
    <w:tmpl w:val="FFD63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5355A6"/>
    <w:multiLevelType w:val="hybridMultilevel"/>
    <w:tmpl w:val="2D86D7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81911A0"/>
    <w:multiLevelType w:val="hybridMultilevel"/>
    <w:tmpl w:val="F8349DA8"/>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8557DCC"/>
    <w:multiLevelType w:val="multilevel"/>
    <w:tmpl w:val="A6547910"/>
    <w:styleLink w:val="Headings"/>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224446"/>
    <w:multiLevelType w:val="multilevel"/>
    <w:tmpl w:val="042C5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9BD698A"/>
    <w:multiLevelType w:val="hybridMultilevel"/>
    <w:tmpl w:val="3D6CE76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1" w15:restartNumberingAfterBreak="0">
    <w:nsid w:val="5B7309BD"/>
    <w:multiLevelType w:val="multilevel"/>
    <w:tmpl w:val="8E7A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28418E"/>
    <w:multiLevelType w:val="hybridMultilevel"/>
    <w:tmpl w:val="3BD27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A42225"/>
    <w:multiLevelType w:val="multilevel"/>
    <w:tmpl w:val="57966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C37ACC"/>
    <w:multiLevelType w:val="hybridMultilevel"/>
    <w:tmpl w:val="5128B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1A76A7"/>
    <w:multiLevelType w:val="multilevel"/>
    <w:tmpl w:val="4B2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102FE1"/>
    <w:multiLevelType w:val="hybridMultilevel"/>
    <w:tmpl w:val="06845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32D73F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3BE34B6"/>
    <w:multiLevelType w:val="hybridMultilevel"/>
    <w:tmpl w:val="D07E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52760FE"/>
    <w:multiLevelType w:val="hybridMultilevel"/>
    <w:tmpl w:val="4D9609E0"/>
    <w:lvl w:ilvl="0" w:tplc="8EB65E70">
      <w:start w:val="1"/>
      <w:numFmt w:val="decimal"/>
      <w:lvlText w:val="(%1)"/>
      <w:lvlJc w:val="left"/>
      <w:pPr>
        <w:ind w:left="644" w:hanging="360"/>
      </w:pPr>
      <w:rPr>
        <w:rFonts w:hint="default"/>
      </w:rPr>
    </w:lvl>
    <w:lvl w:ilvl="1" w:tplc="896A4534">
      <w:start w:val="1"/>
      <w:numFmt w:val="lowerLetter"/>
      <w:lvlText w:val="(%2)"/>
      <w:lvlJc w:val="left"/>
      <w:pPr>
        <w:ind w:left="1364" w:hanging="360"/>
      </w:pPr>
      <w:rPr>
        <w:rFonts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0" w15:restartNumberingAfterBreak="0">
    <w:nsid w:val="67127645"/>
    <w:multiLevelType w:val="hybridMultilevel"/>
    <w:tmpl w:val="1FF8D4E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1" w15:restartNumberingAfterBreak="0">
    <w:nsid w:val="67381A43"/>
    <w:multiLevelType w:val="hybridMultilevel"/>
    <w:tmpl w:val="CBD8BD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9D4378B"/>
    <w:multiLevelType w:val="multilevel"/>
    <w:tmpl w:val="FE78ED70"/>
    <w:lvl w:ilvl="0">
      <w:start w:val="1"/>
      <w:numFmt w:val="bullet"/>
      <w:lvlText w:val=""/>
      <w:lvlJc w:val="left"/>
      <w:pPr>
        <w:ind w:left="369" w:hanging="360"/>
      </w:pPr>
      <w:rPr>
        <w:rFonts w:ascii="Symbol" w:hAnsi="Symbol" w:hint="default"/>
      </w:rPr>
    </w:lvl>
    <w:lvl w:ilvl="1">
      <w:start w:val="2"/>
      <w:numFmt w:val="decimal"/>
      <w:lvlText w:val="%1.%2"/>
      <w:lvlJc w:val="left"/>
      <w:pPr>
        <w:ind w:left="549" w:hanging="540"/>
      </w:pPr>
    </w:lvl>
    <w:lvl w:ilvl="2">
      <w:start w:val="5"/>
      <w:numFmt w:val="decimal"/>
      <w:lvlText w:val="%1.%2.%3"/>
      <w:lvlJc w:val="left"/>
      <w:pPr>
        <w:ind w:left="729" w:hanging="720"/>
      </w:pPr>
    </w:lvl>
    <w:lvl w:ilvl="3">
      <w:start w:val="1"/>
      <w:numFmt w:val="lowerRoman"/>
      <w:lvlText w:val="%1.%2.%3.%4"/>
      <w:lvlJc w:val="left"/>
      <w:pPr>
        <w:ind w:left="1089" w:hanging="1080"/>
      </w:pPr>
    </w:lvl>
    <w:lvl w:ilvl="4">
      <w:start w:val="1"/>
      <w:numFmt w:val="decimal"/>
      <w:lvlText w:val="%1.%2.%3.%4.%5"/>
      <w:lvlJc w:val="left"/>
      <w:pPr>
        <w:ind w:left="1089" w:hanging="1080"/>
      </w:pPr>
    </w:lvl>
    <w:lvl w:ilvl="5">
      <w:start w:val="1"/>
      <w:numFmt w:val="decimal"/>
      <w:lvlText w:val="%1.%2.%3.%4.%5.%6"/>
      <w:lvlJc w:val="left"/>
      <w:pPr>
        <w:ind w:left="1089" w:hanging="1080"/>
      </w:pPr>
    </w:lvl>
    <w:lvl w:ilvl="6">
      <w:start w:val="1"/>
      <w:numFmt w:val="decimal"/>
      <w:lvlText w:val="%1.%2.%3.%4.%5.%6.%7"/>
      <w:lvlJc w:val="left"/>
      <w:pPr>
        <w:ind w:left="1449" w:hanging="1440"/>
      </w:pPr>
    </w:lvl>
    <w:lvl w:ilvl="7">
      <w:start w:val="1"/>
      <w:numFmt w:val="decimal"/>
      <w:lvlText w:val="%1.%2.%3.%4.%5.%6.%7.%8"/>
      <w:lvlJc w:val="left"/>
      <w:pPr>
        <w:ind w:left="1449" w:hanging="1440"/>
      </w:pPr>
    </w:lvl>
    <w:lvl w:ilvl="8">
      <w:start w:val="1"/>
      <w:numFmt w:val="decimal"/>
      <w:lvlText w:val="%1.%2.%3.%4.%5.%6.%7.%8.%9"/>
      <w:lvlJc w:val="left"/>
      <w:pPr>
        <w:ind w:left="1449" w:hanging="1440"/>
      </w:pPr>
    </w:lvl>
  </w:abstractNum>
  <w:abstractNum w:abstractNumId="73" w15:restartNumberingAfterBreak="0">
    <w:nsid w:val="69FF1AA0"/>
    <w:multiLevelType w:val="hybridMultilevel"/>
    <w:tmpl w:val="311ED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4" w15:restartNumberingAfterBreak="0">
    <w:nsid w:val="6A602634"/>
    <w:multiLevelType w:val="multilevel"/>
    <w:tmpl w:val="85E05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AEA6824"/>
    <w:multiLevelType w:val="hybridMultilevel"/>
    <w:tmpl w:val="14E2A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C6E11A2"/>
    <w:multiLevelType w:val="hybridMultilevel"/>
    <w:tmpl w:val="500669D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7" w15:restartNumberingAfterBreak="0">
    <w:nsid w:val="6D8F5DE0"/>
    <w:multiLevelType w:val="hybridMultilevel"/>
    <w:tmpl w:val="61DA7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E2C58F9"/>
    <w:multiLevelType w:val="multilevel"/>
    <w:tmpl w:val="3660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F314C1"/>
    <w:multiLevelType w:val="multilevel"/>
    <w:tmpl w:val="E90A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5546111"/>
    <w:multiLevelType w:val="hybridMultilevel"/>
    <w:tmpl w:val="92E83786"/>
    <w:lvl w:ilvl="0" w:tplc="0C090001">
      <w:start w:val="1"/>
      <w:numFmt w:val="bullet"/>
      <w:lvlText w:val=""/>
      <w:lvlJc w:val="left"/>
      <w:pPr>
        <w:ind w:left="770" w:hanging="360"/>
      </w:pPr>
      <w:rPr>
        <w:rFonts w:ascii="Symbol" w:hAnsi="Symbol" w:hint="default"/>
      </w:rPr>
    </w:lvl>
    <w:lvl w:ilvl="1" w:tplc="0C090019">
      <w:start w:val="1"/>
      <w:numFmt w:val="lowerLetter"/>
      <w:lvlText w:val="%2."/>
      <w:lvlJc w:val="left"/>
      <w:pPr>
        <w:ind w:left="1440" w:hanging="360"/>
      </w:p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1" w15:restartNumberingAfterBreak="0">
    <w:nsid w:val="76D62F57"/>
    <w:multiLevelType w:val="multilevel"/>
    <w:tmpl w:val="C10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095FF1"/>
    <w:multiLevelType w:val="hybridMultilevel"/>
    <w:tmpl w:val="F2E4A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79A2687"/>
    <w:multiLevelType w:val="hybridMultilevel"/>
    <w:tmpl w:val="E636369E"/>
    <w:lvl w:ilvl="0" w:tplc="FFFFFFFF">
      <w:start w:val="1"/>
      <w:numFmt w:val="decimal"/>
      <w:lvlText w:val="(%1)"/>
      <w:lvlJc w:val="left"/>
      <w:pPr>
        <w:ind w:left="644"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4" w15:restartNumberingAfterBreak="0">
    <w:nsid w:val="77C059D7"/>
    <w:multiLevelType w:val="hybridMultilevel"/>
    <w:tmpl w:val="6D84C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5" w15:restartNumberingAfterBreak="0">
    <w:nsid w:val="78603F14"/>
    <w:multiLevelType w:val="hybridMultilevel"/>
    <w:tmpl w:val="436A8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97143C7"/>
    <w:multiLevelType w:val="multilevel"/>
    <w:tmpl w:val="3334DE94"/>
    <w:lvl w:ilvl="0">
      <w:start w:val="1"/>
      <w:numFmt w:val="decimal"/>
      <w:pStyle w:val="Heading1"/>
      <w:lvlText w:val="%1"/>
      <w:lvlJc w:val="left"/>
      <w:pPr>
        <w:ind w:left="432" w:hanging="432"/>
      </w:pPr>
    </w:lvl>
    <w:lvl w:ilvl="1">
      <w:start w:val="1"/>
      <w:numFmt w:val="decimal"/>
      <w:pStyle w:val="Heading2"/>
      <w:lvlText w:val="%1.%2"/>
      <w:lvlJc w:val="left"/>
      <w:pPr>
        <w:ind w:left="4263" w:hanging="576"/>
      </w:pPr>
      <w:rPr>
        <w:rFonts w:ascii="Calibri" w:hAnsi="Calibri" w:cs="Calibri" w:hint="default"/>
        <w:i w:val="0"/>
        <w:iCs w:val="0"/>
        <w:sz w:val="28"/>
        <w:szCs w:val="36"/>
      </w:rPr>
    </w:lvl>
    <w:lvl w:ilvl="2">
      <w:start w:val="1"/>
      <w:numFmt w:val="decimal"/>
      <w:pStyle w:val="Heading3"/>
      <w:lvlText w:val="%1.%2.%3"/>
      <w:lvlJc w:val="left"/>
      <w:pPr>
        <w:ind w:left="720" w:hanging="720"/>
      </w:pPr>
      <w:rPr>
        <w:rFonts w:ascii="Calibri" w:hAnsi="Calibri"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7" w15:restartNumberingAfterBreak="0">
    <w:nsid w:val="798248A9"/>
    <w:multiLevelType w:val="hybridMultilevel"/>
    <w:tmpl w:val="C6EC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8" w15:restartNumberingAfterBreak="0">
    <w:nsid w:val="7BAE283D"/>
    <w:multiLevelType w:val="multilevel"/>
    <w:tmpl w:val="C3CE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C7C77BA"/>
    <w:multiLevelType w:val="hybridMultilevel"/>
    <w:tmpl w:val="2368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C9704DF"/>
    <w:multiLevelType w:val="hybridMultilevel"/>
    <w:tmpl w:val="233C2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1" w15:restartNumberingAfterBreak="0">
    <w:nsid w:val="7CA87C67"/>
    <w:multiLevelType w:val="multilevel"/>
    <w:tmpl w:val="8BC8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903C34"/>
    <w:multiLevelType w:val="multilevel"/>
    <w:tmpl w:val="93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453617">
    <w:abstractNumId w:val="87"/>
  </w:num>
  <w:num w:numId="2" w16cid:durableId="182937864">
    <w:abstractNumId w:val="73"/>
  </w:num>
  <w:num w:numId="3" w16cid:durableId="234710736">
    <w:abstractNumId w:val="27"/>
  </w:num>
  <w:num w:numId="4" w16cid:durableId="1565332156">
    <w:abstractNumId w:val="37"/>
  </w:num>
  <w:num w:numId="5" w16cid:durableId="1678581831">
    <w:abstractNumId w:val="16"/>
  </w:num>
  <w:num w:numId="6" w16cid:durableId="1894153716">
    <w:abstractNumId w:val="63"/>
  </w:num>
  <w:num w:numId="7" w16cid:durableId="2109421921">
    <w:abstractNumId w:val="90"/>
  </w:num>
  <w:num w:numId="8" w16cid:durableId="1293704738">
    <w:abstractNumId w:val="4"/>
  </w:num>
  <w:num w:numId="9" w16cid:durableId="562108972">
    <w:abstractNumId w:val="58"/>
  </w:num>
  <w:num w:numId="10" w16cid:durableId="81924699">
    <w:abstractNumId w:val="26"/>
  </w:num>
  <w:num w:numId="11" w16cid:durableId="1615550601">
    <w:abstractNumId w:val="8"/>
  </w:num>
  <w:num w:numId="12" w16cid:durableId="1570118431">
    <w:abstractNumId w:val="84"/>
  </w:num>
  <w:num w:numId="13" w16cid:durableId="1525513291">
    <w:abstractNumId w:val="25"/>
  </w:num>
  <w:num w:numId="14" w16cid:durableId="643236014">
    <w:abstractNumId w:val="14"/>
  </w:num>
  <w:num w:numId="15" w16cid:durableId="1463186103">
    <w:abstractNumId w:val="15"/>
  </w:num>
  <w:num w:numId="16" w16cid:durableId="772088868">
    <w:abstractNumId w:val="72"/>
    <w:lvlOverride w:ilvl="0"/>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5778017">
    <w:abstractNumId w:val="36"/>
  </w:num>
  <w:num w:numId="18" w16cid:durableId="263611391">
    <w:abstractNumId w:val="3"/>
  </w:num>
  <w:num w:numId="19" w16cid:durableId="1177616813">
    <w:abstractNumId w:val="85"/>
  </w:num>
  <w:num w:numId="20" w16cid:durableId="1096485994">
    <w:abstractNumId w:val="86"/>
  </w:num>
  <w:num w:numId="21" w16cid:durableId="1607888004">
    <w:abstractNumId w:val="55"/>
  </w:num>
  <w:num w:numId="22" w16cid:durableId="45568177">
    <w:abstractNumId w:val="70"/>
  </w:num>
  <w:num w:numId="23" w16cid:durableId="916671150">
    <w:abstractNumId w:val="81"/>
  </w:num>
  <w:num w:numId="24" w16cid:durableId="1577276767">
    <w:abstractNumId w:val="20"/>
  </w:num>
  <w:num w:numId="25" w16cid:durableId="1905946651">
    <w:abstractNumId w:val="22"/>
  </w:num>
  <w:num w:numId="26" w16cid:durableId="19162415">
    <w:abstractNumId w:val="89"/>
  </w:num>
  <w:num w:numId="27" w16cid:durableId="1349134950">
    <w:abstractNumId w:val="45"/>
  </w:num>
  <w:num w:numId="28" w16cid:durableId="5056366">
    <w:abstractNumId w:val="64"/>
  </w:num>
  <w:num w:numId="29" w16cid:durableId="2133086509">
    <w:abstractNumId w:val="9"/>
  </w:num>
  <w:num w:numId="30" w16cid:durableId="1577084829">
    <w:abstractNumId w:val="35"/>
  </w:num>
  <w:num w:numId="31" w16cid:durableId="1975208738">
    <w:abstractNumId w:val="28"/>
  </w:num>
  <w:num w:numId="32" w16cid:durableId="2137329352">
    <w:abstractNumId w:val="78"/>
  </w:num>
  <w:num w:numId="33" w16cid:durableId="1458840760">
    <w:abstractNumId w:val="52"/>
  </w:num>
  <w:num w:numId="34" w16cid:durableId="1057820373">
    <w:abstractNumId w:val="10"/>
  </w:num>
  <w:num w:numId="35" w16cid:durableId="1293093981">
    <w:abstractNumId w:val="42"/>
  </w:num>
  <w:num w:numId="36" w16cid:durableId="1326280417">
    <w:abstractNumId w:val="92"/>
  </w:num>
  <w:num w:numId="37" w16cid:durableId="835535837">
    <w:abstractNumId w:val="24"/>
  </w:num>
  <w:num w:numId="38" w16cid:durableId="1918392505">
    <w:abstractNumId w:val="88"/>
  </w:num>
  <w:num w:numId="39" w16cid:durableId="162471997">
    <w:abstractNumId w:val="19"/>
  </w:num>
  <w:num w:numId="40" w16cid:durableId="1260866484">
    <w:abstractNumId w:val="34"/>
  </w:num>
  <w:num w:numId="41" w16cid:durableId="1252469086">
    <w:abstractNumId w:val="79"/>
  </w:num>
  <w:num w:numId="42" w16cid:durableId="963270762">
    <w:abstractNumId w:val="50"/>
  </w:num>
  <w:num w:numId="43" w16cid:durableId="1005325585">
    <w:abstractNumId w:val="40"/>
  </w:num>
  <w:num w:numId="44" w16cid:durableId="2034113135">
    <w:abstractNumId w:val="61"/>
  </w:num>
  <w:num w:numId="45" w16cid:durableId="879509447">
    <w:abstractNumId w:val="65"/>
  </w:num>
  <w:num w:numId="46" w16cid:durableId="1261138565">
    <w:abstractNumId w:val="21"/>
  </w:num>
  <w:num w:numId="47" w16cid:durableId="1104693320">
    <w:abstractNumId w:val="30"/>
  </w:num>
  <w:num w:numId="48" w16cid:durableId="398868087">
    <w:abstractNumId w:val="7"/>
  </w:num>
  <w:num w:numId="49" w16cid:durableId="2133790959">
    <w:abstractNumId w:val="62"/>
  </w:num>
  <w:num w:numId="50" w16cid:durableId="503471381">
    <w:abstractNumId w:val="49"/>
  </w:num>
  <w:num w:numId="51" w16cid:durableId="1022249158">
    <w:abstractNumId w:val="18"/>
  </w:num>
  <w:num w:numId="52" w16cid:durableId="1310087643">
    <w:abstractNumId w:val="82"/>
  </w:num>
  <w:num w:numId="53" w16cid:durableId="718869232">
    <w:abstractNumId w:val="41"/>
  </w:num>
  <w:num w:numId="54" w16cid:durableId="29885672">
    <w:abstractNumId w:val="77"/>
  </w:num>
  <w:num w:numId="55" w16cid:durableId="878586436">
    <w:abstractNumId w:val="38"/>
  </w:num>
  <w:num w:numId="56" w16cid:durableId="1579167339">
    <w:abstractNumId w:val="76"/>
  </w:num>
  <w:num w:numId="57" w16cid:durableId="1578705132">
    <w:abstractNumId w:val="46"/>
  </w:num>
  <w:num w:numId="58" w16cid:durableId="2063013737">
    <w:abstractNumId w:val="39"/>
  </w:num>
  <w:num w:numId="59" w16cid:durableId="1567960367">
    <w:abstractNumId w:val="0"/>
  </w:num>
  <w:num w:numId="60" w16cid:durableId="1364020729">
    <w:abstractNumId w:val="91"/>
  </w:num>
  <w:num w:numId="61" w16cid:durableId="1947999835">
    <w:abstractNumId w:val="33"/>
  </w:num>
  <w:num w:numId="62" w16cid:durableId="2038501952">
    <w:abstractNumId w:val="60"/>
  </w:num>
  <w:num w:numId="63" w16cid:durableId="2101440841">
    <w:abstractNumId w:val="43"/>
  </w:num>
  <w:num w:numId="64" w16cid:durableId="528226464">
    <w:abstractNumId w:val="68"/>
  </w:num>
  <w:num w:numId="65" w16cid:durableId="1612131722">
    <w:abstractNumId w:val="47"/>
  </w:num>
  <w:num w:numId="66" w16cid:durableId="4215235">
    <w:abstractNumId w:val="80"/>
  </w:num>
  <w:num w:numId="67" w16cid:durableId="840507327">
    <w:abstractNumId w:val="11"/>
  </w:num>
  <w:num w:numId="68" w16cid:durableId="575824076">
    <w:abstractNumId w:val="44"/>
  </w:num>
  <w:num w:numId="69" w16cid:durableId="546576342">
    <w:abstractNumId w:val="31"/>
  </w:num>
  <w:num w:numId="70" w16cid:durableId="936324592">
    <w:abstractNumId w:val="12"/>
  </w:num>
  <w:num w:numId="71" w16cid:durableId="489176290">
    <w:abstractNumId w:val="48"/>
  </w:num>
  <w:num w:numId="72" w16cid:durableId="18587323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2679128">
    <w:abstractNumId w:val="1"/>
  </w:num>
  <w:num w:numId="74" w16cid:durableId="724717013">
    <w:abstractNumId w:val="17"/>
  </w:num>
  <w:num w:numId="75" w16cid:durableId="1679189548">
    <w:abstractNumId w:val="75"/>
  </w:num>
  <w:num w:numId="76" w16cid:durableId="310795446">
    <w:abstractNumId w:val="5"/>
  </w:num>
  <w:num w:numId="77" w16cid:durableId="480007225">
    <w:abstractNumId w:val="51"/>
  </w:num>
  <w:num w:numId="78" w16cid:durableId="826749463">
    <w:abstractNumId w:val="69"/>
  </w:num>
  <w:num w:numId="79" w16cid:durableId="557474306">
    <w:abstractNumId w:val="23"/>
  </w:num>
  <w:num w:numId="80" w16cid:durableId="683244515">
    <w:abstractNumId w:val="2"/>
  </w:num>
  <w:num w:numId="81" w16cid:durableId="386688473">
    <w:abstractNumId w:val="6"/>
  </w:num>
  <w:num w:numId="82" w16cid:durableId="2852805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29095861">
    <w:abstractNumId w:val="53"/>
  </w:num>
  <w:num w:numId="84" w16cid:durableId="1831556584">
    <w:abstractNumId w:val="66"/>
  </w:num>
  <w:num w:numId="85" w16cid:durableId="1168593080">
    <w:abstractNumId w:val="32"/>
  </w:num>
  <w:num w:numId="86" w16cid:durableId="1073166802">
    <w:abstractNumId w:val="83"/>
  </w:num>
  <w:num w:numId="87" w16cid:durableId="1531528929">
    <w:abstractNumId w:val="57"/>
  </w:num>
  <w:num w:numId="88" w16cid:durableId="1332217265">
    <w:abstractNumId w:val="74"/>
  </w:num>
  <w:num w:numId="89" w16cid:durableId="602301930">
    <w:abstractNumId w:val="67"/>
  </w:num>
  <w:num w:numId="90" w16cid:durableId="759331691">
    <w:abstractNumId w:val="54"/>
  </w:num>
  <w:num w:numId="91" w16cid:durableId="43915344">
    <w:abstractNumId w:val="29"/>
  </w:num>
  <w:num w:numId="92" w16cid:durableId="533465956">
    <w:abstractNumId w:val="59"/>
  </w:num>
  <w:num w:numId="93" w16cid:durableId="932667354">
    <w:abstractNumId w:val="71"/>
  </w:num>
  <w:num w:numId="94" w16cid:durableId="2043940503">
    <w:abstractNumId w:val="56"/>
  </w:num>
  <w:num w:numId="95" w16cid:durableId="632564340">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6F"/>
    <w:rsid w:val="0000033F"/>
    <w:rsid w:val="000004D4"/>
    <w:rsid w:val="00000821"/>
    <w:rsid w:val="000009DD"/>
    <w:rsid w:val="00000A6D"/>
    <w:rsid w:val="00000B93"/>
    <w:rsid w:val="00000D9D"/>
    <w:rsid w:val="0000117B"/>
    <w:rsid w:val="00001196"/>
    <w:rsid w:val="00001281"/>
    <w:rsid w:val="000012CD"/>
    <w:rsid w:val="000019AE"/>
    <w:rsid w:val="00001ECD"/>
    <w:rsid w:val="00001F27"/>
    <w:rsid w:val="00001F63"/>
    <w:rsid w:val="00001FF3"/>
    <w:rsid w:val="000023DE"/>
    <w:rsid w:val="000024CB"/>
    <w:rsid w:val="00002626"/>
    <w:rsid w:val="000027A8"/>
    <w:rsid w:val="00002841"/>
    <w:rsid w:val="00002B90"/>
    <w:rsid w:val="00002D77"/>
    <w:rsid w:val="00002EA5"/>
    <w:rsid w:val="0000301C"/>
    <w:rsid w:val="00003046"/>
    <w:rsid w:val="00003282"/>
    <w:rsid w:val="0000334E"/>
    <w:rsid w:val="00003599"/>
    <w:rsid w:val="00003688"/>
    <w:rsid w:val="00003977"/>
    <w:rsid w:val="0000446B"/>
    <w:rsid w:val="0000464C"/>
    <w:rsid w:val="00004965"/>
    <w:rsid w:val="00004AFB"/>
    <w:rsid w:val="00004B02"/>
    <w:rsid w:val="00004C0F"/>
    <w:rsid w:val="00004EA6"/>
    <w:rsid w:val="000054F1"/>
    <w:rsid w:val="00005517"/>
    <w:rsid w:val="00005742"/>
    <w:rsid w:val="000058E9"/>
    <w:rsid w:val="00005A1F"/>
    <w:rsid w:val="00005BF0"/>
    <w:rsid w:val="00005CEE"/>
    <w:rsid w:val="00005D6B"/>
    <w:rsid w:val="00005E3C"/>
    <w:rsid w:val="000062D5"/>
    <w:rsid w:val="000062F4"/>
    <w:rsid w:val="0000692C"/>
    <w:rsid w:val="00006AB1"/>
    <w:rsid w:val="000070B0"/>
    <w:rsid w:val="0000716A"/>
    <w:rsid w:val="00007A05"/>
    <w:rsid w:val="00007B04"/>
    <w:rsid w:val="00007C00"/>
    <w:rsid w:val="00007CB9"/>
    <w:rsid w:val="00007E07"/>
    <w:rsid w:val="00007E0B"/>
    <w:rsid w:val="00007EE8"/>
    <w:rsid w:val="00010045"/>
    <w:rsid w:val="000100C2"/>
    <w:rsid w:val="00010102"/>
    <w:rsid w:val="00010225"/>
    <w:rsid w:val="0001027D"/>
    <w:rsid w:val="000104A4"/>
    <w:rsid w:val="000104B4"/>
    <w:rsid w:val="00010984"/>
    <w:rsid w:val="00010994"/>
    <w:rsid w:val="00010AEF"/>
    <w:rsid w:val="00010BBD"/>
    <w:rsid w:val="00010BD3"/>
    <w:rsid w:val="00010C10"/>
    <w:rsid w:val="00010C44"/>
    <w:rsid w:val="00010C62"/>
    <w:rsid w:val="00010DBB"/>
    <w:rsid w:val="000110B1"/>
    <w:rsid w:val="00011191"/>
    <w:rsid w:val="000116F8"/>
    <w:rsid w:val="00011951"/>
    <w:rsid w:val="000119B4"/>
    <w:rsid w:val="00011A2F"/>
    <w:rsid w:val="00011A78"/>
    <w:rsid w:val="00011C39"/>
    <w:rsid w:val="00011D61"/>
    <w:rsid w:val="00011E6E"/>
    <w:rsid w:val="000120A0"/>
    <w:rsid w:val="000120C7"/>
    <w:rsid w:val="00012A0D"/>
    <w:rsid w:val="00012AE6"/>
    <w:rsid w:val="00012BE2"/>
    <w:rsid w:val="00012D9D"/>
    <w:rsid w:val="00012E46"/>
    <w:rsid w:val="000131BF"/>
    <w:rsid w:val="00013474"/>
    <w:rsid w:val="000134FB"/>
    <w:rsid w:val="0001360A"/>
    <w:rsid w:val="00013817"/>
    <w:rsid w:val="00013927"/>
    <w:rsid w:val="00013A51"/>
    <w:rsid w:val="00013B0D"/>
    <w:rsid w:val="00013C3E"/>
    <w:rsid w:val="0001409C"/>
    <w:rsid w:val="0001423E"/>
    <w:rsid w:val="00014279"/>
    <w:rsid w:val="0001451C"/>
    <w:rsid w:val="000148B6"/>
    <w:rsid w:val="00014E20"/>
    <w:rsid w:val="00014EC7"/>
    <w:rsid w:val="00014F4E"/>
    <w:rsid w:val="000154C6"/>
    <w:rsid w:val="000155A8"/>
    <w:rsid w:val="00015735"/>
    <w:rsid w:val="00015742"/>
    <w:rsid w:val="00015891"/>
    <w:rsid w:val="00015934"/>
    <w:rsid w:val="00015FE5"/>
    <w:rsid w:val="0001616F"/>
    <w:rsid w:val="000161EC"/>
    <w:rsid w:val="000162D8"/>
    <w:rsid w:val="0001669D"/>
    <w:rsid w:val="000166E9"/>
    <w:rsid w:val="000167A3"/>
    <w:rsid w:val="00016A03"/>
    <w:rsid w:val="00016A39"/>
    <w:rsid w:val="00016DAC"/>
    <w:rsid w:val="00016F01"/>
    <w:rsid w:val="0001714B"/>
    <w:rsid w:val="00017210"/>
    <w:rsid w:val="00017311"/>
    <w:rsid w:val="000173A7"/>
    <w:rsid w:val="00017434"/>
    <w:rsid w:val="000179BC"/>
    <w:rsid w:val="00017D92"/>
    <w:rsid w:val="000200EE"/>
    <w:rsid w:val="00020243"/>
    <w:rsid w:val="00020517"/>
    <w:rsid w:val="000205B3"/>
    <w:rsid w:val="00020A86"/>
    <w:rsid w:val="00020B4C"/>
    <w:rsid w:val="00020CA3"/>
    <w:rsid w:val="00020D57"/>
    <w:rsid w:val="0002154A"/>
    <w:rsid w:val="0002171F"/>
    <w:rsid w:val="00021D8E"/>
    <w:rsid w:val="00021F3E"/>
    <w:rsid w:val="00022451"/>
    <w:rsid w:val="000224BE"/>
    <w:rsid w:val="0002251A"/>
    <w:rsid w:val="00022572"/>
    <w:rsid w:val="00022647"/>
    <w:rsid w:val="000226EF"/>
    <w:rsid w:val="00022771"/>
    <w:rsid w:val="00022901"/>
    <w:rsid w:val="00022AEC"/>
    <w:rsid w:val="00022BA3"/>
    <w:rsid w:val="00022D78"/>
    <w:rsid w:val="00022DAE"/>
    <w:rsid w:val="0002337C"/>
    <w:rsid w:val="0002352D"/>
    <w:rsid w:val="00023654"/>
    <w:rsid w:val="00023967"/>
    <w:rsid w:val="00023A03"/>
    <w:rsid w:val="00023B99"/>
    <w:rsid w:val="00023E49"/>
    <w:rsid w:val="00023ECB"/>
    <w:rsid w:val="00024000"/>
    <w:rsid w:val="0002400A"/>
    <w:rsid w:val="0002417F"/>
    <w:rsid w:val="000242F5"/>
    <w:rsid w:val="000246F4"/>
    <w:rsid w:val="00024758"/>
    <w:rsid w:val="00024761"/>
    <w:rsid w:val="00024839"/>
    <w:rsid w:val="0002484F"/>
    <w:rsid w:val="00024948"/>
    <w:rsid w:val="00024B36"/>
    <w:rsid w:val="00024BEB"/>
    <w:rsid w:val="00024D7B"/>
    <w:rsid w:val="00024F16"/>
    <w:rsid w:val="00024F1F"/>
    <w:rsid w:val="000254AD"/>
    <w:rsid w:val="000256DA"/>
    <w:rsid w:val="00025800"/>
    <w:rsid w:val="00025873"/>
    <w:rsid w:val="00025906"/>
    <w:rsid w:val="00025AF0"/>
    <w:rsid w:val="00025C2A"/>
    <w:rsid w:val="00025E11"/>
    <w:rsid w:val="00025F95"/>
    <w:rsid w:val="00026049"/>
    <w:rsid w:val="0002610D"/>
    <w:rsid w:val="000261EF"/>
    <w:rsid w:val="000264C0"/>
    <w:rsid w:val="000264D6"/>
    <w:rsid w:val="00026621"/>
    <w:rsid w:val="00026636"/>
    <w:rsid w:val="000267AD"/>
    <w:rsid w:val="000269E2"/>
    <w:rsid w:val="00026DB5"/>
    <w:rsid w:val="00026FEC"/>
    <w:rsid w:val="0002715E"/>
    <w:rsid w:val="00027231"/>
    <w:rsid w:val="000272B5"/>
    <w:rsid w:val="0002734F"/>
    <w:rsid w:val="000274CD"/>
    <w:rsid w:val="000274DD"/>
    <w:rsid w:val="00027528"/>
    <w:rsid w:val="000275E0"/>
    <w:rsid w:val="00027880"/>
    <w:rsid w:val="00027F47"/>
    <w:rsid w:val="00030592"/>
    <w:rsid w:val="000306CF"/>
    <w:rsid w:val="000307F3"/>
    <w:rsid w:val="00030BF4"/>
    <w:rsid w:val="00030FE4"/>
    <w:rsid w:val="00031242"/>
    <w:rsid w:val="000313EF"/>
    <w:rsid w:val="000314B2"/>
    <w:rsid w:val="000314DA"/>
    <w:rsid w:val="0003167F"/>
    <w:rsid w:val="00031694"/>
    <w:rsid w:val="000318FE"/>
    <w:rsid w:val="00031B9C"/>
    <w:rsid w:val="00031B9E"/>
    <w:rsid w:val="00031BAE"/>
    <w:rsid w:val="00031BFA"/>
    <w:rsid w:val="00031C2D"/>
    <w:rsid w:val="00031E79"/>
    <w:rsid w:val="00032069"/>
    <w:rsid w:val="0003231B"/>
    <w:rsid w:val="00032379"/>
    <w:rsid w:val="0003245E"/>
    <w:rsid w:val="00032A9A"/>
    <w:rsid w:val="00032B74"/>
    <w:rsid w:val="00032DC4"/>
    <w:rsid w:val="00032F2B"/>
    <w:rsid w:val="00032F9F"/>
    <w:rsid w:val="00032FB4"/>
    <w:rsid w:val="000331F4"/>
    <w:rsid w:val="00033379"/>
    <w:rsid w:val="0003344A"/>
    <w:rsid w:val="0003345F"/>
    <w:rsid w:val="00033666"/>
    <w:rsid w:val="00033A18"/>
    <w:rsid w:val="00033A1D"/>
    <w:rsid w:val="00033C33"/>
    <w:rsid w:val="00033CDA"/>
    <w:rsid w:val="00033D1B"/>
    <w:rsid w:val="0003413D"/>
    <w:rsid w:val="000348FE"/>
    <w:rsid w:val="000349AA"/>
    <w:rsid w:val="00034BAA"/>
    <w:rsid w:val="00034D66"/>
    <w:rsid w:val="00034DFF"/>
    <w:rsid w:val="00034E67"/>
    <w:rsid w:val="00034EB5"/>
    <w:rsid w:val="000350BB"/>
    <w:rsid w:val="00035200"/>
    <w:rsid w:val="0003553E"/>
    <w:rsid w:val="0003555E"/>
    <w:rsid w:val="00035589"/>
    <w:rsid w:val="00035623"/>
    <w:rsid w:val="000357E2"/>
    <w:rsid w:val="00035C1A"/>
    <w:rsid w:val="00035CE2"/>
    <w:rsid w:val="00035D1C"/>
    <w:rsid w:val="00035FBA"/>
    <w:rsid w:val="0003607A"/>
    <w:rsid w:val="000363CC"/>
    <w:rsid w:val="000366A2"/>
    <w:rsid w:val="000366F6"/>
    <w:rsid w:val="0003683A"/>
    <w:rsid w:val="0003698E"/>
    <w:rsid w:val="00036B4F"/>
    <w:rsid w:val="00036BB0"/>
    <w:rsid w:val="00036C9B"/>
    <w:rsid w:val="00036D20"/>
    <w:rsid w:val="00036FB6"/>
    <w:rsid w:val="00037054"/>
    <w:rsid w:val="00037276"/>
    <w:rsid w:val="000373A5"/>
    <w:rsid w:val="000375B4"/>
    <w:rsid w:val="0003763E"/>
    <w:rsid w:val="0003787F"/>
    <w:rsid w:val="000379FE"/>
    <w:rsid w:val="00037DEF"/>
    <w:rsid w:val="000402E0"/>
    <w:rsid w:val="0004035A"/>
    <w:rsid w:val="000403E7"/>
    <w:rsid w:val="00040565"/>
    <w:rsid w:val="00040D78"/>
    <w:rsid w:val="00040DFA"/>
    <w:rsid w:val="00040ECD"/>
    <w:rsid w:val="00041257"/>
    <w:rsid w:val="00041363"/>
    <w:rsid w:val="00041548"/>
    <w:rsid w:val="000418F6"/>
    <w:rsid w:val="000419A8"/>
    <w:rsid w:val="00041E3F"/>
    <w:rsid w:val="0004218F"/>
    <w:rsid w:val="00042296"/>
    <w:rsid w:val="000422E4"/>
    <w:rsid w:val="000426B6"/>
    <w:rsid w:val="00042938"/>
    <w:rsid w:val="0004299D"/>
    <w:rsid w:val="00042B0A"/>
    <w:rsid w:val="00042BB7"/>
    <w:rsid w:val="000430C2"/>
    <w:rsid w:val="000431B3"/>
    <w:rsid w:val="000431B7"/>
    <w:rsid w:val="00043232"/>
    <w:rsid w:val="000432D0"/>
    <w:rsid w:val="00043539"/>
    <w:rsid w:val="000437C1"/>
    <w:rsid w:val="000437C6"/>
    <w:rsid w:val="000438AF"/>
    <w:rsid w:val="00043AFD"/>
    <w:rsid w:val="00043D4D"/>
    <w:rsid w:val="00043E74"/>
    <w:rsid w:val="00043F0D"/>
    <w:rsid w:val="00044714"/>
    <w:rsid w:val="000447DE"/>
    <w:rsid w:val="0004493F"/>
    <w:rsid w:val="00044A8C"/>
    <w:rsid w:val="00044AC9"/>
    <w:rsid w:val="00044B7C"/>
    <w:rsid w:val="00044C2F"/>
    <w:rsid w:val="00044FBA"/>
    <w:rsid w:val="00045013"/>
    <w:rsid w:val="000455F9"/>
    <w:rsid w:val="000459AB"/>
    <w:rsid w:val="000459D1"/>
    <w:rsid w:val="00045A07"/>
    <w:rsid w:val="00045C5A"/>
    <w:rsid w:val="00045E88"/>
    <w:rsid w:val="0004613D"/>
    <w:rsid w:val="00046338"/>
    <w:rsid w:val="00046549"/>
    <w:rsid w:val="0004671B"/>
    <w:rsid w:val="00046891"/>
    <w:rsid w:val="000469B8"/>
    <w:rsid w:val="00046B25"/>
    <w:rsid w:val="00046D5E"/>
    <w:rsid w:val="00046E77"/>
    <w:rsid w:val="00047228"/>
    <w:rsid w:val="0004727D"/>
    <w:rsid w:val="000474D5"/>
    <w:rsid w:val="000475EE"/>
    <w:rsid w:val="000477D4"/>
    <w:rsid w:val="00047B15"/>
    <w:rsid w:val="00047C04"/>
    <w:rsid w:val="00047C8D"/>
    <w:rsid w:val="000509A9"/>
    <w:rsid w:val="00050C5C"/>
    <w:rsid w:val="00050E0E"/>
    <w:rsid w:val="00050F51"/>
    <w:rsid w:val="0005102C"/>
    <w:rsid w:val="0005119B"/>
    <w:rsid w:val="00051520"/>
    <w:rsid w:val="0005154F"/>
    <w:rsid w:val="00051760"/>
    <w:rsid w:val="00051800"/>
    <w:rsid w:val="0005184B"/>
    <w:rsid w:val="00051874"/>
    <w:rsid w:val="00051AFF"/>
    <w:rsid w:val="00051B08"/>
    <w:rsid w:val="00051CF5"/>
    <w:rsid w:val="00051D5E"/>
    <w:rsid w:val="000520F2"/>
    <w:rsid w:val="0005282A"/>
    <w:rsid w:val="000528A5"/>
    <w:rsid w:val="00052ACD"/>
    <w:rsid w:val="00053302"/>
    <w:rsid w:val="000536B0"/>
    <w:rsid w:val="00053CAA"/>
    <w:rsid w:val="00053FD8"/>
    <w:rsid w:val="0005400F"/>
    <w:rsid w:val="000541AD"/>
    <w:rsid w:val="000542EB"/>
    <w:rsid w:val="00054658"/>
    <w:rsid w:val="000548BB"/>
    <w:rsid w:val="00055150"/>
    <w:rsid w:val="000553F8"/>
    <w:rsid w:val="00055427"/>
    <w:rsid w:val="00055692"/>
    <w:rsid w:val="0005586F"/>
    <w:rsid w:val="00055AE2"/>
    <w:rsid w:val="00055E3A"/>
    <w:rsid w:val="00055E49"/>
    <w:rsid w:val="00055F0D"/>
    <w:rsid w:val="00055FB7"/>
    <w:rsid w:val="000560C7"/>
    <w:rsid w:val="00056397"/>
    <w:rsid w:val="00056429"/>
    <w:rsid w:val="0005648B"/>
    <w:rsid w:val="000569BE"/>
    <w:rsid w:val="00056DF7"/>
    <w:rsid w:val="00056E2E"/>
    <w:rsid w:val="00057117"/>
    <w:rsid w:val="000571E6"/>
    <w:rsid w:val="00057244"/>
    <w:rsid w:val="00057326"/>
    <w:rsid w:val="00057467"/>
    <w:rsid w:val="000576C6"/>
    <w:rsid w:val="00057995"/>
    <w:rsid w:val="00057BB4"/>
    <w:rsid w:val="00057C24"/>
    <w:rsid w:val="00057CAC"/>
    <w:rsid w:val="00057D5B"/>
    <w:rsid w:val="00057E77"/>
    <w:rsid w:val="00057EDD"/>
    <w:rsid w:val="00060373"/>
    <w:rsid w:val="000603F1"/>
    <w:rsid w:val="000606BC"/>
    <w:rsid w:val="000606CB"/>
    <w:rsid w:val="00060711"/>
    <w:rsid w:val="00060842"/>
    <w:rsid w:val="000608F4"/>
    <w:rsid w:val="00060984"/>
    <w:rsid w:val="00060ADB"/>
    <w:rsid w:val="00060EAA"/>
    <w:rsid w:val="00060F2E"/>
    <w:rsid w:val="00061149"/>
    <w:rsid w:val="00061178"/>
    <w:rsid w:val="000614D8"/>
    <w:rsid w:val="0006151D"/>
    <w:rsid w:val="00061687"/>
    <w:rsid w:val="00061A10"/>
    <w:rsid w:val="00061D7D"/>
    <w:rsid w:val="00061EAC"/>
    <w:rsid w:val="000623DE"/>
    <w:rsid w:val="000624F9"/>
    <w:rsid w:val="00062A03"/>
    <w:rsid w:val="00062C56"/>
    <w:rsid w:val="00062D1F"/>
    <w:rsid w:val="00062D35"/>
    <w:rsid w:val="0006304F"/>
    <w:rsid w:val="00063076"/>
    <w:rsid w:val="00063304"/>
    <w:rsid w:val="00063399"/>
    <w:rsid w:val="00063440"/>
    <w:rsid w:val="0006372F"/>
    <w:rsid w:val="0006382E"/>
    <w:rsid w:val="00063CE3"/>
    <w:rsid w:val="00063D29"/>
    <w:rsid w:val="000643D7"/>
    <w:rsid w:val="00064745"/>
    <w:rsid w:val="00064CA4"/>
    <w:rsid w:val="00064F51"/>
    <w:rsid w:val="00064F56"/>
    <w:rsid w:val="0006500A"/>
    <w:rsid w:val="00065013"/>
    <w:rsid w:val="00065256"/>
    <w:rsid w:val="000652AF"/>
    <w:rsid w:val="000652CE"/>
    <w:rsid w:val="000654C0"/>
    <w:rsid w:val="00065520"/>
    <w:rsid w:val="00065625"/>
    <w:rsid w:val="000656B2"/>
    <w:rsid w:val="000658A9"/>
    <w:rsid w:val="000658B4"/>
    <w:rsid w:val="00065936"/>
    <w:rsid w:val="000659AC"/>
    <w:rsid w:val="00065A4F"/>
    <w:rsid w:val="00065C5A"/>
    <w:rsid w:val="00065C81"/>
    <w:rsid w:val="00065CBD"/>
    <w:rsid w:val="000660FA"/>
    <w:rsid w:val="00066287"/>
    <w:rsid w:val="00066387"/>
    <w:rsid w:val="00066551"/>
    <w:rsid w:val="00066670"/>
    <w:rsid w:val="00066686"/>
    <w:rsid w:val="00066705"/>
    <w:rsid w:val="0006704F"/>
    <w:rsid w:val="0006709B"/>
    <w:rsid w:val="000671E3"/>
    <w:rsid w:val="000676CC"/>
    <w:rsid w:val="00067965"/>
    <w:rsid w:val="00067A52"/>
    <w:rsid w:val="00067A61"/>
    <w:rsid w:val="00067B44"/>
    <w:rsid w:val="00067C26"/>
    <w:rsid w:val="00067CDA"/>
    <w:rsid w:val="00067DC6"/>
    <w:rsid w:val="00067FE8"/>
    <w:rsid w:val="000704E7"/>
    <w:rsid w:val="0007057D"/>
    <w:rsid w:val="00070674"/>
    <w:rsid w:val="000707B8"/>
    <w:rsid w:val="00070832"/>
    <w:rsid w:val="000708A7"/>
    <w:rsid w:val="00070BD4"/>
    <w:rsid w:val="00070C0B"/>
    <w:rsid w:val="00070F50"/>
    <w:rsid w:val="00070FF7"/>
    <w:rsid w:val="000711A3"/>
    <w:rsid w:val="0007127E"/>
    <w:rsid w:val="0007144B"/>
    <w:rsid w:val="00071547"/>
    <w:rsid w:val="0007155F"/>
    <w:rsid w:val="00071580"/>
    <w:rsid w:val="000716A4"/>
    <w:rsid w:val="0007180E"/>
    <w:rsid w:val="0007182F"/>
    <w:rsid w:val="00071998"/>
    <w:rsid w:val="00071DED"/>
    <w:rsid w:val="00072A9A"/>
    <w:rsid w:val="00072BF8"/>
    <w:rsid w:val="00072C79"/>
    <w:rsid w:val="00072D78"/>
    <w:rsid w:val="00072EB5"/>
    <w:rsid w:val="000735B2"/>
    <w:rsid w:val="000735B9"/>
    <w:rsid w:val="0007363E"/>
    <w:rsid w:val="0007365C"/>
    <w:rsid w:val="00073732"/>
    <w:rsid w:val="00073885"/>
    <w:rsid w:val="000738A5"/>
    <w:rsid w:val="00073D87"/>
    <w:rsid w:val="00073DB2"/>
    <w:rsid w:val="00073F0A"/>
    <w:rsid w:val="000741AE"/>
    <w:rsid w:val="000744B8"/>
    <w:rsid w:val="00074742"/>
    <w:rsid w:val="000747EF"/>
    <w:rsid w:val="00074EBA"/>
    <w:rsid w:val="000751FC"/>
    <w:rsid w:val="0007532F"/>
    <w:rsid w:val="00075610"/>
    <w:rsid w:val="0007588F"/>
    <w:rsid w:val="00075909"/>
    <w:rsid w:val="00075C68"/>
    <w:rsid w:val="00075CB2"/>
    <w:rsid w:val="00075CFB"/>
    <w:rsid w:val="00075CFD"/>
    <w:rsid w:val="00075D8E"/>
    <w:rsid w:val="000762CE"/>
    <w:rsid w:val="0007690C"/>
    <w:rsid w:val="00076A41"/>
    <w:rsid w:val="00076A81"/>
    <w:rsid w:val="00076ADF"/>
    <w:rsid w:val="00076BC5"/>
    <w:rsid w:val="00076DD3"/>
    <w:rsid w:val="00076F4E"/>
    <w:rsid w:val="000770E5"/>
    <w:rsid w:val="0007714E"/>
    <w:rsid w:val="0007722A"/>
    <w:rsid w:val="00077537"/>
    <w:rsid w:val="000776E6"/>
    <w:rsid w:val="00077893"/>
    <w:rsid w:val="00077994"/>
    <w:rsid w:val="000779AF"/>
    <w:rsid w:val="00077B0A"/>
    <w:rsid w:val="00077C23"/>
    <w:rsid w:val="00077C29"/>
    <w:rsid w:val="00077C59"/>
    <w:rsid w:val="00080027"/>
    <w:rsid w:val="00080065"/>
    <w:rsid w:val="000803F6"/>
    <w:rsid w:val="000804F7"/>
    <w:rsid w:val="00080531"/>
    <w:rsid w:val="000805C7"/>
    <w:rsid w:val="0008077C"/>
    <w:rsid w:val="00080A2F"/>
    <w:rsid w:val="00080DD7"/>
    <w:rsid w:val="00080E69"/>
    <w:rsid w:val="00080F39"/>
    <w:rsid w:val="00081206"/>
    <w:rsid w:val="000812FE"/>
    <w:rsid w:val="0008165E"/>
    <w:rsid w:val="000817DE"/>
    <w:rsid w:val="000818C0"/>
    <w:rsid w:val="00081E02"/>
    <w:rsid w:val="00081F2B"/>
    <w:rsid w:val="00082480"/>
    <w:rsid w:val="00082538"/>
    <w:rsid w:val="0008271D"/>
    <w:rsid w:val="00082743"/>
    <w:rsid w:val="00082772"/>
    <w:rsid w:val="000828F8"/>
    <w:rsid w:val="00082A32"/>
    <w:rsid w:val="00082DC2"/>
    <w:rsid w:val="000833E3"/>
    <w:rsid w:val="00083580"/>
    <w:rsid w:val="0008371B"/>
    <w:rsid w:val="00083ADC"/>
    <w:rsid w:val="00083CB9"/>
    <w:rsid w:val="00083E38"/>
    <w:rsid w:val="00083EFC"/>
    <w:rsid w:val="0008422E"/>
    <w:rsid w:val="00084429"/>
    <w:rsid w:val="00084694"/>
    <w:rsid w:val="00084C54"/>
    <w:rsid w:val="0008518F"/>
    <w:rsid w:val="00085360"/>
    <w:rsid w:val="00085661"/>
    <w:rsid w:val="00085825"/>
    <w:rsid w:val="000858F4"/>
    <w:rsid w:val="000859AF"/>
    <w:rsid w:val="00085A34"/>
    <w:rsid w:val="00085A6C"/>
    <w:rsid w:val="00085CFE"/>
    <w:rsid w:val="00085D55"/>
    <w:rsid w:val="00085D9F"/>
    <w:rsid w:val="00085E14"/>
    <w:rsid w:val="00085E6E"/>
    <w:rsid w:val="0008651A"/>
    <w:rsid w:val="00086779"/>
    <w:rsid w:val="000867AB"/>
    <w:rsid w:val="000867D8"/>
    <w:rsid w:val="000868B1"/>
    <w:rsid w:val="000869D4"/>
    <w:rsid w:val="00086DF1"/>
    <w:rsid w:val="000871FD"/>
    <w:rsid w:val="0008722A"/>
    <w:rsid w:val="000873F4"/>
    <w:rsid w:val="0008750F"/>
    <w:rsid w:val="0008772E"/>
    <w:rsid w:val="0008787B"/>
    <w:rsid w:val="00087882"/>
    <w:rsid w:val="00087B7C"/>
    <w:rsid w:val="00087DDA"/>
    <w:rsid w:val="00087E10"/>
    <w:rsid w:val="00087FCC"/>
    <w:rsid w:val="00090085"/>
    <w:rsid w:val="00090191"/>
    <w:rsid w:val="00090332"/>
    <w:rsid w:val="0009050F"/>
    <w:rsid w:val="00090521"/>
    <w:rsid w:val="000906D3"/>
    <w:rsid w:val="00090781"/>
    <w:rsid w:val="00090782"/>
    <w:rsid w:val="0009078D"/>
    <w:rsid w:val="0009080F"/>
    <w:rsid w:val="00090867"/>
    <w:rsid w:val="00090CF3"/>
    <w:rsid w:val="00090D8B"/>
    <w:rsid w:val="00090E98"/>
    <w:rsid w:val="00090EE8"/>
    <w:rsid w:val="00090F4B"/>
    <w:rsid w:val="0009117E"/>
    <w:rsid w:val="000913EE"/>
    <w:rsid w:val="00091682"/>
    <w:rsid w:val="00091ADA"/>
    <w:rsid w:val="00091AE1"/>
    <w:rsid w:val="00091F67"/>
    <w:rsid w:val="0009215A"/>
    <w:rsid w:val="000922DA"/>
    <w:rsid w:val="00092304"/>
    <w:rsid w:val="00092674"/>
    <w:rsid w:val="00092760"/>
    <w:rsid w:val="00092893"/>
    <w:rsid w:val="000929DE"/>
    <w:rsid w:val="00092B51"/>
    <w:rsid w:val="00092B53"/>
    <w:rsid w:val="00092E34"/>
    <w:rsid w:val="00092E90"/>
    <w:rsid w:val="00092EC6"/>
    <w:rsid w:val="000932F6"/>
    <w:rsid w:val="0009352A"/>
    <w:rsid w:val="000935CB"/>
    <w:rsid w:val="000937A1"/>
    <w:rsid w:val="000937B6"/>
    <w:rsid w:val="00093869"/>
    <w:rsid w:val="00093889"/>
    <w:rsid w:val="00093E2F"/>
    <w:rsid w:val="00093E8D"/>
    <w:rsid w:val="000943FF"/>
    <w:rsid w:val="000945DC"/>
    <w:rsid w:val="000945FC"/>
    <w:rsid w:val="000946D6"/>
    <w:rsid w:val="00094741"/>
    <w:rsid w:val="0009493E"/>
    <w:rsid w:val="00094940"/>
    <w:rsid w:val="000949CB"/>
    <w:rsid w:val="00094B6B"/>
    <w:rsid w:val="00094C70"/>
    <w:rsid w:val="000951BF"/>
    <w:rsid w:val="00095303"/>
    <w:rsid w:val="00095674"/>
    <w:rsid w:val="00095777"/>
    <w:rsid w:val="00095D60"/>
    <w:rsid w:val="00095DA5"/>
    <w:rsid w:val="00095DF4"/>
    <w:rsid w:val="00095F1C"/>
    <w:rsid w:val="00095F89"/>
    <w:rsid w:val="000961F3"/>
    <w:rsid w:val="00096203"/>
    <w:rsid w:val="00096458"/>
    <w:rsid w:val="000965CE"/>
    <w:rsid w:val="00096918"/>
    <w:rsid w:val="00096C7D"/>
    <w:rsid w:val="00096E70"/>
    <w:rsid w:val="000972A9"/>
    <w:rsid w:val="00097337"/>
    <w:rsid w:val="000974EA"/>
    <w:rsid w:val="000975CD"/>
    <w:rsid w:val="00097634"/>
    <w:rsid w:val="00097676"/>
    <w:rsid w:val="000976E0"/>
    <w:rsid w:val="000977AF"/>
    <w:rsid w:val="00097844"/>
    <w:rsid w:val="00097F00"/>
    <w:rsid w:val="000A0268"/>
    <w:rsid w:val="000A052D"/>
    <w:rsid w:val="000A05DD"/>
    <w:rsid w:val="000A069B"/>
    <w:rsid w:val="000A0CDE"/>
    <w:rsid w:val="000A0D03"/>
    <w:rsid w:val="000A0EE0"/>
    <w:rsid w:val="000A1324"/>
    <w:rsid w:val="000A156F"/>
    <w:rsid w:val="000A1843"/>
    <w:rsid w:val="000A1ACA"/>
    <w:rsid w:val="000A1E28"/>
    <w:rsid w:val="000A1FBB"/>
    <w:rsid w:val="000A23E7"/>
    <w:rsid w:val="000A2441"/>
    <w:rsid w:val="000A245A"/>
    <w:rsid w:val="000A24EE"/>
    <w:rsid w:val="000A2602"/>
    <w:rsid w:val="000A2726"/>
    <w:rsid w:val="000A2753"/>
    <w:rsid w:val="000A28AC"/>
    <w:rsid w:val="000A2BB8"/>
    <w:rsid w:val="000A3152"/>
    <w:rsid w:val="000A31CE"/>
    <w:rsid w:val="000A31D4"/>
    <w:rsid w:val="000A33CA"/>
    <w:rsid w:val="000A34DA"/>
    <w:rsid w:val="000A3590"/>
    <w:rsid w:val="000A3A33"/>
    <w:rsid w:val="000A3A79"/>
    <w:rsid w:val="000A3E8A"/>
    <w:rsid w:val="000A40B3"/>
    <w:rsid w:val="000A415B"/>
    <w:rsid w:val="000A42C2"/>
    <w:rsid w:val="000A4684"/>
    <w:rsid w:val="000A48B7"/>
    <w:rsid w:val="000A4901"/>
    <w:rsid w:val="000A4A4C"/>
    <w:rsid w:val="000A4EDC"/>
    <w:rsid w:val="000A4F9B"/>
    <w:rsid w:val="000A5003"/>
    <w:rsid w:val="000A51E9"/>
    <w:rsid w:val="000A521A"/>
    <w:rsid w:val="000A5259"/>
    <w:rsid w:val="000A52AB"/>
    <w:rsid w:val="000A536D"/>
    <w:rsid w:val="000A5461"/>
    <w:rsid w:val="000A54E9"/>
    <w:rsid w:val="000A55A4"/>
    <w:rsid w:val="000A55E3"/>
    <w:rsid w:val="000A5695"/>
    <w:rsid w:val="000A56F1"/>
    <w:rsid w:val="000A59D9"/>
    <w:rsid w:val="000A5B53"/>
    <w:rsid w:val="000A5CA4"/>
    <w:rsid w:val="000A5E61"/>
    <w:rsid w:val="000A5EA2"/>
    <w:rsid w:val="000A5FAB"/>
    <w:rsid w:val="000A622E"/>
    <w:rsid w:val="000A6466"/>
    <w:rsid w:val="000A68D3"/>
    <w:rsid w:val="000A6AF2"/>
    <w:rsid w:val="000A6BE7"/>
    <w:rsid w:val="000A706C"/>
    <w:rsid w:val="000A71ED"/>
    <w:rsid w:val="000A73A2"/>
    <w:rsid w:val="000A7466"/>
    <w:rsid w:val="000A75B9"/>
    <w:rsid w:val="000A7766"/>
    <w:rsid w:val="000A7A92"/>
    <w:rsid w:val="000A7C75"/>
    <w:rsid w:val="000A7CA0"/>
    <w:rsid w:val="000A7D47"/>
    <w:rsid w:val="000A7D5A"/>
    <w:rsid w:val="000A7E55"/>
    <w:rsid w:val="000B03DD"/>
    <w:rsid w:val="000B0748"/>
    <w:rsid w:val="000B07AD"/>
    <w:rsid w:val="000B0887"/>
    <w:rsid w:val="000B0AE4"/>
    <w:rsid w:val="000B0B90"/>
    <w:rsid w:val="000B0D4A"/>
    <w:rsid w:val="000B0DDC"/>
    <w:rsid w:val="000B1254"/>
    <w:rsid w:val="000B135A"/>
    <w:rsid w:val="000B1E0F"/>
    <w:rsid w:val="000B2102"/>
    <w:rsid w:val="000B212C"/>
    <w:rsid w:val="000B2258"/>
    <w:rsid w:val="000B2536"/>
    <w:rsid w:val="000B2571"/>
    <w:rsid w:val="000B2624"/>
    <w:rsid w:val="000B264C"/>
    <w:rsid w:val="000B2656"/>
    <w:rsid w:val="000B2A7B"/>
    <w:rsid w:val="000B2D1D"/>
    <w:rsid w:val="000B2E8C"/>
    <w:rsid w:val="000B2FE3"/>
    <w:rsid w:val="000B31B6"/>
    <w:rsid w:val="000B3322"/>
    <w:rsid w:val="000B339F"/>
    <w:rsid w:val="000B3606"/>
    <w:rsid w:val="000B370F"/>
    <w:rsid w:val="000B3713"/>
    <w:rsid w:val="000B37DA"/>
    <w:rsid w:val="000B3C09"/>
    <w:rsid w:val="000B3C18"/>
    <w:rsid w:val="000B3CCB"/>
    <w:rsid w:val="000B44AC"/>
    <w:rsid w:val="000B465E"/>
    <w:rsid w:val="000B46CC"/>
    <w:rsid w:val="000B4B4C"/>
    <w:rsid w:val="000B4C2D"/>
    <w:rsid w:val="000B4C4C"/>
    <w:rsid w:val="000B4FCA"/>
    <w:rsid w:val="000B5113"/>
    <w:rsid w:val="000B5127"/>
    <w:rsid w:val="000B51DE"/>
    <w:rsid w:val="000B5335"/>
    <w:rsid w:val="000B5402"/>
    <w:rsid w:val="000B5602"/>
    <w:rsid w:val="000B5613"/>
    <w:rsid w:val="000B5A8B"/>
    <w:rsid w:val="000B5BAE"/>
    <w:rsid w:val="000B5BBE"/>
    <w:rsid w:val="000B5C0B"/>
    <w:rsid w:val="000B5D27"/>
    <w:rsid w:val="000B60CA"/>
    <w:rsid w:val="000B60D0"/>
    <w:rsid w:val="000B6325"/>
    <w:rsid w:val="000B6445"/>
    <w:rsid w:val="000B64FF"/>
    <w:rsid w:val="000B6534"/>
    <w:rsid w:val="000B659F"/>
    <w:rsid w:val="000B6811"/>
    <w:rsid w:val="000B68BE"/>
    <w:rsid w:val="000B6DA4"/>
    <w:rsid w:val="000B6F6D"/>
    <w:rsid w:val="000B703E"/>
    <w:rsid w:val="000B704D"/>
    <w:rsid w:val="000B7226"/>
    <w:rsid w:val="000B7276"/>
    <w:rsid w:val="000B73C4"/>
    <w:rsid w:val="000B7430"/>
    <w:rsid w:val="000B74B1"/>
    <w:rsid w:val="000B74CE"/>
    <w:rsid w:val="000B7752"/>
    <w:rsid w:val="000B7AFB"/>
    <w:rsid w:val="000B7B6D"/>
    <w:rsid w:val="000B7BD6"/>
    <w:rsid w:val="000C001C"/>
    <w:rsid w:val="000C01D7"/>
    <w:rsid w:val="000C0481"/>
    <w:rsid w:val="000C04EA"/>
    <w:rsid w:val="000C05CB"/>
    <w:rsid w:val="000C09AB"/>
    <w:rsid w:val="000C09CE"/>
    <w:rsid w:val="000C0B4E"/>
    <w:rsid w:val="000C0B55"/>
    <w:rsid w:val="000C0B93"/>
    <w:rsid w:val="000C1172"/>
    <w:rsid w:val="000C1197"/>
    <w:rsid w:val="000C1722"/>
    <w:rsid w:val="000C1832"/>
    <w:rsid w:val="000C1AD7"/>
    <w:rsid w:val="000C1ADF"/>
    <w:rsid w:val="000C1C13"/>
    <w:rsid w:val="000C1C59"/>
    <w:rsid w:val="000C1F96"/>
    <w:rsid w:val="000C2545"/>
    <w:rsid w:val="000C25F2"/>
    <w:rsid w:val="000C266A"/>
    <w:rsid w:val="000C27BC"/>
    <w:rsid w:val="000C29CD"/>
    <w:rsid w:val="000C2D9F"/>
    <w:rsid w:val="000C2E7D"/>
    <w:rsid w:val="000C310F"/>
    <w:rsid w:val="000C3161"/>
    <w:rsid w:val="000C32CC"/>
    <w:rsid w:val="000C34D7"/>
    <w:rsid w:val="000C34FC"/>
    <w:rsid w:val="000C3816"/>
    <w:rsid w:val="000C3916"/>
    <w:rsid w:val="000C3C66"/>
    <w:rsid w:val="000C3E13"/>
    <w:rsid w:val="000C3E99"/>
    <w:rsid w:val="000C3F66"/>
    <w:rsid w:val="000C4288"/>
    <w:rsid w:val="000C4360"/>
    <w:rsid w:val="000C43B4"/>
    <w:rsid w:val="000C43D6"/>
    <w:rsid w:val="000C4804"/>
    <w:rsid w:val="000C48DF"/>
    <w:rsid w:val="000C4A8C"/>
    <w:rsid w:val="000C4C99"/>
    <w:rsid w:val="000C4CE5"/>
    <w:rsid w:val="000C4D44"/>
    <w:rsid w:val="000C4F33"/>
    <w:rsid w:val="000C53B3"/>
    <w:rsid w:val="000C5402"/>
    <w:rsid w:val="000C5448"/>
    <w:rsid w:val="000C544A"/>
    <w:rsid w:val="000C5589"/>
    <w:rsid w:val="000C568B"/>
    <w:rsid w:val="000C56AF"/>
    <w:rsid w:val="000C56CF"/>
    <w:rsid w:val="000C59BA"/>
    <w:rsid w:val="000C5B41"/>
    <w:rsid w:val="000C5C41"/>
    <w:rsid w:val="000C5D04"/>
    <w:rsid w:val="000C5FAF"/>
    <w:rsid w:val="000C60D2"/>
    <w:rsid w:val="000C6186"/>
    <w:rsid w:val="000C62E9"/>
    <w:rsid w:val="000C6578"/>
    <w:rsid w:val="000C6AD8"/>
    <w:rsid w:val="000C6D4F"/>
    <w:rsid w:val="000C6F59"/>
    <w:rsid w:val="000C71FF"/>
    <w:rsid w:val="000C7383"/>
    <w:rsid w:val="000C7420"/>
    <w:rsid w:val="000C7625"/>
    <w:rsid w:val="000C7701"/>
    <w:rsid w:val="000C780E"/>
    <w:rsid w:val="000C7859"/>
    <w:rsid w:val="000C7A60"/>
    <w:rsid w:val="000C7B47"/>
    <w:rsid w:val="000C7B4D"/>
    <w:rsid w:val="000C7DB3"/>
    <w:rsid w:val="000C7F3C"/>
    <w:rsid w:val="000D0298"/>
    <w:rsid w:val="000D0796"/>
    <w:rsid w:val="000D0B8B"/>
    <w:rsid w:val="000D0CFE"/>
    <w:rsid w:val="000D0E15"/>
    <w:rsid w:val="000D0F6E"/>
    <w:rsid w:val="000D130A"/>
    <w:rsid w:val="000D135F"/>
    <w:rsid w:val="000D13AB"/>
    <w:rsid w:val="000D141F"/>
    <w:rsid w:val="000D150C"/>
    <w:rsid w:val="000D19AC"/>
    <w:rsid w:val="000D19FC"/>
    <w:rsid w:val="000D1C13"/>
    <w:rsid w:val="000D1C79"/>
    <w:rsid w:val="000D1ECF"/>
    <w:rsid w:val="000D2077"/>
    <w:rsid w:val="000D2078"/>
    <w:rsid w:val="000D2372"/>
    <w:rsid w:val="000D23C3"/>
    <w:rsid w:val="000D25B2"/>
    <w:rsid w:val="000D2877"/>
    <w:rsid w:val="000D28A9"/>
    <w:rsid w:val="000D2A52"/>
    <w:rsid w:val="000D2A69"/>
    <w:rsid w:val="000D2DD7"/>
    <w:rsid w:val="000D2E1C"/>
    <w:rsid w:val="000D3010"/>
    <w:rsid w:val="000D305B"/>
    <w:rsid w:val="000D329F"/>
    <w:rsid w:val="000D3608"/>
    <w:rsid w:val="000D3AE1"/>
    <w:rsid w:val="000D3C85"/>
    <w:rsid w:val="000D40EC"/>
    <w:rsid w:val="000D437D"/>
    <w:rsid w:val="000D4B39"/>
    <w:rsid w:val="000D4BCC"/>
    <w:rsid w:val="000D4BED"/>
    <w:rsid w:val="000D4D5E"/>
    <w:rsid w:val="000D4DB4"/>
    <w:rsid w:val="000D4EA1"/>
    <w:rsid w:val="000D552C"/>
    <w:rsid w:val="000D565D"/>
    <w:rsid w:val="000D5815"/>
    <w:rsid w:val="000D59CB"/>
    <w:rsid w:val="000D5A07"/>
    <w:rsid w:val="000D5B16"/>
    <w:rsid w:val="000D5B21"/>
    <w:rsid w:val="000D5B55"/>
    <w:rsid w:val="000D5BF9"/>
    <w:rsid w:val="000D5CA3"/>
    <w:rsid w:val="000D5D38"/>
    <w:rsid w:val="000D5E63"/>
    <w:rsid w:val="000D62AA"/>
    <w:rsid w:val="000D63B1"/>
    <w:rsid w:val="000D66A1"/>
    <w:rsid w:val="000D66A6"/>
    <w:rsid w:val="000D6757"/>
    <w:rsid w:val="000D6D69"/>
    <w:rsid w:val="000D6F25"/>
    <w:rsid w:val="000D71FB"/>
    <w:rsid w:val="000D75CB"/>
    <w:rsid w:val="000D7705"/>
    <w:rsid w:val="000D771E"/>
    <w:rsid w:val="000D7752"/>
    <w:rsid w:val="000D77CF"/>
    <w:rsid w:val="000D784E"/>
    <w:rsid w:val="000D790A"/>
    <w:rsid w:val="000D7FA0"/>
    <w:rsid w:val="000E022D"/>
    <w:rsid w:val="000E0371"/>
    <w:rsid w:val="000E03A7"/>
    <w:rsid w:val="000E0474"/>
    <w:rsid w:val="000E054C"/>
    <w:rsid w:val="000E0589"/>
    <w:rsid w:val="000E05F1"/>
    <w:rsid w:val="000E05FE"/>
    <w:rsid w:val="000E0636"/>
    <w:rsid w:val="000E0B42"/>
    <w:rsid w:val="000E0DD4"/>
    <w:rsid w:val="000E0F86"/>
    <w:rsid w:val="000E112B"/>
    <w:rsid w:val="000E14E3"/>
    <w:rsid w:val="000E162B"/>
    <w:rsid w:val="000E1ADB"/>
    <w:rsid w:val="000E1B8B"/>
    <w:rsid w:val="000E1C83"/>
    <w:rsid w:val="000E1D59"/>
    <w:rsid w:val="000E1D87"/>
    <w:rsid w:val="000E26AC"/>
    <w:rsid w:val="000E2793"/>
    <w:rsid w:val="000E27A4"/>
    <w:rsid w:val="000E27DF"/>
    <w:rsid w:val="000E283C"/>
    <w:rsid w:val="000E2977"/>
    <w:rsid w:val="000E2A28"/>
    <w:rsid w:val="000E2AC9"/>
    <w:rsid w:val="000E2AF1"/>
    <w:rsid w:val="000E2B17"/>
    <w:rsid w:val="000E2FB9"/>
    <w:rsid w:val="000E331D"/>
    <w:rsid w:val="000E33D5"/>
    <w:rsid w:val="000E3427"/>
    <w:rsid w:val="000E350A"/>
    <w:rsid w:val="000E359B"/>
    <w:rsid w:val="000E361E"/>
    <w:rsid w:val="000E4009"/>
    <w:rsid w:val="000E43D6"/>
    <w:rsid w:val="000E4E74"/>
    <w:rsid w:val="000E4F78"/>
    <w:rsid w:val="000E4FC2"/>
    <w:rsid w:val="000E53DC"/>
    <w:rsid w:val="000E545A"/>
    <w:rsid w:val="000E56F0"/>
    <w:rsid w:val="000E58B1"/>
    <w:rsid w:val="000E58C4"/>
    <w:rsid w:val="000E5A34"/>
    <w:rsid w:val="000E5D31"/>
    <w:rsid w:val="000E5D68"/>
    <w:rsid w:val="000E5DFD"/>
    <w:rsid w:val="000E5E0E"/>
    <w:rsid w:val="000E5E7B"/>
    <w:rsid w:val="000E6643"/>
    <w:rsid w:val="000E6667"/>
    <w:rsid w:val="000E66AD"/>
    <w:rsid w:val="000E67B7"/>
    <w:rsid w:val="000E6879"/>
    <w:rsid w:val="000E6AA8"/>
    <w:rsid w:val="000E6BBA"/>
    <w:rsid w:val="000E6CDC"/>
    <w:rsid w:val="000E6EAA"/>
    <w:rsid w:val="000E6EB1"/>
    <w:rsid w:val="000E6F51"/>
    <w:rsid w:val="000E701C"/>
    <w:rsid w:val="000E70E2"/>
    <w:rsid w:val="000E7154"/>
    <w:rsid w:val="000E715E"/>
    <w:rsid w:val="000E7173"/>
    <w:rsid w:val="000E72A9"/>
    <w:rsid w:val="000E7971"/>
    <w:rsid w:val="000E7D4D"/>
    <w:rsid w:val="000E7E01"/>
    <w:rsid w:val="000F0179"/>
    <w:rsid w:val="000F0284"/>
    <w:rsid w:val="000F04E7"/>
    <w:rsid w:val="000F06C3"/>
    <w:rsid w:val="000F0762"/>
    <w:rsid w:val="000F07C1"/>
    <w:rsid w:val="000F0BB8"/>
    <w:rsid w:val="000F118E"/>
    <w:rsid w:val="000F1471"/>
    <w:rsid w:val="000F1762"/>
    <w:rsid w:val="000F184D"/>
    <w:rsid w:val="000F1891"/>
    <w:rsid w:val="000F1A41"/>
    <w:rsid w:val="000F1A59"/>
    <w:rsid w:val="000F1EF8"/>
    <w:rsid w:val="000F2019"/>
    <w:rsid w:val="000F215F"/>
    <w:rsid w:val="000F235A"/>
    <w:rsid w:val="000F236F"/>
    <w:rsid w:val="000F255C"/>
    <w:rsid w:val="000F2788"/>
    <w:rsid w:val="000F27D7"/>
    <w:rsid w:val="000F29F8"/>
    <w:rsid w:val="000F2D76"/>
    <w:rsid w:val="000F3004"/>
    <w:rsid w:val="000F30DA"/>
    <w:rsid w:val="000F30ED"/>
    <w:rsid w:val="000F31F1"/>
    <w:rsid w:val="000F32F5"/>
    <w:rsid w:val="000F34F0"/>
    <w:rsid w:val="000F36AF"/>
    <w:rsid w:val="000F371B"/>
    <w:rsid w:val="000F3743"/>
    <w:rsid w:val="000F39CC"/>
    <w:rsid w:val="000F3A91"/>
    <w:rsid w:val="000F414A"/>
    <w:rsid w:val="000F4239"/>
    <w:rsid w:val="000F4384"/>
    <w:rsid w:val="000F43DD"/>
    <w:rsid w:val="000F4609"/>
    <w:rsid w:val="000F468A"/>
    <w:rsid w:val="000F46AB"/>
    <w:rsid w:val="000F47C2"/>
    <w:rsid w:val="000F4C7C"/>
    <w:rsid w:val="000F4D33"/>
    <w:rsid w:val="000F4E4F"/>
    <w:rsid w:val="000F4EEA"/>
    <w:rsid w:val="000F526E"/>
    <w:rsid w:val="000F5279"/>
    <w:rsid w:val="000F5A41"/>
    <w:rsid w:val="000F5BBC"/>
    <w:rsid w:val="000F5D19"/>
    <w:rsid w:val="000F5E75"/>
    <w:rsid w:val="000F6408"/>
    <w:rsid w:val="000F65BC"/>
    <w:rsid w:val="000F667E"/>
    <w:rsid w:val="000F669A"/>
    <w:rsid w:val="000F68B6"/>
    <w:rsid w:val="000F6A52"/>
    <w:rsid w:val="000F6B3B"/>
    <w:rsid w:val="000F6B8C"/>
    <w:rsid w:val="000F6DB9"/>
    <w:rsid w:val="000F6E28"/>
    <w:rsid w:val="000F6F15"/>
    <w:rsid w:val="000F712D"/>
    <w:rsid w:val="000F7687"/>
    <w:rsid w:val="000F7782"/>
    <w:rsid w:val="000F78D2"/>
    <w:rsid w:val="000F7A86"/>
    <w:rsid w:val="000F7B3B"/>
    <w:rsid w:val="000F7BA3"/>
    <w:rsid w:val="000F7C57"/>
    <w:rsid w:val="000F7DEA"/>
    <w:rsid w:val="000F7ED2"/>
    <w:rsid w:val="00100003"/>
    <w:rsid w:val="00100362"/>
    <w:rsid w:val="001005E7"/>
    <w:rsid w:val="00100688"/>
    <w:rsid w:val="001009CB"/>
    <w:rsid w:val="00100BD0"/>
    <w:rsid w:val="00101157"/>
    <w:rsid w:val="00101581"/>
    <w:rsid w:val="001016B9"/>
    <w:rsid w:val="0010183B"/>
    <w:rsid w:val="001018D9"/>
    <w:rsid w:val="0010199D"/>
    <w:rsid w:val="00101B5A"/>
    <w:rsid w:val="00101EB1"/>
    <w:rsid w:val="00101F6D"/>
    <w:rsid w:val="00101F8D"/>
    <w:rsid w:val="0010210F"/>
    <w:rsid w:val="00102284"/>
    <w:rsid w:val="00102524"/>
    <w:rsid w:val="001027D7"/>
    <w:rsid w:val="001027EE"/>
    <w:rsid w:val="00102D1E"/>
    <w:rsid w:val="00102E84"/>
    <w:rsid w:val="00102E8F"/>
    <w:rsid w:val="00102F82"/>
    <w:rsid w:val="00103002"/>
    <w:rsid w:val="00103119"/>
    <w:rsid w:val="00103305"/>
    <w:rsid w:val="00103697"/>
    <w:rsid w:val="0010375C"/>
    <w:rsid w:val="00103B08"/>
    <w:rsid w:val="00103BE3"/>
    <w:rsid w:val="00104162"/>
    <w:rsid w:val="001042F4"/>
    <w:rsid w:val="001042FF"/>
    <w:rsid w:val="00104605"/>
    <w:rsid w:val="001046FB"/>
    <w:rsid w:val="00104D12"/>
    <w:rsid w:val="001050A5"/>
    <w:rsid w:val="00105328"/>
    <w:rsid w:val="00105401"/>
    <w:rsid w:val="0010551E"/>
    <w:rsid w:val="001056F1"/>
    <w:rsid w:val="001058FB"/>
    <w:rsid w:val="00105920"/>
    <w:rsid w:val="00105CBA"/>
    <w:rsid w:val="00105DDF"/>
    <w:rsid w:val="00105ED6"/>
    <w:rsid w:val="001060E4"/>
    <w:rsid w:val="0010617C"/>
    <w:rsid w:val="00106222"/>
    <w:rsid w:val="001062E1"/>
    <w:rsid w:val="00106997"/>
    <w:rsid w:val="001069DC"/>
    <w:rsid w:val="00106BC8"/>
    <w:rsid w:val="00106C68"/>
    <w:rsid w:val="00107462"/>
    <w:rsid w:val="00107675"/>
    <w:rsid w:val="00107677"/>
    <w:rsid w:val="00107734"/>
    <w:rsid w:val="001077B3"/>
    <w:rsid w:val="00107A54"/>
    <w:rsid w:val="00107D1B"/>
    <w:rsid w:val="00107F51"/>
    <w:rsid w:val="0011000D"/>
    <w:rsid w:val="001101AE"/>
    <w:rsid w:val="001101F1"/>
    <w:rsid w:val="00110291"/>
    <w:rsid w:val="001103DB"/>
    <w:rsid w:val="00110474"/>
    <w:rsid w:val="0011057F"/>
    <w:rsid w:val="00110B7C"/>
    <w:rsid w:val="00110B8C"/>
    <w:rsid w:val="001110E4"/>
    <w:rsid w:val="0011113D"/>
    <w:rsid w:val="0011123D"/>
    <w:rsid w:val="00111782"/>
    <w:rsid w:val="00111A05"/>
    <w:rsid w:val="00111A1B"/>
    <w:rsid w:val="00112654"/>
    <w:rsid w:val="00112670"/>
    <w:rsid w:val="0011287A"/>
    <w:rsid w:val="00112957"/>
    <w:rsid w:val="001129C2"/>
    <w:rsid w:val="001129D0"/>
    <w:rsid w:val="00112AA6"/>
    <w:rsid w:val="00112BEB"/>
    <w:rsid w:val="001132E6"/>
    <w:rsid w:val="00113589"/>
    <w:rsid w:val="00113929"/>
    <w:rsid w:val="00113D1E"/>
    <w:rsid w:val="00113E1A"/>
    <w:rsid w:val="00113EBA"/>
    <w:rsid w:val="00114043"/>
    <w:rsid w:val="00114775"/>
    <w:rsid w:val="00114935"/>
    <w:rsid w:val="00114958"/>
    <w:rsid w:val="00114992"/>
    <w:rsid w:val="00114A8C"/>
    <w:rsid w:val="00115096"/>
    <w:rsid w:val="001152CA"/>
    <w:rsid w:val="001152E1"/>
    <w:rsid w:val="001154D6"/>
    <w:rsid w:val="00115566"/>
    <w:rsid w:val="00115681"/>
    <w:rsid w:val="00115A54"/>
    <w:rsid w:val="00115CB9"/>
    <w:rsid w:val="00115E54"/>
    <w:rsid w:val="00115E65"/>
    <w:rsid w:val="00115F3D"/>
    <w:rsid w:val="00115F5E"/>
    <w:rsid w:val="001161AB"/>
    <w:rsid w:val="001162EE"/>
    <w:rsid w:val="001163CD"/>
    <w:rsid w:val="001164E9"/>
    <w:rsid w:val="00116638"/>
    <w:rsid w:val="00116C65"/>
    <w:rsid w:val="00116C9D"/>
    <w:rsid w:val="00116D07"/>
    <w:rsid w:val="00117118"/>
    <w:rsid w:val="00117149"/>
    <w:rsid w:val="00117199"/>
    <w:rsid w:val="001171BC"/>
    <w:rsid w:val="001172B8"/>
    <w:rsid w:val="00117838"/>
    <w:rsid w:val="001179A2"/>
    <w:rsid w:val="00117B6C"/>
    <w:rsid w:val="00117B7B"/>
    <w:rsid w:val="00120019"/>
    <w:rsid w:val="001201E0"/>
    <w:rsid w:val="0012026B"/>
    <w:rsid w:val="001202C3"/>
    <w:rsid w:val="00120322"/>
    <w:rsid w:val="00120332"/>
    <w:rsid w:val="001205A6"/>
    <w:rsid w:val="00120603"/>
    <w:rsid w:val="00120670"/>
    <w:rsid w:val="0012076C"/>
    <w:rsid w:val="0012086A"/>
    <w:rsid w:val="00120913"/>
    <w:rsid w:val="00120D83"/>
    <w:rsid w:val="00120D97"/>
    <w:rsid w:val="00120F19"/>
    <w:rsid w:val="0012115D"/>
    <w:rsid w:val="001211E6"/>
    <w:rsid w:val="0012120A"/>
    <w:rsid w:val="00121240"/>
    <w:rsid w:val="00121374"/>
    <w:rsid w:val="00121543"/>
    <w:rsid w:val="001217C4"/>
    <w:rsid w:val="0012181D"/>
    <w:rsid w:val="00121946"/>
    <w:rsid w:val="0012199F"/>
    <w:rsid w:val="00121A1A"/>
    <w:rsid w:val="00122169"/>
    <w:rsid w:val="00122177"/>
    <w:rsid w:val="001223C7"/>
    <w:rsid w:val="00122492"/>
    <w:rsid w:val="001226F4"/>
    <w:rsid w:val="00122739"/>
    <w:rsid w:val="001227D2"/>
    <w:rsid w:val="001229C6"/>
    <w:rsid w:val="00122D2A"/>
    <w:rsid w:val="00122DE3"/>
    <w:rsid w:val="00122E7A"/>
    <w:rsid w:val="00122FBB"/>
    <w:rsid w:val="001230B4"/>
    <w:rsid w:val="00123493"/>
    <w:rsid w:val="001236F6"/>
    <w:rsid w:val="00123E9F"/>
    <w:rsid w:val="00123ED6"/>
    <w:rsid w:val="00123F44"/>
    <w:rsid w:val="001242D3"/>
    <w:rsid w:val="00124351"/>
    <w:rsid w:val="00124402"/>
    <w:rsid w:val="00124694"/>
    <w:rsid w:val="00124744"/>
    <w:rsid w:val="00124887"/>
    <w:rsid w:val="00124A5C"/>
    <w:rsid w:val="00124BC0"/>
    <w:rsid w:val="0012506C"/>
    <w:rsid w:val="001250B8"/>
    <w:rsid w:val="001254A0"/>
    <w:rsid w:val="001256F5"/>
    <w:rsid w:val="0012588A"/>
    <w:rsid w:val="00125C5E"/>
    <w:rsid w:val="00125C9D"/>
    <w:rsid w:val="00125CDD"/>
    <w:rsid w:val="00125FA1"/>
    <w:rsid w:val="001260B7"/>
    <w:rsid w:val="0012619D"/>
    <w:rsid w:val="00126483"/>
    <w:rsid w:val="001267D4"/>
    <w:rsid w:val="00126F1A"/>
    <w:rsid w:val="00126F76"/>
    <w:rsid w:val="00127210"/>
    <w:rsid w:val="00127255"/>
    <w:rsid w:val="00127305"/>
    <w:rsid w:val="0012736B"/>
    <w:rsid w:val="001279D2"/>
    <w:rsid w:val="00127AC9"/>
    <w:rsid w:val="00127C2B"/>
    <w:rsid w:val="00127D4B"/>
    <w:rsid w:val="00127D87"/>
    <w:rsid w:val="00127D8A"/>
    <w:rsid w:val="00127FCC"/>
    <w:rsid w:val="0013071F"/>
    <w:rsid w:val="00130781"/>
    <w:rsid w:val="00130D05"/>
    <w:rsid w:val="00130E68"/>
    <w:rsid w:val="00130EE5"/>
    <w:rsid w:val="00131137"/>
    <w:rsid w:val="00131154"/>
    <w:rsid w:val="001313EA"/>
    <w:rsid w:val="001315C0"/>
    <w:rsid w:val="001316CC"/>
    <w:rsid w:val="001316DA"/>
    <w:rsid w:val="00131831"/>
    <w:rsid w:val="0013191B"/>
    <w:rsid w:val="00131A90"/>
    <w:rsid w:val="00131C55"/>
    <w:rsid w:val="00131CC0"/>
    <w:rsid w:val="00132059"/>
    <w:rsid w:val="00132107"/>
    <w:rsid w:val="0013212E"/>
    <w:rsid w:val="00132659"/>
    <w:rsid w:val="00132B56"/>
    <w:rsid w:val="00132C94"/>
    <w:rsid w:val="00132CEB"/>
    <w:rsid w:val="00132E3B"/>
    <w:rsid w:val="00132FFD"/>
    <w:rsid w:val="00133329"/>
    <w:rsid w:val="00133573"/>
    <w:rsid w:val="00133A0D"/>
    <w:rsid w:val="00134130"/>
    <w:rsid w:val="00134350"/>
    <w:rsid w:val="001343B4"/>
    <w:rsid w:val="0013452D"/>
    <w:rsid w:val="00134587"/>
    <w:rsid w:val="001345D6"/>
    <w:rsid w:val="001347E4"/>
    <w:rsid w:val="001347F9"/>
    <w:rsid w:val="00134834"/>
    <w:rsid w:val="001348F8"/>
    <w:rsid w:val="001349B6"/>
    <w:rsid w:val="00134C14"/>
    <w:rsid w:val="00134FB1"/>
    <w:rsid w:val="001350A2"/>
    <w:rsid w:val="00135162"/>
    <w:rsid w:val="001351B8"/>
    <w:rsid w:val="00135277"/>
    <w:rsid w:val="00135338"/>
    <w:rsid w:val="001355C6"/>
    <w:rsid w:val="00135692"/>
    <w:rsid w:val="00135739"/>
    <w:rsid w:val="001358FF"/>
    <w:rsid w:val="001359F7"/>
    <w:rsid w:val="00135A58"/>
    <w:rsid w:val="00135AF3"/>
    <w:rsid w:val="00135B8C"/>
    <w:rsid w:val="00135C1B"/>
    <w:rsid w:val="00135E4B"/>
    <w:rsid w:val="00136208"/>
    <w:rsid w:val="001366E7"/>
    <w:rsid w:val="0013674A"/>
    <w:rsid w:val="0013694C"/>
    <w:rsid w:val="00136A63"/>
    <w:rsid w:val="00136BF7"/>
    <w:rsid w:val="00136D31"/>
    <w:rsid w:val="0013704B"/>
    <w:rsid w:val="001370C3"/>
    <w:rsid w:val="00137157"/>
    <w:rsid w:val="00137261"/>
    <w:rsid w:val="001372A2"/>
    <w:rsid w:val="001373A8"/>
    <w:rsid w:val="001374FB"/>
    <w:rsid w:val="00137532"/>
    <w:rsid w:val="00137604"/>
    <w:rsid w:val="00137644"/>
    <w:rsid w:val="001379E5"/>
    <w:rsid w:val="00137BD4"/>
    <w:rsid w:val="00137F7F"/>
    <w:rsid w:val="0014006F"/>
    <w:rsid w:val="00140094"/>
    <w:rsid w:val="00140861"/>
    <w:rsid w:val="00140B53"/>
    <w:rsid w:val="00140B78"/>
    <w:rsid w:val="00140B7D"/>
    <w:rsid w:val="00140D12"/>
    <w:rsid w:val="00140EC7"/>
    <w:rsid w:val="00140F55"/>
    <w:rsid w:val="00141455"/>
    <w:rsid w:val="0014162B"/>
    <w:rsid w:val="00141646"/>
    <w:rsid w:val="0014198B"/>
    <w:rsid w:val="00141C49"/>
    <w:rsid w:val="00141CBF"/>
    <w:rsid w:val="00141FBF"/>
    <w:rsid w:val="00142254"/>
    <w:rsid w:val="00142554"/>
    <w:rsid w:val="001428EB"/>
    <w:rsid w:val="00142AF7"/>
    <w:rsid w:val="00142E5A"/>
    <w:rsid w:val="00143189"/>
    <w:rsid w:val="0014330B"/>
    <w:rsid w:val="00143636"/>
    <w:rsid w:val="00143700"/>
    <w:rsid w:val="0014390B"/>
    <w:rsid w:val="00143A67"/>
    <w:rsid w:val="00143B95"/>
    <w:rsid w:val="00143B98"/>
    <w:rsid w:val="00143CE6"/>
    <w:rsid w:val="00143CFC"/>
    <w:rsid w:val="00143F82"/>
    <w:rsid w:val="001441B3"/>
    <w:rsid w:val="00144229"/>
    <w:rsid w:val="001442AA"/>
    <w:rsid w:val="00144393"/>
    <w:rsid w:val="00144A4D"/>
    <w:rsid w:val="00144BEB"/>
    <w:rsid w:val="00144EA5"/>
    <w:rsid w:val="001450D2"/>
    <w:rsid w:val="001451AA"/>
    <w:rsid w:val="00145251"/>
    <w:rsid w:val="0014588E"/>
    <w:rsid w:val="001458AE"/>
    <w:rsid w:val="0014594E"/>
    <w:rsid w:val="00145C18"/>
    <w:rsid w:val="00145FBA"/>
    <w:rsid w:val="001463D1"/>
    <w:rsid w:val="001464B8"/>
    <w:rsid w:val="00146632"/>
    <w:rsid w:val="001467B4"/>
    <w:rsid w:val="00146DA9"/>
    <w:rsid w:val="00146DD6"/>
    <w:rsid w:val="0014706E"/>
    <w:rsid w:val="0014712C"/>
    <w:rsid w:val="00147177"/>
    <w:rsid w:val="00147314"/>
    <w:rsid w:val="001474B5"/>
    <w:rsid w:val="00147529"/>
    <w:rsid w:val="0014776B"/>
    <w:rsid w:val="001478C2"/>
    <w:rsid w:val="00147923"/>
    <w:rsid w:val="001479F6"/>
    <w:rsid w:val="00147C07"/>
    <w:rsid w:val="00147FAF"/>
    <w:rsid w:val="00150282"/>
    <w:rsid w:val="0015046F"/>
    <w:rsid w:val="00150534"/>
    <w:rsid w:val="001505F0"/>
    <w:rsid w:val="00150638"/>
    <w:rsid w:val="00150CEE"/>
    <w:rsid w:val="00150EC5"/>
    <w:rsid w:val="0015101C"/>
    <w:rsid w:val="00151072"/>
    <w:rsid w:val="001512FD"/>
    <w:rsid w:val="00151332"/>
    <w:rsid w:val="001514D3"/>
    <w:rsid w:val="001516FD"/>
    <w:rsid w:val="00151A54"/>
    <w:rsid w:val="00151BDD"/>
    <w:rsid w:val="00151D3D"/>
    <w:rsid w:val="00151D7C"/>
    <w:rsid w:val="00152184"/>
    <w:rsid w:val="00152674"/>
    <w:rsid w:val="00152832"/>
    <w:rsid w:val="00152871"/>
    <w:rsid w:val="001528A4"/>
    <w:rsid w:val="001528BA"/>
    <w:rsid w:val="00152A89"/>
    <w:rsid w:val="00152BD2"/>
    <w:rsid w:val="00152D44"/>
    <w:rsid w:val="00152EBE"/>
    <w:rsid w:val="001530F7"/>
    <w:rsid w:val="00153164"/>
    <w:rsid w:val="0015325F"/>
    <w:rsid w:val="0015335B"/>
    <w:rsid w:val="00153415"/>
    <w:rsid w:val="00153828"/>
    <w:rsid w:val="0015382C"/>
    <w:rsid w:val="00153C12"/>
    <w:rsid w:val="00153C7C"/>
    <w:rsid w:val="00153CD9"/>
    <w:rsid w:val="00153F22"/>
    <w:rsid w:val="00153F43"/>
    <w:rsid w:val="00154102"/>
    <w:rsid w:val="0015452C"/>
    <w:rsid w:val="0015469F"/>
    <w:rsid w:val="00154837"/>
    <w:rsid w:val="001548DB"/>
    <w:rsid w:val="00154B96"/>
    <w:rsid w:val="001551C7"/>
    <w:rsid w:val="00155236"/>
    <w:rsid w:val="0015550A"/>
    <w:rsid w:val="0015563B"/>
    <w:rsid w:val="00155809"/>
    <w:rsid w:val="00155AAB"/>
    <w:rsid w:val="00155C20"/>
    <w:rsid w:val="00155D06"/>
    <w:rsid w:val="00155F48"/>
    <w:rsid w:val="00156021"/>
    <w:rsid w:val="00156111"/>
    <w:rsid w:val="0015635D"/>
    <w:rsid w:val="0015667F"/>
    <w:rsid w:val="00156723"/>
    <w:rsid w:val="0015685E"/>
    <w:rsid w:val="00156AEF"/>
    <w:rsid w:val="00156D86"/>
    <w:rsid w:val="00156DAC"/>
    <w:rsid w:val="00156F77"/>
    <w:rsid w:val="00156F85"/>
    <w:rsid w:val="0015710B"/>
    <w:rsid w:val="00157111"/>
    <w:rsid w:val="001573EA"/>
    <w:rsid w:val="00157516"/>
    <w:rsid w:val="001575BF"/>
    <w:rsid w:val="00157746"/>
    <w:rsid w:val="00157A40"/>
    <w:rsid w:val="00157A60"/>
    <w:rsid w:val="00157DD2"/>
    <w:rsid w:val="00160025"/>
    <w:rsid w:val="001602EF"/>
    <w:rsid w:val="0016038F"/>
    <w:rsid w:val="001603A8"/>
    <w:rsid w:val="001608A5"/>
    <w:rsid w:val="001608FA"/>
    <w:rsid w:val="00160948"/>
    <w:rsid w:val="0016095F"/>
    <w:rsid w:val="00160AD1"/>
    <w:rsid w:val="00160B61"/>
    <w:rsid w:val="00160CA5"/>
    <w:rsid w:val="00161417"/>
    <w:rsid w:val="001614F9"/>
    <w:rsid w:val="00161893"/>
    <w:rsid w:val="001618D6"/>
    <w:rsid w:val="001618E9"/>
    <w:rsid w:val="00161A6D"/>
    <w:rsid w:val="00161B1E"/>
    <w:rsid w:val="00161C5D"/>
    <w:rsid w:val="00161CBA"/>
    <w:rsid w:val="00161F1E"/>
    <w:rsid w:val="00161F7D"/>
    <w:rsid w:val="00162096"/>
    <w:rsid w:val="00162129"/>
    <w:rsid w:val="0016229D"/>
    <w:rsid w:val="001623C3"/>
    <w:rsid w:val="00162622"/>
    <w:rsid w:val="001628A7"/>
    <w:rsid w:val="0016292D"/>
    <w:rsid w:val="00162971"/>
    <w:rsid w:val="001629F2"/>
    <w:rsid w:val="00162B6E"/>
    <w:rsid w:val="00162D72"/>
    <w:rsid w:val="00162E51"/>
    <w:rsid w:val="00163233"/>
    <w:rsid w:val="001633CC"/>
    <w:rsid w:val="0016340F"/>
    <w:rsid w:val="0016354E"/>
    <w:rsid w:val="00163842"/>
    <w:rsid w:val="00163D36"/>
    <w:rsid w:val="0016421B"/>
    <w:rsid w:val="00164414"/>
    <w:rsid w:val="0016455D"/>
    <w:rsid w:val="00164A57"/>
    <w:rsid w:val="00164EB2"/>
    <w:rsid w:val="0016553A"/>
    <w:rsid w:val="0016586F"/>
    <w:rsid w:val="00165C0D"/>
    <w:rsid w:val="00165C83"/>
    <w:rsid w:val="00165D59"/>
    <w:rsid w:val="00165FF4"/>
    <w:rsid w:val="00166072"/>
    <w:rsid w:val="001662C8"/>
    <w:rsid w:val="00166338"/>
    <w:rsid w:val="0016668A"/>
    <w:rsid w:val="0016690E"/>
    <w:rsid w:val="00166AFF"/>
    <w:rsid w:val="00166B96"/>
    <w:rsid w:val="001671BF"/>
    <w:rsid w:val="00167356"/>
    <w:rsid w:val="001676A6"/>
    <w:rsid w:val="00167B9A"/>
    <w:rsid w:val="00167C10"/>
    <w:rsid w:val="00170079"/>
    <w:rsid w:val="001701A7"/>
    <w:rsid w:val="00170273"/>
    <w:rsid w:val="001703C5"/>
    <w:rsid w:val="001703F8"/>
    <w:rsid w:val="001704A6"/>
    <w:rsid w:val="001705E5"/>
    <w:rsid w:val="001706F4"/>
    <w:rsid w:val="001707D7"/>
    <w:rsid w:val="0017098F"/>
    <w:rsid w:val="00170A0A"/>
    <w:rsid w:val="00170A3E"/>
    <w:rsid w:val="00170AC0"/>
    <w:rsid w:val="00170ADA"/>
    <w:rsid w:val="00170CC9"/>
    <w:rsid w:val="00170D54"/>
    <w:rsid w:val="00170F14"/>
    <w:rsid w:val="00171180"/>
    <w:rsid w:val="0017130E"/>
    <w:rsid w:val="00171390"/>
    <w:rsid w:val="001713BB"/>
    <w:rsid w:val="00171859"/>
    <w:rsid w:val="00171D1C"/>
    <w:rsid w:val="00171F0A"/>
    <w:rsid w:val="0017206A"/>
    <w:rsid w:val="001721B7"/>
    <w:rsid w:val="0017227B"/>
    <w:rsid w:val="0017231D"/>
    <w:rsid w:val="001726BC"/>
    <w:rsid w:val="001727FE"/>
    <w:rsid w:val="001729B6"/>
    <w:rsid w:val="00172C3E"/>
    <w:rsid w:val="00172F17"/>
    <w:rsid w:val="0017310A"/>
    <w:rsid w:val="0017316C"/>
    <w:rsid w:val="001732A9"/>
    <w:rsid w:val="001732CA"/>
    <w:rsid w:val="001733A2"/>
    <w:rsid w:val="001734D3"/>
    <w:rsid w:val="001735DF"/>
    <w:rsid w:val="0017368C"/>
    <w:rsid w:val="001736A1"/>
    <w:rsid w:val="001736BE"/>
    <w:rsid w:val="00173787"/>
    <w:rsid w:val="001737AF"/>
    <w:rsid w:val="0017389C"/>
    <w:rsid w:val="0017391F"/>
    <w:rsid w:val="00173B6B"/>
    <w:rsid w:val="00173B8F"/>
    <w:rsid w:val="00173BBE"/>
    <w:rsid w:val="00173C34"/>
    <w:rsid w:val="00173D29"/>
    <w:rsid w:val="00173EF2"/>
    <w:rsid w:val="00174180"/>
    <w:rsid w:val="0017451F"/>
    <w:rsid w:val="0017455A"/>
    <w:rsid w:val="001745C4"/>
    <w:rsid w:val="0017462D"/>
    <w:rsid w:val="0017465A"/>
    <w:rsid w:val="00174765"/>
    <w:rsid w:val="00174818"/>
    <w:rsid w:val="00174AF2"/>
    <w:rsid w:val="00174B05"/>
    <w:rsid w:val="00174B46"/>
    <w:rsid w:val="00174CD9"/>
    <w:rsid w:val="00174E67"/>
    <w:rsid w:val="00174FEE"/>
    <w:rsid w:val="001752F1"/>
    <w:rsid w:val="001753A3"/>
    <w:rsid w:val="00175497"/>
    <w:rsid w:val="0017549D"/>
    <w:rsid w:val="001759A4"/>
    <w:rsid w:val="00175AFE"/>
    <w:rsid w:val="00175E23"/>
    <w:rsid w:val="00175E63"/>
    <w:rsid w:val="0017600E"/>
    <w:rsid w:val="00176158"/>
    <w:rsid w:val="00176275"/>
    <w:rsid w:val="00176281"/>
    <w:rsid w:val="00176369"/>
    <w:rsid w:val="001765A0"/>
    <w:rsid w:val="00176CF5"/>
    <w:rsid w:val="00176D32"/>
    <w:rsid w:val="00176D5D"/>
    <w:rsid w:val="00176F1A"/>
    <w:rsid w:val="00177168"/>
    <w:rsid w:val="00177436"/>
    <w:rsid w:val="00177540"/>
    <w:rsid w:val="001776EE"/>
    <w:rsid w:val="00177A4D"/>
    <w:rsid w:val="00177EA5"/>
    <w:rsid w:val="00180022"/>
    <w:rsid w:val="00180075"/>
    <w:rsid w:val="00180275"/>
    <w:rsid w:val="001802E5"/>
    <w:rsid w:val="0018036A"/>
    <w:rsid w:val="001805A0"/>
    <w:rsid w:val="00180A45"/>
    <w:rsid w:val="00180EE8"/>
    <w:rsid w:val="0018121B"/>
    <w:rsid w:val="0018138F"/>
    <w:rsid w:val="0018153D"/>
    <w:rsid w:val="001815C4"/>
    <w:rsid w:val="0018160A"/>
    <w:rsid w:val="00181691"/>
    <w:rsid w:val="001816F8"/>
    <w:rsid w:val="0018170A"/>
    <w:rsid w:val="001817DF"/>
    <w:rsid w:val="001818ED"/>
    <w:rsid w:val="00181950"/>
    <w:rsid w:val="00181B75"/>
    <w:rsid w:val="00181C3D"/>
    <w:rsid w:val="00181C5F"/>
    <w:rsid w:val="00181D29"/>
    <w:rsid w:val="001820C1"/>
    <w:rsid w:val="001823AA"/>
    <w:rsid w:val="00182799"/>
    <w:rsid w:val="001829DA"/>
    <w:rsid w:val="00182B23"/>
    <w:rsid w:val="00182D8E"/>
    <w:rsid w:val="00182E6D"/>
    <w:rsid w:val="00182E93"/>
    <w:rsid w:val="00182F7A"/>
    <w:rsid w:val="001830FF"/>
    <w:rsid w:val="001831BB"/>
    <w:rsid w:val="00183257"/>
    <w:rsid w:val="00183687"/>
    <w:rsid w:val="0018373C"/>
    <w:rsid w:val="00183775"/>
    <w:rsid w:val="00183A05"/>
    <w:rsid w:val="00183D09"/>
    <w:rsid w:val="00183D6F"/>
    <w:rsid w:val="00183ED0"/>
    <w:rsid w:val="00183F73"/>
    <w:rsid w:val="00184013"/>
    <w:rsid w:val="001841CE"/>
    <w:rsid w:val="001842D4"/>
    <w:rsid w:val="001844CB"/>
    <w:rsid w:val="001849A8"/>
    <w:rsid w:val="00184B33"/>
    <w:rsid w:val="00184C44"/>
    <w:rsid w:val="00184E33"/>
    <w:rsid w:val="00184E61"/>
    <w:rsid w:val="00184F2E"/>
    <w:rsid w:val="00185266"/>
    <w:rsid w:val="0018572C"/>
    <w:rsid w:val="001859BA"/>
    <w:rsid w:val="00185DC3"/>
    <w:rsid w:val="0018601D"/>
    <w:rsid w:val="00186029"/>
    <w:rsid w:val="0018627E"/>
    <w:rsid w:val="001865EB"/>
    <w:rsid w:val="0018666C"/>
    <w:rsid w:val="001867BA"/>
    <w:rsid w:val="001869C6"/>
    <w:rsid w:val="001869DD"/>
    <w:rsid w:val="00186C48"/>
    <w:rsid w:val="00186C4B"/>
    <w:rsid w:val="00186E86"/>
    <w:rsid w:val="00187002"/>
    <w:rsid w:val="0018715E"/>
    <w:rsid w:val="0018729C"/>
    <w:rsid w:val="001875AA"/>
    <w:rsid w:val="001877C9"/>
    <w:rsid w:val="0018798A"/>
    <w:rsid w:val="001879F7"/>
    <w:rsid w:val="00187B9A"/>
    <w:rsid w:val="00187C51"/>
    <w:rsid w:val="00187D9A"/>
    <w:rsid w:val="0019000B"/>
    <w:rsid w:val="00190092"/>
    <w:rsid w:val="0019021F"/>
    <w:rsid w:val="00190344"/>
    <w:rsid w:val="0019041A"/>
    <w:rsid w:val="00190465"/>
    <w:rsid w:val="001904EB"/>
    <w:rsid w:val="00190743"/>
    <w:rsid w:val="001907CE"/>
    <w:rsid w:val="00190A18"/>
    <w:rsid w:val="00190B0E"/>
    <w:rsid w:val="00190C47"/>
    <w:rsid w:val="00190F37"/>
    <w:rsid w:val="00190F8A"/>
    <w:rsid w:val="0019132E"/>
    <w:rsid w:val="00191360"/>
    <w:rsid w:val="0019163F"/>
    <w:rsid w:val="0019168C"/>
    <w:rsid w:val="00191831"/>
    <w:rsid w:val="00191863"/>
    <w:rsid w:val="00191CEE"/>
    <w:rsid w:val="00191D03"/>
    <w:rsid w:val="00191F82"/>
    <w:rsid w:val="00191FA9"/>
    <w:rsid w:val="00192008"/>
    <w:rsid w:val="00192313"/>
    <w:rsid w:val="00192371"/>
    <w:rsid w:val="00192406"/>
    <w:rsid w:val="0019256D"/>
    <w:rsid w:val="001925A6"/>
    <w:rsid w:val="001926AA"/>
    <w:rsid w:val="00192A6D"/>
    <w:rsid w:val="00193717"/>
    <w:rsid w:val="0019387C"/>
    <w:rsid w:val="00193936"/>
    <w:rsid w:val="00193961"/>
    <w:rsid w:val="00193AA8"/>
    <w:rsid w:val="00193B4D"/>
    <w:rsid w:val="00193D98"/>
    <w:rsid w:val="00194052"/>
    <w:rsid w:val="00194206"/>
    <w:rsid w:val="00194274"/>
    <w:rsid w:val="00194A31"/>
    <w:rsid w:val="00194AD1"/>
    <w:rsid w:val="00194BCB"/>
    <w:rsid w:val="00194D58"/>
    <w:rsid w:val="00194D5E"/>
    <w:rsid w:val="00194DC7"/>
    <w:rsid w:val="00194EA9"/>
    <w:rsid w:val="00194F06"/>
    <w:rsid w:val="0019538A"/>
    <w:rsid w:val="001953B2"/>
    <w:rsid w:val="001956AD"/>
    <w:rsid w:val="00195875"/>
    <w:rsid w:val="00195B56"/>
    <w:rsid w:val="00195B71"/>
    <w:rsid w:val="00195C9D"/>
    <w:rsid w:val="00195E3C"/>
    <w:rsid w:val="00195E5C"/>
    <w:rsid w:val="00195EB4"/>
    <w:rsid w:val="0019600E"/>
    <w:rsid w:val="0019611B"/>
    <w:rsid w:val="00196139"/>
    <w:rsid w:val="00196448"/>
    <w:rsid w:val="001964F4"/>
    <w:rsid w:val="0019683A"/>
    <w:rsid w:val="00196C1B"/>
    <w:rsid w:val="00197309"/>
    <w:rsid w:val="00197330"/>
    <w:rsid w:val="00197346"/>
    <w:rsid w:val="0019759C"/>
    <w:rsid w:val="00197609"/>
    <w:rsid w:val="00197A43"/>
    <w:rsid w:val="00197B53"/>
    <w:rsid w:val="00197D5F"/>
    <w:rsid w:val="00197E53"/>
    <w:rsid w:val="001A0114"/>
    <w:rsid w:val="001A0290"/>
    <w:rsid w:val="001A02EA"/>
    <w:rsid w:val="001A030E"/>
    <w:rsid w:val="001A0673"/>
    <w:rsid w:val="001A0713"/>
    <w:rsid w:val="001A07CF"/>
    <w:rsid w:val="001A0844"/>
    <w:rsid w:val="001A09CE"/>
    <w:rsid w:val="001A09EF"/>
    <w:rsid w:val="001A0A7C"/>
    <w:rsid w:val="001A0C68"/>
    <w:rsid w:val="001A0CAC"/>
    <w:rsid w:val="001A1219"/>
    <w:rsid w:val="001A134C"/>
    <w:rsid w:val="001A1583"/>
    <w:rsid w:val="001A15A0"/>
    <w:rsid w:val="001A17C3"/>
    <w:rsid w:val="001A1C66"/>
    <w:rsid w:val="001A1D0C"/>
    <w:rsid w:val="001A1E3C"/>
    <w:rsid w:val="001A1FBE"/>
    <w:rsid w:val="001A2144"/>
    <w:rsid w:val="001A221D"/>
    <w:rsid w:val="001A2AE7"/>
    <w:rsid w:val="001A2B17"/>
    <w:rsid w:val="001A2CE7"/>
    <w:rsid w:val="001A2EF4"/>
    <w:rsid w:val="001A2FCB"/>
    <w:rsid w:val="001A3075"/>
    <w:rsid w:val="001A3144"/>
    <w:rsid w:val="001A31BA"/>
    <w:rsid w:val="001A3271"/>
    <w:rsid w:val="001A327D"/>
    <w:rsid w:val="001A32EA"/>
    <w:rsid w:val="001A33CB"/>
    <w:rsid w:val="001A3462"/>
    <w:rsid w:val="001A3488"/>
    <w:rsid w:val="001A382C"/>
    <w:rsid w:val="001A395C"/>
    <w:rsid w:val="001A39D1"/>
    <w:rsid w:val="001A3D2C"/>
    <w:rsid w:val="001A3FE8"/>
    <w:rsid w:val="001A4202"/>
    <w:rsid w:val="001A4221"/>
    <w:rsid w:val="001A4238"/>
    <w:rsid w:val="001A487B"/>
    <w:rsid w:val="001A4901"/>
    <w:rsid w:val="001A4B6B"/>
    <w:rsid w:val="001A4DFF"/>
    <w:rsid w:val="001A5132"/>
    <w:rsid w:val="001A5199"/>
    <w:rsid w:val="001A53CE"/>
    <w:rsid w:val="001A5473"/>
    <w:rsid w:val="001A5885"/>
    <w:rsid w:val="001A5AFA"/>
    <w:rsid w:val="001A5BB0"/>
    <w:rsid w:val="001A5C52"/>
    <w:rsid w:val="001A5E34"/>
    <w:rsid w:val="001A5F01"/>
    <w:rsid w:val="001A5F39"/>
    <w:rsid w:val="001A5F3F"/>
    <w:rsid w:val="001A6133"/>
    <w:rsid w:val="001A6255"/>
    <w:rsid w:val="001A62E2"/>
    <w:rsid w:val="001A62F0"/>
    <w:rsid w:val="001A630C"/>
    <w:rsid w:val="001A651B"/>
    <w:rsid w:val="001A6750"/>
    <w:rsid w:val="001A697C"/>
    <w:rsid w:val="001A6A3A"/>
    <w:rsid w:val="001A6C1C"/>
    <w:rsid w:val="001A6D10"/>
    <w:rsid w:val="001A6D80"/>
    <w:rsid w:val="001A70A9"/>
    <w:rsid w:val="001A7285"/>
    <w:rsid w:val="001A7306"/>
    <w:rsid w:val="001A7396"/>
    <w:rsid w:val="001A73B9"/>
    <w:rsid w:val="001A77B1"/>
    <w:rsid w:val="001A77ED"/>
    <w:rsid w:val="001A7802"/>
    <w:rsid w:val="001B0322"/>
    <w:rsid w:val="001B034C"/>
    <w:rsid w:val="001B0462"/>
    <w:rsid w:val="001B055D"/>
    <w:rsid w:val="001B068D"/>
    <w:rsid w:val="001B0779"/>
    <w:rsid w:val="001B0AB3"/>
    <w:rsid w:val="001B0BEA"/>
    <w:rsid w:val="001B0D04"/>
    <w:rsid w:val="001B0DA5"/>
    <w:rsid w:val="001B0DBA"/>
    <w:rsid w:val="001B0DBE"/>
    <w:rsid w:val="001B0F3E"/>
    <w:rsid w:val="001B0FA3"/>
    <w:rsid w:val="001B11F9"/>
    <w:rsid w:val="001B1242"/>
    <w:rsid w:val="001B12BB"/>
    <w:rsid w:val="001B1307"/>
    <w:rsid w:val="001B143E"/>
    <w:rsid w:val="001B16D9"/>
    <w:rsid w:val="001B17BF"/>
    <w:rsid w:val="001B17C1"/>
    <w:rsid w:val="001B18EA"/>
    <w:rsid w:val="001B1BEE"/>
    <w:rsid w:val="001B1D81"/>
    <w:rsid w:val="001B1F0B"/>
    <w:rsid w:val="001B201A"/>
    <w:rsid w:val="001B2173"/>
    <w:rsid w:val="001B23E7"/>
    <w:rsid w:val="001B2619"/>
    <w:rsid w:val="001B29E9"/>
    <w:rsid w:val="001B2A6B"/>
    <w:rsid w:val="001B2D24"/>
    <w:rsid w:val="001B2F5B"/>
    <w:rsid w:val="001B321D"/>
    <w:rsid w:val="001B3245"/>
    <w:rsid w:val="001B3489"/>
    <w:rsid w:val="001B34FF"/>
    <w:rsid w:val="001B3597"/>
    <w:rsid w:val="001B3614"/>
    <w:rsid w:val="001B36DE"/>
    <w:rsid w:val="001B377F"/>
    <w:rsid w:val="001B3D20"/>
    <w:rsid w:val="001B3ED2"/>
    <w:rsid w:val="001B3F7C"/>
    <w:rsid w:val="001B3FE1"/>
    <w:rsid w:val="001B4083"/>
    <w:rsid w:val="001B41D3"/>
    <w:rsid w:val="001B429E"/>
    <w:rsid w:val="001B435A"/>
    <w:rsid w:val="001B43AA"/>
    <w:rsid w:val="001B4656"/>
    <w:rsid w:val="001B4745"/>
    <w:rsid w:val="001B4EF0"/>
    <w:rsid w:val="001B4FF5"/>
    <w:rsid w:val="001B506D"/>
    <w:rsid w:val="001B52F7"/>
    <w:rsid w:val="001B5339"/>
    <w:rsid w:val="001B54C5"/>
    <w:rsid w:val="001B5647"/>
    <w:rsid w:val="001B578B"/>
    <w:rsid w:val="001B58B0"/>
    <w:rsid w:val="001B5BF9"/>
    <w:rsid w:val="001B5C41"/>
    <w:rsid w:val="001B5D43"/>
    <w:rsid w:val="001B5F4E"/>
    <w:rsid w:val="001B6014"/>
    <w:rsid w:val="001B63C3"/>
    <w:rsid w:val="001B6423"/>
    <w:rsid w:val="001B64C5"/>
    <w:rsid w:val="001B6570"/>
    <w:rsid w:val="001B6609"/>
    <w:rsid w:val="001B67B0"/>
    <w:rsid w:val="001B6C94"/>
    <w:rsid w:val="001B6F8A"/>
    <w:rsid w:val="001B6F8B"/>
    <w:rsid w:val="001B6FFC"/>
    <w:rsid w:val="001B7131"/>
    <w:rsid w:val="001B73C3"/>
    <w:rsid w:val="001B7651"/>
    <w:rsid w:val="001B781A"/>
    <w:rsid w:val="001B7904"/>
    <w:rsid w:val="001B7E53"/>
    <w:rsid w:val="001C000D"/>
    <w:rsid w:val="001C0037"/>
    <w:rsid w:val="001C0544"/>
    <w:rsid w:val="001C0564"/>
    <w:rsid w:val="001C05CF"/>
    <w:rsid w:val="001C0647"/>
    <w:rsid w:val="001C06A0"/>
    <w:rsid w:val="001C085D"/>
    <w:rsid w:val="001C0878"/>
    <w:rsid w:val="001C0C39"/>
    <w:rsid w:val="001C0CA8"/>
    <w:rsid w:val="001C0EF0"/>
    <w:rsid w:val="001C100A"/>
    <w:rsid w:val="001C12AA"/>
    <w:rsid w:val="001C14DD"/>
    <w:rsid w:val="001C17F9"/>
    <w:rsid w:val="001C1A77"/>
    <w:rsid w:val="001C1ACE"/>
    <w:rsid w:val="001C1AD8"/>
    <w:rsid w:val="001C2434"/>
    <w:rsid w:val="001C2453"/>
    <w:rsid w:val="001C24EF"/>
    <w:rsid w:val="001C2650"/>
    <w:rsid w:val="001C2952"/>
    <w:rsid w:val="001C2A4C"/>
    <w:rsid w:val="001C2CC2"/>
    <w:rsid w:val="001C2E57"/>
    <w:rsid w:val="001C2FF3"/>
    <w:rsid w:val="001C3080"/>
    <w:rsid w:val="001C30AE"/>
    <w:rsid w:val="001C321C"/>
    <w:rsid w:val="001C33B7"/>
    <w:rsid w:val="001C3413"/>
    <w:rsid w:val="001C3668"/>
    <w:rsid w:val="001C36C3"/>
    <w:rsid w:val="001C36FB"/>
    <w:rsid w:val="001C3725"/>
    <w:rsid w:val="001C3832"/>
    <w:rsid w:val="001C393E"/>
    <w:rsid w:val="001C41BE"/>
    <w:rsid w:val="001C45D9"/>
    <w:rsid w:val="001C4608"/>
    <w:rsid w:val="001C46D3"/>
    <w:rsid w:val="001C47B5"/>
    <w:rsid w:val="001C4868"/>
    <w:rsid w:val="001C48E8"/>
    <w:rsid w:val="001C4C0A"/>
    <w:rsid w:val="001C4C1C"/>
    <w:rsid w:val="001C4E72"/>
    <w:rsid w:val="001C4F34"/>
    <w:rsid w:val="001C5045"/>
    <w:rsid w:val="001C582C"/>
    <w:rsid w:val="001C5BC3"/>
    <w:rsid w:val="001C5D6D"/>
    <w:rsid w:val="001C5DBD"/>
    <w:rsid w:val="001C5ED8"/>
    <w:rsid w:val="001C61F9"/>
    <w:rsid w:val="001C6244"/>
    <w:rsid w:val="001C627E"/>
    <w:rsid w:val="001C65EB"/>
    <w:rsid w:val="001C6693"/>
    <w:rsid w:val="001C674D"/>
    <w:rsid w:val="001C6956"/>
    <w:rsid w:val="001C6E82"/>
    <w:rsid w:val="001C6EBB"/>
    <w:rsid w:val="001C6F1F"/>
    <w:rsid w:val="001C6F22"/>
    <w:rsid w:val="001C6FAC"/>
    <w:rsid w:val="001C706F"/>
    <w:rsid w:val="001C7247"/>
    <w:rsid w:val="001C74A6"/>
    <w:rsid w:val="001C7600"/>
    <w:rsid w:val="001C7AD4"/>
    <w:rsid w:val="001D04BF"/>
    <w:rsid w:val="001D0513"/>
    <w:rsid w:val="001D06C6"/>
    <w:rsid w:val="001D072C"/>
    <w:rsid w:val="001D0DD6"/>
    <w:rsid w:val="001D10A0"/>
    <w:rsid w:val="001D1565"/>
    <w:rsid w:val="001D158A"/>
    <w:rsid w:val="001D1593"/>
    <w:rsid w:val="001D17C4"/>
    <w:rsid w:val="001D1890"/>
    <w:rsid w:val="001D1BA7"/>
    <w:rsid w:val="001D1BAC"/>
    <w:rsid w:val="001D1CA8"/>
    <w:rsid w:val="001D1D0D"/>
    <w:rsid w:val="001D205D"/>
    <w:rsid w:val="001D20F8"/>
    <w:rsid w:val="001D228C"/>
    <w:rsid w:val="001D2873"/>
    <w:rsid w:val="001D295F"/>
    <w:rsid w:val="001D2A0A"/>
    <w:rsid w:val="001D2BB0"/>
    <w:rsid w:val="001D2BF8"/>
    <w:rsid w:val="001D2EDA"/>
    <w:rsid w:val="001D3045"/>
    <w:rsid w:val="001D312E"/>
    <w:rsid w:val="001D3391"/>
    <w:rsid w:val="001D33DB"/>
    <w:rsid w:val="001D35A1"/>
    <w:rsid w:val="001D35CA"/>
    <w:rsid w:val="001D397F"/>
    <w:rsid w:val="001D3E53"/>
    <w:rsid w:val="001D410C"/>
    <w:rsid w:val="001D4162"/>
    <w:rsid w:val="001D4400"/>
    <w:rsid w:val="001D457F"/>
    <w:rsid w:val="001D47AE"/>
    <w:rsid w:val="001D4ACA"/>
    <w:rsid w:val="001D4BFB"/>
    <w:rsid w:val="001D4E02"/>
    <w:rsid w:val="001D4EDF"/>
    <w:rsid w:val="001D522D"/>
    <w:rsid w:val="001D58EC"/>
    <w:rsid w:val="001D591C"/>
    <w:rsid w:val="001D5C39"/>
    <w:rsid w:val="001D5FE5"/>
    <w:rsid w:val="001D605D"/>
    <w:rsid w:val="001D6268"/>
    <w:rsid w:val="001D63A7"/>
    <w:rsid w:val="001D6A2F"/>
    <w:rsid w:val="001D6CFF"/>
    <w:rsid w:val="001D73C4"/>
    <w:rsid w:val="001D74B3"/>
    <w:rsid w:val="001D74C5"/>
    <w:rsid w:val="001D7647"/>
    <w:rsid w:val="001D7786"/>
    <w:rsid w:val="001D7D2A"/>
    <w:rsid w:val="001D7D4D"/>
    <w:rsid w:val="001D7DB7"/>
    <w:rsid w:val="001E0003"/>
    <w:rsid w:val="001E0049"/>
    <w:rsid w:val="001E018B"/>
    <w:rsid w:val="001E01C5"/>
    <w:rsid w:val="001E04F9"/>
    <w:rsid w:val="001E04FD"/>
    <w:rsid w:val="001E07CB"/>
    <w:rsid w:val="001E0831"/>
    <w:rsid w:val="001E0A8E"/>
    <w:rsid w:val="001E0CF3"/>
    <w:rsid w:val="001E1181"/>
    <w:rsid w:val="001E1237"/>
    <w:rsid w:val="001E12AF"/>
    <w:rsid w:val="001E16F6"/>
    <w:rsid w:val="001E17B0"/>
    <w:rsid w:val="001E1916"/>
    <w:rsid w:val="001E1CEA"/>
    <w:rsid w:val="001E1D7A"/>
    <w:rsid w:val="001E1F0B"/>
    <w:rsid w:val="001E1F4E"/>
    <w:rsid w:val="001E2005"/>
    <w:rsid w:val="001E208E"/>
    <w:rsid w:val="001E224F"/>
    <w:rsid w:val="001E2266"/>
    <w:rsid w:val="001E2364"/>
    <w:rsid w:val="001E23FC"/>
    <w:rsid w:val="001E247C"/>
    <w:rsid w:val="001E26E5"/>
    <w:rsid w:val="001E2771"/>
    <w:rsid w:val="001E2808"/>
    <w:rsid w:val="001E2B98"/>
    <w:rsid w:val="001E2C0A"/>
    <w:rsid w:val="001E2C16"/>
    <w:rsid w:val="001E2D7E"/>
    <w:rsid w:val="001E2E82"/>
    <w:rsid w:val="001E30DE"/>
    <w:rsid w:val="001E3122"/>
    <w:rsid w:val="001E35D9"/>
    <w:rsid w:val="001E3F81"/>
    <w:rsid w:val="001E4295"/>
    <w:rsid w:val="001E42F0"/>
    <w:rsid w:val="001E443F"/>
    <w:rsid w:val="001E496B"/>
    <w:rsid w:val="001E4BB5"/>
    <w:rsid w:val="001E4F49"/>
    <w:rsid w:val="001E4F4D"/>
    <w:rsid w:val="001E5057"/>
    <w:rsid w:val="001E51AF"/>
    <w:rsid w:val="001E51CE"/>
    <w:rsid w:val="001E542B"/>
    <w:rsid w:val="001E5A9C"/>
    <w:rsid w:val="001E5C2F"/>
    <w:rsid w:val="001E5C8B"/>
    <w:rsid w:val="001E5CE1"/>
    <w:rsid w:val="001E5DC3"/>
    <w:rsid w:val="001E5FE4"/>
    <w:rsid w:val="001E6004"/>
    <w:rsid w:val="001E6287"/>
    <w:rsid w:val="001E62DA"/>
    <w:rsid w:val="001E631C"/>
    <w:rsid w:val="001E63C3"/>
    <w:rsid w:val="001E63C4"/>
    <w:rsid w:val="001E63FC"/>
    <w:rsid w:val="001E66AF"/>
    <w:rsid w:val="001E672C"/>
    <w:rsid w:val="001E6970"/>
    <w:rsid w:val="001E6C8F"/>
    <w:rsid w:val="001E6EB7"/>
    <w:rsid w:val="001E715D"/>
    <w:rsid w:val="001E73EB"/>
    <w:rsid w:val="001E745D"/>
    <w:rsid w:val="001E7492"/>
    <w:rsid w:val="001E7830"/>
    <w:rsid w:val="001E79E2"/>
    <w:rsid w:val="001E7A51"/>
    <w:rsid w:val="001E7C30"/>
    <w:rsid w:val="001E7F58"/>
    <w:rsid w:val="001E7F87"/>
    <w:rsid w:val="001E7FCA"/>
    <w:rsid w:val="001F0334"/>
    <w:rsid w:val="001F033B"/>
    <w:rsid w:val="001F0367"/>
    <w:rsid w:val="001F03B7"/>
    <w:rsid w:val="001F06BC"/>
    <w:rsid w:val="001F093B"/>
    <w:rsid w:val="001F0BB1"/>
    <w:rsid w:val="001F0CA8"/>
    <w:rsid w:val="001F0CEB"/>
    <w:rsid w:val="001F1167"/>
    <w:rsid w:val="001F1260"/>
    <w:rsid w:val="001F1522"/>
    <w:rsid w:val="001F1690"/>
    <w:rsid w:val="001F16C4"/>
    <w:rsid w:val="001F20EF"/>
    <w:rsid w:val="001F219B"/>
    <w:rsid w:val="001F21CE"/>
    <w:rsid w:val="001F21F5"/>
    <w:rsid w:val="001F232C"/>
    <w:rsid w:val="001F2341"/>
    <w:rsid w:val="001F2362"/>
    <w:rsid w:val="001F27C6"/>
    <w:rsid w:val="001F2DED"/>
    <w:rsid w:val="001F2E28"/>
    <w:rsid w:val="001F2EB3"/>
    <w:rsid w:val="001F2ED3"/>
    <w:rsid w:val="001F2EF5"/>
    <w:rsid w:val="001F3286"/>
    <w:rsid w:val="001F34D0"/>
    <w:rsid w:val="001F371F"/>
    <w:rsid w:val="001F3768"/>
    <w:rsid w:val="001F3992"/>
    <w:rsid w:val="001F3DFC"/>
    <w:rsid w:val="001F3FA1"/>
    <w:rsid w:val="001F41FD"/>
    <w:rsid w:val="001F422E"/>
    <w:rsid w:val="001F43FD"/>
    <w:rsid w:val="001F4485"/>
    <w:rsid w:val="001F4487"/>
    <w:rsid w:val="001F477C"/>
    <w:rsid w:val="001F48F1"/>
    <w:rsid w:val="001F49BD"/>
    <w:rsid w:val="001F4C2A"/>
    <w:rsid w:val="001F4D32"/>
    <w:rsid w:val="001F4DFE"/>
    <w:rsid w:val="001F4F10"/>
    <w:rsid w:val="001F503F"/>
    <w:rsid w:val="001F508B"/>
    <w:rsid w:val="001F50CC"/>
    <w:rsid w:val="001F524B"/>
    <w:rsid w:val="001F52B2"/>
    <w:rsid w:val="001F5459"/>
    <w:rsid w:val="001F5724"/>
    <w:rsid w:val="001F58AB"/>
    <w:rsid w:val="001F58AE"/>
    <w:rsid w:val="001F5A96"/>
    <w:rsid w:val="001F5AE2"/>
    <w:rsid w:val="001F60AD"/>
    <w:rsid w:val="001F6144"/>
    <w:rsid w:val="001F6250"/>
    <w:rsid w:val="001F62C5"/>
    <w:rsid w:val="001F6322"/>
    <w:rsid w:val="001F63FF"/>
    <w:rsid w:val="001F65F7"/>
    <w:rsid w:val="001F674C"/>
    <w:rsid w:val="001F69B7"/>
    <w:rsid w:val="001F6E41"/>
    <w:rsid w:val="001F6FD9"/>
    <w:rsid w:val="001F7078"/>
    <w:rsid w:val="001F71B3"/>
    <w:rsid w:val="001F72D3"/>
    <w:rsid w:val="001F7441"/>
    <w:rsid w:val="001F769C"/>
    <w:rsid w:val="001F7829"/>
    <w:rsid w:val="001F7D2B"/>
    <w:rsid w:val="002004AE"/>
    <w:rsid w:val="002007A0"/>
    <w:rsid w:val="00200A10"/>
    <w:rsid w:val="00200AAC"/>
    <w:rsid w:val="00200B72"/>
    <w:rsid w:val="00200C4A"/>
    <w:rsid w:val="00200CA2"/>
    <w:rsid w:val="00200D82"/>
    <w:rsid w:val="00200E03"/>
    <w:rsid w:val="00200F40"/>
    <w:rsid w:val="00200F62"/>
    <w:rsid w:val="00201068"/>
    <w:rsid w:val="00201102"/>
    <w:rsid w:val="0020152B"/>
    <w:rsid w:val="00201633"/>
    <w:rsid w:val="00201867"/>
    <w:rsid w:val="00201AF5"/>
    <w:rsid w:val="00201C6C"/>
    <w:rsid w:val="00201CC3"/>
    <w:rsid w:val="00201D04"/>
    <w:rsid w:val="00201E8F"/>
    <w:rsid w:val="00202116"/>
    <w:rsid w:val="00202594"/>
    <w:rsid w:val="002027CE"/>
    <w:rsid w:val="002028D5"/>
    <w:rsid w:val="002029FD"/>
    <w:rsid w:val="00202DD7"/>
    <w:rsid w:val="002031E8"/>
    <w:rsid w:val="00203292"/>
    <w:rsid w:val="0020343F"/>
    <w:rsid w:val="00203537"/>
    <w:rsid w:val="002036DE"/>
    <w:rsid w:val="00203B05"/>
    <w:rsid w:val="00203CBE"/>
    <w:rsid w:val="00203E9D"/>
    <w:rsid w:val="00204385"/>
    <w:rsid w:val="00204683"/>
    <w:rsid w:val="002047E8"/>
    <w:rsid w:val="002049AE"/>
    <w:rsid w:val="00204CC1"/>
    <w:rsid w:val="00204E1D"/>
    <w:rsid w:val="00205355"/>
    <w:rsid w:val="00205472"/>
    <w:rsid w:val="002054D6"/>
    <w:rsid w:val="002055B8"/>
    <w:rsid w:val="002056EC"/>
    <w:rsid w:val="002057CC"/>
    <w:rsid w:val="00205A78"/>
    <w:rsid w:val="00205AA1"/>
    <w:rsid w:val="00205B13"/>
    <w:rsid w:val="00205E38"/>
    <w:rsid w:val="00205E39"/>
    <w:rsid w:val="00205EEE"/>
    <w:rsid w:val="002060A9"/>
    <w:rsid w:val="002063FD"/>
    <w:rsid w:val="0020643F"/>
    <w:rsid w:val="002064AF"/>
    <w:rsid w:val="00206538"/>
    <w:rsid w:val="0020663C"/>
    <w:rsid w:val="002066FF"/>
    <w:rsid w:val="00206729"/>
    <w:rsid w:val="002067AF"/>
    <w:rsid w:val="002069B9"/>
    <w:rsid w:val="00206C2B"/>
    <w:rsid w:val="00206C86"/>
    <w:rsid w:val="00206DC4"/>
    <w:rsid w:val="00207037"/>
    <w:rsid w:val="002070BE"/>
    <w:rsid w:val="0020766F"/>
    <w:rsid w:val="0020796F"/>
    <w:rsid w:val="002079E2"/>
    <w:rsid w:val="00207A9F"/>
    <w:rsid w:val="0021014E"/>
    <w:rsid w:val="002102EC"/>
    <w:rsid w:val="0021039B"/>
    <w:rsid w:val="002103D4"/>
    <w:rsid w:val="002103D8"/>
    <w:rsid w:val="002104D5"/>
    <w:rsid w:val="002108BD"/>
    <w:rsid w:val="002108E4"/>
    <w:rsid w:val="00210940"/>
    <w:rsid w:val="00210FE4"/>
    <w:rsid w:val="0021119D"/>
    <w:rsid w:val="002111A9"/>
    <w:rsid w:val="0021131A"/>
    <w:rsid w:val="002115E7"/>
    <w:rsid w:val="00211762"/>
    <w:rsid w:val="00211825"/>
    <w:rsid w:val="0021195B"/>
    <w:rsid w:val="002119C9"/>
    <w:rsid w:val="00211E74"/>
    <w:rsid w:val="00211F7A"/>
    <w:rsid w:val="00212144"/>
    <w:rsid w:val="002121FE"/>
    <w:rsid w:val="00212340"/>
    <w:rsid w:val="0021246B"/>
    <w:rsid w:val="002125B9"/>
    <w:rsid w:val="002127BA"/>
    <w:rsid w:val="002127FC"/>
    <w:rsid w:val="00212D27"/>
    <w:rsid w:val="00212D5B"/>
    <w:rsid w:val="00212D89"/>
    <w:rsid w:val="00212E1E"/>
    <w:rsid w:val="00212F07"/>
    <w:rsid w:val="002132E4"/>
    <w:rsid w:val="00213911"/>
    <w:rsid w:val="00213984"/>
    <w:rsid w:val="00213A41"/>
    <w:rsid w:val="00213B39"/>
    <w:rsid w:val="00213B4A"/>
    <w:rsid w:val="00213B57"/>
    <w:rsid w:val="00213DAD"/>
    <w:rsid w:val="00213FEA"/>
    <w:rsid w:val="00214060"/>
    <w:rsid w:val="0021408C"/>
    <w:rsid w:val="00214118"/>
    <w:rsid w:val="00214551"/>
    <w:rsid w:val="002147EE"/>
    <w:rsid w:val="00214B2F"/>
    <w:rsid w:val="00214CBA"/>
    <w:rsid w:val="00214E7B"/>
    <w:rsid w:val="00214EDE"/>
    <w:rsid w:val="00215164"/>
    <w:rsid w:val="00215206"/>
    <w:rsid w:val="00215390"/>
    <w:rsid w:val="0021541B"/>
    <w:rsid w:val="002154B0"/>
    <w:rsid w:val="002155B8"/>
    <w:rsid w:val="002155C3"/>
    <w:rsid w:val="002156E1"/>
    <w:rsid w:val="002159BC"/>
    <w:rsid w:val="00215A8F"/>
    <w:rsid w:val="00215BA3"/>
    <w:rsid w:val="00215C24"/>
    <w:rsid w:val="00215C28"/>
    <w:rsid w:val="00215CA0"/>
    <w:rsid w:val="00215CC1"/>
    <w:rsid w:val="00215DCA"/>
    <w:rsid w:val="002160B0"/>
    <w:rsid w:val="002164FE"/>
    <w:rsid w:val="0021684E"/>
    <w:rsid w:val="00216896"/>
    <w:rsid w:val="002168C3"/>
    <w:rsid w:val="0021697D"/>
    <w:rsid w:val="00216995"/>
    <w:rsid w:val="00216E54"/>
    <w:rsid w:val="00216EFE"/>
    <w:rsid w:val="00217046"/>
    <w:rsid w:val="00217117"/>
    <w:rsid w:val="00217259"/>
    <w:rsid w:val="002173FA"/>
    <w:rsid w:val="00217430"/>
    <w:rsid w:val="002176B1"/>
    <w:rsid w:val="002178AA"/>
    <w:rsid w:val="00217B35"/>
    <w:rsid w:val="00217C7D"/>
    <w:rsid w:val="00217D75"/>
    <w:rsid w:val="00217E69"/>
    <w:rsid w:val="00217F37"/>
    <w:rsid w:val="002200C2"/>
    <w:rsid w:val="00220335"/>
    <w:rsid w:val="0022037B"/>
    <w:rsid w:val="00220548"/>
    <w:rsid w:val="00220764"/>
    <w:rsid w:val="0022078A"/>
    <w:rsid w:val="002207C7"/>
    <w:rsid w:val="002208B2"/>
    <w:rsid w:val="00220986"/>
    <w:rsid w:val="00220B63"/>
    <w:rsid w:val="00220C6F"/>
    <w:rsid w:val="00220F26"/>
    <w:rsid w:val="002210FC"/>
    <w:rsid w:val="002211B0"/>
    <w:rsid w:val="002213C9"/>
    <w:rsid w:val="00221486"/>
    <w:rsid w:val="00221B8A"/>
    <w:rsid w:val="00221E3A"/>
    <w:rsid w:val="00221F8C"/>
    <w:rsid w:val="00222349"/>
    <w:rsid w:val="00222451"/>
    <w:rsid w:val="002224B8"/>
    <w:rsid w:val="00222513"/>
    <w:rsid w:val="00222634"/>
    <w:rsid w:val="00222A89"/>
    <w:rsid w:val="00222A8A"/>
    <w:rsid w:val="00222B58"/>
    <w:rsid w:val="00222EAE"/>
    <w:rsid w:val="00222EFB"/>
    <w:rsid w:val="002232FB"/>
    <w:rsid w:val="002233D3"/>
    <w:rsid w:val="0022357A"/>
    <w:rsid w:val="002235AB"/>
    <w:rsid w:val="0022378A"/>
    <w:rsid w:val="00223C3C"/>
    <w:rsid w:val="00223F2A"/>
    <w:rsid w:val="00223F35"/>
    <w:rsid w:val="0022408C"/>
    <w:rsid w:val="00224128"/>
    <w:rsid w:val="002241C2"/>
    <w:rsid w:val="002245E0"/>
    <w:rsid w:val="002247D7"/>
    <w:rsid w:val="0022486D"/>
    <w:rsid w:val="002249E0"/>
    <w:rsid w:val="00224C6D"/>
    <w:rsid w:val="00224DB8"/>
    <w:rsid w:val="00224FF7"/>
    <w:rsid w:val="002252CF"/>
    <w:rsid w:val="002254FA"/>
    <w:rsid w:val="0022551D"/>
    <w:rsid w:val="00225688"/>
    <w:rsid w:val="00225917"/>
    <w:rsid w:val="00225961"/>
    <w:rsid w:val="00225A4F"/>
    <w:rsid w:val="00225E9C"/>
    <w:rsid w:val="00225FD2"/>
    <w:rsid w:val="00226184"/>
    <w:rsid w:val="002262CE"/>
    <w:rsid w:val="00226362"/>
    <w:rsid w:val="00226391"/>
    <w:rsid w:val="00226504"/>
    <w:rsid w:val="002265C4"/>
    <w:rsid w:val="00226714"/>
    <w:rsid w:val="00226792"/>
    <w:rsid w:val="00226802"/>
    <w:rsid w:val="00226898"/>
    <w:rsid w:val="00226920"/>
    <w:rsid w:val="002269F8"/>
    <w:rsid w:val="00226B37"/>
    <w:rsid w:val="00226CAC"/>
    <w:rsid w:val="00226E2C"/>
    <w:rsid w:val="00227279"/>
    <w:rsid w:val="002272D5"/>
    <w:rsid w:val="00227518"/>
    <w:rsid w:val="002275D4"/>
    <w:rsid w:val="002275EB"/>
    <w:rsid w:val="00227633"/>
    <w:rsid w:val="0022765A"/>
    <w:rsid w:val="00227753"/>
    <w:rsid w:val="00227A33"/>
    <w:rsid w:val="00227B58"/>
    <w:rsid w:val="00227C57"/>
    <w:rsid w:val="00227FCA"/>
    <w:rsid w:val="002300F7"/>
    <w:rsid w:val="00230179"/>
    <w:rsid w:val="0023021D"/>
    <w:rsid w:val="00230584"/>
    <w:rsid w:val="002306FB"/>
    <w:rsid w:val="0023077B"/>
    <w:rsid w:val="002308D9"/>
    <w:rsid w:val="00230ED7"/>
    <w:rsid w:val="00230F3D"/>
    <w:rsid w:val="002310BF"/>
    <w:rsid w:val="00231208"/>
    <w:rsid w:val="002312B9"/>
    <w:rsid w:val="0023138A"/>
    <w:rsid w:val="0023149E"/>
    <w:rsid w:val="00231616"/>
    <w:rsid w:val="00231D90"/>
    <w:rsid w:val="00232013"/>
    <w:rsid w:val="00232034"/>
    <w:rsid w:val="00232151"/>
    <w:rsid w:val="00232276"/>
    <w:rsid w:val="002327D7"/>
    <w:rsid w:val="00232B89"/>
    <w:rsid w:val="00232ED3"/>
    <w:rsid w:val="00232F42"/>
    <w:rsid w:val="0023336F"/>
    <w:rsid w:val="00233506"/>
    <w:rsid w:val="002335CC"/>
    <w:rsid w:val="0023370D"/>
    <w:rsid w:val="00233722"/>
    <w:rsid w:val="002338DB"/>
    <w:rsid w:val="0023390D"/>
    <w:rsid w:val="002339DA"/>
    <w:rsid w:val="00233B4F"/>
    <w:rsid w:val="00233BCE"/>
    <w:rsid w:val="00233CCC"/>
    <w:rsid w:val="00233D17"/>
    <w:rsid w:val="002343BB"/>
    <w:rsid w:val="002345E5"/>
    <w:rsid w:val="0023494C"/>
    <w:rsid w:val="00234B67"/>
    <w:rsid w:val="00234E87"/>
    <w:rsid w:val="002350D7"/>
    <w:rsid w:val="002350E8"/>
    <w:rsid w:val="00235429"/>
    <w:rsid w:val="002354B1"/>
    <w:rsid w:val="002357E0"/>
    <w:rsid w:val="00235949"/>
    <w:rsid w:val="00235A9B"/>
    <w:rsid w:val="00235AE1"/>
    <w:rsid w:val="00235C0C"/>
    <w:rsid w:val="00236409"/>
    <w:rsid w:val="00236440"/>
    <w:rsid w:val="002366F5"/>
    <w:rsid w:val="00236B97"/>
    <w:rsid w:val="00236C52"/>
    <w:rsid w:val="00236D2D"/>
    <w:rsid w:val="00237042"/>
    <w:rsid w:val="002370A0"/>
    <w:rsid w:val="002371DD"/>
    <w:rsid w:val="0023721E"/>
    <w:rsid w:val="00237312"/>
    <w:rsid w:val="00237330"/>
    <w:rsid w:val="00237339"/>
    <w:rsid w:val="00237469"/>
    <w:rsid w:val="00237561"/>
    <w:rsid w:val="00237905"/>
    <w:rsid w:val="00237BFD"/>
    <w:rsid w:val="00237EA8"/>
    <w:rsid w:val="002400EB"/>
    <w:rsid w:val="00240694"/>
    <w:rsid w:val="00240904"/>
    <w:rsid w:val="00240A41"/>
    <w:rsid w:val="00240A6E"/>
    <w:rsid w:val="00240EFC"/>
    <w:rsid w:val="00240F3D"/>
    <w:rsid w:val="00240F5D"/>
    <w:rsid w:val="00241001"/>
    <w:rsid w:val="002410F9"/>
    <w:rsid w:val="0024110E"/>
    <w:rsid w:val="00241769"/>
    <w:rsid w:val="00241813"/>
    <w:rsid w:val="0024196D"/>
    <w:rsid w:val="00241A58"/>
    <w:rsid w:val="00241D03"/>
    <w:rsid w:val="00241E72"/>
    <w:rsid w:val="00242090"/>
    <w:rsid w:val="002425C0"/>
    <w:rsid w:val="0024275D"/>
    <w:rsid w:val="00242968"/>
    <w:rsid w:val="002429A4"/>
    <w:rsid w:val="002429B0"/>
    <w:rsid w:val="00242AF3"/>
    <w:rsid w:val="00242CAD"/>
    <w:rsid w:val="00242E65"/>
    <w:rsid w:val="00242EF3"/>
    <w:rsid w:val="00242F33"/>
    <w:rsid w:val="002431E4"/>
    <w:rsid w:val="00243471"/>
    <w:rsid w:val="00243981"/>
    <w:rsid w:val="002439E0"/>
    <w:rsid w:val="00243A96"/>
    <w:rsid w:val="00243BBE"/>
    <w:rsid w:val="00243D8F"/>
    <w:rsid w:val="00243D9B"/>
    <w:rsid w:val="00244256"/>
    <w:rsid w:val="002446D7"/>
    <w:rsid w:val="00244DB5"/>
    <w:rsid w:val="00244FB7"/>
    <w:rsid w:val="002450D5"/>
    <w:rsid w:val="00245284"/>
    <w:rsid w:val="002452C7"/>
    <w:rsid w:val="002452F4"/>
    <w:rsid w:val="00245370"/>
    <w:rsid w:val="0024551C"/>
    <w:rsid w:val="002455CC"/>
    <w:rsid w:val="0024576B"/>
    <w:rsid w:val="00245796"/>
    <w:rsid w:val="00245840"/>
    <w:rsid w:val="00245928"/>
    <w:rsid w:val="00245BD7"/>
    <w:rsid w:val="00245C0D"/>
    <w:rsid w:val="00245DC7"/>
    <w:rsid w:val="00245F6B"/>
    <w:rsid w:val="00246097"/>
    <w:rsid w:val="00246157"/>
    <w:rsid w:val="0024616E"/>
    <w:rsid w:val="002463A1"/>
    <w:rsid w:val="00246446"/>
    <w:rsid w:val="002464D0"/>
    <w:rsid w:val="002464D6"/>
    <w:rsid w:val="002465C9"/>
    <w:rsid w:val="00246C87"/>
    <w:rsid w:val="00246D64"/>
    <w:rsid w:val="00246EEA"/>
    <w:rsid w:val="00246FBD"/>
    <w:rsid w:val="0024713F"/>
    <w:rsid w:val="0024751D"/>
    <w:rsid w:val="002476B7"/>
    <w:rsid w:val="00247BCE"/>
    <w:rsid w:val="00250010"/>
    <w:rsid w:val="00250108"/>
    <w:rsid w:val="00250549"/>
    <w:rsid w:val="00250603"/>
    <w:rsid w:val="00250648"/>
    <w:rsid w:val="00250A8D"/>
    <w:rsid w:val="00250E8F"/>
    <w:rsid w:val="002511CA"/>
    <w:rsid w:val="002512DB"/>
    <w:rsid w:val="00251499"/>
    <w:rsid w:val="002516E6"/>
    <w:rsid w:val="00251838"/>
    <w:rsid w:val="00251B24"/>
    <w:rsid w:val="00251E9A"/>
    <w:rsid w:val="00251EB4"/>
    <w:rsid w:val="00251F8E"/>
    <w:rsid w:val="00252019"/>
    <w:rsid w:val="00252292"/>
    <w:rsid w:val="002523C2"/>
    <w:rsid w:val="0025244C"/>
    <w:rsid w:val="00252479"/>
    <w:rsid w:val="002525D9"/>
    <w:rsid w:val="00252683"/>
    <w:rsid w:val="00252846"/>
    <w:rsid w:val="002528EB"/>
    <w:rsid w:val="00252D6E"/>
    <w:rsid w:val="00252D91"/>
    <w:rsid w:val="00253288"/>
    <w:rsid w:val="00253449"/>
    <w:rsid w:val="002535B9"/>
    <w:rsid w:val="002536F6"/>
    <w:rsid w:val="002539DF"/>
    <w:rsid w:val="00253B0A"/>
    <w:rsid w:val="00253B21"/>
    <w:rsid w:val="00253B37"/>
    <w:rsid w:val="00253BC7"/>
    <w:rsid w:val="00253FA6"/>
    <w:rsid w:val="0025417B"/>
    <w:rsid w:val="00254577"/>
    <w:rsid w:val="0025472B"/>
    <w:rsid w:val="0025478C"/>
    <w:rsid w:val="002547C0"/>
    <w:rsid w:val="00254850"/>
    <w:rsid w:val="002548D7"/>
    <w:rsid w:val="00254994"/>
    <w:rsid w:val="00254B71"/>
    <w:rsid w:val="00254C52"/>
    <w:rsid w:val="00254CCF"/>
    <w:rsid w:val="00254E30"/>
    <w:rsid w:val="00254FDC"/>
    <w:rsid w:val="002551FB"/>
    <w:rsid w:val="00255220"/>
    <w:rsid w:val="002552A7"/>
    <w:rsid w:val="0025545A"/>
    <w:rsid w:val="00255508"/>
    <w:rsid w:val="00255B23"/>
    <w:rsid w:val="00255BFF"/>
    <w:rsid w:val="00255CC6"/>
    <w:rsid w:val="00255E01"/>
    <w:rsid w:val="00255E7E"/>
    <w:rsid w:val="00255EF6"/>
    <w:rsid w:val="00255F3D"/>
    <w:rsid w:val="00255FDA"/>
    <w:rsid w:val="0025610C"/>
    <w:rsid w:val="002561AB"/>
    <w:rsid w:val="00256288"/>
    <w:rsid w:val="0025670E"/>
    <w:rsid w:val="00256815"/>
    <w:rsid w:val="00256AE7"/>
    <w:rsid w:val="00256BCF"/>
    <w:rsid w:val="00256E26"/>
    <w:rsid w:val="00256F53"/>
    <w:rsid w:val="0025712C"/>
    <w:rsid w:val="0025713B"/>
    <w:rsid w:val="002571DA"/>
    <w:rsid w:val="002571E4"/>
    <w:rsid w:val="00257269"/>
    <w:rsid w:val="00257387"/>
    <w:rsid w:val="002574E2"/>
    <w:rsid w:val="00257A44"/>
    <w:rsid w:val="00257A67"/>
    <w:rsid w:val="00257D15"/>
    <w:rsid w:val="00257F01"/>
    <w:rsid w:val="002600DE"/>
    <w:rsid w:val="00260475"/>
    <w:rsid w:val="00260482"/>
    <w:rsid w:val="002604D2"/>
    <w:rsid w:val="00260709"/>
    <w:rsid w:val="002607AC"/>
    <w:rsid w:val="002608D7"/>
    <w:rsid w:val="00260E3E"/>
    <w:rsid w:val="00260EE5"/>
    <w:rsid w:val="00261063"/>
    <w:rsid w:val="00261093"/>
    <w:rsid w:val="00261182"/>
    <w:rsid w:val="002613FF"/>
    <w:rsid w:val="00261523"/>
    <w:rsid w:val="0026164A"/>
    <w:rsid w:val="00261762"/>
    <w:rsid w:val="002617B1"/>
    <w:rsid w:val="00261926"/>
    <w:rsid w:val="00261A3E"/>
    <w:rsid w:val="00261A5E"/>
    <w:rsid w:val="00261A92"/>
    <w:rsid w:val="00261AB0"/>
    <w:rsid w:val="00261AB8"/>
    <w:rsid w:val="00261B08"/>
    <w:rsid w:val="00261B0E"/>
    <w:rsid w:val="00261CD8"/>
    <w:rsid w:val="00261D5A"/>
    <w:rsid w:val="00261E2E"/>
    <w:rsid w:val="00261EAD"/>
    <w:rsid w:val="0026237B"/>
    <w:rsid w:val="00262574"/>
    <w:rsid w:val="00262A3E"/>
    <w:rsid w:val="00262E42"/>
    <w:rsid w:val="00262E97"/>
    <w:rsid w:val="002632FA"/>
    <w:rsid w:val="00263386"/>
    <w:rsid w:val="002633E3"/>
    <w:rsid w:val="002635A2"/>
    <w:rsid w:val="00263721"/>
    <w:rsid w:val="002638BF"/>
    <w:rsid w:val="002638D9"/>
    <w:rsid w:val="00263C2A"/>
    <w:rsid w:val="00263CA9"/>
    <w:rsid w:val="0026406B"/>
    <w:rsid w:val="00264331"/>
    <w:rsid w:val="00264432"/>
    <w:rsid w:val="0026449D"/>
    <w:rsid w:val="0026468C"/>
    <w:rsid w:val="00264703"/>
    <w:rsid w:val="002647CB"/>
    <w:rsid w:val="002647E1"/>
    <w:rsid w:val="002647E8"/>
    <w:rsid w:val="002647E9"/>
    <w:rsid w:val="00264851"/>
    <w:rsid w:val="00264A1D"/>
    <w:rsid w:val="00264B3A"/>
    <w:rsid w:val="00264CF1"/>
    <w:rsid w:val="00264D62"/>
    <w:rsid w:val="0026514D"/>
    <w:rsid w:val="00265166"/>
    <w:rsid w:val="002653DB"/>
    <w:rsid w:val="002654FE"/>
    <w:rsid w:val="00265535"/>
    <w:rsid w:val="00265756"/>
    <w:rsid w:val="002658B5"/>
    <w:rsid w:val="002659AB"/>
    <w:rsid w:val="002659BD"/>
    <w:rsid w:val="00265C70"/>
    <w:rsid w:val="00265D40"/>
    <w:rsid w:val="00265F14"/>
    <w:rsid w:val="00266508"/>
    <w:rsid w:val="00266694"/>
    <w:rsid w:val="00266813"/>
    <w:rsid w:val="00266905"/>
    <w:rsid w:val="002669A4"/>
    <w:rsid w:val="002669DF"/>
    <w:rsid w:val="00266DF5"/>
    <w:rsid w:val="00266E71"/>
    <w:rsid w:val="00266EC8"/>
    <w:rsid w:val="00266F6A"/>
    <w:rsid w:val="00267062"/>
    <w:rsid w:val="0026723B"/>
    <w:rsid w:val="0026743C"/>
    <w:rsid w:val="0026759B"/>
    <w:rsid w:val="002675FB"/>
    <w:rsid w:val="00267B20"/>
    <w:rsid w:val="00267B88"/>
    <w:rsid w:val="00267BB5"/>
    <w:rsid w:val="00267EC3"/>
    <w:rsid w:val="00270008"/>
    <w:rsid w:val="00270254"/>
    <w:rsid w:val="00270256"/>
    <w:rsid w:val="0027040E"/>
    <w:rsid w:val="002704E2"/>
    <w:rsid w:val="00270570"/>
    <w:rsid w:val="002707C1"/>
    <w:rsid w:val="00270AC8"/>
    <w:rsid w:val="00270ED8"/>
    <w:rsid w:val="00270F90"/>
    <w:rsid w:val="0027115A"/>
    <w:rsid w:val="0027129E"/>
    <w:rsid w:val="002712DF"/>
    <w:rsid w:val="002718EE"/>
    <w:rsid w:val="00271A2B"/>
    <w:rsid w:val="00271AA0"/>
    <w:rsid w:val="00271BA3"/>
    <w:rsid w:val="00271C17"/>
    <w:rsid w:val="00271E82"/>
    <w:rsid w:val="00271F52"/>
    <w:rsid w:val="00271FF3"/>
    <w:rsid w:val="00272060"/>
    <w:rsid w:val="00272393"/>
    <w:rsid w:val="002725B6"/>
    <w:rsid w:val="00272681"/>
    <w:rsid w:val="00272873"/>
    <w:rsid w:val="00272913"/>
    <w:rsid w:val="00272923"/>
    <w:rsid w:val="00272B39"/>
    <w:rsid w:val="00272CF1"/>
    <w:rsid w:val="00272E25"/>
    <w:rsid w:val="00273239"/>
    <w:rsid w:val="002733EA"/>
    <w:rsid w:val="00273478"/>
    <w:rsid w:val="0027352D"/>
    <w:rsid w:val="0027367A"/>
    <w:rsid w:val="002736EA"/>
    <w:rsid w:val="0027377D"/>
    <w:rsid w:val="002737C6"/>
    <w:rsid w:val="00273BD1"/>
    <w:rsid w:val="00273BDB"/>
    <w:rsid w:val="00273D88"/>
    <w:rsid w:val="00273EB9"/>
    <w:rsid w:val="00273F5A"/>
    <w:rsid w:val="002741DA"/>
    <w:rsid w:val="00274307"/>
    <w:rsid w:val="002744BE"/>
    <w:rsid w:val="00274669"/>
    <w:rsid w:val="00274AD1"/>
    <w:rsid w:val="00274B7B"/>
    <w:rsid w:val="00274E4A"/>
    <w:rsid w:val="00275182"/>
    <w:rsid w:val="0027574B"/>
    <w:rsid w:val="0027587C"/>
    <w:rsid w:val="002758C2"/>
    <w:rsid w:val="002759D5"/>
    <w:rsid w:val="00275A99"/>
    <w:rsid w:val="00275ADF"/>
    <w:rsid w:val="00275C95"/>
    <w:rsid w:val="00275D3B"/>
    <w:rsid w:val="00275DEC"/>
    <w:rsid w:val="002763C2"/>
    <w:rsid w:val="00276562"/>
    <w:rsid w:val="00276595"/>
    <w:rsid w:val="00276A9E"/>
    <w:rsid w:val="00276F99"/>
    <w:rsid w:val="00277174"/>
    <w:rsid w:val="00277184"/>
    <w:rsid w:val="002773DB"/>
    <w:rsid w:val="0027771E"/>
    <w:rsid w:val="0027782B"/>
    <w:rsid w:val="00277865"/>
    <w:rsid w:val="002778AF"/>
    <w:rsid w:val="00277B13"/>
    <w:rsid w:val="00277B1E"/>
    <w:rsid w:val="00277BE1"/>
    <w:rsid w:val="00277C81"/>
    <w:rsid w:val="00277F54"/>
    <w:rsid w:val="00277FBE"/>
    <w:rsid w:val="00277FF1"/>
    <w:rsid w:val="00280062"/>
    <w:rsid w:val="0028006C"/>
    <w:rsid w:val="002800AC"/>
    <w:rsid w:val="0028051C"/>
    <w:rsid w:val="002805D6"/>
    <w:rsid w:val="00280693"/>
    <w:rsid w:val="002806E8"/>
    <w:rsid w:val="00280AC2"/>
    <w:rsid w:val="00280C7D"/>
    <w:rsid w:val="00280E57"/>
    <w:rsid w:val="0028101A"/>
    <w:rsid w:val="00281041"/>
    <w:rsid w:val="00281140"/>
    <w:rsid w:val="00281289"/>
    <w:rsid w:val="00281406"/>
    <w:rsid w:val="00281424"/>
    <w:rsid w:val="0028166A"/>
    <w:rsid w:val="0028169B"/>
    <w:rsid w:val="002816D1"/>
    <w:rsid w:val="002817B4"/>
    <w:rsid w:val="002817BE"/>
    <w:rsid w:val="002817CE"/>
    <w:rsid w:val="002820F1"/>
    <w:rsid w:val="00282360"/>
    <w:rsid w:val="00282416"/>
    <w:rsid w:val="00282646"/>
    <w:rsid w:val="0028268C"/>
    <w:rsid w:val="002828F3"/>
    <w:rsid w:val="00282B9A"/>
    <w:rsid w:val="00282C80"/>
    <w:rsid w:val="00282C97"/>
    <w:rsid w:val="00282D9B"/>
    <w:rsid w:val="00282DBE"/>
    <w:rsid w:val="00282E58"/>
    <w:rsid w:val="002830E0"/>
    <w:rsid w:val="002830EE"/>
    <w:rsid w:val="00283104"/>
    <w:rsid w:val="00283248"/>
    <w:rsid w:val="002833DC"/>
    <w:rsid w:val="00283643"/>
    <w:rsid w:val="00283773"/>
    <w:rsid w:val="0028382E"/>
    <w:rsid w:val="00283B79"/>
    <w:rsid w:val="00283C95"/>
    <w:rsid w:val="00283DAF"/>
    <w:rsid w:val="00283EF2"/>
    <w:rsid w:val="00284593"/>
    <w:rsid w:val="00284596"/>
    <w:rsid w:val="002846D1"/>
    <w:rsid w:val="00284712"/>
    <w:rsid w:val="00284717"/>
    <w:rsid w:val="00284790"/>
    <w:rsid w:val="0028487C"/>
    <w:rsid w:val="002849C2"/>
    <w:rsid w:val="002849D8"/>
    <w:rsid w:val="00284A1F"/>
    <w:rsid w:val="00284B54"/>
    <w:rsid w:val="00284C97"/>
    <w:rsid w:val="00284E3C"/>
    <w:rsid w:val="002851D0"/>
    <w:rsid w:val="00285479"/>
    <w:rsid w:val="002855D4"/>
    <w:rsid w:val="00285642"/>
    <w:rsid w:val="002856F8"/>
    <w:rsid w:val="00285918"/>
    <w:rsid w:val="00285921"/>
    <w:rsid w:val="00285A2F"/>
    <w:rsid w:val="00285FCB"/>
    <w:rsid w:val="002863DA"/>
    <w:rsid w:val="00286585"/>
    <w:rsid w:val="00286917"/>
    <w:rsid w:val="0028699E"/>
    <w:rsid w:val="00286A3A"/>
    <w:rsid w:val="00286A6B"/>
    <w:rsid w:val="00286BBC"/>
    <w:rsid w:val="00286BE4"/>
    <w:rsid w:val="00286D7A"/>
    <w:rsid w:val="00286F04"/>
    <w:rsid w:val="00287050"/>
    <w:rsid w:val="002870AD"/>
    <w:rsid w:val="00287334"/>
    <w:rsid w:val="0028759C"/>
    <w:rsid w:val="00287962"/>
    <w:rsid w:val="00287B48"/>
    <w:rsid w:val="00287C1D"/>
    <w:rsid w:val="00287CCE"/>
    <w:rsid w:val="00287F19"/>
    <w:rsid w:val="0029004C"/>
    <w:rsid w:val="0029062E"/>
    <w:rsid w:val="002906D2"/>
    <w:rsid w:val="0029072A"/>
    <w:rsid w:val="00290A7C"/>
    <w:rsid w:val="00290C83"/>
    <w:rsid w:val="00290DCF"/>
    <w:rsid w:val="00290FA1"/>
    <w:rsid w:val="0029120B"/>
    <w:rsid w:val="002916B6"/>
    <w:rsid w:val="0029172E"/>
    <w:rsid w:val="002917DE"/>
    <w:rsid w:val="0029197F"/>
    <w:rsid w:val="00291C55"/>
    <w:rsid w:val="00291F2A"/>
    <w:rsid w:val="00292124"/>
    <w:rsid w:val="0029215D"/>
    <w:rsid w:val="00292173"/>
    <w:rsid w:val="002921A9"/>
    <w:rsid w:val="0029243F"/>
    <w:rsid w:val="002925CF"/>
    <w:rsid w:val="002926FC"/>
    <w:rsid w:val="002928A1"/>
    <w:rsid w:val="0029291A"/>
    <w:rsid w:val="00292ABB"/>
    <w:rsid w:val="00292B57"/>
    <w:rsid w:val="00292FF0"/>
    <w:rsid w:val="00293139"/>
    <w:rsid w:val="002932D2"/>
    <w:rsid w:val="002933DD"/>
    <w:rsid w:val="0029348B"/>
    <w:rsid w:val="002934B5"/>
    <w:rsid w:val="00293662"/>
    <w:rsid w:val="00293B87"/>
    <w:rsid w:val="00293BAB"/>
    <w:rsid w:val="00293C27"/>
    <w:rsid w:val="00293DE2"/>
    <w:rsid w:val="00293EBB"/>
    <w:rsid w:val="0029415F"/>
    <w:rsid w:val="00294240"/>
    <w:rsid w:val="00294671"/>
    <w:rsid w:val="00294C36"/>
    <w:rsid w:val="00294E77"/>
    <w:rsid w:val="0029500E"/>
    <w:rsid w:val="0029501A"/>
    <w:rsid w:val="0029517D"/>
    <w:rsid w:val="002952F7"/>
    <w:rsid w:val="00295544"/>
    <w:rsid w:val="0029574B"/>
    <w:rsid w:val="0029577C"/>
    <w:rsid w:val="002957D7"/>
    <w:rsid w:val="00295C83"/>
    <w:rsid w:val="00295D36"/>
    <w:rsid w:val="00295F1D"/>
    <w:rsid w:val="0029626E"/>
    <w:rsid w:val="00296487"/>
    <w:rsid w:val="00296BA8"/>
    <w:rsid w:val="00296D7B"/>
    <w:rsid w:val="00296DE8"/>
    <w:rsid w:val="00296DED"/>
    <w:rsid w:val="00296E53"/>
    <w:rsid w:val="00296FA9"/>
    <w:rsid w:val="00297091"/>
    <w:rsid w:val="00297143"/>
    <w:rsid w:val="0029753D"/>
    <w:rsid w:val="0029779B"/>
    <w:rsid w:val="00297994"/>
    <w:rsid w:val="00297A3C"/>
    <w:rsid w:val="00297ADC"/>
    <w:rsid w:val="00297B90"/>
    <w:rsid w:val="00297FDE"/>
    <w:rsid w:val="0029FB6C"/>
    <w:rsid w:val="002A0374"/>
    <w:rsid w:val="002A0505"/>
    <w:rsid w:val="002A059A"/>
    <w:rsid w:val="002A0710"/>
    <w:rsid w:val="002A094F"/>
    <w:rsid w:val="002A0D6B"/>
    <w:rsid w:val="002A0DE9"/>
    <w:rsid w:val="002A0ECD"/>
    <w:rsid w:val="002A0EE0"/>
    <w:rsid w:val="002A10DF"/>
    <w:rsid w:val="002A11A1"/>
    <w:rsid w:val="002A11D2"/>
    <w:rsid w:val="002A15AD"/>
    <w:rsid w:val="002A15D0"/>
    <w:rsid w:val="002A161F"/>
    <w:rsid w:val="002A19BA"/>
    <w:rsid w:val="002A19E3"/>
    <w:rsid w:val="002A1AE7"/>
    <w:rsid w:val="002A1B33"/>
    <w:rsid w:val="002A1C79"/>
    <w:rsid w:val="002A23F2"/>
    <w:rsid w:val="002A25B7"/>
    <w:rsid w:val="002A25CA"/>
    <w:rsid w:val="002A25D0"/>
    <w:rsid w:val="002A268A"/>
    <w:rsid w:val="002A284F"/>
    <w:rsid w:val="002A2988"/>
    <w:rsid w:val="002A2B00"/>
    <w:rsid w:val="002A2B58"/>
    <w:rsid w:val="002A317C"/>
    <w:rsid w:val="002A33DF"/>
    <w:rsid w:val="002A34D9"/>
    <w:rsid w:val="002A355D"/>
    <w:rsid w:val="002A389F"/>
    <w:rsid w:val="002A3C5F"/>
    <w:rsid w:val="002A3C75"/>
    <w:rsid w:val="002A3E0C"/>
    <w:rsid w:val="002A4001"/>
    <w:rsid w:val="002A4012"/>
    <w:rsid w:val="002A420E"/>
    <w:rsid w:val="002A4273"/>
    <w:rsid w:val="002A4520"/>
    <w:rsid w:val="002A467A"/>
    <w:rsid w:val="002A4823"/>
    <w:rsid w:val="002A4C07"/>
    <w:rsid w:val="002A4FFD"/>
    <w:rsid w:val="002A5242"/>
    <w:rsid w:val="002A52FF"/>
    <w:rsid w:val="002A57A9"/>
    <w:rsid w:val="002A585A"/>
    <w:rsid w:val="002A5A9E"/>
    <w:rsid w:val="002A5BF9"/>
    <w:rsid w:val="002A5C52"/>
    <w:rsid w:val="002A5D1F"/>
    <w:rsid w:val="002A6055"/>
    <w:rsid w:val="002A60C2"/>
    <w:rsid w:val="002A6295"/>
    <w:rsid w:val="002A6439"/>
    <w:rsid w:val="002A64C4"/>
    <w:rsid w:val="002A657E"/>
    <w:rsid w:val="002A66E2"/>
    <w:rsid w:val="002A680E"/>
    <w:rsid w:val="002A6D6F"/>
    <w:rsid w:val="002A6DC8"/>
    <w:rsid w:val="002A70BB"/>
    <w:rsid w:val="002A71E9"/>
    <w:rsid w:val="002A738A"/>
    <w:rsid w:val="002A752C"/>
    <w:rsid w:val="002A7AD3"/>
    <w:rsid w:val="002A7B8A"/>
    <w:rsid w:val="002A7BA3"/>
    <w:rsid w:val="002A7D26"/>
    <w:rsid w:val="002A7E69"/>
    <w:rsid w:val="002B0400"/>
    <w:rsid w:val="002B052B"/>
    <w:rsid w:val="002B09B8"/>
    <w:rsid w:val="002B0A36"/>
    <w:rsid w:val="002B0E2C"/>
    <w:rsid w:val="002B178F"/>
    <w:rsid w:val="002B17FA"/>
    <w:rsid w:val="002B19C0"/>
    <w:rsid w:val="002B1A08"/>
    <w:rsid w:val="002B1B43"/>
    <w:rsid w:val="002B1B78"/>
    <w:rsid w:val="002B1CC5"/>
    <w:rsid w:val="002B1FF8"/>
    <w:rsid w:val="002B236D"/>
    <w:rsid w:val="002B2426"/>
    <w:rsid w:val="002B26C2"/>
    <w:rsid w:val="002B2741"/>
    <w:rsid w:val="002B2A42"/>
    <w:rsid w:val="002B2B8B"/>
    <w:rsid w:val="002B2B91"/>
    <w:rsid w:val="002B2F8E"/>
    <w:rsid w:val="002B31A3"/>
    <w:rsid w:val="002B3381"/>
    <w:rsid w:val="002B34A3"/>
    <w:rsid w:val="002B356E"/>
    <w:rsid w:val="002B3AEA"/>
    <w:rsid w:val="002B3E64"/>
    <w:rsid w:val="002B3E69"/>
    <w:rsid w:val="002B3FD8"/>
    <w:rsid w:val="002B43BA"/>
    <w:rsid w:val="002B4509"/>
    <w:rsid w:val="002B463B"/>
    <w:rsid w:val="002B4728"/>
    <w:rsid w:val="002B4AC9"/>
    <w:rsid w:val="002B4B4F"/>
    <w:rsid w:val="002B4C00"/>
    <w:rsid w:val="002B4D72"/>
    <w:rsid w:val="002B4DAA"/>
    <w:rsid w:val="002B4E20"/>
    <w:rsid w:val="002B4F22"/>
    <w:rsid w:val="002B4F26"/>
    <w:rsid w:val="002B4F2D"/>
    <w:rsid w:val="002B4FA9"/>
    <w:rsid w:val="002B4FCA"/>
    <w:rsid w:val="002B5071"/>
    <w:rsid w:val="002B515A"/>
    <w:rsid w:val="002B51EF"/>
    <w:rsid w:val="002B523F"/>
    <w:rsid w:val="002B5651"/>
    <w:rsid w:val="002B5826"/>
    <w:rsid w:val="002B584A"/>
    <w:rsid w:val="002B5989"/>
    <w:rsid w:val="002B598E"/>
    <w:rsid w:val="002B610D"/>
    <w:rsid w:val="002B6150"/>
    <w:rsid w:val="002B62D7"/>
    <w:rsid w:val="002B642E"/>
    <w:rsid w:val="002B66FC"/>
    <w:rsid w:val="002B6720"/>
    <w:rsid w:val="002B677E"/>
    <w:rsid w:val="002B6873"/>
    <w:rsid w:val="002B69D3"/>
    <w:rsid w:val="002B6CC0"/>
    <w:rsid w:val="002B6E8F"/>
    <w:rsid w:val="002B6EB1"/>
    <w:rsid w:val="002B7113"/>
    <w:rsid w:val="002B721A"/>
    <w:rsid w:val="002B721D"/>
    <w:rsid w:val="002B7574"/>
    <w:rsid w:val="002B75C7"/>
    <w:rsid w:val="002B786D"/>
    <w:rsid w:val="002B7DE8"/>
    <w:rsid w:val="002C007B"/>
    <w:rsid w:val="002C0170"/>
    <w:rsid w:val="002C02EF"/>
    <w:rsid w:val="002C03A6"/>
    <w:rsid w:val="002C051C"/>
    <w:rsid w:val="002C05E6"/>
    <w:rsid w:val="002C06F2"/>
    <w:rsid w:val="002C098D"/>
    <w:rsid w:val="002C0A45"/>
    <w:rsid w:val="002C0A9F"/>
    <w:rsid w:val="002C0BB6"/>
    <w:rsid w:val="002C0E68"/>
    <w:rsid w:val="002C0F3A"/>
    <w:rsid w:val="002C1028"/>
    <w:rsid w:val="002C133C"/>
    <w:rsid w:val="002C13C0"/>
    <w:rsid w:val="002C14DD"/>
    <w:rsid w:val="002C15BB"/>
    <w:rsid w:val="002C1831"/>
    <w:rsid w:val="002C18C6"/>
    <w:rsid w:val="002C1B4C"/>
    <w:rsid w:val="002C1DC5"/>
    <w:rsid w:val="002C23B1"/>
    <w:rsid w:val="002C2513"/>
    <w:rsid w:val="002C2547"/>
    <w:rsid w:val="002C2B24"/>
    <w:rsid w:val="002C2B34"/>
    <w:rsid w:val="002C2BB2"/>
    <w:rsid w:val="002C2DB8"/>
    <w:rsid w:val="002C2E76"/>
    <w:rsid w:val="002C3304"/>
    <w:rsid w:val="002C3596"/>
    <w:rsid w:val="002C3A1C"/>
    <w:rsid w:val="002C3A68"/>
    <w:rsid w:val="002C3B62"/>
    <w:rsid w:val="002C3B76"/>
    <w:rsid w:val="002C3B91"/>
    <w:rsid w:val="002C3F40"/>
    <w:rsid w:val="002C4036"/>
    <w:rsid w:val="002C4078"/>
    <w:rsid w:val="002C41D8"/>
    <w:rsid w:val="002C42D1"/>
    <w:rsid w:val="002C43BC"/>
    <w:rsid w:val="002C4404"/>
    <w:rsid w:val="002C447C"/>
    <w:rsid w:val="002C45A7"/>
    <w:rsid w:val="002C4901"/>
    <w:rsid w:val="002C4D61"/>
    <w:rsid w:val="002C4E27"/>
    <w:rsid w:val="002C4E4D"/>
    <w:rsid w:val="002C4E92"/>
    <w:rsid w:val="002C509A"/>
    <w:rsid w:val="002C5176"/>
    <w:rsid w:val="002C52AF"/>
    <w:rsid w:val="002C5956"/>
    <w:rsid w:val="002C5B69"/>
    <w:rsid w:val="002C5C16"/>
    <w:rsid w:val="002C6009"/>
    <w:rsid w:val="002C6029"/>
    <w:rsid w:val="002C60D3"/>
    <w:rsid w:val="002C6113"/>
    <w:rsid w:val="002C6221"/>
    <w:rsid w:val="002C6562"/>
    <w:rsid w:val="002C6ACC"/>
    <w:rsid w:val="002C6CBE"/>
    <w:rsid w:val="002C6D45"/>
    <w:rsid w:val="002C717F"/>
    <w:rsid w:val="002C7274"/>
    <w:rsid w:val="002C737B"/>
    <w:rsid w:val="002C7412"/>
    <w:rsid w:val="002C745E"/>
    <w:rsid w:val="002C7954"/>
    <w:rsid w:val="002C7A3E"/>
    <w:rsid w:val="002C7F78"/>
    <w:rsid w:val="002D0027"/>
    <w:rsid w:val="002D00DF"/>
    <w:rsid w:val="002D0170"/>
    <w:rsid w:val="002D01B3"/>
    <w:rsid w:val="002D021B"/>
    <w:rsid w:val="002D0258"/>
    <w:rsid w:val="002D063E"/>
    <w:rsid w:val="002D06D5"/>
    <w:rsid w:val="002D0885"/>
    <w:rsid w:val="002D092C"/>
    <w:rsid w:val="002D095E"/>
    <w:rsid w:val="002D0BE8"/>
    <w:rsid w:val="002D0D46"/>
    <w:rsid w:val="002D0DAF"/>
    <w:rsid w:val="002D0E7E"/>
    <w:rsid w:val="002D1033"/>
    <w:rsid w:val="002D10C3"/>
    <w:rsid w:val="002D1123"/>
    <w:rsid w:val="002D134F"/>
    <w:rsid w:val="002D146C"/>
    <w:rsid w:val="002D1529"/>
    <w:rsid w:val="002D154A"/>
    <w:rsid w:val="002D1645"/>
    <w:rsid w:val="002D1978"/>
    <w:rsid w:val="002D1A54"/>
    <w:rsid w:val="002D1ACA"/>
    <w:rsid w:val="002D1BC0"/>
    <w:rsid w:val="002D1BC7"/>
    <w:rsid w:val="002D1D0D"/>
    <w:rsid w:val="002D1DC5"/>
    <w:rsid w:val="002D1E3C"/>
    <w:rsid w:val="002D1F0B"/>
    <w:rsid w:val="002D2015"/>
    <w:rsid w:val="002D2018"/>
    <w:rsid w:val="002D21EA"/>
    <w:rsid w:val="002D21F2"/>
    <w:rsid w:val="002D22B5"/>
    <w:rsid w:val="002D27A5"/>
    <w:rsid w:val="002D2BC7"/>
    <w:rsid w:val="002D2BFA"/>
    <w:rsid w:val="002D2DE3"/>
    <w:rsid w:val="002D32EE"/>
    <w:rsid w:val="002D3384"/>
    <w:rsid w:val="002D3898"/>
    <w:rsid w:val="002D38D0"/>
    <w:rsid w:val="002D3AA0"/>
    <w:rsid w:val="002D3C9E"/>
    <w:rsid w:val="002D3EA8"/>
    <w:rsid w:val="002D4120"/>
    <w:rsid w:val="002D4147"/>
    <w:rsid w:val="002D42CA"/>
    <w:rsid w:val="002D4459"/>
    <w:rsid w:val="002D44E0"/>
    <w:rsid w:val="002D463D"/>
    <w:rsid w:val="002D4854"/>
    <w:rsid w:val="002D4AFD"/>
    <w:rsid w:val="002D4DEE"/>
    <w:rsid w:val="002D4EF9"/>
    <w:rsid w:val="002D53E4"/>
    <w:rsid w:val="002D5606"/>
    <w:rsid w:val="002D5A50"/>
    <w:rsid w:val="002D5A87"/>
    <w:rsid w:val="002D5B65"/>
    <w:rsid w:val="002D5E4C"/>
    <w:rsid w:val="002D5ED3"/>
    <w:rsid w:val="002D5F63"/>
    <w:rsid w:val="002D5FC5"/>
    <w:rsid w:val="002D6155"/>
    <w:rsid w:val="002D6249"/>
    <w:rsid w:val="002D62DD"/>
    <w:rsid w:val="002D639D"/>
    <w:rsid w:val="002D66B2"/>
    <w:rsid w:val="002D67C5"/>
    <w:rsid w:val="002D6AA5"/>
    <w:rsid w:val="002D6B26"/>
    <w:rsid w:val="002D6B51"/>
    <w:rsid w:val="002D6D82"/>
    <w:rsid w:val="002D6F05"/>
    <w:rsid w:val="002D700E"/>
    <w:rsid w:val="002D70E7"/>
    <w:rsid w:val="002D71D0"/>
    <w:rsid w:val="002D71EE"/>
    <w:rsid w:val="002D72A8"/>
    <w:rsid w:val="002D7311"/>
    <w:rsid w:val="002D7684"/>
    <w:rsid w:val="002D78C1"/>
    <w:rsid w:val="002D7C4C"/>
    <w:rsid w:val="002D7C7A"/>
    <w:rsid w:val="002D7E1C"/>
    <w:rsid w:val="002D7E4D"/>
    <w:rsid w:val="002D7EC2"/>
    <w:rsid w:val="002D7F6D"/>
    <w:rsid w:val="002E0223"/>
    <w:rsid w:val="002E0268"/>
    <w:rsid w:val="002E0565"/>
    <w:rsid w:val="002E06B0"/>
    <w:rsid w:val="002E0A27"/>
    <w:rsid w:val="002E0ADF"/>
    <w:rsid w:val="002E0F21"/>
    <w:rsid w:val="002E10E1"/>
    <w:rsid w:val="002E1679"/>
    <w:rsid w:val="002E1684"/>
    <w:rsid w:val="002E16D8"/>
    <w:rsid w:val="002E17E6"/>
    <w:rsid w:val="002E1B35"/>
    <w:rsid w:val="002E1BCA"/>
    <w:rsid w:val="002E1CDF"/>
    <w:rsid w:val="002E1F3F"/>
    <w:rsid w:val="002E1FC8"/>
    <w:rsid w:val="002E2145"/>
    <w:rsid w:val="002E2200"/>
    <w:rsid w:val="002E23C7"/>
    <w:rsid w:val="002E24D1"/>
    <w:rsid w:val="002E2772"/>
    <w:rsid w:val="002E27B8"/>
    <w:rsid w:val="002E293B"/>
    <w:rsid w:val="002E2A7B"/>
    <w:rsid w:val="002E2C50"/>
    <w:rsid w:val="002E2C7E"/>
    <w:rsid w:val="002E321A"/>
    <w:rsid w:val="002E3242"/>
    <w:rsid w:val="002E33E0"/>
    <w:rsid w:val="002E3773"/>
    <w:rsid w:val="002E3801"/>
    <w:rsid w:val="002E38DF"/>
    <w:rsid w:val="002E39E1"/>
    <w:rsid w:val="002E3A1F"/>
    <w:rsid w:val="002E3A67"/>
    <w:rsid w:val="002E3B28"/>
    <w:rsid w:val="002E3BEE"/>
    <w:rsid w:val="002E3C37"/>
    <w:rsid w:val="002E3CB3"/>
    <w:rsid w:val="002E3D8F"/>
    <w:rsid w:val="002E41C5"/>
    <w:rsid w:val="002E41E9"/>
    <w:rsid w:val="002E44C8"/>
    <w:rsid w:val="002E4863"/>
    <w:rsid w:val="002E48FF"/>
    <w:rsid w:val="002E4994"/>
    <w:rsid w:val="002E4A17"/>
    <w:rsid w:val="002E4AB1"/>
    <w:rsid w:val="002E4EFC"/>
    <w:rsid w:val="002E5395"/>
    <w:rsid w:val="002E55F1"/>
    <w:rsid w:val="002E5627"/>
    <w:rsid w:val="002E562D"/>
    <w:rsid w:val="002E56A8"/>
    <w:rsid w:val="002E56E4"/>
    <w:rsid w:val="002E5730"/>
    <w:rsid w:val="002E577A"/>
    <w:rsid w:val="002E57D2"/>
    <w:rsid w:val="002E585B"/>
    <w:rsid w:val="002E5996"/>
    <w:rsid w:val="002E5A63"/>
    <w:rsid w:val="002E5B2E"/>
    <w:rsid w:val="002E5CE9"/>
    <w:rsid w:val="002E6019"/>
    <w:rsid w:val="002E6101"/>
    <w:rsid w:val="002E61AE"/>
    <w:rsid w:val="002E640A"/>
    <w:rsid w:val="002E72DA"/>
    <w:rsid w:val="002E734D"/>
    <w:rsid w:val="002E7393"/>
    <w:rsid w:val="002E7564"/>
    <w:rsid w:val="002E75C4"/>
    <w:rsid w:val="002E7668"/>
    <w:rsid w:val="002E76F8"/>
    <w:rsid w:val="002E7922"/>
    <w:rsid w:val="002E7DC5"/>
    <w:rsid w:val="002F001F"/>
    <w:rsid w:val="002F009C"/>
    <w:rsid w:val="002F0209"/>
    <w:rsid w:val="002F0748"/>
    <w:rsid w:val="002F0B03"/>
    <w:rsid w:val="002F10BE"/>
    <w:rsid w:val="002F12CE"/>
    <w:rsid w:val="002F15D5"/>
    <w:rsid w:val="002F1616"/>
    <w:rsid w:val="002F167E"/>
    <w:rsid w:val="002F1766"/>
    <w:rsid w:val="002F1898"/>
    <w:rsid w:val="002F18A7"/>
    <w:rsid w:val="002F19B5"/>
    <w:rsid w:val="002F1BE4"/>
    <w:rsid w:val="002F1F9A"/>
    <w:rsid w:val="002F20E9"/>
    <w:rsid w:val="002F255C"/>
    <w:rsid w:val="002F2563"/>
    <w:rsid w:val="002F261B"/>
    <w:rsid w:val="002F2683"/>
    <w:rsid w:val="002F26B1"/>
    <w:rsid w:val="002F29ED"/>
    <w:rsid w:val="002F2B02"/>
    <w:rsid w:val="002F2B57"/>
    <w:rsid w:val="002F2D0C"/>
    <w:rsid w:val="002F2E9C"/>
    <w:rsid w:val="002F2EF9"/>
    <w:rsid w:val="002F2FD0"/>
    <w:rsid w:val="002F31C2"/>
    <w:rsid w:val="002F321D"/>
    <w:rsid w:val="002F32DC"/>
    <w:rsid w:val="002F32F9"/>
    <w:rsid w:val="002F335F"/>
    <w:rsid w:val="002F339C"/>
    <w:rsid w:val="002F34E7"/>
    <w:rsid w:val="002F3E05"/>
    <w:rsid w:val="002F4040"/>
    <w:rsid w:val="002F40F4"/>
    <w:rsid w:val="002F4351"/>
    <w:rsid w:val="002F443A"/>
    <w:rsid w:val="002F469C"/>
    <w:rsid w:val="002F46C5"/>
    <w:rsid w:val="002F4963"/>
    <w:rsid w:val="002F4991"/>
    <w:rsid w:val="002F4C88"/>
    <w:rsid w:val="002F4D20"/>
    <w:rsid w:val="002F4E17"/>
    <w:rsid w:val="002F4E4E"/>
    <w:rsid w:val="002F5015"/>
    <w:rsid w:val="002F50B8"/>
    <w:rsid w:val="002F5263"/>
    <w:rsid w:val="002F5370"/>
    <w:rsid w:val="002F55E3"/>
    <w:rsid w:val="002F56D7"/>
    <w:rsid w:val="002F58A7"/>
    <w:rsid w:val="002F58C5"/>
    <w:rsid w:val="002F5E67"/>
    <w:rsid w:val="002F620A"/>
    <w:rsid w:val="002F6468"/>
    <w:rsid w:val="002F65D4"/>
    <w:rsid w:val="002F6850"/>
    <w:rsid w:val="002F6C2D"/>
    <w:rsid w:val="002F6E7A"/>
    <w:rsid w:val="002F6EC6"/>
    <w:rsid w:val="002F6F5F"/>
    <w:rsid w:val="002F723E"/>
    <w:rsid w:val="002F7461"/>
    <w:rsid w:val="002F7590"/>
    <w:rsid w:val="002F7DB6"/>
    <w:rsid w:val="002F7DDB"/>
    <w:rsid w:val="002F7ED9"/>
    <w:rsid w:val="0030014F"/>
    <w:rsid w:val="003003C1"/>
    <w:rsid w:val="00300729"/>
    <w:rsid w:val="00300824"/>
    <w:rsid w:val="00300990"/>
    <w:rsid w:val="003009E4"/>
    <w:rsid w:val="00300A32"/>
    <w:rsid w:val="00300A81"/>
    <w:rsid w:val="00301006"/>
    <w:rsid w:val="003010AD"/>
    <w:rsid w:val="00301223"/>
    <w:rsid w:val="0030122A"/>
    <w:rsid w:val="00301360"/>
    <w:rsid w:val="003013FE"/>
    <w:rsid w:val="00301647"/>
    <w:rsid w:val="003016B3"/>
    <w:rsid w:val="003016C3"/>
    <w:rsid w:val="00301721"/>
    <w:rsid w:val="003017A0"/>
    <w:rsid w:val="003018D1"/>
    <w:rsid w:val="003018EA"/>
    <w:rsid w:val="00301AFA"/>
    <w:rsid w:val="00301B80"/>
    <w:rsid w:val="00301C74"/>
    <w:rsid w:val="00301D25"/>
    <w:rsid w:val="00301EBC"/>
    <w:rsid w:val="00302200"/>
    <w:rsid w:val="00302440"/>
    <w:rsid w:val="0030249B"/>
    <w:rsid w:val="00302779"/>
    <w:rsid w:val="003027E1"/>
    <w:rsid w:val="003028FC"/>
    <w:rsid w:val="00302AE2"/>
    <w:rsid w:val="00302C61"/>
    <w:rsid w:val="00302D1A"/>
    <w:rsid w:val="00302ECE"/>
    <w:rsid w:val="0030300A"/>
    <w:rsid w:val="003035C3"/>
    <w:rsid w:val="00303809"/>
    <w:rsid w:val="00303AA8"/>
    <w:rsid w:val="00303AB9"/>
    <w:rsid w:val="00303CF4"/>
    <w:rsid w:val="00304406"/>
    <w:rsid w:val="00304848"/>
    <w:rsid w:val="003048FB"/>
    <w:rsid w:val="00304910"/>
    <w:rsid w:val="00304B97"/>
    <w:rsid w:val="00304F69"/>
    <w:rsid w:val="0030507E"/>
    <w:rsid w:val="0030509A"/>
    <w:rsid w:val="0030527D"/>
    <w:rsid w:val="00305280"/>
    <w:rsid w:val="003053E5"/>
    <w:rsid w:val="0030562C"/>
    <w:rsid w:val="00305681"/>
    <w:rsid w:val="003056A7"/>
    <w:rsid w:val="00305994"/>
    <w:rsid w:val="00305CE4"/>
    <w:rsid w:val="00305D05"/>
    <w:rsid w:val="00305EE0"/>
    <w:rsid w:val="003066E5"/>
    <w:rsid w:val="003067BD"/>
    <w:rsid w:val="00306907"/>
    <w:rsid w:val="0030698C"/>
    <w:rsid w:val="00306A84"/>
    <w:rsid w:val="00306DA1"/>
    <w:rsid w:val="00306F88"/>
    <w:rsid w:val="003071DF"/>
    <w:rsid w:val="0030733D"/>
    <w:rsid w:val="003077C6"/>
    <w:rsid w:val="003079C3"/>
    <w:rsid w:val="003079D1"/>
    <w:rsid w:val="00307CD9"/>
    <w:rsid w:val="00307F7F"/>
    <w:rsid w:val="003103E4"/>
    <w:rsid w:val="00310494"/>
    <w:rsid w:val="00310528"/>
    <w:rsid w:val="00310748"/>
    <w:rsid w:val="00310970"/>
    <w:rsid w:val="003109F5"/>
    <w:rsid w:val="003109FA"/>
    <w:rsid w:val="00310D60"/>
    <w:rsid w:val="00310EC6"/>
    <w:rsid w:val="003111D6"/>
    <w:rsid w:val="003111E0"/>
    <w:rsid w:val="00311435"/>
    <w:rsid w:val="003114AC"/>
    <w:rsid w:val="00311762"/>
    <w:rsid w:val="00311982"/>
    <w:rsid w:val="00311AD0"/>
    <w:rsid w:val="00311B71"/>
    <w:rsid w:val="00311CF8"/>
    <w:rsid w:val="00311CF9"/>
    <w:rsid w:val="00311DFA"/>
    <w:rsid w:val="00311EB2"/>
    <w:rsid w:val="00311FE3"/>
    <w:rsid w:val="003121B6"/>
    <w:rsid w:val="00312631"/>
    <w:rsid w:val="0031272B"/>
    <w:rsid w:val="003128B5"/>
    <w:rsid w:val="0031292B"/>
    <w:rsid w:val="00312B2A"/>
    <w:rsid w:val="00312BE0"/>
    <w:rsid w:val="00312CD8"/>
    <w:rsid w:val="00312EB1"/>
    <w:rsid w:val="0031335F"/>
    <w:rsid w:val="00313468"/>
    <w:rsid w:val="0031354F"/>
    <w:rsid w:val="00313659"/>
    <w:rsid w:val="00313747"/>
    <w:rsid w:val="00313AEA"/>
    <w:rsid w:val="00313EA0"/>
    <w:rsid w:val="00313F02"/>
    <w:rsid w:val="00314057"/>
    <w:rsid w:val="0031408B"/>
    <w:rsid w:val="003141C0"/>
    <w:rsid w:val="003141CE"/>
    <w:rsid w:val="00314514"/>
    <w:rsid w:val="0031473F"/>
    <w:rsid w:val="003147D9"/>
    <w:rsid w:val="00314862"/>
    <w:rsid w:val="00314992"/>
    <w:rsid w:val="00314A51"/>
    <w:rsid w:val="00314B49"/>
    <w:rsid w:val="00314C20"/>
    <w:rsid w:val="00314C2B"/>
    <w:rsid w:val="00314C5D"/>
    <w:rsid w:val="003150E7"/>
    <w:rsid w:val="003151AA"/>
    <w:rsid w:val="00315208"/>
    <w:rsid w:val="003152BB"/>
    <w:rsid w:val="0031534F"/>
    <w:rsid w:val="00315466"/>
    <w:rsid w:val="00315621"/>
    <w:rsid w:val="00315704"/>
    <w:rsid w:val="00315947"/>
    <w:rsid w:val="00315E49"/>
    <w:rsid w:val="003162AA"/>
    <w:rsid w:val="00316473"/>
    <w:rsid w:val="00316905"/>
    <w:rsid w:val="00316CB6"/>
    <w:rsid w:val="00316E23"/>
    <w:rsid w:val="00316EF5"/>
    <w:rsid w:val="00316FCC"/>
    <w:rsid w:val="003170A3"/>
    <w:rsid w:val="003173FD"/>
    <w:rsid w:val="00317848"/>
    <w:rsid w:val="00317BA4"/>
    <w:rsid w:val="00317E38"/>
    <w:rsid w:val="00317E49"/>
    <w:rsid w:val="00317F0A"/>
    <w:rsid w:val="003201A6"/>
    <w:rsid w:val="003201A7"/>
    <w:rsid w:val="0032032E"/>
    <w:rsid w:val="003203E1"/>
    <w:rsid w:val="00320408"/>
    <w:rsid w:val="0032067D"/>
    <w:rsid w:val="003207F7"/>
    <w:rsid w:val="0032086F"/>
    <w:rsid w:val="00320BF1"/>
    <w:rsid w:val="00320EE5"/>
    <w:rsid w:val="00320F3A"/>
    <w:rsid w:val="00320FD2"/>
    <w:rsid w:val="00321016"/>
    <w:rsid w:val="003210A1"/>
    <w:rsid w:val="003213F4"/>
    <w:rsid w:val="003214FA"/>
    <w:rsid w:val="00321885"/>
    <w:rsid w:val="003218B6"/>
    <w:rsid w:val="003218E2"/>
    <w:rsid w:val="00321A88"/>
    <w:rsid w:val="00321C05"/>
    <w:rsid w:val="00321C80"/>
    <w:rsid w:val="00321EE1"/>
    <w:rsid w:val="00321FA2"/>
    <w:rsid w:val="0032207A"/>
    <w:rsid w:val="0032207D"/>
    <w:rsid w:val="00322511"/>
    <w:rsid w:val="00322554"/>
    <w:rsid w:val="0032255D"/>
    <w:rsid w:val="003229B9"/>
    <w:rsid w:val="003229BC"/>
    <w:rsid w:val="00322B3C"/>
    <w:rsid w:val="00322C19"/>
    <w:rsid w:val="00322C48"/>
    <w:rsid w:val="00322CA5"/>
    <w:rsid w:val="00322E29"/>
    <w:rsid w:val="00322E33"/>
    <w:rsid w:val="00322EAE"/>
    <w:rsid w:val="00322ED3"/>
    <w:rsid w:val="00323231"/>
    <w:rsid w:val="003232CF"/>
    <w:rsid w:val="0032339F"/>
    <w:rsid w:val="003233DC"/>
    <w:rsid w:val="00323841"/>
    <w:rsid w:val="00323A54"/>
    <w:rsid w:val="00323A58"/>
    <w:rsid w:val="00323AD7"/>
    <w:rsid w:val="00323B04"/>
    <w:rsid w:val="00323F33"/>
    <w:rsid w:val="00324121"/>
    <w:rsid w:val="003244B6"/>
    <w:rsid w:val="00324875"/>
    <w:rsid w:val="003248C1"/>
    <w:rsid w:val="00324991"/>
    <w:rsid w:val="003249BA"/>
    <w:rsid w:val="00324B78"/>
    <w:rsid w:val="00324BC7"/>
    <w:rsid w:val="00324C8C"/>
    <w:rsid w:val="00324FA6"/>
    <w:rsid w:val="0032519A"/>
    <w:rsid w:val="00325362"/>
    <w:rsid w:val="00325431"/>
    <w:rsid w:val="003255F5"/>
    <w:rsid w:val="0032572E"/>
    <w:rsid w:val="0032588A"/>
    <w:rsid w:val="00325C68"/>
    <w:rsid w:val="00325D40"/>
    <w:rsid w:val="00325E2D"/>
    <w:rsid w:val="00326172"/>
    <w:rsid w:val="00326265"/>
    <w:rsid w:val="003262E0"/>
    <w:rsid w:val="00326311"/>
    <w:rsid w:val="003263BC"/>
    <w:rsid w:val="003263CD"/>
    <w:rsid w:val="003263D5"/>
    <w:rsid w:val="0032655D"/>
    <w:rsid w:val="00326819"/>
    <w:rsid w:val="0032685D"/>
    <w:rsid w:val="00326952"/>
    <w:rsid w:val="003269F9"/>
    <w:rsid w:val="00326D48"/>
    <w:rsid w:val="00326DA1"/>
    <w:rsid w:val="00326EF9"/>
    <w:rsid w:val="00326F20"/>
    <w:rsid w:val="00327267"/>
    <w:rsid w:val="00327325"/>
    <w:rsid w:val="00327592"/>
    <w:rsid w:val="0032771C"/>
    <w:rsid w:val="0032779B"/>
    <w:rsid w:val="003277A3"/>
    <w:rsid w:val="00327A21"/>
    <w:rsid w:val="00327B1C"/>
    <w:rsid w:val="00327CD9"/>
    <w:rsid w:val="00327CE4"/>
    <w:rsid w:val="00327D2B"/>
    <w:rsid w:val="00327D7A"/>
    <w:rsid w:val="00327DFB"/>
    <w:rsid w:val="00327F11"/>
    <w:rsid w:val="00327F5A"/>
    <w:rsid w:val="0032F106"/>
    <w:rsid w:val="0033010F"/>
    <w:rsid w:val="003303F6"/>
    <w:rsid w:val="00330CB8"/>
    <w:rsid w:val="00330DC9"/>
    <w:rsid w:val="00330FE5"/>
    <w:rsid w:val="0033119A"/>
    <w:rsid w:val="003313AA"/>
    <w:rsid w:val="003313BE"/>
    <w:rsid w:val="003315A2"/>
    <w:rsid w:val="003316ED"/>
    <w:rsid w:val="00331762"/>
    <w:rsid w:val="00331943"/>
    <w:rsid w:val="00332327"/>
    <w:rsid w:val="00332582"/>
    <w:rsid w:val="00332649"/>
    <w:rsid w:val="00332841"/>
    <w:rsid w:val="00332964"/>
    <w:rsid w:val="003329C6"/>
    <w:rsid w:val="00332A30"/>
    <w:rsid w:val="00332E3F"/>
    <w:rsid w:val="003330DC"/>
    <w:rsid w:val="00333178"/>
    <w:rsid w:val="0033326C"/>
    <w:rsid w:val="00333542"/>
    <w:rsid w:val="00333795"/>
    <w:rsid w:val="00333837"/>
    <w:rsid w:val="00333C71"/>
    <w:rsid w:val="00333C8E"/>
    <w:rsid w:val="00333CB0"/>
    <w:rsid w:val="00333E66"/>
    <w:rsid w:val="00333F7E"/>
    <w:rsid w:val="003340E3"/>
    <w:rsid w:val="00334271"/>
    <w:rsid w:val="0033430D"/>
    <w:rsid w:val="00334569"/>
    <w:rsid w:val="003349F9"/>
    <w:rsid w:val="00334A90"/>
    <w:rsid w:val="00334E87"/>
    <w:rsid w:val="00334E8E"/>
    <w:rsid w:val="00334E92"/>
    <w:rsid w:val="00335000"/>
    <w:rsid w:val="00335078"/>
    <w:rsid w:val="0033521C"/>
    <w:rsid w:val="00335221"/>
    <w:rsid w:val="0033536C"/>
    <w:rsid w:val="003354F8"/>
    <w:rsid w:val="00335770"/>
    <w:rsid w:val="003357A8"/>
    <w:rsid w:val="00335959"/>
    <w:rsid w:val="003359C6"/>
    <w:rsid w:val="00335A6E"/>
    <w:rsid w:val="00335D84"/>
    <w:rsid w:val="00335EEE"/>
    <w:rsid w:val="00335F92"/>
    <w:rsid w:val="00335FB2"/>
    <w:rsid w:val="00336477"/>
    <w:rsid w:val="00336525"/>
    <w:rsid w:val="00336584"/>
    <w:rsid w:val="00336611"/>
    <w:rsid w:val="003366C9"/>
    <w:rsid w:val="0033693C"/>
    <w:rsid w:val="00336A36"/>
    <w:rsid w:val="00336A43"/>
    <w:rsid w:val="00336C9F"/>
    <w:rsid w:val="00336D87"/>
    <w:rsid w:val="003370CE"/>
    <w:rsid w:val="0033728D"/>
    <w:rsid w:val="00337380"/>
    <w:rsid w:val="00337446"/>
    <w:rsid w:val="0033757B"/>
    <w:rsid w:val="003375F2"/>
    <w:rsid w:val="00337794"/>
    <w:rsid w:val="00337996"/>
    <w:rsid w:val="00337A14"/>
    <w:rsid w:val="00337A29"/>
    <w:rsid w:val="00337B49"/>
    <w:rsid w:val="00337E71"/>
    <w:rsid w:val="003404D8"/>
    <w:rsid w:val="00340A49"/>
    <w:rsid w:val="00340A5E"/>
    <w:rsid w:val="00340AFA"/>
    <w:rsid w:val="00340B1A"/>
    <w:rsid w:val="00340B8D"/>
    <w:rsid w:val="00340BC1"/>
    <w:rsid w:val="00340DB4"/>
    <w:rsid w:val="0034105B"/>
    <w:rsid w:val="00341072"/>
    <w:rsid w:val="0034133A"/>
    <w:rsid w:val="003414DD"/>
    <w:rsid w:val="003419AE"/>
    <w:rsid w:val="00341B06"/>
    <w:rsid w:val="00341C95"/>
    <w:rsid w:val="00341D5A"/>
    <w:rsid w:val="00341DB2"/>
    <w:rsid w:val="003421FD"/>
    <w:rsid w:val="00342286"/>
    <w:rsid w:val="003422DC"/>
    <w:rsid w:val="00342630"/>
    <w:rsid w:val="00342C78"/>
    <w:rsid w:val="00342D3D"/>
    <w:rsid w:val="00342DD1"/>
    <w:rsid w:val="00342DD5"/>
    <w:rsid w:val="00342EF5"/>
    <w:rsid w:val="00343089"/>
    <w:rsid w:val="00343499"/>
    <w:rsid w:val="0034365E"/>
    <w:rsid w:val="0034387B"/>
    <w:rsid w:val="00343896"/>
    <w:rsid w:val="00343CF5"/>
    <w:rsid w:val="003441A3"/>
    <w:rsid w:val="003443BD"/>
    <w:rsid w:val="0034462B"/>
    <w:rsid w:val="00344645"/>
    <w:rsid w:val="003449C2"/>
    <w:rsid w:val="00344A10"/>
    <w:rsid w:val="00344FCE"/>
    <w:rsid w:val="00345004"/>
    <w:rsid w:val="003450BB"/>
    <w:rsid w:val="003452E8"/>
    <w:rsid w:val="00345391"/>
    <w:rsid w:val="00345494"/>
    <w:rsid w:val="003454AC"/>
    <w:rsid w:val="00345517"/>
    <w:rsid w:val="0034566B"/>
    <w:rsid w:val="00345B32"/>
    <w:rsid w:val="00345B6A"/>
    <w:rsid w:val="00345F37"/>
    <w:rsid w:val="00346005"/>
    <w:rsid w:val="00346130"/>
    <w:rsid w:val="00346166"/>
    <w:rsid w:val="00346285"/>
    <w:rsid w:val="003462F3"/>
    <w:rsid w:val="0034639F"/>
    <w:rsid w:val="003463AC"/>
    <w:rsid w:val="0034657F"/>
    <w:rsid w:val="00346754"/>
    <w:rsid w:val="00346879"/>
    <w:rsid w:val="00346EDE"/>
    <w:rsid w:val="0034706B"/>
    <w:rsid w:val="003470A4"/>
    <w:rsid w:val="003471A5"/>
    <w:rsid w:val="003471B1"/>
    <w:rsid w:val="00347646"/>
    <w:rsid w:val="00347661"/>
    <w:rsid w:val="0034776C"/>
    <w:rsid w:val="00347B32"/>
    <w:rsid w:val="00347CD6"/>
    <w:rsid w:val="00347E41"/>
    <w:rsid w:val="00347F2B"/>
    <w:rsid w:val="00350557"/>
    <w:rsid w:val="00350725"/>
    <w:rsid w:val="003509A4"/>
    <w:rsid w:val="00350AE5"/>
    <w:rsid w:val="00350CE8"/>
    <w:rsid w:val="00350D15"/>
    <w:rsid w:val="00350E42"/>
    <w:rsid w:val="0035104F"/>
    <w:rsid w:val="00351470"/>
    <w:rsid w:val="003517A2"/>
    <w:rsid w:val="003518C7"/>
    <w:rsid w:val="00351978"/>
    <w:rsid w:val="00351C63"/>
    <w:rsid w:val="00351D3E"/>
    <w:rsid w:val="00351D62"/>
    <w:rsid w:val="00351F6D"/>
    <w:rsid w:val="00351FA3"/>
    <w:rsid w:val="00351FAD"/>
    <w:rsid w:val="003521C9"/>
    <w:rsid w:val="003529B5"/>
    <w:rsid w:val="00352A15"/>
    <w:rsid w:val="00352A30"/>
    <w:rsid w:val="00352D86"/>
    <w:rsid w:val="00352E2C"/>
    <w:rsid w:val="00352E55"/>
    <w:rsid w:val="00352EEA"/>
    <w:rsid w:val="003532F5"/>
    <w:rsid w:val="00353351"/>
    <w:rsid w:val="00353429"/>
    <w:rsid w:val="00353586"/>
    <w:rsid w:val="0035359E"/>
    <w:rsid w:val="003537EC"/>
    <w:rsid w:val="00353825"/>
    <w:rsid w:val="0035398F"/>
    <w:rsid w:val="003539A7"/>
    <w:rsid w:val="003539CA"/>
    <w:rsid w:val="00353A28"/>
    <w:rsid w:val="00353ADF"/>
    <w:rsid w:val="00353D3A"/>
    <w:rsid w:val="00353FBF"/>
    <w:rsid w:val="00353FE1"/>
    <w:rsid w:val="00354085"/>
    <w:rsid w:val="003541A6"/>
    <w:rsid w:val="003545D0"/>
    <w:rsid w:val="00354AEE"/>
    <w:rsid w:val="00354AF8"/>
    <w:rsid w:val="00355A69"/>
    <w:rsid w:val="00355AB0"/>
    <w:rsid w:val="00356049"/>
    <w:rsid w:val="0035613B"/>
    <w:rsid w:val="003564EB"/>
    <w:rsid w:val="0035651E"/>
    <w:rsid w:val="00356606"/>
    <w:rsid w:val="00356910"/>
    <w:rsid w:val="003569A7"/>
    <w:rsid w:val="003569B4"/>
    <w:rsid w:val="00356BDE"/>
    <w:rsid w:val="00356D9C"/>
    <w:rsid w:val="00357450"/>
    <w:rsid w:val="00357603"/>
    <w:rsid w:val="00357883"/>
    <w:rsid w:val="00357B28"/>
    <w:rsid w:val="00357C34"/>
    <w:rsid w:val="00357EFF"/>
    <w:rsid w:val="00357FDE"/>
    <w:rsid w:val="003600BB"/>
    <w:rsid w:val="00360249"/>
    <w:rsid w:val="0036026E"/>
    <w:rsid w:val="00360510"/>
    <w:rsid w:val="00360BC3"/>
    <w:rsid w:val="00360C55"/>
    <w:rsid w:val="00360F73"/>
    <w:rsid w:val="00361048"/>
    <w:rsid w:val="0036177E"/>
    <w:rsid w:val="00361784"/>
    <w:rsid w:val="00361A60"/>
    <w:rsid w:val="00361B19"/>
    <w:rsid w:val="00361C20"/>
    <w:rsid w:val="00362127"/>
    <w:rsid w:val="0036212A"/>
    <w:rsid w:val="003623A8"/>
    <w:rsid w:val="003624C8"/>
    <w:rsid w:val="0036253C"/>
    <w:rsid w:val="00362D35"/>
    <w:rsid w:val="00362DA1"/>
    <w:rsid w:val="00362F5A"/>
    <w:rsid w:val="00363244"/>
    <w:rsid w:val="003632A0"/>
    <w:rsid w:val="0036331B"/>
    <w:rsid w:val="003636FD"/>
    <w:rsid w:val="003637ED"/>
    <w:rsid w:val="003638D2"/>
    <w:rsid w:val="00363B9C"/>
    <w:rsid w:val="00363F8E"/>
    <w:rsid w:val="00364288"/>
    <w:rsid w:val="003642A4"/>
    <w:rsid w:val="003642B7"/>
    <w:rsid w:val="00364441"/>
    <w:rsid w:val="00364481"/>
    <w:rsid w:val="00364513"/>
    <w:rsid w:val="0036486D"/>
    <w:rsid w:val="003649FB"/>
    <w:rsid w:val="00364FD0"/>
    <w:rsid w:val="0036500C"/>
    <w:rsid w:val="00365120"/>
    <w:rsid w:val="0036596F"/>
    <w:rsid w:val="003659DD"/>
    <w:rsid w:val="00365A0C"/>
    <w:rsid w:val="00365DA2"/>
    <w:rsid w:val="00366033"/>
    <w:rsid w:val="003660ED"/>
    <w:rsid w:val="0036615C"/>
    <w:rsid w:val="00366558"/>
    <w:rsid w:val="00366670"/>
    <w:rsid w:val="00366676"/>
    <w:rsid w:val="003666CB"/>
    <w:rsid w:val="00366920"/>
    <w:rsid w:val="00366AB9"/>
    <w:rsid w:val="00366CD2"/>
    <w:rsid w:val="00366F08"/>
    <w:rsid w:val="00366FA6"/>
    <w:rsid w:val="0036707A"/>
    <w:rsid w:val="00367299"/>
    <w:rsid w:val="00367304"/>
    <w:rsid w:val="003673F7"/>
    <w:rsid w:val="00367632"/>
    <w:rsid w:val="00367758"/>
    <w:rsid w:val="0036797B"/>
    <w:rsid w:val="00367D1E"/>
    <w:rsid w:val="00367D22"/>
    <w:rsid w:val="00367D9D"/>
    <w:rsid w:val="00370002"/>
    <w:rsid w:val="003701E1"/>
    <w:rsid w:val="003701F2"/>
    <w:rsid w:val="00370247"/>
    <w:rsid w:val="00370249"/>
    <w:rsid w:val="00370374"/>
    <w:rsid w:val="0037079A"/>
    <w:rsid w:val="0037083E"/>
    <w:rsid w:val="00370B65"/>
    <w:rsid w:val="00370CB3"/>
    <w:rsid w:val="00370E43"/>
    <w:rsid w:val="0037134E"/>
    <w:rsid w:val="003713BB"/>
    <w:rsid w:val="0037179C"/>
    <w:rsid w:val="00371803"/>
    <w:rsid w:val="0037190D"/>
    <w:rsid w:val="00371F32"/>
    <w:rsid w:val="00371FA1"/>
    <w:rsid w:val="0037240C"/>
    <w:rsid w:val="00372622"/>
    <w:rsid w:val="00372700"/>
    <w:rsid w:val="00372E25"/>
    <w:rsid w:val="00372FC8"/>
    <w:rsid w:val="003730DE"/>
    <w:rsid w:val="00373239"/>
    <w:rsid w:val="003735AA"/>
    <w:rsid w:val="00373906"/>
    <w:rsid w:val="00373971"/>
    <w:rsid w:val="00373BEC"/>
    <w:rsid w:val="00373D19"/>
    <w:rsid w:val="00373E55"/>
    <w:rsid w:val="00373F55"/>
    <w:rsid w:val="00373F99"/>
    <w:rsid w:val="003741E7"/>
    <w:rsid w:val="003747B7"/>
    <w:rsid w:val="00374D6F"/>
    <w:rsid w:val="00374E90"/>
    <w:rsid w:val="00374FC6"/>
    <w:rsid w:val="003752F1"/>
    <w:rsid w:val="00375770"/>
    <w:rsid w:val="00375A9B"/>
    <w:rsid w:val="00375D8B"/>
    <w:rsid w:val="00375FD0"/>
    <w:rsid w:val="0037635B"/>
    <w:rsid w:val="00376447"/>
    <w:rsid w:val="00376542"/>
    <w:rsid w:val="00376688"/>
    <w:rsid w:val="003767A9"/>
    <w:rsid w:val="003768F3"/>
    <w:rsid w:val="00376C58"/>
    <w:rsid w:val="00376DCC"/>
    <w:rsid w:val="00376E1F"/>
    <w:rsid w:val="00376F89"/>
    <w:rsid w:val="00377062"/>
    <w:rsid w:val="0037708F"/>
    <w:rsid w:val="0037711E"/>
    <w:rsid w:val="003771CC"/>
    <w:rsid w:val="00377536"/>
    <w:rsid w:val="00377620"/>
    <w:rsid w:val="00377C12"/>
    <w:rsid w:val="00377CDD"/>
    <w:rsid w:val="00377DF0"/>
    <w:rsid w:val="0038069A"/>
    <w:rsid w:val="00380B1D"/>
    <w:rsid w:val="00380C3A"/>
    <w:rsid w:val="00380CDD"/>
    <w:rsid w:val="00380CFD"/>
    <w:rsid w:val="00380FA4"/>
    <w:rsid w:val="003812E8"/>
    <w:rsid w:val="00381405"/>
    <w:rsid w:val="003814EF"/>
    <w:rsid w:val="0038157B"/>
    <w:rsid w:val="0038160D"/>
    <w:rsid w:val="003818BA"/>
    <w:rsid w:val="00381CC1"/>
    <w:rsid w:val="00381E7D"/>
    <w:rsid w:val="00381FF3"/>
    <w:rsid w:val="003820A1"/>
    <w:rsid w:val="003822D2"/>
    <w:rsid w:val="00382CF2"/>
    <w:rsid w:val="00382DBF"/>
    <w:rsid w:val="00382E52"/>
    <w:rsid w:val="003833FE"/>
    <w:rsid w:val="0038367F"/>
    <w:rsid w:val="003838F9"/>
    <w:rsid w:val="00383C30"/>
    <w:rsid w:val="00383CC3"/>
    <w:rsid w:val="00383E14"/>
    <w:rsid w:val="00383E49"/>
    <w:rsid w:val="00383F3E"/>
    <w:rsid w:val="00383FA4"/>
    <w:rsid w:val="0038406F"/>
    <w:rsid w:val="00384414"/>
    <w:rsid w:val="00384B70"/>
    <w:rsid w:val="00384DAD"/>
    <w:rsid w:val="00384E4E"/>
    <w:rsid w:val="003853B5"/>
    <w:rsid w:val="003855C5"/>
    <w:rsid w:val="003856EC"/>
    <w:rsid w:val="00385E12"/>
    <w:rsid w:val="00385EDD"/>
    <w:rsid w:val="0038621F"/>
    <w:rsid w:val="00386230"/>
    <w:rsid w:val="0038646C"/>
    <w:rsid w:val="003866C1"/>
    <w:rsid w:val="003869E8"/>
    <w:rsid w:val="00386E23"/>
    <w:rsid w:val="00387036"/>
    <w:rsid w:val="0038717D"/>
    <w:rsid w:val="003872ED"/>
    <w:rsid w:val="003872F5"/>
    <w:rsid w:val="003874A2"/>
    <w:rsid w:val="00387633"/>
    <w:rsid w:val="003876D0"/>
    <w:rsid w:val="003877D5"/>
    <w:rsid w:val="003878CD"/>
    <w:rsid w:val="003878EE"/>
    <w:rsid w:val="00387D59"/>
    <w:rsid w:val="00387E0D"/>
    <w:rsid w:val="00387E11"/>
    <w:rsid w:val="003903F1"/>
    <w:rsid w:val="003905A6"/>
    <w:rsid w:val="003905AE"/>
    <w:rsid w:val="00390649"/>
    <w:rsid w:val="00390765"/>
    <w:rsid w:val="003908E6"/>
    <w:rsid w:val="00390908"/>
    <w:rsid w:val="00390DA8"/>
    <w:rsid w:val="00390E71"/>
    <w:rsid w:val="00390F24"/>
    <w:rsid w:val="0039108B"/>
    <w:rsid w:val="00391159"/>
    <w:rsid w:val="00391213"/>
    <w:rsid w:val="003912E1"/>
    <w:rsid w:val="00391378"/>
    <w:rsid w:val="0039163E"/>
    <w:rsid w:val="003916D4"/>
    <w:rsid w:val="0039193E"/>
    <w:rsid w:val="003919A8"/>
    <w:rsid w:val="00391A90"/>
    <w:rsid w:val="00391B7C"/>
    <w:rsid w:val="00391E9D"/>
    <w:rsid w:val="00391FA1"/>
    <w:rsid w:val="00392201"/>
    <w:rsid w:val="0039223E"/>
    <w:rsid w:val="00392483"/>
    <w:rsid w:val="003926F8"/>
    <w:rsid w:val="00392835"/>
    <w:rsid w:val="0039290C"/>
    <w:rsid w:val="00392994"/>
    <w:rsid w:val="00392E0F"/>
    <w:rsid w:val="00392EAC"/>
    <w:rsid w:val="00392FA1"/>
    <w:rsid w:val="003931FA"/>
    <w:rsid w:val="0039367E"/>
    <w:rsid w:val="00393683"/>
    <w:rsid w:val="003936FB"/>
    <w:rsid w:val="00393902"/>
    <w:rsid w:val="00393D33"/>
    <w:rsid w:val="00393DD3"/>
    <w:rsid w:val="00393F1D"/>
    <w:rsid w:val="00393FB3"/>
    <w:rsid w:val="00394209"/>
    <w:rsid w:val="00394440"/>
    <w:rsid w:val="00394541"/>
    <w:rsid w:val="003948D0"/>
    <w:rsid w:val="003949B7"/>
    <w:rsid w:val="00394B29"/>
    <w:rsid w:val="00394C3C"/>
    <w:rsid w:val="00394D3B"/>
    <w:rsid w:val="00394D86"/>
    <w:rsid w:val="00394DA9"/>
    <w:rsid w:val="00394E2C"/>
    <w:rsid w:val="00395137"/>
    <w:rsid w:val="003951F5"/>
    <w:rsid w:val="003952F5"/>
    <w:rsid w:val="00395344"/>
    <w:rsid w:val="003954DC"/>
    <w:rsid w:val="0039593C"/>
    <w:rsid w:val="003959A2"/>
    <w:rsid w:val="003959F9"/>
    <w:rsid w:val="00395F00"/>
    <w:rsid w:val="00395F36"/>
    <w:rsid w:val="00395F8A"/>
    <w:rsid w:val="00395FD7"/>
    <w:rsid w:val="00396491"/>
    <w:rsid w:val="003964E1"/>
    <w:rsid w:val="003966B2"/>
    <w:rsid w:val="003966DF"/>
    <w:rsid w:val="003969FB"/>
    <w:rsid w:val="00396A26"/>
    <w:rsid w:val="00396C6B"/>
    <w:rsid w:val="00396D11"/>
    <w:rsid w:val="00396E1A"/>
    <w:rsid w:val="00396FC6"/>
    <w:rsid w:val="00397006"/>
    <w:rsid w:val="0039722D"/>
    <w:rsid w:val="00397270"/>
    <w:rsid w:val="003974B0"/>
    <w:rsid w:val="00397587"/>
    <w:rsid w:val="003975B6"/>
    <w:rsid w:val="003976B5"/>
    <w:rsid w:val="00397FCB"/>
    <w:rsid w:val="003A0418"/>
    <w:rsid w:val="003A05C0"/>
    <w:rsid w:val="003A06D9"/>
    <w:rsid w:val="003A084D"/>
    <w:rsid w:val="003A0910"/>
    <w:rsid w:val="003A0990"/>
    <w:rsid w:val="003A099C"/>
    <w:rsid w:val="003A0D30"/>
    <w:rsid w:val="003A0E46"/>
    <w:rsid w:val="003A11B1"/>
    <w:rsid w:val="003A1389"/>
    <w:rsid w:val="003A1879"/>
    <w:rsid w:val="003A1882"/>
    <w:rsid w:val="003A1984"/>
    <w:rsid w:val="003A1B5A"/>
    <w:rsid w:val="003A1BFD"/>
    <w:rsid w:val="003A1C19"/>
    <w:rsid w:val="003A1CFC"/>
    <w:rsid w:val="003A1DA5"/>
    <w:rsid w:val="003A1DBC"/>
    <w:rsid w:val="003A20FA"/>
    <w:rsid w:val="003A2150"/>
    <w:rsid w:val="003A25DC"/>
    <w:rsid w:val="003A2D74"/>
    <w:rsid w:val="003A2F4C"/>
    <w:rsid w:val="003A3059"/>
    <w:rsid w:val="003A339E"/>
    <w:rsid w:val="003A35FF"/>
    <w:rsid w:val="003A36AD"/>
    <w:rsid w:val="003A3A25"/>
    <w:rsid w:val="003A3A62"/>
    <w:rsid w:val="003A3AA5"/>
    <w:rsid w:val="003A3DCB"/>
    <w:rsid w:val="003A3F29"/>
    <w:rsid w:val="003A3F69"/>
    <w:rsid w:val="003A3FCC"/>
    <w:rsid w:val="003A41D8"/>
    <w:rsid w:val="003A4246"/>
    <w:rsid w:val="003A4361"/>
    <w:rsid w:val="003A4421"/>
    <w:rsid w:val="003A4B01"/>
    <w:rsid w:val="003A4E4D"/>
    <w:rsid w:val="003A503A"/>
    <w:rsid w:val="003A527B"/>
    <w:rsid w:val="003A5373"/>
    <w:rsid w:val="003A539B"/>
    <w:rsid w:val="003A53B4"/>
    <w:rsid w:val="003A57E4"/>
    <w:rsid w:val="003A5932"/>
    <w:rsid w:val="003A5F56"/>
    <w:rsid w:val="003A6096"/>
    <w:rsid w:val="003A6520"/>
    <w:rsid w:val="003A6539"/>
    <w:rsid w:val="003A65AF"/>
    <w:rsid w:val="003A6878"/>
    <w:rsid w:val="003A6BE9"/>
    <w:rsid w:val="003A6EB3"/>
    <w:rsid w:val="003A6F86"/>
    <w:rsid w:val="003A6FDD"/>
    <w:rsid w:val="003A70F6"/>
    <w:rsid w:val="003A7563"/>
    <w:rsid w:val="003A7575"/>
    <w:rsid w:val="003A79C9"/>
    <w:rsid w:val="003A7B04"/>
    <w:rsid w:val="003A7B46"/>
    <w:rsid w:val="003B062E"/>
    <w:rsid w:val="003B069F"/>
    <w:rsid w:val="003B06AA"/>
    <w:rsid w:val="003B06E0"/>
    <w:rsid w:val="003B0720"/>
    <w:rsid w:val="003B0C5C"/>
    <w:rsid w:val="003B0CFC"/>
    <w:rsid w:val="003B0D51"/>
    <w:rsid w:val="003B10BF"/>
    <w:rsid w:val="003B1175"/>
    <w:rsid w:val="003B1698"/>
    <w:rsid w:val="003B17B2"/>
    <w:rsid w:val="003B187A"/>
    <w:rsid w:val="003B1968"/>
    <w:rsid w:val="003B1D42"/>
    <w:rsid w:val="003B1EFA"/>
    <w:rsid w:val="003B20F6"/>
    <w:rsid w:val="003B22D0"/>
    <w:rsid w:val="003B23F0"/>
    <w:rsid w:val="003B25CC"/>
    <w:rsid w:val="003B26DF"/>
    <w:rsid w:val="003B27D5"/>
    <w:rsid w:val="003B2D4E"/>
    <w:rsid w:val="003B2D78"/>
    <w:rsid w:val="003B2D9D"/>
    <w:rsid w:val="003B2EC5"/>
    <w:rsid w:val="003B2F32"/>
    <w:rsid w:val="003B2F93"/>
    <w:rsid w:val="003B3015"/>
    <w:rsid w:val="003B311D"/>
    <w:rsid w:val="003B3281"/>
    <w:rsid w:val="003B35A5"/>
    <w:rsid w:val="003B374A"/>
    <w:rsid w:val="003B37A2"/>
    <w:rsid w:val="003B3810"/>
    <w:rsid w:val="003B381E"/>
    <w:rsid w:val="003B3831"/>
    <w:rsid w:val="003B3844"/>
    <w:rsid w:val="003B3A89"/>
    <w:rsid w:val="003B3B8B"/>
    <w:rsid w:val="003B3D47"/>
    <w:rsid w:val="003B3E64"/>
    <w:rsid w:val="003B4130"/>
    <w:rsid w:val="003B413B"/>
    <w:rsid w:val="003B41EF"/>
    <w:rsid w:val="003B450B"/>
    <w:rsid w:val="003B46C0"/>
    <w:rsid w:val="003B47B8"/>
    <w:rsid w:val="003B4938"/>
    <w:rsid w:val="003B4941"/>
    <w:rsid w:val="003B497E"/>
    <w:rsid w:val="003B4997"/>
    <w:rsid w:val="003B49B7"/>
    <w:rsid w:val="003B4AAA"/>
    <w:rsid w:val="003B4F55"/>
    <w:rsid w:val="003B4FEA"/>
    <w:rsid w:val="003B511D"/>
    <w:rsid w:val="003B5241"/>
    <w:rsid w:val="003B52A2"/>
    <w:rsid w:val="003B53F3"/>
    <w:rsid w:val="003B54C2"/>
    <w:rsid w:val="003B58FF"/>
    <w:rsid w:val="003B5919"/>
    <w:rsid w:val="003B5991"/>
    <w:rsid w:val="003B5C10"/>
    <w:rsid w:val="003B5CED"/>
    <w:rsid w:val="003B5DCE"/>
    <w:rsid w:val="003B5DE2"/>
    <w:rsid w:val="003B60A0"/>
    <w:rsid w:val="003B62B1"/>
    <w:rsid w:val="003B661A"/>
    <w:rsid w:val="003B6669"/>
    <w:rsid w:val="003B67EC"/>
    <w:rsid w:val="003B6B4B"/>
    <w:rsid w:val="003B6C5D"/>
    <w:rsid w:val="003B6D06"/>
    <w:rsid w:val="003B6E9E"/>
    <w:rsid w:val="003B7042"/>
    <w:rsid w:val="003B7217"/>
    <w:rsid w:val="003B739F"/>
    <w:rsid w:val="003B754C"/>
    <w:rsid w:val="003B7871"/>
    <w:rsid w:val="003B7A2E"/>
    <w:rsid w:val="003B7A60"/>
    <w:rsid w:val="003B7BD9"/>
    <w:rsid w:val="003B7CFA"/>
    <w:rsid w:val="003C016D"/>
    <w:rsid w:val="003C02C3"/>
    <w:rsid w:val="003C04B4"/>
    <w:rsid w:val="003C067D"/>
    <w:rsid w:val="003C068C"/>
    <w:rsid w:val="003C0971"/>
    <w:rsid w:val="003C0A16"/>
    <w:rsid w:val="003C0C12"/>
    <w:rsid w:val="003C0C72"/>
    <w:rsid w:val="003C0D93"/>
    <w:rsid w:val="003C0F2D"/>
    <w:rsid w:val="003C0F87"/>
    <w:rsid w:val="003C0FEA"/>
    <w:rsid w:val="003C103F"/>
    <w:rsid w:val="003C1206"/>
    <w:rsid w:val="003C120F"/>
    <w:rsid w:val="003C1276"/>
    <w:rsid w:val="003C1655"/>
    <w:rsid w:val="003C203B"/>
    <w:rsid w:val="003C21B1"/>
    <w:rsid w:val="003C21E7"/>
    <w:rsid w:val="003C23D4"/>
    <w:rsid w:val="003C26F6"/>
    <w:rsid w:val="003C270D"/>
    <w:rsid w:val="003C2853"/>
    <w:rsid w:val="003C2BA1"/>
    <w:rsid w:val="003C2D73"/>
    <w:rsid w:val="003C2F1F"/>
    <w:rsid w:val="003C30CF"/>
    <w:rsid w:val="003C3232"/>
    <w:rsid w:val="003C3327"/>
    <w:rsid w:val="003C332C"/>
    <w:rsid w:val="003C3378"/>
    <w:rsid w:val="003C339D"/>
    <w:rsid w:val="003C377D"/>
    <w:rsid w:val="003C39A5"/>
    <w:rsid w:val="003C39AF"/>
    <w:rsid w:val="003C3CFC"/>
    <w:rsid w:val="003C3D56"/>
    <w:rsid w:val="003C41E1"/>
    <w:rsid w:val="003C451F"/>
    <w:rsid w:val="003C47FB"/>
    <w:rsid w:val="003C48ED"/>
    <w:rsid w:val="003C4ADA"/>
    <w:rsid w:val="003C4C4F"/>
    <w:rsid w:val="003C5221"/>
    <w:rsid w:val="003C5282"/>
    <w:rsid w:val="003C5388"/>
    <w:rsid w:val="003C5582"/>
    <w:rsid w:val="003C55AE"/>
    <w:rsid w:val="003C56B0"/>
    <w:rsid w:val="003C574C"/>
    <w:rsid w:val="003C5A81"/>
    <w:rsid w:val="003C5DB5"/>
    <w:rsid w:val="003C5ED3"/>
    <w:rsid w:val="003C5EDE"/>
    <w:rsid w:val="003C5FAF"/>
    <w:rsid w:val="003C6116"/>
    <w:rsid w:val="003C6287"/>
    <w:rsid w:val="003C629F"/>
    <w:rsid w:val="003C654A"/>
    <w:rsid w:val="003C6550"/>
    <w:rsid w:val="003C65BD"/>
    <w:rsid w:val="003C66DA"/>
    <w:rsid w:val="003C6DB6"/>
    <w:rsid w:val="003C6E2F"/>
    <w:rsid w:val="003C73D4"/>
    <w:rsid w:val="003C75EE"/>
    <w:rsid w:val="003C76C4"/>
    <w:rsid w:val="003C78C4"/>
    <w:rsid w:val="003C7B25"/>
    <w:rsid w:val="003C7CE9"/>
    <w:rsid w:val="003C7D95"/>
    <w:rsid w:val="003C7E3A"/>
    <w:rsid w:val="003C7F87"/>
    <w:rsid w:val="003D033B"/>
    <w:rsid w:val="003D0681"/>
    <w:rsid w:val="003D099C"/>
    <w:rsid w:val="003D0B97"/>
    <w:rsid w:val="003D0DEC"/>
    <w:rsid w:val="003D10B8"/>
    <w:rsid w:val="003D13E6"/>
    <w:rsid w:val="003D1613"/>
    <w:rsid w:val="003D177E"/>
    <w:rsid w:val="003D1865"/>
    <w:rsid w:val="003D1901"/>
    <w:rsid w:val="003D1960"/>
    <w:rsid w:val="003D1A2E"/>
    <w:rsid w:val="003D1B26"/>
    <w:rsid w:val="003D1CB5"/>
    <w:rsid w:val="003D2596"/>
    <w:rsid w:val="003D291E"/>
    <w:rsid w:val="003D2ACF"/>
    <w:rsid w:val="003D2CA0"/>
    <w:rsid w:val="003D2CC9"/>
    <w:rsid w:val="003D2EDD"/>
    <w:rsid w:val="003D3434"/>
    <w:rsid w:val="003D3542"/>
    <w:rsid w:val="003D3711"/>
    <w:rsid w:val="003D3769"/>
    <w:rsid w:val="003D3CA9"/>
    <w:rsid w:val="003D3F73"/>
    <w:rsid w:val="003D3FA0"/>
    <w:rsid w:val="003D4910"/>
    <w:rsid w:val="003D4EA3"/>
    <w:rsid w:val="003D5323"/>
    <w:rsid w:val="003D548F"/>
    <w:rsid w:val="003D552E"/>
    <w:rsid w:val="003D55E5"/>
    <w:rsid w:val="003D5730"/>
    <w:rsid w:val="003D5B45"/>
    <w:rsid w:val="003D5BD7"/>
    <w:rsid w:val="003D5D72"/>
    <w:rsid w:val="003D5F21"/>
    <w:rsid w:val="003D5FEE"/>
    <w:rsid w:val="003D62A2"/>
    <w:rsid w:val="003D640F"/>
    <w:rsid w:val="003D6489"/>
    <w:rsid w:val="003D64EA"/>
    <w:rsid w:val="003D65C6"/>
    <w:rsid w:val="003D6863"/>
    <w:rsid w:val="003D6888"/>
    <w:rsid w:val="003D6889"/>
    <w:rsid w:val="003D6F65"/>
    <w:rsid w:val="003D6F89"/>
    <w:rsid w:val="003D723B"/>
    <w:rsid w:val="003D7760"/>
    <w:rsid w:val="003D7BBC"/>
    <w:rsid w:val="003D7DDE"/>
    <w:rsid w:val="003E0010"/>
    <w:rsid w:val="003E03E0"/>
    <w:rsid w:val="003E03E2"/>
    <w:rsid w:val="003E0587"/>
    <w:rsid w:val="003E066F"/>
    <w:rsid w:val="003E0741"/>
    <w:rsid w:val="003E0779"/>
    <w:rsid w:val="003E077E"/>
    <w:rsid w:val="003E08D8"/>
    <w:rsid w:val="003E0A5F"/>
    <w:rsid w:val="003E0AEB"/>
    <w:rsid w:val="003E0B64"/>
    <w:rsid w:val="003E0BB1"/>
    <w:rsid w:val="003E0BC1"/>
    <w:rsid w:val="003E0E97"/>
    <w:rsid w:val="003E10C5"/>
    <w:rsid w:val="003E10FC"/>
    <w:rsid w:val="003E115C"/>
    <w:rsid w:val="003E1325"/>
    <w:rsid w:val="003E14AF"/>
    <w:rsid w:val="003E1589"/>
    <w:rsid w:val="003E1790"/>
    <w:rsid w:val="003E1B46"/>
    <w:rsid w:val="003E1CEC"/>
    <w:rsid w:val="003E1EF9"/>
    <w:rsid w:val="003E20A0"/>
    <w:rsid w:val="003E21D7"/>
    <w:rsid w:val="003E23C5"/>
    <w:rsid w:val="003E23FB"/>
    <w:rsid w:val="003E25C3"/>
    <w:rsid w:val="003E268F"/>
    <w:rsid w:val="003E2695"/>
    <w:rsid w:val="003E28A3"/>
    <w:rsid w:val="003E28F7"/>
    <w:rsid w:val="003E28F9"/>
    <w:rsid w:val="003E2987"/>
    <w:rsid w:val="003E2D2B"/>
    <w:rsid w:val="003E2F96"/>
    <w:rsid w:val="003E2F98"/>
    <w:rsid w:val="003E2FAF"/>
    <w:rsid w:val="003E3016"/>
    <w:rsid w:val="003E320B"/>
    <w:rsid w:val="003E32B6"/>
    <w:rsid w:val="003E38D4"/>
    <w:rsid w:val="003E3993"/>
    <w:rsid w:val="003E401B"/>
    <w:rsid w:val="003E40DC"/>
    <w:rsid w:val="003E4293"/>
    <w:rsid w:val="003E42D9"/>
    <w:rsid w:val="003E46C7"/>
    <w:rsid w:val="003E4759"/>
    <w:rsid w:val="003E47ED"/>
    <w:rsid w:val="003E48ED"/>
    <w:rsid w:val="003E4ABF"/>
    <w:rsid w:val="003E4D3B"/>
    <w:rsid w:val="003E4F29"/>
    <w:rsid w:val="003E518C"/>
    <w:rsid w:val="003E51D2"/>
    <w:rsid w:val="003E58AA"/>
    <w:rsid w:val="003E5981"/>
    <w:rsid w:val="003E5B6C"/>
    <w:rsid w:val="003E5E89"/>
    <w:rsid w:val="003E5EC5"/>
    <w:rsid w:val="003E6355"/>
    <w:rsid w:val="003E63F7"/>
    <w:rsid w:val="003E6636"/>
    <w:rsid w:val="003E6675"/>
    <w:rsid w:val="003E680F"/>
    <w:rsid w:val="003E6B22"/>
    <w:rsid w:val="003E6D87"/>
    <w:rsid w:val="003E6EEA"/>
    <w:rsid w:val="003E6F74"/>
    <w:rsid w:val="003E743B"/>
    <w:rsid w:val="003E7569"/>
    <w:rsid w:val="003E75AE"/>
    <w:rsid w:val="003E76DE"/>
    <w:rsid w:val="003E7AC6"/>
    <w:rsid w:val="003E7D19"/>
    <w:rsid w:val="003E7F7C"/>
    <w:rsid w:val="003F0080"/>
    <w:rsid w:val="003F023D"/>
    <w:rsid w:val="003F0448"/>
    <w:rsid w:val="003F0991"/>
    <w:rsid w:val="003F0A0D"/>
    <w:rsid w:val="003F0A56"/>
    <w:rsid w:val="003F0FC4"/>
    <w:rsid w:val="003F10CA"/>
    <w:rsid w:val="003F11B0"/>
    <w:rsid w:val="003F1204"/>
    <w:rsid w:val="003F12E3"/>
    <w:rsid w:val="003F13E6"/>
    <w:rsid w:val="003F146B"/>
    <w:rsid w:val="003F1533"/>
    <w:rsid w:val="003F1A23"/>
    <w:rsid w:val="003F1ADF"/>
    <w:rsid w:val="003F1FC5"/>
    <w:rsid w:val="003F2001"/>
    <w:rsid w:val="003F26D1"/>
    <w:rsid w:val="003F2BA2"/>
    <w:rsid w:val="003F2D60"/>
    <w:rsid w:val="003F2E47"/>
    <w:rsid w:val="003F2F90"/>
    <w:rsid w:val="003F300C"/>
    <w:rsid w:val="003F3172"/>
    <w:rsid w:val="003F333C"/>
    <w:rsid w:val="003F337D"/>
    <w:rsid w:val="003F3393"/>
    <w:rsid w:val="003F34D4"/>
    <w:rsid w:val="003F3522"/>
    <w:rsid w:val="003F390E"/>
    <w:rsid w:val="003F3913"/>
    <w:rsid w:val="003F3A61"/>
    <w:rsid w:val="003F3BF5"/>
    <w:rsid w:val="003F3C70"/>
    <w:rsid w:val="003F3CBD"/>
    <w:rsid w:val="003F3CF4"/>
    <w:rsid w:val="003F3E4B"/>
    <w:rsid w:val="003F3F5C"/>
    <w:rsid w:val="003F40D3"/>
    <w:rsid w:val="003F40F3"/>
    <w:rsid w:val="003F4520"/>
    <w:rsid w:val="003F45D1"/>
    <w:rsid w:val="003F474D"/>
    <w:rsid w:val="003F4A17"/>
    <w:rsid w:val="003F4C70"/>
    <w:rsid w:val="003F4F82"/>
    <w:rsid w:val="003F4FAA"/>
    <w:rsid w:val="003F5136"/>
    <w:rsid w:val="003F5185"/>
    <w:rsid w:val="003F53E4"/>
    <w:rsid w:val="003F5457"/>
    <w:rsid w:val="003F5762"/>
    <w:rsid w:val="003F586A"/>
    <w:rsid w:val="003F590A"/>
    <w:rsid w:val="003F59A9"/>
    <w:rsid w:val="003F5D0F"/>
    <w:rsid w:val="003F5DA6"/>
    <w:rsid w:val="003F5DB5"/>
    <w:rsid w:val="003F5F76"/>
    <w:rsid w:val="003F63EC"/>
    <w:rsid w:val="003F65F9"/>
    <w:rsid w:val="003F6689"/>
    <w:rsid w:val="003F68AD"/>
    <w:rsid w:val="003F68D2"/>
    <w:rsid w:val="003F6956"/>
    <w:rsid w:val="003F69AE"/>
    <w:rsid w:val="003F69BC"/>
    <w:rsid w:val="003F6CF3"/>
    <w:rsid w:val="003F6DB8"/>
    <w:rsid w:val="003F6DBB"/>
    <w:rsid w:val="003F6FDC"/>
    <w:rsid w:val="003F7014"/>
    <w:rsid w:val="003F744B"/>
    <w:rsid w:val="003F755C"/>
    <w:rsid w:val="003F7818"/>
    <w:rsid w:val="003F7E81"/>
    <w:rsid w:val="003F7FAD"/>
    <w:rsid w:val="00400040"/>
    <w:rsid w:val="004000BD"/>
    <w:rsid w:val="004001DE"/>
    <w:rsid w:val="004006FC"/>
    <w:rsid w:val="00400711"/>
    <w:rsid w:val="0040081B"/>
    <w:rsid w:val="0040088E"/>
    <w:rsid w:val="004009FC"/>
    <w:rsid w:val="00400A29"/>
    <w:rsid w:val="00400E43"/>
    <w:rsid w:val="00400F9D"/>
    <w:rsid w:val="00401277"/>
    <w:rsid w:val="004016CB"/>
    <w:rsid w:val="0040175A"/>
    <w:rsid w:val="00401762"/>
    <w:rsid w:val="0040198A"/>
    <w:rsid w:val="004019CC"/>
    <w:rsid w:val="00401B45"/>
    <w:rsid w:val="00401DAF"/>
    <w:rsid w:val="00401DFC"/>
    <w:rsid w:val="00401E3B"/>
    <w:rsid w:val="00401FC1"/>
    <w:rsid w:val="004020CB"/>
    <w:rsid w:val="00402262"/>
    <w:rsid w:val="004027F1"/>
    <w:rsid w:val="00402813"/>
    <w:rsid w:val="004029AF"/>
    <w:rsid w:val="00402B05"/>
    <w:rsid w:val="00402DFD"/>
    <w:rsid w:val="00402F35"/>
    <w:rsid w:val="0040333C"/>
    <w:rsid w:val="00403346"/>
    <w:rsid w:val="0040336D"/>
    <w:rsid w:val="004033B0"/>
    <w:rsid w:val="0040357D"/>
    <w:rsid w:val="00403627"/>
    <w:rsid w:val="00403639"/>
    <w:rsid w:val="004036B4"/>
    <w:rsid w:val="00403834"/>
    <w:rsid w:val="0040394E"/>
    <w:rsid w:val="00403C72"/>
    <w:rsid w:val="00403C76"/>
    <w:rsid w:val="00403D81"/>
    <w:rsid w:val="00403E81"/>
    <w:rsid w:val="0040402C"/>
    <w:rsid w:val="0040437B"/>
    <w:rsid w:val="004044F5"/>
    <w:rsid w:val="0040457E"/>
    <w:rsid w:val="004048D9"/>
    <w:rsid w:val="00404A9D"/>
    <w:rsid w:val="00404DD9"/>
    <w:rsid w:val="00405276"/>
    <w:rsid w:val="0040544E"/>
    <w:rsid w:val="00405596"/>
    <w:rsid w:val="004056F5"/>
    <w:rsid w:val="0040577B"/>
    <w:rsid w:val="00406048"/>
    <w:rsid w:val="00406539"/>
    <w:rsid w:val="0040696E"/>
    <w:rsid w:val="00406C7F"/>
    <w:rsid w:val="00406CDC"/>
    <w:rsid w:val="00406EE6"/>
    <w:rsid w:val="00406FCE"/>
    <w:rsid w:val="0040709A"/>
    <w:rsid w:val="004070F5"/>
    <w:rsid w:val="004079F7"/>
    <w:rsid w:val="00407A59"/>
    <w:rsid w:val="00407AF7"/>
    <w:rsid w:val="00407BDC"/>
    <w:rsid w:val="00407C08"/>
    <w:rsid w:val="00407C55"/>
    <w:rsid w:val="00407D02"/>
    <w:rsid w:val="00407D1C"/>
    <w:rsid w:val="0041069A"/>
    <w:rsid w:val="004109EF"/>
    <w:rsid w:val="00410A0B"/>
    <w:rsid w:val="00410A39"/>
    <w:rsid w:val="00410E1C"/>
    <w:rsid w:val="00410E62"/>
    <w:rsid w:val="00411329"/>
    <w:rsid w:val="004114D4"/>
    <w:rsid w:val="004114EF"/>
    <w:rsid w:val="0041157C"/>
    <w:rsid w:val="0041161E"/>
    <w:rsid w:val="00411846"/>
    <w:rsid w:val="004118CF"/>
    <w:rsid w:val="00411A61"/>
    <w:rsid w:val="00411D70"/>
    <w:rsid w:val="00411D93"/>
    <w:rsid w:val="00411F87"/>
    <w:rsid w:val="004120B7"/>
    <w:rsid w:val="004120DD"/>
    <w:rsid w:val="00412161"/>
    <w:rsid w:val="004122BE"/>
    <w:rsid w:val="004125B1"/>
    <w:rsid w:val="004125DC"/>
    <w:rsid w:val="004126C3"/>
    <w:rsid w:val="00412775"/>
    <w:rsid w:val="0041282F"/>
    <w:rsid w:val="0041290C"/>
    <w:rsid w:val="00412A1B"/>
    <w:rsid w:val="00412E2C"/>
    <w:rsid w:val="00412E60"/>
    <w:rsid w:val="00412EE6"/>
    <w:rsid w:val="004132CC"/>
    <w:rsid w:val="00413353"/>
    <w:rsid w:val="0041339E"/>
    <w:rsid w:val="0041372E"/>
    <w:rsid w:val="00413978"/>
    <w:rsid w:val="00413A46"/>
    <w:rsid w:val="00413B47"/>
    <w:rsid w:val="00413CB3"/>
    <w:rsid w:val="00413DC3"/>
    <w:rsid w:val="00413FB6"/>
    <w:rsid w:val="004144E2"/>
    <w:rsid w:val="0041453F"/>
    <w:rsid w:val="004147DB"/>
    <w:rsid w:val="0041482B"/>
    <w:rsid w:val="00414863"/>
    <w:rsid w:val="00414A7D"/>
    <w:rsid w:val="00414AC1"/>
    <w:rsid w:val="00414D96"/>
    <w:rsid w:val="00414DE8"/>
    <w:rsid w:val="00414F62"/>
    <w:rsid w:val="00414F9C"/>
    <w:rsid w:val="00414FF2"/>
    <w:rsid w:val="004157EE"/>
    <w:rsid w:val="004158F1"/>
    <w:rsid w:val="00415C0A"/>
    <w:rsid w:val="00415D76"/>
    <w:rsid w:val="00415D83"/>
    <w:rsid w:val="00415E38"/>
    <w:rsid w:val="00415ECD"/>
    <w:rsid w:val="00415F23"/>
    <w:rsid w:val="00415F47"/>
    <w:rsid w:val="00415FCB"/>
    <w:rsid w:val="00416056"/>
    <w:rsid w:val="00416142"/>
    <w:rsid w:val="00416170"/>
    <w:rsid w:val="0041645C"/>
    <w:rsid w:val="004165EE"/>
    <w:rsid w:val="004168F6"/>
    <w:rsid w:val="00416B48"/>
    <w:rsid w:val="00416ED1"/>
    <w:rsid w:val="00416FCB"/>
    <w:rsid w:val="004172D0"/>
    <w:rsid w:val="0041776D"/>
    <w:rsid w:val="0041792D"/>
    <w:rsid w:val="00417B30"/>
    <w:rsid w:val="00417C34"/>
    <w:rsid w:val="00417DD2"/>
    <w:rsid w:val="00417DDC"/>
    <w:rsid w:val="00420070"/>
    <w:rsid w:val="004202AB"/>
    <w:rsid w:val="004204B9"/>
    <w:rsid w:val="00420739"/>
    <w:rsid w:val="00420E85"/>
    <w:rsid w:val="00420ED3"/>
    <w:rsid w:val="00420FB9"/>
    <w:rsid w:val="004213A9"/>
    <w:rsid w:val="00421628"/>
    <w:rsid w:val="0042167E"/>
    <w:rsid w:val="0042171D"/>
    <w:rsid w:val="004217DF"/>
    <w:rsid w:val="004217F1"/>
    <w:rsid w:val="00421BCE"/>
    <w:rsid w:val="00421FA2"/>
    <w:rsid w:val="00422036"/>
    <w:rsid w:val="00422114"/>
    <w:rsid w:val="004222F1"/>
    <w:rsid w:val="00422755"/>
    <w:rsid w:val="00422BD8"/>
    <w:rsid w:val="00422F9D"/>
    <w:rsid w:val="00423195"/>
    <w:rsid w:val="00423493"/>
    <w:rsid w:val="004239ED"/>
    <w:rsid w:val="00423A06"/>
    <w:rsid w:val="00423EA0"/>
    <w:rsid w:val="00423F8D"/>
    <w:rsid w:val="00423F95"/>
    <w:rsid w:val="004241F1"/>
    <w:rsid w:val="00424358"/>
    <w:rsid w:val="004243BE"/>
    <w:rsid w:val="00424605"/>
    <w:rsid w:val="00424774"/>
    <w:rsid w:val="00424821"/>
    <w:rsid w:val="00424C71"/>
    <w:rsid w:val="00424EF8"/>
    <w:rsid w:val="00425020"/>
    <w:rsid w:val="004252DB"/>
    <w:rsid w:val="00425329"/>
    <w:rsid w:val="00425585"/>
    <w:rsid w:val="00425D7C"/>
    <w:rsid w:val="004261D5"/>
    <w:rsid w:val="00426361"/>
    <w:rsid w:val="004263BD"/>
    <w:rsid w:val="004264B4"/>
    <w:rsid w:val="004269EC"/>
    <w:rsid w:val="00426A06"/>
    <w:rsid w:val="00426C77"/>
    <w:rsid w:val="00426CC9"/>
    <w:rsid w:val="00426DE1"/>
    <w:rsid w:val="00426E2D"/>
    <w:rsid w:val="00426F35"/>
    <w:rsid w:val="00426F72"/>
    <w:rsid w:val="00427011"/>
    <w:rsid w:val="004270E5"/>
    <w:rsid w:val="00427549"/>
    <w:rsid w:val="00427685"/>
    <w:rsid w:val="00427A14"/>
    <w:rsid w:val="00427D34"/>
    <w:rsid w:val="00427F44"/>
    <w:rsid w:val="00427F50"/>
    <w:rsid w:val="004300D4"/>
    <w:rsid w:val="00430238"/>
    <w:rsid w:val="00430300"/>
    <w:rsid w:val="004305BB"/>
    <w:rsid w:val="004305C9"/>
    <w:rsid w:val="00430634"/>
    <w:rsid w:val="0043065A"/>
    <w:rsid w:val="00430D12"/>
    <w:rsid w:val="00430D34"/>
    <w:rsid w:val="00430E2C"/>
    <w:rsid w:val="00430FE7"/>
    <w:rsid w:val="004310AB"/>
    <w:rsid w:val="004310EB"/>
    <w:rsid w:val="00431164"/>
    <w:rsid w:val="00431224"/>
    <w:rsid w:val="00431225"/>
    <w:rsid w:val="004312A1"/>
    <w:rsid w:val="00431377"/>
    <w:rsid w:val="004313FC"/>
    <w:rsid w:val="00431577"/>
    <w:rsid w:val="004316C0"/>
    <w:rsid w:val="00431851"/>
    <w:rsid w:val="00431893"/>
    <w:rsid w:val="0043191D"/>
    <w:rsid w:val="00431D1A"/>
    <w:rsid w:val="00431D30"/>
    <w:rsid w:val="00431E82"/>
    <w:rsid w:val="00431F55"/>
    <w:rsid w:val="004322E8"/>
    <w:rsid w:val="00432351"/>
    <w:rsid w:val="00432507"/>
    <w:rsid w:val="0043252E"/>
    <w:rsid w:val="0043268A"/>
    <w:rsid w:val="0043272F"/>
    <w:rsid w:val="00432744"/>
    <w:rsid w:val="0043290F"/>
    <w:rsid w:val="00432B41"/>
    <w:rsid w:val="004332D5"/>
    <w:rsid w:val="004333AF"/>
    <w:rsid w:val="004335D5"/>
    <w:rsid w:val="0043372D"/>
    <w:rsid w:val="004337E9"/>
    <w:rsid w:val="00433891"/>
    <w:rsid w:val="004338A7"/>
    <w:rsid w:val="00433C1A"/>
    <w:rsid w:val="00433FE6"/>
    <w:rsid w:val="004343FA"/>
    <w:rsid w:val="00434447"/>
    <w:rsid w:val="0043465C"/>
    <w:rsid w:val="004346EB"/>
    <w:rsid w:val="00434856"/>
    <w:rsid w:val="004349F8"/>
    <w:rsid w:val="00434BDE"/>
    <w:rsid w:val="00434DFB"/>
    <w:rsid w:val="004350C1"/>
    <w:rsid w:val="00435109"/>
    <w:rsid w:val="00435475"/>
    <w:rsid w:val="00435624"/>
    <w:rsid w:val="0043568D"/>
    <w:rsid w:val="004357B6"/>
    <w:rsid w:val="00435D1C"/>
    <w:rsid w:val="00435E1B"/>
    <w:rsid w:val="004360D1"/>
    <w:rsid w:val="00436181"/>
    <w:rsid w:val="00436183"/>
    <w:rsid w:val="00436260"/>
    <w:rsid w:val="004362C2"/>
    <w:rsid w:val="00436358"/>
    <w:rsid w:val="0043638A"/>
    <w:rsid w:val="00436510"/>
    <w:rsid w:val="004366B1"/>
    <w:rsid w:val="004367C7"/>
    <w:rsid w:val="00436B0A"/>
    <w:rsid w:val="00436DDD"/>
    <w:rsid w:val="0043750F"/>
    <w:rsid w:val="004379A3"/>
    <w:rsid w:val="0044008C"/>
    <w:rsid w:val="00440128"/>
    <w:rsid w:val="00440858"/>
    <w:rsid w:val="00440991"/>
    <w:rsid w:val="00440D27"/>
    <w:rsid w:val="00440E50"/>
    <w:rsid w:val="00440EDE"/>
    <w:rsid w:val="004410F0"/>
    <w:rsid w:val="0044111F"/>
    <w:rsid w:val="00441355"/>
    <w:rsid w:val="00441979"/>
    <w:rsid w:val="00441C58"/>
    <w:rsid w:val="00441C8C"/>
    <w:rsid w:val="00441DA9"/>
    <w:rsid w:val="00441F76"/>
    <w:rsid w:val="004420B1"/>
    <w:rsid w:val="0044233E"/>
    <w:rsid w:val="004424D3"/>
    <w:rsid w:val="004425BA"/>
    <w:rsid w:val="00442608"/>
    <w:rsid w:val="00442735"/>
    <w:rsid w:val="00442CA3"/>
    <w:rsid w:val="00442CB5"/>
    <w:rsid w:val="00442CC1"/>
    <w:rsid w:val="00443142"/>
    <w:rsid w:val="004431F3"/>
    <w:rsid w:val="00443328"/>
    <w:rsid w:val="0044346F"/>
    <w:rsid w:val="00443554"/>
    <w:rsid w:val="004435B6"/>
    <w:rsid w:val="004435E8"/>
    <w:rsid w:val="00443824"/>
    <w:rsid w:val="00443AFC"/>
    <w:rsid w:val="00443E0D"/>
    <w:rsid w:val="0044416A"/>
    <w:rsid w:val="00444210"/>
    <w:rsid w:val="004442E8"/>
    <w:rsid w:val="00444607"/>
    <w:rsid w:val="00444845"/>
    <w:rsid w:val="00444878"/>
    <w:rsid w:val="00444996"/>
    <w:rsid w:val="004449F3"/>
    <w:rsid w:val="00444CE4"/>
    <w:rsid w:val="00444DE8"/>
    <w:rsid w:val="004451C8"/>
    <w:rsid w:val="004451E1"/>
    <w:rsid w:val="004452BA"/>
    <w:rsid w:val="004452F7"/>
    <w:rsid w:val="00445372"/>
    <w:rsid w:val="0044599E"/>
    <w:rsid w:val="00445C6A"/>
    <w:rsid w:val="00445C9C"/>
    <w:rsid w:val="00445DC9"/>
    <w:rsid w:val="00445FCD"/>
    <w:rsid w:val="00446433"/>
    <w:rsid w:val="00446891"/>
    <w:rsid w:val="00446CCF"/>
    <w:rsid w:val="00446EFE"/>
    <w:rsid w:val="004473B3"/>
    <w:rsid w:val="004473C3"/>
    <w:rsid w:val="0044755C"/>
    <w:rsid w:val="0044760F"/>
    <w:rsid w:val="00447776"/>
    <w:rsid w:val="00447C65"/>
    <w:rsid w:val="00447C72"/>
    <w:rsid w:val="00447CCD"/>
    <w:rsid w:val="00447EB7"/>
    <w:rsid w:val="00447FD2"/>
    <w:rsid w:val="00450112"/>
    <w:rsid w:val="004501D8"/>
    <w:rsid w:val="0045023F"/>
    <w:rsid w:val="00450391"/>
    <w:rsid w:val="004505F4"/>
    <w:rsid w:val="00450B2A"/>
    <w:rsid w:val="00450C46"/>
    <w:rsid w:val="00450CCA"/>
    <w:rsid w:val="00451113"/>
    <w:rsid w:val="00451289"/>
    <w:rsid w:val="00451362"/>
    <w:rsid w:val="004514B0"/>
    <w:rsid w:val="004516BB"/>
    <w:rsid w:val="00451AB9"/>
    <w:rsid w:val="00451B80"/>
    <w:rsid w:val="00451C6B"/>
    <w:rsid w:val="00451CF5"/>
    <w:rsid w:val="00451D89"/>
    <w:rsid w:val="00451EC4"/>
    <w:rsid w:val="004524D8"/>
    <w:rsid w:val="004526B3"/>
    <w:rsid w:val="004527E4"/>
    <w:rsid w:val="00452CA2"/>
    <w:rsid w:val="00452CA4"/>
    <w:rsid w:val="004536EF"/>
    <w:rsid w:val="0045379F"/>
    <w:rsid w:val="00453D2C"/>
    <w:rsid w:val="00453FFA"/>
    <w:rsid w:val="00454239"/>
    <w:rsid w:val="004542C7"/>
    <w:rsid w:val="00454304"/>
    <w:rsid w:val="004546C4"/>
    <w:rsid w:val="00454722"/>
    <w:rsid w:val="00454853"/>
    <w:rsid w:val="00454857"/>
    <w:rsid w:val="00454939"/>
    <w:rsid w:val="00454A48"/>
    <w:rsid w:val="00454D06"/>
    <w:rsid w:val="00454E09"/>
    <w:rsid w:val="00454E5C"/>
    <w:rsid w:val="00454E6A"/>
    <w:rsid w:val="00454F04"/>
    <w:rsid w:val="004550BE"/>
    <w:rsid w:val="004551AC"/>
    <w:rsid w:val="0045531A"/>
    <w:rsid w:val="0045540D"/>
    <w:rsid w:val="004555C4"/>
    <w:rsid w:val="004556C4"/>
    <w:rsid w:val="00455716"/>
    <w:rsid w:val="0045578B"/>
    <w:rsid w:val="004557B6"/>
    <w:rsid w:val="00455867"/>
    <w:rsid w:val="004558A9"/>
    <w:rsid w:val="004558B5"/>
    <w:rsid w:val="00455921"/>
    <w:rsid w:val="00455B44"/>
    <w:rsid w:val="00455BD4"/>
    <w:rsid w:val="00455BF7"/>
    <w:rsid w:val="004560FF"/>
    <w:rsid w:val="00456340"/>
    <w:rsid w:val="00456374"/>
    <w:rsid w:val="00456668"/>
    <w:rsid w:val="00456A48"/>
    <w:rsid w:val="00456FDD"/>
    <w:rsid w:val="00456FFC"/>
    <w:rsid w:val="004573BB"/>
    <w:rsid w:val="00457426"/>
    <w:rsid w:val="00457585"/>
    <w:rsid w:val="004577C8"/>
    <w:rsid w:val="004578EF"/>
    <w:rsid w:val="00457922"/>
    <w:rsid w:val="00457A2A"/>
    <w:rsid w:val="00457AB8"/>
    <w:rsid w:val="00457BE2"/>
    <w:rsid w:val="00457D0F"/>
    <w:rsid w:val="00457EA2"/>
    <w:rsid w:val="00457F37"/>
    <w:rsid w:val="0046009C"/>
    <w:rsid w:val="0046022D"/>
    <w:rsid w:val="0046031B"/>
    <w:rsid w:val="004606D8"/>
    <w:rsid w:val="0046082B"/>
    <w:rsid w:val="00460D84"/>
    <w:rsid w:val="004616FB"/>
    <w:rsid w:val="0046171C"/>
    <w:rsid w:val="004617A7"/>
    <w:rsid w:val="00461AB8"/>
    <w:rsid w:val="00461AD2"/>
    <w:rsid w:val="00461B9E"/>
    <w:rsid w:val="00461F71"/>
    <w:rsid w:val="00462718"/>
    <w:rsid w:val="0046275E"/>
    <w:rsid w:val="004628C4"/>
    <w:rsid w:val="00462B96"/>
    <w:rsid w:val="00462D6F"/>
    <w:rsid w:val="00462DD4"/>
    <w:rsid w:val="00462DF3"/>
    <w:rsid w:val="00462EA3"/>
    <w:rsid w:val="00462F3A"/>
    <w:rsid w:val="00463410"/>
    <w:rsid w:val="004638BA"/>
    <w:rsid w:val="00463992"/>
    <w:rsid w:val="00463A2C"/>
    <w:rsid w:val="00463BA1"/>
    <w:rsid w:val="0046409E"/>
    <w:rsid w:val="004642DE"/>
    <w:rsid w:val="00464542"/>
    <w:rsid w:val="0046486B"/>
    <w:rsid w:val="0046486C"/>
    <w:rsid w:val="00464941"/>
    <w:rsid w:val="004649A8"/>
    <w:rsid w:val="00464FD7"/>
    <w:rsid w:val="00465146"/>
    <w:rsid w:val="00465225"/>
    <w:rsid w:val="004653AA"/>
    <w:rsid w:val="00465CA4"/>
    <w:rsid w:val="00465CB8"/>
    <w:rsid w:val="00465FB4"/>
    <w:rsid w:val="00466257"/>
    <w:rsid w:val="00466282"/>
    <w:rsid w:val="00466352"/>
    <w:rsid w:val="00466572"/>
    <w:rsid w:val="0046657F"/>
    <w:rsid w:val="0046690F"/>
    <w:rsid w:val="00466924"/>
    <w:rsid w:val="00466B96"/>
    <w:rsid w:val="00466CE0"/>
    <w:rsid w:val="00466DC7"/>
    <w:rsid w:val="004673EC"/>
    <w:rsid w:val="00467450"/>
    <w:rsid w:val="00467560"/>
    <w:rsid w:val="00467612"/>
    <w:rsid w:val="00467835"/>
    <w:rsid w:val="00467840"/>
    <w:rsid w:val="00467A1E"/>
    <w:rsid w:val="00467EE5"/>
    <w:rsid w:val="00467EF1"/>
    <w:rsid w:val="00467F5E"/>
    <w:rsid w:val="0047003C"/>
    <w:rsid w:val="0047020D"/>
    <w:rsid w:val="00470313"/>
    <w:rsid w:val="0047067C"/>
    <w:rsid w:val="00470B6E"/>
    <w:rsid w:val="00470BA9"/>
    <w:rsid w:val="00470BB9"/>
    <w:rsid w:val="00470BEE"/>
    <w:rsid w:val="004710D1"/>
    <w:rsid w:val="0047137F"/>
    <w:rsid w:val="0047140A"/>
    <w:rsid w:val="0047148A"/>
    <w:rsid w:val="004714B5"/>
    <w:rsid w:val="00471C5A"/>
    <w:rsid w:val="00471CB6"/>
    <w:rsid w:val="00471CE1"/>
    <w:rsid w:val="00472405"/>
    <w:rsid w:val="0047241A"/>
    <w:rsid w:val="00472420"/>
    <w:rsid w:val="004725AD"/>
    <w:rsid w:val="00472748"/>
    <w:rsid w:val="0047286E"/>
    <w:rsid w:val="00472B0E"/>
    <w:rsid w:val="00472B97"/>
    <w:rsid w:val="00472EC9"/>
    <w:rsid w:val="00472FAC"/>
    <w:rsid w:val="0047306A"/>
    <w:rsid w:val="004731A6"/>
    <w:rsid w:val="004732CC"/>
    <w:rsid w:val="004732CF"/>
    <w:rsid w:val="004733BE"/>
    <w:rsid w:val="0047355F"/>
    <w:rsid w:val="00473716"/>
    <w:rsid w:val="0047374B"/>
    <w:rsid w:val="00473858"/>
    <w:rsid w:val="00473A5D"/>
    <w:rsid w:val="00473CDE"/>
    <w:rsid w:val="00473D36"/>
    <w:rsid w:val="00473E0F"/>
    <w:rsid w:val="00474098"/>
    <w:rsid w:val="00474366"/>
    <w:rsid w:val="004743D2"/>
    <w:rsid w:val="0047447D"/>
    <w:rsid w:val="00474580"/>
    <w:rsid w:val="004745B1"/>
    <w:rsid w:val="004745F7"/>
    <w:rsid w:val="00474611"/>
    <w:rsid w:val="00474694"/>
    <w:rsid w:val="0047473D"/>
    <w:rsid w:val="004747D5"/>
    <w:rsid w:val="00474A0C"/>
    <w:rsid w:val="00474B70"/>
    <w:rsid w:val="00474CCE"/>
    <w:rsid w:val="00474F7A"/>
    <w:rsid w:val="00474FC4"/>
    <w:rsid w:val="004754D5"/>
    <w:rsid w:val="004757EE"/>
    <w:rsid w:val="0047592A"/>
    <w:rsid w:val="004759B1"/>
    <w:rsid w:val="00475A2B"/>
    <w:rsid w:val="00475BEB"/>
    <w:rsid w:val="00475C99"/>
    <w:rsid w:val="00475D22"/>
    <w:rsid w:val="00475DBC"/>
    <w:rsid w:val="00475DD7"/>
    <w:rsid w:val="00475EAA"/>
    <w:rsid w:val="004760CD"/>
    <w:rsid w:val="004760DB"/>
    <w:rsid w:val="0047633C"/>
    <w:rsid w:val="004763C6"/>
    <w:rsid w:val="00476A92"/>
    <w:rsid w:val="00476F8C"/>
    <w:rsid w:val="00477096"/>
    <w:rsid w:val="00477178"/>
    <w:rsid w:val="0047740C"/>
    <w:rsid w:val="004775AA"/>
    <w:rsid w:val="004775F1"/>
    <w:rsid w:val="004779EA"/>
    <w:rsid w:val="00477AC6"/>
    <w:rsid w:val="00477AD3"/>
    <w:rsid w:val="00477B66"/>
    <w:rsid w:val="00477CB8"/>
    <w:rsid w:val="00477D5C"/>
    <w:rsid w:val="00477EB3"/>
    <w:rsid w:val="00477F72"/>
    <w:rsid w:val="0048007A"/>
    <w:rsid w:val="004800F2"/>
    <w:rsid w:val="0048047B"/>
    <w:rsid w:val="00480971"/>
    <w:rsid w:val="00480A9B"/>
    <w:rsid w:val="00480B15"/>
    <w:rsid w:val="00480DE7"/>
    <w:rsid w:val="004811AA"/>
    <w:rsid w:val="00481517"/>
    <w:rsid w:val="00481550"/>
    <w:rsid w:val="004816DF"/>
    <w:rsid w:val="00481878"/>
    <w:rsid w:val="00481AC7"/>
    <w:rsid w:val="00481C16"/>
    <w:rsid w:val="00481D20"/>
    <w:rsid w:val="00481E72"/>
    <w:rsid w:val="00481E7D"/>
    <w:rsid w:val="00481FCC"/>
    <w:rsid w:val="0048224C"/>
    <w:rsid w:val="00482255"/>
    <w:rsid w:val="00482359"/>
    <w:rsid w:val="0048281F"/>
    <w:rsid w:val="0048284A"/>
    <w:rsid w:val="00482963"/>
    <w:rsid w:val="00482B01"/>
    <w:rsid w:val="00482D0A"/>
    <w:rsid w:val="00482DCA"/>
    <w:rsid w:val="00482E23"/>
    <w:rsid w:val="004830E3"/>
    <w:rsid w:val="004832CE"/>
    <w:rsid w:val="0048330F"/>
    <w:rsid w:val="0048336F"/>
    <w:rsid w:val="0048357E"/>
    <w:rsid w:val="00483581"/>
    <w:rsid w:val="0048360D"/>
    <w:rsid w:val="0048363D"/>
    <w:rsid w:val="004836B8"/>
    <w:rsid w:val="00483743"/>
    <w:rsid w:val="004838C1"/>
    <w:rsid w:val="00483A34"/>
    <w:rsid w:val="00483E24"/>
    <w:rsid w:val="00483E5E"/>
    <w:rsid w:val="00484094"/>
    <w:rsid w:val="00484326"/>
    <w:rsid w:val="00484483"/>
    <w:rsid w:val="00484622"/>
    <w:rsid w:val="004849A6"/>
    <w:rsid w:val="004849B6"/>
    <w:rsid w:val="00484ABF"/>
    <w:rsid w:val="00484D29"/>
    <w:rsid w:val="00484E45"/>
    <w:rsid w:val="00484EC4"/>
    <w:rsid w:val="00484EDC"/>
    <w:rsid w:val="004850BC"/>
    <w:rsid w:val="004851C8"/>
    <w:rsid w:val="00485A09"/>
    <w:rsid w:val="00485BB7"/>
    <w:rsid w:val="00485D41"/>
    <w:rsid w:val="0048601F"/>
    <w:rsid w:val="004861B1"/>
    <w:rsid w:val="00486242"/>
    <w:rsid w:val="00486512"/>
    <w:rsid w:val="0048689E"/>
    <w:rsid w:val="0048697E"/>
    <w:rsid w:val="004869EB"/>
    <w:rsid w:val="00486C1C"/>
    <w:rsid w:val="00486CE6"/>
    <w:rsid w:val="00486D38"/>
    <w:rsid w:val="00486DC8"/>
    <w:rsid w:val="00486F68"/>
    <w:rsid w:val="00487051"/>
    <w:rsid w:val="0048719C"/>
    <w:rsid w:val="00487569"/>
    <w:rsid w:val="00487591"/>
    <w:rsid w:val="004877FE"/>
    <w:rsid w:val="0048796F"/>
    <w:rsid w:val="00487E14"/>
    <w:rsid w:val="00487F2F"/>
    <w:rsid w:val="0049055F"/>
    <w:rsid w:val="00490594"/>
    <w:rsid w:val="004906A6"/>
    <w:rsid w:val="0049070A"/>
    <w:rsid w:val="00490976"/>
    <w:rsid w:val="004909CB"/>
    <w:rsid w:val="004909CD"/>
    <w:rsid w:val="00490C7C"/>
    <w:rsid w:val="00490E3B"/>
    <w:rsid w:val="00490E5D"/>
    <w:rsid w:val="00490FB7"/>
    <w:rsid w:val="004912CE"/>
    <w:rsid w:val="00491634"/>
    <w:rsid w:val="0049184D"/>
    <w:rsid w:val="00491BE0"/>
    <w:rsid w:val="004920E4"/>
    <w:rsid w:val="0049213F"/>
    <w:rsid w:val="00492684"/>
    <w:rsid w:val="00492AE2"/>
    <w:rsid w:val="00492B4F"/>
    <w:rsid w:val="0049310C"/>
    <w:rsid w:val="00493356"/>
    <w:rsid w:val="004934BD"/>
    <w:rsid w:val="0049355C"/>
    <w:rsid w:val="0049369B"/>
    <w:rsid w:val="00493751"/>
    <w:rsid w:val="004938FD"/>
    <w:rsid w:val="00493C90"/>
    <w:rsid w:val="00493F2E"/>
    <w:rsid w:val="00494022"/>
    <w:rsid w:val="0049404C"/>
    <w:rsid w:val="00494131"/>
    <w:rsid w:val="00494532"/>
    <w:rsid w:val="004946A0"/>
    <w:rsid w:val="004946B6"/>
    <w:rsid w:val="0049475E"/>
    <w:rsid w:val="004949DA"/>
    <w:rsid w:val="00494B29"/>
    <w:rsid w:val="004952E4"/>
    <w:rsid w:val="004954B9"/>
    <w:rsid w:val="00495ABC"/>
    <w:rsid w:val="00495AD2"/>
    <w:rsid w:val="00495AE6"/>
    <w:rsid w:val="00495B5B"/>
    <w:rsid w:val="00495D67"/>
    <w:rsid w:val="00495D86"/>
    <w:rsid w:val="00495DDF"/>
    <w:rsid w:val="0049630E"/>
    <w:rsid w:val="0049633E"/>
    <w:rsid w:val="004966A1"/>
    <w:rsid w:val="004966DB"/>
    <w:rsid w:val="00496D00"/>
    <w:rsid w:val="00496D6B"/>
    <w:rsid w:val="00497012"/>
    <w:rsid w:val="0049744D"/>
    <w:rsid w:val="0049768E"/>
    <w:rsid w:val="004976C2"/>
    <w:rsid w:val="00497A55"/>
    <w:rsid w:val="00497D47"/>
    <w:rsid w:val="00497E73"/>
    <w:rsid w:val="004A01B3"/>
    <w:rsid w:val="004A020A"/>
    <w:rsid w:val="004A04BB"/>
    <w:rsid w:val="004A04FB"/>
    <w:rsid w:val="004A1193"/>
    <w:rsid w:val="004A12C7"/>
    <w:rsid w:val="004A130F"/>
    <w:rsid w:val="004A19FA"/>
    <w:rsid w:val="004A1D35"/>
    <w:rsid w:val="004A1E3B"/>
    <w:rsid w:val="004A1F70"/>
    <w:rsid w:val="004A2168"/>
    <w:rsid w:val="004A229E"/>
    <w:rsid w:val="004A2630"/>
    <w:rsid w:val="004A265F"/>
    <w:rsid w:val="004A2698"/>
    <w:rsid w:val="004A2864"/>
    <w:rsid w:val="004A2C70"/>
    <w:rsid w:val="004A2CA8"/>
    <w:rsid w:val="004A2F9E"/>
    <w:rsid w:val="004A2FDE"/>
    <w:rsid w:val="004A31B2"/>
    <w:rsid w:val="004A3358"/>
    <w:rsid w:val="004A34F8"/>
    <w:rsid w:val="004A3523"/>
    <w:rsid w:val="004A396F"/>
    <w:rsid w:val="004A3B20"/>
    <w:rsid w:val="004A3CFF"/>
    <w:rsid w:val="004A40E0"/>
    <w:rsid w:val="004A4328"/>
    <w:rsid w:val="004A434D"/>
    <w:rsid w:val="004A436E"/>
    <w:rsid w:val="004A46E1"/>
    <w:rsid w:val="004A4AEA"/>
    <w:rsid w:val="004A4C69"/>
    <w:rsid w:val="004A4CD5"/>
    <w:rsid w:val="004A5479"/>
    <w:rsid w:val="004A5610"/>
    <w:rsid w:val="004A5683"/>
    <w:rsid w:val="004A5794"/>
    <w:rsid w:val="004A5B12"/>
    <w:rsid w:val="004A5BAB"/>
    <w:rsid w:val="004A5BE1"/>
    <w:rsid w:val="004A5FAA"/>
    <w:rsid w:val="004A60EB"/>
    <w:rsid w:val="004A6267"/>
    <w:rsid w:val="004A63B3"/>
    <w:rsid w:val="004A67DB"/>
    <w:rsid w:val="004A6834"/>
    <w:rsid w:val="004A6B2B"/>
    <w:rsid w:val="004A6BD5"/>
    <w:rsid w:val="004A724C"/>
    <w:rsid w:val="004A72BE"/>
    <w:rsid w:val="004A72D3"/>
    <w:rsid w:val="004A7534"/>
    <w:rsid w:val="004A76AA"/>
    <w:rsid w:val="004A79E3"/>
    <w:rsid w:val="004A7C82"/>
    <w:rsid w:val="004A7ED7"/>
    <w:rsid w:val="004A7F0D"/>
    <w:rsid w:val="004A7FBE"/>
    <w:rsid w:val="004B0069"/>
    <w:rsid w:val="004B0078"/>
    <w:rsid w:val="004B00B2"/>
    <w:rsid w:val="004B00D0"/>
    <w:rsid w:val="004B0329"/>
    <w:rsid w:val="004B03CE"/>
    <w:rsid w:val="004B061E"/>
    <w:rsid w:val="004B0938"/>
    <w:rsid w:val="004B0A91"/>
    <w:rsid w:val="004B0E64"/>
    <w:rsid w:val="004B10DF"/>
    <w:rsid w:val="004B11ED"/>
    <w:rsid w:val="004B1637"/>
    <w:rsid w:val="004B1654"/>
    <w:rsid w:val="004B16FA"/>
    <w:rsid w:val="004B183A"/>
    <w:rsid w:val="004B18CE"/>
    <w:rsid w:val="004B1C62"/>
    <w:rsid w:val="004B1D86"/>
    <w:rsid w:val="004B1DD9"/>
    <w:rsid w:val="004B2222"/>
    <w:rsid w:val="004B2436"/>
    <w:rsid w:val="004B258F"/>
    <w:rsid w:val="004B2B4A"/>
    <w:rsid w:val="004B2E3D"/>
    <w:rsid w:val="004B329D"/>
    <w:rsid w:val="004B34AE"/>
    <w:rsid w:val="004B354F"/>
    <w:rsid w:val="004B377A"/>
    <w:rsid w:val="004B3BA3"/>
    <w:rsid w:val="004B3C33"/>
    <w:rsid w:val="004B3D5D"/>
    <w:rsid w:val="004B3F24"/>
    <w:rsid w:val="004B3F9B"/>
    <w:rsid w:val="004B401F"/>
    <w:rsid w:val="004B43A6"/>
    <w:rsid w:val="004B43DD"/>
    <w:rsid w:val="004B49CE"/>
    <w:rsid w:val="004B4A52"/>
    <w:rsid w:val="004B4B32"/>
    <w:rsid w:val="004B4CFD"/>
    <w:rsid w:val="004B4D0E"/>
    <w:rsid w:val="004B4D64"/>
    <w:rsid w:val="004B52AD"/>
    <w:rsid w:val="004B533C"/>
    <w:rsid w:val="004B55E1"/>
    <w:rsid w:val="004B566B"/>
    <w:rsid w:val="004B5A0A"/>
    <w:rsid w:val="004B5A17"/>
    <w:rsid w:val="004B5A59"/>
    <w:rsid w:val="004B5BC8"/>
    <w:rsid w:val="004B5DD7"/>
    <w:rsid w:val="004B5F50"/>
    <w:rsid w:val="004B6073"/>
    <w:rsid w:val="004B60EC"/>
    <w:rsid w:val="004B6446"/>
    <w:rsid w:val="004B65EB"/>
    <w:rsid w:val="004B6CAD"/>
    <w:rsid w:val="004B6E4A"/>
    <w:rsid w:val="004B724C"/>
    <w:rsid w:val="004B7453"/>
    <w:rsid w:val="004B770B"/>
    <w:rsid w:val="004B773C"/>
    <w:rsid w:val="004B79C6"/>
    <w:rsid w:val="004B79F0"/>
    <w:rsid w:val="004B7D80"/>
    <w:rsid w:val="004B7F6F"/>
    <w:rsid w:val="004B7F96"/>
    <w:rsid w:val="004B7FB8"/>
    <w:rsid w:val="004C0242"/>
    <w:rsid w:val="004C0334"/>
    <w:rsid w:val="004C04A9"/>
    <w:rsid w:val="004C0BFE"/>
    <w:rsid w:val="004C0E19"/>
    <w:rsid w:val="004C0F42"/>
    <w:rsid w:val="004C1488"/>
    <w:rsid w:val="004C1913"/>
    <w:rsid w:val="004C1A19"/>
    <w:rsid w:val="004C1ABE"/>
    <w:rsid w:val="004C1B90"/>
    <w:rsid w:val="004C1CAF"/>
    <w:rsid w:val="004C1DE3"/>
    <w:rsid w:val="004C249A"/>
    <w:rsid w:val="004C263F"/>
    <w:rsid w:val="004C2655"/>
    <w:rsid w:val="004C2ADD"/>
    <w:rsid w:val="004C2CC4"/>
    <w:rsid w:val="004C2DBE"/>
    <w:rsid w:val="004C2E9D"/>
    <w:rsid w:val="004C2EEE"/>
    <w:rsid w:val="004C30C1"/>
    <w:rsid w:val="004C32FD"/>
    <w:rsid w:val="004C393F"/>
    <w:rsid w:val="004C3DA2"/>
    <w:rsid w:val="004C403B"/>
    <w:rsid w:val="004C4072"/>
    <w:rsid w:val="004C40EE"/>
    <w:rsid w:val="004C471E"/>
    <w:rsid w:val="004C4BDB"/>
    <w:rsid w:val="004C4BEF"/>
    <w:rsid w:val="004C4C76"/>
    <w:rsid w:val="004C4D90"/>
    <w:rsid w:val="004C5004"/>
    <w:rsid w:val="004C5094"/>
    <w:rsid w:val="004C5375"/>
    <w:rsid w:val="004C5401"/>
    <w:rsid w:val="004C5649"/>
    <w:rsid w:val="004C575F"/>
    <w:rsid w:val="004C577A"/>
    <w:rsid w:val="004C5D27"/>
    <w:rsid w:val="004C616E"/>
    <w:rsid w:val="004C6387"/>
    <w:rsid w:val="004C63DA"/>
    <w:rsid w:val="004C6424"/>
    <w:rsid w:val="004C68B1"/>
    <w:rsid w:val="004C6937"/>
    <w:rsid w:val="004C6A3C"/>
    <w:rsid w:val="004C6A79"/>
    <w:rsid w:val="004C6B2F"/>
    <w:rsid w:val="004C6D05"/>
    <w:rsid w:val="004C7178"/>
    <w:rsid w:val="004C72DD"/>
    <w:rsid w:val="004C7358"/>
    <w:rsid w:val="004C7498"/>
    <w:rsid w:val="004C74EA"/>
    <w:rsid w:val="004C7511"/>
    <w:rsid w:val="004C76DD"/>
    <w:rsid w:val="004C78A9"/>
    <w:rsid w:val="004C7A4D"/>
    <w:rsid w:val="004C7A76"/>
    <w:rsid w:val="004C7AB3"/>
    <w:rsid w:val="004C7C6A"/>
    <w:rsid w:val="004C7D7D"/>
    <w:rsid w:val="004C7E0F"/>
    <w:rsid w:val="004C7EAB"/>
    <w:rsid w:val="004D0770"/>
    <w:rsid w:val="004D09CD"/>
    <w:rsid w:val="004D0CAF"/>
    <w:rsid w:val="004D0D88"/>
    <w:rsid w:val="004D10DA"/>
    <w:rsid w:val="004D12DC"/>
    <w:rsid w:val="004D15D2"/>
    <w:rsid w:val="004D1749"/>
    <w:rsid w:val="004D17BD"/>
    <w:rsid w:val="004D1829"/>
    <w:rsid w:val="004D1866"/>
    <w:rsid w:val="004D1E5E"/>
    <w:rsid w:val="004D1E67"/>
    <w:rsid w:val="004D2175"/>
    <w:rsid w:val="004D269B"/>
    <w:rsid w:val="004D27FB"/>
    <w:rsid w:val="004D2CA1"/>
    <w:rsid w:val="004D2CEB"/>
    <w:rsid w:val="004D2DFB"/>
    <w:rsid w:val="004D2E93"/>
    <w:rsid w:val="004D3422"/>
    <w:rsid w:val="004D3751"/>
    <w:rsid w:val="004D3A47"/>
    <w:rsid w:val="004D3D3A"/>
    <w:rsid w:val="004D40AF"/>
    <w:rsid w:val="004D4120"/>
    <w:rsid w:val="004D4251"/>
    <w:rsid w:val="004D4466"/>
    <w:rsid w:val="004D44EA"/>
    <w:rsid w:val="004D4601"/>
    <w:rsid w:val="004D47F9"/>
    <w:rsid w:val="004D4ADD"/>
    <w:rsid w:val="004D4D26"/>
    <w:rsid w:val="004D4E5C"/>
    <w:rsid w:val="004D5426"/>
    <w:rsid w:val="004D5482"/>
    <w:rsid w:val="004D55CA"/>
    <w:rsid w:val="004D5CD3"/>
    <w:rsid w:val="004D5DF3"/>
    <w:rsid w:val="004D5E2A"/>
    <w:rsid w:val="004D5F01"/>
    <w:rsid w:val="004D6186"/>
    <w:rsid w:val="004D6388"/>
    <w:rsid w:val="004D6780"/>
    <w:rsid w:val="004D680B"/>
    <w:rsid w:val="004D6830"/>
    <w:rsid w:val="004D6BE5"/>
    <w:rsid w:val="004D6DA0"/>
    <w:rsid w:val="004D6F2A"/>
    <w:rsid w:val="004D70D9"/>
    <w:rsid w:val="004D7159"/>
    <w:rsid w:val="004D7256"/>
    <w:rsid w:val="004D7260"/>
    <w:rsid w:val="004D72FE"/>
    <w:rsid w:val="004D74BE"/>
    <w:rsid w:val="004D756D"/>
    <w:rsid w:val="004D7802"/>
    <w:rsid w:val="004D7BE2"/>
    <w:rsid w:val="004D7BEF"/>
    <w:rsid w:val="004D7C89"/>
    <w:rsid w:val="004D7DE8"/>
    <w:rsid w:val="004D7E70"/>
    <w:rsid w:val="004D7FDE"/>
    <w:rsid w:val="004E0021"/>
    <w:rsid w:val="004E035A"/>
    <w:rsid w:val="004E03A0"/>
    <w:rsid w:val="004E0642"/>
    <w:rsid w:val="004E0CFB"/>
    <w:rsid w:val="004E0E23"/>
    <w:rsid w:val="004E0FAA"/>
    <w:rsid w:val="004E1023"/>
    <w:rsid w:val="004E11A6"/>
    <w:rsid w:val="004E11C5"/>
    <w:rsid w:val="004E12D7"/>
    <w:rsid w:val="004E142B"/>
    <w:rsid w:val="004E197F"/>
    <w:rsid w:val="004E1C03"/>
    <w:rsid w:val="004E1DBC"/>
    <w:rsid w:val="004E1ED0"/>
    <w:rsid w:val="004E1FD7"/>
    <w:rsid w:val="004E1FE0"/>
    <w:rsid w:val="004E2014"/>
    <w:rsid w:val="004E22B7"/>
    <w:rsid w:val="004E24F1"/>
    <w:rsid w:val="004E261A"/>
    <w:rsid w:val="004E28D0"/>
    <w:rsid w:val="004E2ABC"/>
    <w:rsid w:val="004E2C26"/>
    <w:rsid w:val="004E2CBC"/>
    <w:rsid w:val="004E2DB4"/>
    <w:rsid w:val="004E3153"/>
    <w:rsid w:val="004E3271"/>
    <w:rsid w:val="004E32E3"/>
    <w:rsid w:val="004E346F"/>
    <w:rsid w:val="004E347B"/>
    <w:rsid w:val="004E3675"/>
    <w:rsid w:val="004E3711"/>
    <w:rsid w:val="004E3964"/>
    <w:rsid w:val="004E3D6E"/>
    <w:rsid w:val="004E3F6D"/>
    <w:rsid w:val="004E42DD"/>
    <w:rsid w:val="004E4597"/>
    <w:rsid w:val="004E4682"/>
    <w:rsid w:val="004E482B"/>
    <w:rsid w:val="004E48F1"/>
    <w:rsid w:val="004E4C5B"/>
    <w:rsid w:val="004E4DC0"/>
    <w:rsid w:val="004E4E25"/>
    <w:rsid w:val="004E4FA4"/>
    <w:rsid w:val="004E50DE"/>
    <w:rsid w:val="004E522D"/>
    <w:rsid w:val="004E5676"/>
    <w:rsid w:val="004E56A8"/>
    <w:rsid w:val="004E578F"/>
    <w:rsid w:val="004E5ADD"/>
    <w:rsid w:val="004E5C60"/>
    <w:rsid w:val="004E5CD7"/>
    <w:rsid w:val="004E5F51"/>
    <w:rsid w:val="004E61CF"/>
    <w:rsid w:val="004E62B5"/>
    <w:rsid w:val="004E63D3"/>
    <w:rsid w:val="004E6430"/>
    <w:rsid w:val="004E6480"/>
    <w:rsid w:val="004E6B96"/>
    <w:rsid w:val="004E6E79"/>
    <w:rsid w:val="004E7021"/>
    <w:rsid w:val="004E7154"/>
    <w:rsid w:val="004E7189"/>
    <w:rsid w:val="004E7649"/>
    <w:rsid w:val="004E78D5"/>
    <w:rsid w:val="004E79C6"/>
    <w:rsid w:val="004E7A47"/>
    <w:rsid w:val="004E7E7B"/>
    <w:rsid w:val="004E7F52"/>
    <w:rsid w:val="004E7FAE"/>
    <w:rsid w:val="004F0164"/>
    <w:rsid w:val="004F018D"/>
    <w:rsid w:val="004F01B0"/>
    <w:rsid w:val="004F043D"/>
    <w:rsid w:val="004F04C0"/>
    <w:rsid w:val="004F051F"/>
    <w:rsid w:val="004F0D8F"/>
    <w:rsid w:val="004F0E5F"/>
    <w:rsid w:val="004F107C"/>
    <w:rsid w:val="004F11ED"/>
    <w:rsid w:val="004F1220"/>
    <w:rsid w:val="004F158E"/>
    <w:rsid w:val="004F194A"/>
    <w:rsid w:val="004F1998"/>
    <w:rsid w:val="004F19C6"/>
    <w:rsid w:val="004F1C39"/>
    <w:rsid w:val="004F1FA3"/>
    <w:rsid w:val="004F210C"/>
    <w:rsid w:val="004F224B"/>
    <w:rsid w:val="004F2952"/>
    <w:rsid w:val="004F2A71"/>
    <w:rsid w:val="004F2B24"/>
    <w:rsid w:val="004F2D68"/>
    <w:rsid w:val="004F2FAF"/>
    <w:rsid w:val="004F3229"/>
    <w:rsid w:val="004F3269"/>
    <w:rsid w:val="004F326E"/>
    <w:rsid w:val="004F3628"/>
    <w:rsid w:val="004F36A0"/>
    <w:rsid w:val="004F392E"/>
    <w:rsid w:val="004F3A95"/>
    <w:rsid w:val="004F4010"/>
    <w:rsid w:val="004F4016"/>
    <w:rsid w:val="004F4087"/>
    <w:rsid w:val="004F418C"/>
    <w:rsid w:val="004F433F"/>
    <w:rsid w:val="004F438D"/>
    <w:rsid w:val="004F44F6"/>
    <w:rsid w:val="004F45F1"/>
    <w:rsid w:val="004F46F1"/>
    <w:rsid w:val="004F49B7"/>
    <w:rsid w:val="004F4ABD"/>
    <w:rsid w:val="004F4BB3"/>
    <w:rsid w:val="004F4C98"/>
    <w:rsid w:val="004F4EC5"/>
    <w:rsid w:val="004F4F9B"/>
    <w:rsid w:val="004F532E"/>
    <w:rsid w:val="004F59D5"/>
    <w:rsid w:val="004F59F1"/>
    <w:rsid w:val="004F5B74"/>
    <w:rsid w:val="004F5B77"/>
    <w:rsid w:val="004F5C21"/>
    <w:rsid w:val="004F5C98"/>
    <w:rsid w:val="004F5D3D"/>
    <w:rsid w:val="004F5DFA"/>
    <w:rsid w:val="004F5FFA"/>
    <w:rsid w:val="004F6125"/>
    <w:rsid w:val="004F649A"/>
    <w:rsid w:val="004F64AB"/>
    <w:rsid w:val="004F662E"/>
    <w:rsid w:val="004F663C"/>
    <w:rsid w:val="004F6690"/>
    <w:rsid w:val="004F6880"/>
    <w:rsid w:val="004F6970"/>
    <w:rsid w:val="004F6AE4"/>
    <w:rsid w:val="004F6C24"/>
    <w:rsid w:val="004F6DBE"/>
    <w:rsid w:val="004F6E95"/>
    <w:rsid w:val="004F7001"/>
    <w:rsid w:val="004F706D"/>
    <w:rsid w:val="004F7081"/>
    <w:rsid w:val="004F7137"/>
    <w:rsid w:val="004F7849"/>
    <w:rsid w:val="004F78D3"/>
    <w:rsid w:val="004F7A80"/>
    <w:rsid w:val="004F7ABF"/>
    <w:rsid w:val="004F7B02"/>
    <w:rsid w:val="004F7B70"/>
    <w:rsid w:val="004F7C6B"/>
    <w:rsid w:val="004F7C8F"/>
    <w:rsid w:val="004F7CF0"/>
    <w:rsid w:val="004F7D93"/>
    <w:rsid w:val="004F7FF7"/>
    <w:rsid w:val="0050025B"/>
    <w:rsid w:val="0050057E"/>
    <w:rsid w:val="005006AB"/>
    <w:rsid w:val="005006DD"/>
    <w:rsid w:val="0050073B"/>
    <w:rsid w:val="005009AD"/>
    <w:rsid w:val="00500B73"/>
    <w:rsid w:val="00500BAF"/>
    <w:rsid w:val="00500EB6"/>
    <w:rsid w:val="00500FAD"/>
    <w:rsid w:val="0050117F"/>
    <w:rsid w:val="005011EC"/>
    <w:rsid w:val="00501254"/>
    <w:rsid w:val="005012AC"/>
    <w:rsid w:val="00501570"/>
    <w:rsid w:val="00501607"/>
    <w:rsid w:val="0050188F"/>
    <w:rsid w:val="005018DC"/>
    <w:rsid w:val="00501999"/>
    <w:rsid w:val="00501C81"/>
    <w:rsid w:val="00502080"/>
    <w:rsid w:val="00502125"/>
    <w:rsid w:val="0050222D"/>
    <w:rsid w:val="00502272"/>
    <w:rsid w:val="005024A2"/>
    <w:rsid w:val="005024BD"/>
    <w:rsid w:val="005024F6"/>
    <w:rsid w:val="00502747"/>
    <w:rsid w:val="0050283C"/>
    <w:rsid w:val="00502A97"/>
    <w:rsid w:val="00502ABE"/>
    <w:rsid w:val="00502B72"/>
    <w:rsid w:val="00502BCB"/>
    <w:rsid w:val="00502C44"/>
    <w:rsid w:val="00502F75"/>
    <w:rsid w:val="00503086"/>
    <w:rsid w:val="005036ED"/>
    <w:rsid w:val="00503986"/>
    <w:rsid w:val="00503A0B"/>
    <w:rsid w:val="00503C15"/>
    <w:rsid w:val="00503C28"/>
    <w:rsid w:val="00503D7F"/>
    <w:rsid w:val="00503F86"/>
    <w:rsid w:val="00503FA7"/>
    <w:rsid w:val="005041CB"/>
    <w:rsid w:val="005043E7"/>
    <w:rsid w:val="0050449D"/>
    <w:rsid w:val="005044F7"/>
    <w:rsid w:val="0050487D"/>
    <w:rsid w:val="00504A2B"/>
    <w:rsid w:val="00504B48"/>
    <w:rsid w:val="00504C1A"/>
    <w:rsid w:val="00504CA7"/>
    <w:rsid w:val="00504EF5"/>
    <w:rsid w:val="005053A4"/>
    <w:rsid w:val="005054A7"/>
    <w:rsid w:val="00505507"/>
    <w:rsid w:val="005057F1"/>
    <w:rsid w:val="00505936"/>
    <w:rsid w:val="00505AA9"/>
    <w:rsid w:val="00505BCF"/>
    <w:rsid w:val="00505E5E"/>
    <w:rsid w:val="005061A9"/>
    <w:rsid w:val="005061E3"/>
    <w:rsid w:val="00506298"/>
    <w:rsid w:val="005062E8"/>
    <w:rsid w:val="00506480"/>
    <w:rsid w:val="00506553"/>
    <w:rsid w:val="005066F8"/>
    <w:rsid w:val="0050677C"/>
    <w:rsid w:val="00506DE6"/>
    <w:rsid w:val="00506E6D"/>
    <w:rsid w:val="00506E9F"/>
    <w:rsid w:val="00507089"/>
    <w:rsid w:val="005073BF"/>
    <w:rsid w:val="005073E4"/>
    <w:rsid w:val="00507550"/>
    <w:rsid w:val="0050770F"/>
    <w:rsid w:val="00507933"/>
    <w:rsid w:val="005079D6"/>
    <w:rsid w:val="00507B9D"/>
    <w:rsid w:val="00510195"/>
    <w:rsid w:val="005101B2"/>
    <w:rsid w:val="0051046D"/>
    <w:rsid w:val="00510674"/>
    <w:rsid w:val="00510741"/>
    <w:rsid w:val="00510746"/>
    <w:rsid w:val="0051087B"/>
    <w:rsid w:val="00510BE4"/>
    <w:rsid w:val="00510C30"/>
    <w:rsid w:val="00510C33"/>
    <w:rsid w:val="00510E2D"/>
    <w:rsid w:val="00510EC6"/>
    <w:rsid w:val="00510F97"/>
    <w:rsid w:val="00511297"/>
    <w:rsid w:val="005114E4"/>
    <w:rsid w:val="005117D4"/>
    <w:rsid w:val="0051239B"/>
    <w:rsid w:val="00512B8C"/>
    <w:rsid w:val="00513052"/>
    <w:rsid w:val="00513602"/>
    <w:rsid w:val="0051387A"/>
    <w:rsid w:val="005138A3"/>
    <w:rsid w:val="005139F5"/>
    <w:rsid w:val="00513E18"/>
    <w:rsid w:val="00513F3F"/>
    <w:rsid w:val="00514141"/>
    <w:rsid w:val="005141B0"/>
    <w:rsid w:val="005141B4"/>
    <w:rsid w:val="00514210"/>
    <w:rsid w:val="00514992"/>
    <w:rsid w:val="00514EBB"/>
    <w:rsid w:val="005152D1"/>
    <w:rsid w:val="00515777"/>
    <w:rsid w:val="005157ED"/>
    <w:rsid w:val="0051590A"/>
    <w:rsid w:val="00515983"/>
    <w:rsid w:val="00515A81"/>
    <w:rsid w:val="00515B01"/>
    <w:rsid w:val="00515CEC"/>
    <w:rsid w:val="00515D96"/>
    <w:rsid w:val="00515FB4"/>
    <w:rsid w:val="0051659B"/>
    <w:rsid w:val="00516947"/>
    <w:rsid w:val="005169E1"/>
    <w:rsid w:val="00516B4F"/>
    <w:rsid w:val="00516D47"/>
    <w:rsid w:val="00516DF9"/>
    <w:rsid w:val="00516E19"/>
    <w:rsid w:val="00516EAC"/>
    <w:rsid w:val="00516F69"/>
    <w:rsid w:val="00516F7C"/>
    <w:rsid w:val="005170C9"/>
    <w:rsid w:val="0051710B"/>
    <w:rsid w:val="00517297"/>
    <w:rsid w:val="0051780F"/>
    <w:rsid w:val="0051796A"/>
    <w:rsid w:val="00517B89"/>
    <w:rsid w:val="00520215"/>
    <w:rsid w:val="005203ED"/>
    <w:rsid w:val="00520635"/>
    <w:rsid w:val="00520638"/>
    <w:rsid w:val="0052072B"/>
    <w:rsid w:val="00520B29"/>
    <w:rsid w:val="00520E04"/>
    <w:rsid w:val="00521162"/>
    <w:rsid w:val="00521296"/>
    <w:rsid w:val="005212EB"/>
    <w:rsid w:val="00521518"/>
    <w:rsid w:val="005216E5"/>
    <w:rsid w:val="00521727"/>
    <w:rsid w:val="00521763"/>
    <w:rsid w:val="00521B79"/>
    <w:rsid w:val="00521B7A"/>
    <w:rsid w:val="00521BD6"/>
    <w:rsid w:val="00521E84"/>
    <w:rsid w:val="00521F0D"/>
    <w:rsid w:val="00521FE9"/>
    <w:rsid w:val="005220BF"/>
    <w:rsid w:val="005221D1"/>
    <w:rsid w:val="00522264"/>
    <w:rsid w:val="00522270"/>
    <w:rsid w:val="005222CB"/>
    <w:rsid w:val="0052248F"/>
    <w:rsid w:val="005224BA"/>
    <w:rsid w:val="005225E1"/>
    <w:rsid w:val="005226EA"/>
    <w:rsid w:val="00522728"/>
    <w:rsid w:val="00522D2A"/>
    <w:rsid w:val="00522FBE"/>
    <w:rsid w:val="00523637"/>
    <w:rsid w:val="00523676"/>
    <w:rsid w:val="00523B31"/>
    <w:rsid w:val="00523BC3"/>
    <w:rsid w:val="00523BD0"/>
    <w:rsid w:val="00523D4D"/>
    <w:rsid w:val="0052405B"/>
    <w:rsid w:val="005241D8"/>
    <w:rsid w:val="0052447C"/>
    <w:rsid w:val="00524625"/>
    <w:rsid w:val="005249C0"/>
    <w:rsid w:val="005249F3"/>
    <w:rsid w:val="00524B05"/>
    <w:rsid w:val="005251DE"/>
    <w:rsid w:val="00525405"/>
    <w:rsid w:val="00525434"/>
    <w:rsid w:val="00525476"/>
    <w:rsid w:val="005254C4"/>
    <w:rsid w:val="005256FB"/>
    <w:rsid w:val="0052590F"/>
    <w:rsid w:val="0052596B"/>
    <w:rsid w:val="00525A6E"/>
    <w:rsid w:val="00525B98"/>
    <w:rsid w:val="00525F8C"/>
    <w:rsid w:val="00525FAF"/>
    <w:rsid w:val="00525FF4"/>
    <w:rsid w:val="005268AF"/>
    <w:rsid w:val="00526A91"/>
    <w:rsid w:val="00526E3D"/>
    <w:rsid w:val="00526F0C"/>
    <w:rsid w:val="00526FE7"/>
    <w:rsid w:val="005270EF"/>
    <w:rsid w:val="005271B6"/>
    <w:rsid w:val="00527593"/>
    <w:rsid w:val="00527710"/>
    <w:rsid w:val="00527796"/>
    <w:rsid w:val="005278D3"/>
    <w:rsid w:val="00527947"/>
    <w:rsid w:val="00527D6B"/>
    <w:rsid w:val="00527DD4"/>
    <w:rsid w:val="00527EE2"/>
    <w:rsid w:val="00527F24"/>
    <w:rsid w:val="0053025C"/>
    <w:rsid w:val="005302F0"/>
    <w:rsid w:val="00530658"/>
    <w:rsid w:val="0053072E"/>
    <w:rsid w:val="0053079A"/>
    <w:rsid w:val="00530C4E"/>
    <w:rsid w:val="00530DC0"/>
    <w:rsid w:val="00530E50"/>
    <w:rsid w:val="00530FF3"/>
    <w:rsid w:val="00531029"/>
    <w:rsid w:val="00531152"/>
    <w:rsid w:val="005313EB"/>
    <w:rsid w:val="0053140E"/>
    <w:rsid w:val="00531766"/>
    <w:rsid w:val="005318AF"/>
    <w:rsid w:val="00531906"/>
    <w:rsid w:val="0053190B"/>
    <w:rsid w:val="00531C9E"/>
    <w:rsid w:val="00531DF6"/>
    <w:rsid w:val="00531EE6"/>
    <w:rsid w:val="00532393"/>
    <w:rsid w:val="00532611"/>
    <w:rsid w:val="0053266A"/>
    <w:rsid w:val="005327F9"/>
    <w:rsid w:val="00532984"/>
    <w:rsid w:val="00532A2C"/>
    <w:rsid w:val="00532EE0"/>
    <w:rsid w:val="005330EA"/>
    <w:rsid w:val="00533136"/>
    <w:rsid w:val="005332E8"/>
    <w:rsid w:val="0053330F"/>
    <w:rsid w:val="0053343D"/>
    <w:rsid w:val="005334B3"/>
    <w:rsid w:val="0053393D"/>
    <w:rsid w:val="00533B4E"/>
    <w:rsid w:val="00533CAE"/>
    <w:rsid w:val="00533D08"/>
    <w:rsid w:val="00534072"/>
    <w:rsid w:val="0053422D"/>
    <w:rsid w:val="005344D7"/>
    <w:rsid w:val="00534553"/>
    <w:rsid w:val="0053457A"/>
    <w:rsid w:val="00534721"/>
    <w:rsid w:val="0053474B"/>
    <w:rsid w:val="00534B55"/>
    <w:rsid w:val="00534C43"/>
    <w:rsid w:val="00534D15"/>
    <w:rsid w:val="00534E48"/>
    <w:rsid w:val="00534EE3"/>
    <w:rsid w:val="005352AA"/>
    <w:rsid w:val="005355CA"/>
    <w:rsid w:val="005356A0"/>
    <w:rsid w:val="00535951"/>
    <w:rsid w:val="00535B71"/>
    <w:rsid w:val="00535BF8"/>
    <w:rsid w:val="00535CB3"/>
    <w:rsid w:val="00535D30"/>
    <w:rsid w:val="00535D3C"/>
    <w:rsid w:val="00535EFC"/>
    <w:rsid w:val="00536276"/>
    <w:rsid w:val="00536547"/>
    <w:rsid w:val="00536578"/>
    <w:rsid w:val="0053698F"/>
    <w:rsid w:val="005369CD"/>
    <w:rsid w:val="00536E62"/>
    <w:rsid w:val="00536F44"/>
    <w:rsid w:val="005371C7"/>
    <w:rsid w:val="005371FB"/>
    <w:rsid w:val="005372E6"/>
    <w:rsid w:val="00537B32"/>
    <w:rsid w:val="00537BAC"/>
    <w:rsid w:val="00537C45"/>
    <w:rsid w:val="00537C82"/>
    <w:rsid w:val="00537F29"/>
    <w:rsid w:val="005404D6"/>
    <w:rsid w:val="0054071C"/>
    <w:rsid w:val="00540935"/>
    <w:rsid w:val="00540B0F"/>
    <w:rsid w:val="00540BDB"/>
    <w:rsid w:val="00540EF9"/>
    <w:rsid w:val="0054137C"/>
    <w:rsid w:val="005413DE"/>
    <w:rsid w:val="00541433"/>
    <w:rsid w:val="0054177F"/>
    <w:rsid w:val="0054185E"/>
    <w:rsid w:val="005418DB"/>
    <w:rsid w:val="00541E12"/>
    <w:rsid w:val="005420B1"/>
    <w:rsid w:val="00542619"/>
    <w:rsid w:val="005428F9"/>
    <w:rsid w:val="0054290B"/>
    <w:rsid w:val="00542A91"/>
    <w:rsid w:val="00542E61"/>
    <w:rsid w:val="00542ECA"/>
    <w:rsid w:val="0054322E"/>
    <w:rsid w:val="00543331"/>
    <w:rsid w:val="00543956"/>
    <w:rsid w:val="00543C33"/>
    <w:rsid w:val="00543C49"/>
    <w:rsid w:val="00543DE1"/>
    <w:rsid w:val="005443B7"/>
    <w:rsid w:val="005446EB"/>
    <w:rsid w:val="0054485E"/>
    <w:rsid w:val="00544B4E"/>
    <w:rsid w:val="00544CC2"/>
    <w:rsid w:val="00544CFC"/>
    <w:rsid w:val="00544D91"/>
    <w:rsid w:val="00544E7B"/>
    <w:rsid w:val="00544EC9"/>
    <w:rsid w:val="00545313"/>
    <w:rsid w:val="00545389"/>
    <w:rsid w:val="005453B3"/>
    <w:rsid w:val="0054580D"/>
    <w:rsid w:val="005459F8"/>
    <w:rsid w:val="00545C06"/>
    <w:rsid w:val="00545DE2"/>
    <w:rsid w:val="005461AC"/>
    <w:rsid w:val="00546206"/>
    <w:rsid w:val="00546230"/>
    <w:rsid w:val="00546286"/>
    <w:rsid w:val="005465FD"/>
    <w:rsid w:val="005467B8"/>
    <w:rsid w:val="00546A65"/>
    <w:rsid w:val="00546A7A"/>
    <w:rsid w:val="00546AFB"/>
    <w:rsid w:val="00546FF2"/>
    <w:rsid w:val="00546FFD"/>
    <w:rsid w:val="0054719A"/>
    <w:rsid w:val="0054763B"/>
    <w:rsid w:val="0054764D"/>
    <w:rsid w:val="005476CF"/>
    <w:rsid w:val="005477D5"/>
    <w:rsid w:val="005477D6"/>
    <w:rsid w:val="00547839"/>
    <w:rsid w:val="00547B50"/>
    <w:rsid w:val="00547C95"/>
    <w:rsid w:val="00547E5F"/>
    <w:rsid w:val="00550297"/>
    <w:rsid w:val="005505C6"/>
    <w:rsid w:val="005506D3"/>
    <w:rsid w:val="005508FD"/>
    <w:rsid w:val="00550ABF"/>
    <w:rsid w:val="00550AC0"/>
    <w:rsid w:val="00550B74"/>
    <w:rsid w:val="00550CB2"/>
    <w:rsid w:val="005512C6"/>
    <w:rsid w:val="00551439"/>
    <w:rsid w:val="00551461"/>
    <w:rsid w:val="00551668"/>
    <w:rsid w:val="00551D0A"/>
    <w:rsid w:val="00551E31"/>
    <w:rsid w:val="00551E67"/>
    <w:rsid w:val="0055205E"/>
    <w:rsid w:val="0055213B"/>
    <w:rsid w:val="00552224"/>
    <w:rsid w:val="00552444"/>
    <w:rsid w:val="00552595"/>
    <w:rsid w:val="005529C1"/>
    <w:rsid w:val="00552A0F"/>
    <w:rsid w:val="00552C2F"/>
    <w:rsid w:val="00552F85"/>
    <w:rsid w:val="00553083"/>
    <w:rsid w:val="00553201"/>
    <w:rsid w:val="005534D0"/>
    <w:rsid w:val="00553537"/>
    <w:rsid w:val="0055371C"/>
    <w:rsid w:val="005537E7"/>
    <w:rsid w:val="005539FC"/>
    <w:rsid w:val="00553AFE"/>
    <w:rsid w:val="00553BAC"/>
    <w:rsid w:val="00553BEF"/>
    <w:rsid w:val="00553CB9"/>
    <w:rsid w:val="00553F90"/>
    <w:rsid w:val="005541AC"/>
    <w:rsid w:val="005544E6"/>
    <w:rsid w:val="005544F1"/>
    <w:rsid w:val="005546AF"/>
    <w:rsid w:val="00554951"/>
    <w:rsid w:val="00554BE6"/>
    <w:rsid w:val="00554C1F"/>
    <w:rsid w:val="00554CE1"/>
    <w:rsid w:val="00554D30"/>
    <w:rsid w:val="00554D44"/>
    <w:rsid w:val="00555873"/>
    <w:rsid w:val="00555957"/>
    <w:rsid w:val="0055595B"/>
    <w:rsid w:val="00555AB1"/>
    <w:rsid w:val="00555C31"/>
    <w:rsid w:val="00555C8E"/>
    <w:rsid w:val="00555E9E"/>
    <w:rsid w:val="00556003"/>
    <w:rsid w:val="00556378"/>
    <w:rsid w:val="005564B4"/>
    <w:rsid w:val="00556500"/>
    <w:rsid w:val="00556555"/>
    <w:rsid w:val="005565AC"/>
    <w:rsid w:val="005568B4"/>
    <w:rsid w:val="00556B48"/>
    <w:rsid w:val="00556BE8"/>
    <w:rsid w:val="005572ED"/>
    <w:rsid w:val="005574AF"/>
    <w:rsid w:val="0055760D"/>
    <w:rsid w:val="00557716"/>
    <w:rsid w:val="0055775D"/>
    <w:rsid w:val="00557919"/>
    <w:rsid w:val="00557924"/>
    <w:rsid w:val="005579A9"/>
    <w:rsid w:val="00557A7D"/>
    <w:rsid w:val="00557AE0"/>
    <w:rsid w:val="00557B05"/>
    <w:rsid w:val="00557D21"/>
    <w:rsid w:val="00557D4F"/>
    <w:rsid w:val="00557DE1"/>
    <w:rsid w:val="00557E40"/>
    <w:rsid w:val="00557EF5"/>
    <w:rsid w:val="00560323"/>
    <w:rsid w:val="005604A0"/>
    <w:rsid w:val="005607D9"/>
    <w:rsid w:val="00560C4B"/>
    <w:rsid w:val="005611AD"/>
    <w:rsid w:val="0056137E"/>
    <w:rsid w:val="00561519"/>
    <w:rsid w:val="00561667"/>
    <w:rsid w:val="005617CE"/>
    <w:rsid w:val="00561887"/>
    <w:rsid w:val="00561E22"/>
    <w:rsid w:val="00561FC6"/>
    <w:rsid w:val="00561FC7"/>
    <w:rsid w:val="005622A9"/>
    <w:rsid w:val="0056235E"/>
    <w:rsid w:val="005624D8"/>
    <w:rsid w:val="00562C12"/>
    <w:rsid w:val="00562CDE"/>
    <w:rsid w:val="00562CE6"/>
    <w:rsid w:val="00562DF9"/>
    <w:rsid w:val="00563172"/>
    <w:rsid w:val="0056333C"/>
    <w:rsid w:val="00563A28"/>
    <w:rsid w:val="00563BBC"/>
    <w:rsid w:val="00563CA2"/>
    <w:rsid w:val="00563CE7"/>
    <w:rsid w:val="00563DC1"/>
    <w:rsid w:val="005640E6"/>
    <w:rsid w:val="0056412D"/>
    <w:rsid w:val="0056442E"/>
    <w:rsid w:val="005645B9"/>
    <w:rsid w:val="00564AB8"/>
    <w:rsid w:val="00564B51"/>
    <w:rsid w:val="00564BDC"/>
    <w:rsid w:val="00564C25"/>
    <w:rsid w:val="00564C73"/>
    <w:rsid w:val="00564D03"/>
    <w:rsid w:val="005650E1"/>
    <w:rsid w:val="005651EB"/>
    <w:rsid w:val="00565218"/>
    <w:rsid w:val="0056546A"/>
    <w:rsid w:val="0056559D"/>
    <w:rsid w:val="005656FA"/>
    <w:rsid w:val="005657F2"/>
    <w:rsid w:val="00565A4D"/>
    <w:rsid w:val="00565BAA"/>
    <w:rsid w:val="00565D61"/>
    <w:rsid w:val="00565FDE"/>
    <w:rsid w:val="005662FC"/>
    <w:rsid w:val="00566357"/>
    <w:rsid w:val="0056661C"/>
    <w:rsid w:val="00566A35"/>
    <w:rsid w:val="00566AB2"/>
    <w:rsid w:val="00566C57"/>
    <w:rsid w:val="00566CEA"/>
    <w:rsid w:val="00566D00"/>
    <w:rsid w:val="00566D17"/>
    <w:rsid w:val="00566D6F"/>
    <w:rsid w:val="00566F93"/>
    <w:rsid w:val="00566F9B"/>
    <w:rsid w:val="005672A8"/>
    <w:rsid w:val="00567371"/>
    <w:rsid w:val="005673FC"/>
    <w:rsid w:val="00567427"/>
    <w:rsid w:val="00567430"/>
    <w:rsid w:val="0056757F"/>
    <w:rsid w:val="005675F2"/>
    <w:rsid w:val="00567624"/>
    <w:rsid w:val="0056772A"/>
    <w:rsid w:val="00567BB7"/>
    <w:rsid w:val="00567C16"/>
    <w:rsid w:val="0057005A"/>
    <w:rsid w:val="005700C7"/>
    <w:rsid w:val="005702D3"/>
    <w:rsid w:val="0057037B"/>
    <w:rsid w:val="005703F4"/>
    <w:rsid w:val="005705EE"/>
    <w:rsid w:val="00570749"/>
    <w:rsid w:val="005707C8"/>
    <w:rsid w:val="0057085F"/>
    <w:rsid w:val="00570ACA"/>
    <w:rsid w:val="00570D04"/>
    <w:rsid w:val="00570F09"/>
    <w:rsid w:val="00570FDA"/>
    <w:rsid w:val="005717C7"/>
    <w:rsid w:val="00571858"/>
    <w:rsid w:val="00571860"/>
    <w:rsid w:val="00571D6F"/>
    <w:rsid w:val="00571E18"/>
    <w:rsid w:val="00571E9B"/>
    <w:rsid w:val="00571EF1"/>
    <w:rsid w:val="00572024"/>
    <w:rsid w:val="00572192"/>
    <w:rsid w:val="00572229"/>
    <w:rsid w:val="00572294"/>
    <w:rsid w:val="00572337"/>
    <w:rsid w:val="005723CB"/>
    <w:rsid w:val="0057242A"/>
    <w:rsid w:val="00572486"/>
    <w:rsid w:val="005726F7"/>
    <w:rsid w:val="00572A44"/>
    <w:rsid w:val="00572A76"/>
    <w:rsid w:val="00572B8A"/>
    <w:rsid w:val="00572B90"/>
    <w:rsid w:val="00572CAA"/>
    <w:rsid w:val="00572CF5"/>
    <w:rsid w:val="00572D4C"/>
    <w:rsid w:val="00572DAD"/>
    <w:rsid w:val="00572DC7"/>
    <w:rsid w:val="00572EA5"/>
    <w:rsid w:val="0057353E"/>
    <w:rsid w:val="005736E3"/>
    <w:rsid w:val="005737CD"/>
    <w:rsid w:val="00573865"/>
    <w:rsid w:val="0057387E"/>
    <w:rsid w:val="00573955"/>
    <w:rsid w:val="00573B35"/>
    <w:rsid w:val="00573BC1"/>
    <w:rsid w:val="00573BF8"/>
    <w:rsid w:val="00573E4F"/>
    <w:rsid w:val="005742E7"/>
    <w:rsid w:val="00574872"/>
    <w:rsid w:val="005748C5"/>
    <w:rsid w:val="005748F0"/>
    <w:rsid w:val="00574A3B"/>
    <w:rsid w:val="00574A67"/>
    <w:rsid w:val="00574B59"/>
    <w:rsid w:val="00574D48"/>
    <w:rsid w:val="00575022"/>
    <w:rsid w:val="005751CB"/>
    <w:rsid w:val="00575329"/>
    <w:rsid w:val="005753BE"/>
    <w:rsid w:val="005753D6"/>
    <w:rsid w:val="005754E8"/>
    <w:rsid w:val="00575597"/>
    <w:rsid w:val="0057612C"/>
    <w:rsid w:val="0057623B"/>
    <w:rsid w:val="00576334"/>
    <w:rsid w:val="0057638B"/>
    <w:rsid w:val="005765B3"/>
    <w:rsid w:val="00576809"/>
    <w:rsid w:val="00576A1B"/>
    <w:rsid w:val="00576B70"/>
    <w:rsid w:val="00576CF8"/>
    <w:rsid w:val="00576E68"/>
    <w:rsid w:val="005772C8"/>
    <w:rsid w:val="005772EA"/>
    <w:rsid w:val="00577679"/>
    <w:rsid w:val="005776CC"/>
    <w:rsid w:val="0057792A"/>
    <w:rsid w:val="005779E5"/>
    <w:rsid w:val="00577ADD"/>
    <w:rsid w:val="00577BD5"/>
    <w:rsid w:val="00577C32"/>
    <w:rsid w:val="00577EFB"/>
    <w:rsid w:val="00577F41"/>
    <w:rsid w:val="005800E8"/>
    <w:rsid w:val="005800FF"/>
    <w:rsid w:val="00580428"/>
    <w:rsid w:val="005806BE"/>
    <w:rsid w:val="0058085C"/>
    <w:rsid w:val="00580873"/>
    <w:rsid w:val="0058087B"/>
    <w:rsid w:val="00580A9E"/>
    <w:rsid w:val="00580A9F"/>
    <w:rsid w:val="00580BEF"/>
    <w:rsid w:val="00580BF5"/>
    <w:rsid w:val="00580C4F"/>
    <w:rsid w:val="00580D7B"/>
    <w:rsid w:val="00580EC0"/>
    <w:rsid w:val="005810F5"/>
    <w:rsid w:val="0058121B"/>
    <w:rsid w:val="00581523"/>
    <w:rsid w:val="0058159D"/>
    <w:rsid w:val="0058160D"/>
    <w:rsid w:val="00581652"/>
    <w:rsid w:val="00581933"/>
    <w:rsid w:val="005819C7"/>
    <w:rsid w:val="00581ED1"/>
    <w:rsid w:val="00581FD4"/>
    <w:rsid w:val="0058228D"/>
    <w:rsid w:val="005828B9"/>
    <w:rsid w:val="00582915"/>
    <w:rsid w:val="005829F5"/>
    <w:rsid w:val="00582B8F"/>
    <w:rsid w:val="00582C2E"/>
    <w:rsid w:val="00582CC3"/>
    <w:rsid w:val="00583059"/>
    <w:rsid w:val="00583401"/>
    <w:rsid w:val="0058345B"/>
    <w:rsid w:val="0058356C"/>
    <w:rsid w:val="005836CD"/>
    <w:rsid w:val="005836F2"/>
    <w:rsid w:val="00583730"/>
    <w:rsid w:val="005838FC"/>
    <w:rsid w:val="00583A29"/>
    <w:rsid w:val="00583B64"/>
    <w:rsid w:val="00583E26"/>
    <w:rsid w:val="00583E74"/>
    <w:rsid w:val="00583ECC"/>
    <w:rsid w:val="005844A4"/>
    <w:rsid w:val="00584A0C"/>
    <w:rsid w:val="00584A84"/>
    <w:rsid w:val="00584B7D"/>
    <w:rsid w:val="00584D7D"/>
    <w:rsid w:val="00584DB1"/>
    <w:rsid w:val="00584ED0"/>
    <w:rsid w:val="00584F15"/>
    <w:rsid w:val="005850C5"/>
    <w:rsid w:val="0058531A"/>
    <w:rsid w:val="00585847"/>
    <w:rsid w:val="00585937"/>
    <w:rsid w:val="00585CA5"/>
    <w:rsid w:val="00585DBF"/>
    <w:rsid w:val="00585F45"/>
    <w:rsid w:val="00586118"/>
    <w:rsid w:val="00586163"/>
    <w:rsid w:val="00586196"/>
    <w:rsid w:val="005862FC"/>
    <w:rsid w:val="00586895"/>
    <w:rsid w:val="00586A26"/>
    <w:rsid w:val="00586B52"/>
    <w:rsid w:val="00586BD0"/>
    <w:rsid w:val="0058716D"/>
    <w:rsid w:val="005872B2"/>
    <w:rsid w:val="00587351"/>
    <w:rsid w:val="005874EC"/>
    <w:rsid w:val="005875F5"/>
    <w:rsid w:val="005875F9"/>
    <w:rsid w:val="00587E41"/>
    <w:rsid w:val="00587E6B"/>
    <w:rsid w:val="0059035B"/>
    <w:rsid w:val="0059054F"/>
    <w:rsid w:val="005909E2"/>
    <w:rsid w:val="00590A8D"/>
    <w:rsid w:val="00590A9A"/>
    <w:rsid w:val="00590AB4"/>
    <w:rsid w:val="00590B02"/>
    <w:rsid w:val="00590B92"/>
    <w:rsid w:val="00590C8F"/>
    <w:rsid w:val="00590D74"/>
    <w:rsid w:val="00590E55"/>
    <w:rsid w:val="00590F84"/>
    <w:rsid w:val="00591145"/>
    <w:rsid w:val="005912FE"/>
    <w:rsid w:val="0059177E"/>
    <w:rsid w:val="005919DD"/>
    <w:rsid w:val="00591B72"/>
    <w:rsid w:val="00591B97"/>
    <w:rsid w:val="00591DD8"/>
    <w:rsid w:val="00591E55"/>
    <w:rsid w:val="00592160"/>
    <w:rsid w:val="00592547"/>
    <w:rsid w:val="00592673"/>
    <w:rsid w:val="00592D32"/>
    <w:rsid w:val="00592F3F"/>
    <w:rsid w:val="00593016"/>
    <w:rsid w:val="0059304F"/>
    <w:rsid w:val="0059318C"/>
    <w:rsid w:val="005932C4"/>
    <w:rsid w:val="005933F6"/>
    <w:rsid w:val="00593452"/>
    <w:rsid w:val="00593473"/>
    <w:rsid w:val="00593651"/>
    <w:rsid w:val="00593A28"/>
    <w:rsid w:val="00593A4B"/>
    <w:rsid w:val="00593C10"/>
    <w:rsid w:val="00593C28"/>
    <w:rsid w:val="00594096"/>
    <w:rsid w:val="00594133"/>
    <w:rsid w:val="005944A5"/>
    <w:rsid w:val="005946B8"/>
    <w:rsid w:val="005948B3"/>
    <w:rsid w:val="00594915"/>
    <w:rsid w:val="005949BA"/>
    <w:rsid w:val="00594A1C"/>
    <w:rsid w:val="00594DDE"/>
    <w:rsid w:val="00594E26"/>
    <w:rsid w:val="005952BE"/>
    <w:rsid w:val="005953EB"/>
    <w:rsid w:val="00595534"/>
    <w:rsid w:val="00595961"/>
    <w:rsid w:val="00595B59"/>
    <w:rsid w:val="00595C09"/>
    <w:rsid w:val="00595C71"/>
    <w:rsid w:val="0059613F"/>
    <w:rsid w:val="0059641C"/>
    <w:rsid w:val="00596516"/>
    <w:rsid w:val="00596712"/>
    <w:rsid w:val="00596AE6"/>
    <w:rsid w:val="00596CEB"/>
    <w:rsid w:val="00596CFC"/>
    <w:rsid w:val="00596E4C"/>
    <w:rsid w:val="00596E6B"/>
    <w:rsid w:val="00596F52"/>
    <w:rsid w:val="005973A4"/>
    <w:rsid w:val="0059747E"/>
    <w:rsid w:val="005974B3"/>
    <w:rsid w:val="00597A42"/>
    <w:rsid w:val="00597ACE"/>
    <w:rsid w:val="00597B7E"/>
    <w:rsid w:val="00597C48"/>
    <w:rsid w:val="005A0141"/>
    <w:rsid w:val="005A01AB"/>
    <w:rsid w:val="005A02B6"/>
    <w:rsid w:val="005A0C36"/>
    <w:rsid w:val="005A0FF3"/>
    <w:rsid w:val="005A1018"/>
    <w:rsid w:val="005A1216"/>
    <w:rsid w:val="005A14CC"/>
    <w:rsid w:val="005A158D"/>
    <w:rsid w:val="005A159F"/>
    <w:rsid w:val="005A190F"/>
    <w:rsid w:val="005A19BC"/>
    <w:rsid w:val="005A1D27"/>
    <w:rsid w:val="005A1DA5"/>
    <w:rsid w:val="005A2066"/>
    <w:rsid w:val="005A228A"/>
    <w:rsid w:val="005A2610"/>
    <w:rsid w:val="005A29EE"/>
    <w:rsid w:val="005A2B8A"/>
    <w:rsid w:val="005A2E9E"/>
    <w:rsid w:val="005A30F5"/>
    <w:rsid w:val="005A3205"/>
    <w:rsid w:val="005A33B9"/>
    <w:rsid w:val="005A34F9"/>
    <w:rsid w:val="005A36A6"/>
    <w:rsid w:val="005A371B"/>
    <w:rsid w:val="005A37D3"/>
    <w:rsid w:val="005A3A30"/>
    <w:rsid w:val="005A3AE6"/>
    <w:rsid w:val="005A3C06"/>
    <w:rsid w:val="005A3C4C"/>
    <w:rsid w:val="005A3D49"/>
    <w:rsid w:val="005A3F94"/>
    <w:rsid w:val="005A4032"/>
    <w:rsid w:val="005A4055"/>
    <w:rsid w:val="005A42C5"/>
    <w:rsid w:val="005A46C7"/>
    <w:rsid w:val="005A48C2"/>
    <w:rsid w:val="005A4D08"/>
    <w:rsid w:val="005A4D13"/>
    <w:rsid w:val="005A4D45"/>
    <w:rsid w:val="005A4DFC"/>
    <w:rsid w:val="005A4FA5"/>
    <w:rsid w:val="005A526B"/>
    <w:rsid w:val="005A5384"/>
    <w:rsid w:val="005A558B"/>
    <w:rsid w:val="005A59EB"/>
    <w:rsid w:val="005A5C0F"/>
    <w:rsid w:val="005A5E14"/>
    <w:rsid w:val="005A5E45"/>
    <w:rsid w:val="005A6243"/>
    <w:rsid w:val="005A62CF"/>
    <w:rsid w:val="005A634D"/>
    <w:rsid w:val="005A6530"/>
    <w:rsid w:val="005A65D6"/>
    <w:rsid w:val="005A695B"/>
    <w:rsid w:val="005A6A75"/>
    <w:rsid w:val="005A6B53"/>
    <w:rsid w:val="005A6C3A"/>
    <w:rsid w:val="005A6D54"/>
    <w:rsid w:val="005A6DB0"/>
    <w:rsid w:val="005A6F30"/>
    <w:rsid w:val="005A70A5"/>
    <w:rsid w:val="005A72E9"/>
    <w:rsid w:val="005A743B"/>
    <w:rsid w:val="005A76DD"/>
    <w:rsid w:val="005A7B65"/>
    <w:rsid w:val="005A7C1A"/>
    <w:rsid w:val="005A7C8E"/>
    <w:rsid w:val="005A7CCC"/>
    <w:rsid w:val="005A7D5E"/>
    <w:rsid w:val="005A7E72"/>
    <w:rsid w:val="005A7F19"/>
    <w:rsid w:val="005B01ED"/>
    <w:rsid w:val="005B0250"/>
    <w:rsid w:val="005B07CA"/>
    <w:rsid w:val="005B07E7"/>
    <w:rsid w:val="005B0985"/>
    <w:rsid w:val="005B0A39"/>
    <w:rsid w:val="005B0ACF"/>
    <w:rsid w:val="005B0CD9"/>
    <w:rsid w:val="005B0D7F"/>
    <w:rsid w:val="005B0DE5"/>
    <w:rsid w:val="005B1024"/>
    <w:rsid w:val="005B1173"/>
    <w:rsid w:val="005B13DB"/>
    <w:rsid w:val="005B1455"/>
    <w:rsid w:val="005B1619"/>
    <w:rsid w:val="005B1829"/>
    <w:rsid w:val="005B182B"/>
    <w:rsid w:val="005B184D"/>
    <w:rsid w:val="005B1A7D"/>
    <w:rsid w:val="005B1AEA"/>
    <w:rsid w:val="005B1BAE"/>
    <w:rsid w:val="005B1C06"/>
    <w:rsid w:val="005B1FCA"/>
    <w:rsid w:val="005B2395"/>
    <w:rsid w:val="005B2649"/>
    <w:rsid w:val="005B26A9"/>
    <w:rsid w:val="005B274C"/>
    <w:rsid w:val="005B2B18"/>
    <w:rsid w:val="005B2D5D"/>
    <w:rsid w:val="005B2F8C"/>
    <w:rsid w:val="005B2FBF"/>
    <w:rsid w:val="005B3004"/>
    <w:rsid w:val="005B3317"/>
    <w:rsid w:val="005B3766"/>
    <w:rsid w:val="005B390B"/>
    <w:rsid w:val="005B39C1"/>
    <w:rsid w:val="005B3A55"/>
    <w:rsid w:val="005B3DE9"/>
    <w:rsid w:val="005B3FD9"/>
    <w:rsid w:val="005B414B"/>
    <w:rsid w:val="005B41E6"/>
    <w:rsid w:val="005B4359"/>
    <w:rsid w:val="005B4411"/>
    <w:rsid w:val="005B460B"/>
    <w:rsid w:val="005B462B"/>
    <w:rsid w:val="005B46F3"/>
    <w:rsid w:val="005B46FA"/>
    <w:rsid w:val="005B47BD"/>
    <w:rsid w:val="005B4A43"/>
    <w:rsid w:val="005B4B1F"/>
    <w:rsid w:val="005B4B22"/>
    <w:rsid w:val="005B4D94"/>
    <w:rsid w:val="005B4FC4"/>
    <w:rsid w:val="005B51A2"/>
    <w:rsid w:val="005B56E4"/>
    <w:rsid w:val="005B57EE"/>
    <w:rsid w:val="005B57F3"/>
    <w:rsid w:val="005B587D"/>
    <w:rsid w:val="005B58FD"/>
    <w:rsid w:val="005B5CBC"/>
    <w:rsid w:val="005B5E01"/>
    <w:rsid w:val="005B5F0D"/>
    <w:rsid w:val="005B5F48"/>
    <w:rsid w:val="005B6149"/>
    <w:rsid w:val="005B61FC"/>
    <w:rsid w:val="005B6376"/>
    <w:rsid w:val="005B6734"/>
    <w:rsid w:val="005B6CFD"/>
    <w:rsid w:val="005B6D4C"/>
    <w:rsid w:val="005B73B0"/>
    <w:rsid w:val="005B73CA"/>
    <w:rsid w:val="005B76BA"/>
    <w:rsid w:val="005B78CB"/>
    <w:rsid w:val="005B79F8"/>
    <w:rsid w:val="005B7A18"/>
    <w:rsid w:val="005B7A91"/>
    <w:rsid w:val="005B7A98"/>
    <w:rsid w:val="005B7FB0"/>
    <w:rsid w:val="005C004B"/>
    <w:rsid w:val="005C00E5"/>
    <w:rsid w:val="005C0C22"/>
    <w:rsid w:val="005C0C77"/>
    <w:rsid w:val="005C0CB3"/>
    <w:rsid w:val="005C0DFC"/>
    <w:rsid w:val="005C0F63"/>
    <w:rsid w:val="005C103F"/>
    <w:rsid w:val="005C11A0"/>
    <w:rsid w:val="005C1579"/>
    <w:rsid w:val="005C17BA"/>
    <w:rsid w:val="005C1903"/>
    <w:rsid w:val="005C193A"/>
    <w:rsid w:val="005C1997"/>
    <w:rsid w:val="005C19BE"/>
    <w:rsid w:val="005C19DE"/>
    <w:rsid w:val="005C1A3F"/>
    <w:rsid w:val="005C1A88"/>
    <w:rsid w:val="005C1B52"/>
    <w:rsid w:val="005C1B69"/>
    <w:rsid w:val="005C1BDD"/>
    <w:rsid w:val="005C1C62"/>
    <w:rsid w:val="005C1DA8"/>
    <w:rsid w:val="005C1F93"/>
    <w:rsid w:val="005C2036"/>
    <w:rsid w:val="005C23DA"/>
    <w:rsid w:val="005C2413"/>
    <w:rsid w:val="005C294D"/>
    <w:rsid w:val="005C2B52"/>
    <w:rsid w:val="005C2C07"/>
    <w:rsid w:val="005C2C45"/>
    <w:rsid w:val="005C2D7E"/>
    <w:rsid w:val="005C2DF3"/>
    <w:rsid w:val="005C2EA7"/>
    <w:rsid w:val="005C3254"/>
    <w:rsid w:val="005C339F"/>
    <w:rsid w:val="005C33B7"/>
    <w:rsid w:val="005C36C4"/>
    <w:rsid w:val="005C36FC"/>
    <w:rsid w:val="005C374C"/>
    <w:rsid w:val="005C3FC8"/>
    <w:rsid w:val="005C4047"/>
    <w:rsid w:val="005C4268"/>
    <w:rsid w:val="005C42F1"/>
    <w:rsid w:val="005C4427"/>
    <w:rsid w:val="005C497F"/>
    <w:rsid w:val="005C49A1"/>
    <w:rsid w:val="005C4A77"/>
    <w:rsid w:val="005C4AB0"/>
    <w:rsid w:val="005C4D25"/>
    <w:rsid w:val="005C4DC1"/>
    <w:rsid w:val="005C4E7B"/>
    <w:rsid w:val="005C4EDD"/>
    <w:rsid w:val="005C501C"/>
    <w:rsid w:val="005C5123"/>
    <w:rsid w:val="005C5265"/>
    <w:rsid w:val="005C5306"/>
    <w:rsid w:val="005C558C"/>
    <w:rsid w:val="005C5592"/>
    <w:rsid w:val="005C563D"/>
    <w:rsid w:val="005C5876"/>
    <w:rsid w:val="005C5924"/>
    <w:rsid w:val="005C5AE5"/>
    <w:rsid w:val="005C5BCD"/>
    <w:rsid w:val="005C5C1A"/>
    <w:rsid w:val="005C5C9C"/>
    <w:rsid w:val="005C5CAA"/>
    <w:rsid w:val="005C636E"/>
    <w:rsid w:val="005C642D"/>
    <w:rsid w:val="005C68CD"/>
    <w:rsid w:val="005C6CAE"/>
    <w:rsid w:val="005C6F4C"/>
    <w:rsid w:val="005C6F71"/>
    <w:rsid w:val="005C7046"/>
    <w:rsid w:val="005C731D"/>
    <w:rsid w:val="005C73A6"/>
    <w:rsid w:val="005C77E3"/>
    <w:rsid w:val="005C79C4"/>
    <w:rsid w:val="005C7D81"/>
    <w:rsid w:val="005C7FEB"/>
    <w:rsid w:val="005D0388"/>
    <w:rsid w:val="005D03FB"/>
    <w:rsid w:val="005D0500"/>
    <w:rsid w:val="005D05C0"/>
    <w:rsid w:val="005D06AD"/>
    <w:rsid w:val="005D0B17"/>
    <w:rsid w:val="005D0B62"/>
    <w:rsid w:val="005D0C0E"/>
    <w:rsid w:val="005D0E9D"/>
    <w:rsid w:val="005D0F81"/>
    <w:rsid w:val="005D1640"/>
    <w:rsid w:val="005D1916"/>
    <w:rsid w:val="005D1A13"/>
    <w:rsid w:val="005D1D44"/>
    <w:rsid w:val="005D1EB1"/>
    <w:rsid w:val="005D202E"/>
    <w:rsid w:val="005D22E3"/>
    <w:rsid w:val="005D2421"/>
    <w:rsid w:val="005D283E"/>
    <w:rsid w:val="005D2865"/>
    <w:rsid w:val="005D2A93"/>
    <w:rsid w:val="005D2BAD"/>
    <w:rsid w:val="005D2D38"/>
    <w:rsid w:val="005D2F48"/>
    <w:rsid w:val="005D3353"/>
    <w:rsid w:val="005D35EB"/>
    <w:rsid w:val="005D38FB"/>
    <w:rsid w:val="005D3A62"/>
    <w:rsid w:val="005D3E51"/>
    <w:rsid w:val="005D3EBC"/>
    <w:rsid w:val="005D41C8"/>
    <w:rsid w:val="005D4335"/>
    <w:rsid w:val="005D4440"/>
    <w:rsid w:val="005D4636"/>
    <w:rsid w:val="005D46F6"/>
    <w:rsid w:val="005D4712"/>
    <w:rsid w:val="005D4B94"/>
    <w:rsid w:val="005D5184"/>
    <w:rsid w:val="005D5417"/>
    <w:rsid w:val="005D5421"/>
    <w:rsid w:val="005D560E"/>
    <w:rsid w:val="005D585A"/>
    <w:rsid w:val="005D587C"/>
    <w:rsid w:val="005D5887"/>
    <w:rsid w:val="005D5A03"/>
    <w:rsid w:val="005D5DB2"/>
    <w:rsid w:val="005D5E0D"/>
    <w:rsid w:val="005D6070"/>
    <w:rsid w:val="005D6086"/>
    <w:rsid w:val="005D61C5"/>
    <w:rsid w:val="005D6304"/>
    <w:rsid w:val="005D6333"/>
    <w:rsid w:val="005D6568"/>
    <w:rsid w:val="005D65BB"/>
    <w:rsid w:val="005D69A8"/>
    <w:rsid w:val="005D6A35"/>
    <w:rsid w:val="005D6B4A"/>
    <w:rsid w:val="005D6CF4"/>
    <w:rsid w:val="005D6D70"/>
    <w:rsid w:val="005D6E24"/>
    <w:rsid w:val="005D6F2A"/>
    <w:rsid w:val="005D7068"/>
    <w:rsid w:val="005D75C9"/>
    <w:rsid w:val="005D7986"/>
    <w:rsid w:val="005D7BB2"/>
    <w:rsid w:val="005D7ED7"/>
    <w:rsid w:val="005D7F78"/>
    <w:rsid w:val="005E0031"/>
    <w:rsid w:val="005E026B"/>
    <w:rsid w:val="005E0CF4"/>
    <w:rsid w:val="005E0F8E"/>
    <w:rsid w:val="005E1021"/>
    <w:rsid w:val="005E1204"/>
    <w:rsid w:val="005E13E4"/>
    <w:rsid w:val="005E15A0"/>
    <w:rsid w:val="005E1614"/>
    <w:rsid w:val="005E18A1"/>
    <w:rsid w:val="005E1C0F"/>
    <w:rsid w:val="005E1E41"/>
    <w:rsid w:val="005E1E76"/>
    <w:rsid w:val="005E1F0B"/>
    <w:rsid w:val="005E2026"/>
    <w:rsid w:val="005E26A8"/>
    <w:rsid w:val="005E274F"/>
    <w:rsid w:val="005E2812"/>
    <w:rsid w:val="005E2824"/>
    <w:rsid w:val="005E283D"/>
    <w:rsid w:val="005E3143"/>
    <w:rsid w:val="005E3439"/>
    <w:rsid w:val="005E352C"/>
    <w:rsid w:val="005E3A3C"/>
    <w:rsid w:val="005E3AAF"/>
    <w:rsid w:val="005E3B4F"/>
    <w:rsid w:val="005E3B58"/>
    <w:rsid w:val="005E3B87"/>
    <w:rsid w:val="005E3C7E"/>
    <w:rsid w:val="005E3EFB"/>
    <w:rsid w:val="005E3F78"/>
    <w:rsid w:val="005E3F86"/>
    <w:rsid w:val="005E3FB6"/>
    <w:rsid w:val="005E40AC"/>
    <w:rsid w:val="005E4A2B"/>
    <w:rsid w:val="005E4E74"/>
    <w:rsid w:val="005E513C"/>
    <w:rsid w:val="005E522E"/>
    <w:rsid w:val="005E5248"/>
    <w:rsid w:val="005E5267"/>
    <w:rsid w:val="005E532F"/>
    <w:rsid w:val="005E5419"/>
    <w:rsid w:val="005E548A"/>
    <w:rsid w:val="005E5560"/>
    <w:rsid w:val="005E5565"/>
    <w:rsid w:val="005E560B"/>
    <w:rsid w:val="005E59D6"/>
    <w:rsid w:val="005E5C0F"/>
    <w:rsid w:val="005E5C62"/>
    <w:rsid w:val="005E5EB1"/>
    <w:rsid w:val="005E5FA4"/>
    <w:rsid w:val="005E6027"/>
    <w:rsid w:val="005E6087"/>
    <w:rsid w:val="005E60D5"/>
    <w:rsid w:val="005E6152"/>
    <w:rsid w:val="005E658D"/>
    <w:rsid w:val="005E6612"/>
    <w:rsid w:val="005E6650"/>
    <w:rsid w:val="005E6B82"/>
    <w:rsid w:val="005E6C89"/>
    <w:rsid w:val="005E6DD2"/>
    <w:rsid w:val="005E7037"/>
    <w:rsid w:val="005E70DE"/>
    <w:rsid w:val="005E71C8"/>
    <w:rsid w:val="005E71D6"/>
    <w:rsid w:val="005E7234"/>
    <w:rsid w:val="005E725F"/>
    <w:rsid w:val="005E739A"/>
    <w:rsid w:val="005E73DB"/>
    <w:rsid w:val="005E7483"/>
    <w:rsid w:val="005E7799"/>
    <w:rsid w:val="005E7848"/>
    <w:rsid w:val="005E7A43"/>
    <w:rsid w:val="005E7ABA"/>
    <w:rsid w:val="005E7B68"/>
    <w:rsid w:val="005E7C0A"/>
    <w:rsid w:val="005E7CC8"/>
    <w:rsid w:val="005E7F0D"/>
    <w:rsid w:val="005EADA0"/>
    <w:rsid w:val="005F0057"/>
    <w:rsid w:val="005F00ED"/>
    <w:rsid w:val="005F020C"/>
    <w:rsid w:val="005F0221"/>
    <w:rsid w:val="005F02E7"/>
    <w:rsid w:val="005F043E"/>
    <w:rsid w:val="005F0464"/>
    <w:rsid w:val="005F0478"/>
    <w:rsid w:val="005F059A"/>
    <w:rsid w:val="005F0732"/>
    <w:rsid w:val="005F09B2"/>
    <w:rsid w:val="005F0A07"/>
    <w:rsid w:val="005F0E94"/>
    <w:rsid w:val="005F0EED"/>
    <w:rsid w:val="005F11A9"/>
    <w:rsid w:val="005F12EA"/>
    <w:rsid w:val="005F1359"/>
    <w:rsid w:val="005F1637"/>
    <w:rsid w:val="005F1762"/>
    <w:rsid w:val="005F18A1"/>
    <w:rsid w:val="005F1912"/>
    <w:rsid w:val="005F196D"/>
    <w:rsid w:val="005F1AEB"/>
    <w:rsid w:val="005F1DBD"/>
    <w:rsid w:val="005F1F6D"/>
    <w:rsid w:val="005F22F6"/>
    <w:rsid w:val="005F2407"/>
    <w:rsid w:val="005F250D"/>
    <w:rsid w:val="005F2796"/>
    <w:rsid w:val="005F293F"/>
    <w:rsid w:val="005F2A9C"/>
    <w:rsid w:val="005F2AA7"/>
    <w:rsid w:val="005F2FF0"/>
    <w:rsid w:val="005F304B"/>
    <w:rsid w:val="005F33B8"/>
    <w:rsid w:val="005F382C"/>
    <w:rsid w:val="005F388D"/>
    <w:rsid w:val="005F3B2B"/>
    <w:rsid w:val="005F3CC0"/>
    <w:rsid w:val="005F3E29"/>
    <w:rsid w:val="005F3ECC"/>
    <w:rsid w:val="005F3EFD"/>
    <w:rsid w:val="005F4050"/>
    <w:rsid w:val="005F40CF"/>
    <w:rsid w:val="005F4216"/>
    <w:rsid w:val="005F45FD"/>
    <w:rsid w:val="005F4622"/>
    <w:rsid w:val="005F4718"/>
    <w:rsid w:val="005F4B2F"/>
    <w:rsid w:val="005F4C38"/>
    <w:rsid w:val="005F4C65"/>
    <w:rsid w:val="005F4D02"/>
    <w:rsid w:val="005F4ED5"/>
    <w:rsid w:val="005F4F90"/>
    <w:rsid w:val="005F5480"/>
    <w:rsid w:val="005F564D"/>
    <w:rsid w:val="005F5894"/>
    <w:rsid w:val="005F5B35"/>
    <w:rsid w:val="005F5DE8"/>
    <w:rsid w:val="005F601E"/>
    <w:rsid w:val="005F670D"/>
    <w:rsid w:val="005F68E3"/>
    <w:rsid w:val="005F6952"/>
    <w:rsid w:val="005F6A28"/>
    <w:rsid w:val="005F6B9B"/>
    <w:rsid w:val="005F6C43"/>
    <w:rsid w:val="005F6F1B"/>
    <w:rsid w:val="005F6F21"/>
    <w:rsid w:val="005F722F"/>
    <w:rsid w:val="005F734A"/>
    <w:rsid w:val="005F748B"/>
    <w:rsid w:val="005F75E2"/>
    <w:rsid w:val="005F76F5"/>
    <w:rsid w:val="005F79F2"/>
    <w:rsid w:val="005F7B0B"/>
    <w:rsid w:val="005F7D8B"/>
    <w:rsid w:val="005F7D9F"/>
    <w:rsid w:val="005F7F7A"/>
    <w:rsid w:val="00600262"/>
    <w:rsid w:val="006002E0"/>
    <w:rsid w:val="0060051D"/>
    <w:rsid w:val="006006C1"/>
    <w:rsid w:val="00600825"/>
    <w:rsid w:val="00600BE3"/>
    <w:rsid w:val="00600D48"/>
    <w:rsid w:val="00600E3F"/>
    <w:rsid w:val="006010B4"/>
    <w:rsid w:val="006010BC"/>
    <w:rsid w:val="0060138F"/>
    <w:rsid w:val="00601578"/>
    <w:rsid w:val="00601608"/>
    <w:rsid w:val="00601787"/>
    <w:rsid w:val="00601B60"/>
    <w:rsid w:val="00601B74"/>
    <w:rsid w:val="00601CB9"/>
    <w:rsid w:val="00602066"/>
    <w:rsid w:val="00603561"/>
    <w:rsid w:val="0060359A"/>
    <w:rsid w:val="006037D3"/>
    <w:rsid w:val="0060387C"/>
    <w:rsid w:val="006038D3"/>
    <w:rsid w:val="0060399A"/>
    <w:rsid w:val="00603AA5"/>
    <w:rsid w:val="00603AD8"/>
    <w:rsid w:val="00603BD8"/>
    <w:rsid w:val="00603C6F"/>
    <w:rsid w:val="0060419C"/>
    <w:rsid w:val="0060424F"/>
    <w:rsid w:val="006042E9"/>
    <w:rsid w:val="006044B5"/>
    <w:rsid w:val="006047FC"/>
    <w:rsid w:val="00604C3A"/>
    <w:rsid w:val="00604C72"/>
    <w:rsid w:val="00604C89"/>
    <w:rsid w:val="006051D3"/>
    <w:rsid w:val="006052F6"/>
    <w:rsid w:val="0060534E"/>
    <w:rsid w:val="0060554A"/>
    <w:rsid w:val="00605573"/>
    <w:rsid w:val="006056FE"/>
    <w:rsid w:val="0060598C"/>
    <w:rsid w:val="00605C8D"/>
    <w:rsid w:val="00605DCA"/>
    <w:rsid w:val="00606071"/>
    <w:rsid w:val="006062BC"/>
    <w:rsid w:val="006064C7"/>
    <w:rsid w:val="006066CE"/>
    <w:rsid w:val="006067AF"/>
    <w:rsid w:val="006067CA"/>
    <w:rsid w:val="006067E3"/>
    <w:rsid w:val="00606C38"/>
    <w:rsid w:val="006070A7"/>
    <w:rsid w:val="00607477"/>
    <w:rsid w:val="00607AA7"/>
    <w:rsid w:val="00607C84"/>
    <w:rsid w:val="00607D38"/>
    <w:rsid w:val="00607E84"/>
    <w:rsid w:val="00610123"/>
    <w:rsid w:val="006101D4"/>
    <w:rsid w:val="00610361"/>
    <w:rsid w:val="00610C37"/>
    <w:rsid w:val="00610CD2"/>
    <w:rsid w:val="00611000"/>
    <w:rsid w:val="0061111B"/>
    <w:rsid w:val="006114D4"/>
    <w:rsid w:val="00611758"/>
    <w:rsid w:val="00611816"/>
    <w:rsid w:val="00611A38"/>
    <w:rsid w:val="00611BEB"/>
    <w:rsid w:val="00611C10"/>
    <w:rsid w:val="00611FB9"/>
    <w:rsid w:val="00612077"/>
    <w:rsid w:val="006120C9"/>
    <w:rsid w:val="0061230A"/>
    <w:rsid w:val="00612338"/>
    <w:rsid w:val="00612605"/>
    <w:rsid w:val="006126DD"/>
    <w:rsid w:val="006126E5"/>
    <w:rsid w:val="00612737"/>
    <w:rsid w:val="006128B8"/>
    <w:rsid w:val="006128D3"/>
    <w:rsid w:val="00612995"/>
    <w:rsid w:val="00612BF6"/>
    <w:rsid w:val="00612E40"/>
    <w:rsid w:val="0061300D"/>
    <w:rsid w:val="00613167"/>
    <w:rsid w:val="006132CE"/>
    <w:rsid w:val="00613480"/>
    <w:rsid w:val="00613505"/>
    <w:rsid w:val="0061356B"/>
    <w:rsid w:val="00613759"/>
    <w:rsid w:val="00613B0A"/>
    <w:rsid w:val="00613B5D"/>
    <w:rsid w:val="00613C8C"/>
    <w:rsid w:val="00613CCF"/>
    <w:rsid w:val="00613D32"/>
    <w:rsid w:val="00613E72"/>
    <w:rsid w:val="00613F86"/>
    <w:rsid w:val="00613FC0"/>
    <w:rsid w:val="00613FF8"/>
    <w:rsid w:val="006141E9"/>
    <w:rsid w:val="006144F6"/>
    <w:rsid w:val="006145AF"/>
    <w:rsid w:val="00614727"/>
    <w:rsid w:val="0061488D"/>
    <w:rsid w:val="0061493C"/>
    <w:rsid w:val="006149E8"/>
    <w:rsid w:val="00614A64"/>
    <w:rsid w:val="00614CF9"/>
    <w:rsid w:val="00614E7E"/>
    <w:rsid w:val="00614E93"/>
    <w:rsid w:val="00614EDB"/>
    <w:rsid w:val="006150DD"/>
    <w:rsid w:val="006154E5"/>
    <w:rsid w:val="0061559B"/>
    <w:rsid w:val="00615859"/>
    <w:rsid w:val="0061592C"/>
    <w:rsid w:val="00615937"/>
    <w:rsid w:val="00615B81"/>
    <w:rsid w:val="00615BA6"/>
    <w:rsid w:val="00615D72"/>
    <w:rsid w:val="00615EA0"/>
    <w:rsid w:val="0061610F"/>
    <w:rsid w:val="00616208"/>
    <w:rsid w:val="00616304"/>
    <w:rsid w:val="0061649F"/>
    <w:rsid w:val="006164D5"/>
    <w:rsid w:val="006166CD"/>
    <w:rsid w:val="0061675B"/>
    <w:rsid w:val="00616D13"/>
    <w:rsid w:val="00616F98"/>
    <w:rsid w:val="006171D7"/>
    <w:rsid w:val="0061742E"/>
    <w:rsid w:val="00617462"/>
    <w:rsid w:val="00617826"/>
    <w:rsid w:val="00617D2C"/>
    <w:rsid w:val="00617F19"/>
    <w:rsid w:val="00617F1F"/>
    <w:rsid w:val="00617F3C"/>
    <w:rsid w:val="00620456"/>
    <w:rsid w:val="0062058F"/>
    <w:rsid w:val="0062082E"/>
    <w:rsid w:val="00620DA9"/>
    <w:rsid w:val="006211F7"/>
    <w:rsid w:val="0062135B"/>
    <w:rsid w:val="006214E5"/>
    <w:rsid w:val="00621BAC"/>
    <w:rsid w:val="00621C37"/>
    <w:rsid w:val="00621EA0"/>
    <w:rsid w:val="00621FA0"/>
    <w:rsid w:val="006220A4"/>
    <w:rsid w:val="006221A8"/>
    <w:rsid w:val="0062236D"/>
    <w:rsid w:val="0062261E"/>
    <w:rsid w:val="0062262B"/>
    <w:rsid w:val="0062291D"/>
    <w:rsid w:val="00622DE5"/>
    <w:rsid w:val="00622E5D"/>
    <w:rsid w:val="00622F5A"/>
    <w:rsid w:val="00622FD3"/>
    <w:rsid w:val="00623121"/>
    <w:rsid w:val="00623205"/>
    <w:rsid w:val="0062337F"/>
    <w:rsid w:val="00623789"/>
    <w:rsid w:val="0062380E"/>
    <w:rsid w:val="0062391F"/>
    <w:rsid w:val="0062398D"/>
    <w:rsid w:val="00623A3D"/>
    <w:rsid w:val="00623C2D"/>
    <w:rsid w:val="00623C50"/>
    <w:rsid w:val="00623C8A"/>
    <w:rsid w:val="00623CF4"/>
    <w:rsid w:val="00623EA7"/>
    <w:rsid w:val="00623F02"/>
    <w:rsid w:val="00624004"/>
    <w:rsid w:val="0062409A"/>
    <w:rsid w:val="00624264"/>
    <w:rsid w:val="0062427C"/>
    <w:rsid w:val="006242F6"/>
    <w:rsid w:val="006243C4"/>
    <w:rsid w:val="0062443D"/>
    <w:rsid w:val="0062456A"/>
    <w:rsid w:val="00624774"/>
    <w:rsid w:val="00624829"/>
    <w:rsid w:val="006248FA"/>
    <w:rsid w:val="00624CAE"/>
    <w:rsid w:val="00624D8C"/>
    <w:rsid w:val="00624F76"/>
    <w:rsid w:val="00625067"/>
    <w:rsid w:val="00625170"/>
    <w:rsid w:val="00625592"/>
    <w:rsid w:val="006256AA"/>
    <w:rsid w:val="0062595A"/>
    <w:rsid w:val="00625B37"/>
    <w:rsid w:val="00625DBE"/>
    <w:rsid w:val="0062614F"/>
    <w:rsid w:val="006262EA"/>
    <w:rsid w:val="00626466"/>
    <w:rsid w:val="006264C7"/>
    <w:rsid w:val="006265B0"/>
    <w:rsid w:val="00626665"/>
    <w:rsid w:val="00626857"/>
    <w:rsid w:val="006268ED"/>
    <w:rsid w:val="00626A48"/>
    <w:rsid w:val="00626A7F"/>
    <w:rsid w:val="00626C80"/>
    <w:rsid w:val="006270A9"/>
    <w:rsid w:val="006270C7"/>
    <w:rsid w:val="00627141"/>
    <w:rsid w:val="0062747C"/>
    <w:rsid w:val="0062765A"/>
    <w:rsid w:val="00627849"/>
    <w:rsid w:val="0062789C"/>
    <w:rsid w:val="00627947"/>
    <w:rsid w:val="006279CF"/>
    <w:rsid w:val="00627A00"/>
    <w:rsid w:val="00627D82"/>
    <w:rsid w:val="00627DE1"/>
    <w:rsid w:val="00627DF9"/>
    <w:rsid w:val="00627E64"/>
    <w:rsid w:val="00630441"/>
    <w:rsid w:val="00630503"/>
    <w:rsid w:val="006307E8"/>
    <w:rsid w:val="00630955"/>
    <w:rsid w:val="006309BE"/>
    <w:rsid w:val="00630BA6"/>
    <w:rsid w:val="00630C11"/>
    <w:rsid w:val="00630D46"/>
    <w:rsid w:val="00630DFA"/>
    <w:rsid w:val="00630E77"/>
    <w:rsid w:val="00630FA5"/>
    <w:rsid w:val="00630FF8"/>
    <w:rsid w:val="0063116E"/>
    <w:rsid w:val="006311EA"/>
    <w:rsid w:val="0063122A"/>
    <w:rsid w:val="0063152F"/>
    <w:rsid w:val="00631539"/>
    <w:rsid w:val="006317AC"/>
    <w:rsid w:val="0063199F"/>
    <w:rsid w:val="00631BB1"/>
    <w:rsid w:val="00631BEB"/>
    <w:rsid w:val="00631C6F"/>
    <w:rsid w:val="00632124"/>
    <w:rsid w:val="0063222A"/>
    <w:rsid w:val="00632354"/>
    <w:rsid w:val="006323AA"/>
    <w:rsid w:val="006323EB"/>
    <w:rsid w:val="006325EB"/>
    <w:rsid w:val="00632785"/>
    <w:rsid w:val="0063282B"/>
    <w:rsid w:val="00632AAE"/>
    <w:rsid w:val="00632C03"/>
    <w:rsid w:val="00632DB7"/>
    <w:rsid w:val="00632E81"/>
    <w:rsid w:val="00632EA6"/>
    <w:rsid w:val="00632EDD"/>
    <w:rsid w:val="006332CD"/>
    <w:rsid w:val="0063332C"/>
    <w:rsid w:val="006336EB"/>
    <w:rsid w:val="006339DB"/>
    <w:rsid w:val="006339F0"/>
    <w:rsid w:val="006339F7"/>
    <w:rsid w:val="00633EB3"/>
    <w:rsid w:val="00633F86"/>
    <w:rsid w:val="0063438C"/>
    <w:rsid w:val="006344F8"/>
    <w:rsid w:val="00634512"/>
    <w:rsid w:val="0063457D"/>
    <w:rsid w:val="006349C5"/>
    <w:rsid w:val="00634A54"/>
    <w:rsid w:val="00634B13"/>
    <w:rsid w:val="00635021"/>
    <w:rsid w:val="006354FB"/>
    <w:rsid w:val="006355D1"/>
    <w:rsid w:val="0063562C"/>
    <w:rsid w:val="0063574A"/>
    <w:rsid w:val="00635858"/>
    <w:rsid w:val="00635A3C"/>
    <w:rsid w:val="00635A59"/>
    <w:rsid w:val="00635AC1"/>
    <w:rsid w:val="00635BF9"/>
    <w:rsid w:val="00635C4A"/>
    <w:rsid w:val="00635FFD"/>
    <w:rsid w:val="00636177"/>
    <w:rsid w:val="00636203"/>
    <w:rsid w:val="006362D1"/>
    <w:rsid w:val="00636397"/>
    <w:rsid w:val="0063659C"/>
    <w:rsid w:val="00636655"/>
    <w:rsid w:val="006368E3"/>
    <w:rsid w:val="00636A89"/>
    <w:rsid w:val="00636B21"/>
    <w:rsid w:val="00636DB7"/>
    <w:rsid w:val="00636EF1"/>
    <w:rsid w:val="0063707D"/>
    <w:rsid w:val="006370B4"/>
    <w:rsid w:val="006374DB"/>
    <w:rsid w:val="00637AEE"/>
    <w:rsid w:val="00637B43"/>
    <w:rsid w:val="00637D0C"/>
    <w:rsid w:val="00637E90"/>
    <w:rsid w:val="00637F3D"/>
    <w:rsid w:val="00637F84"/>
    <w:rsid w:val="00640766"/>
    <w:rsid w:val="00640DEE"/>
    <w:rsid w:val="00640E3F"/>
    <w:rsid w:val="00640F07"/>
    <w:rsid w:val="0064143B"/>
    <w:rsid w:val="00641493"/>
    <w:rsid w:val="00641498"/>
    <w:rsid w:val="0064150B"/>
    <w:rsid w:val="00641687"/>
    <w:rsid w:val="00641A81"/>
    <w:rsid w:val="00641D80"/>
    <w:rsid w:val="00641FA7"/>
    <w:rsid w:val="00641FF3"/>
    <w:rsid w:val="006423E1"/>
    <w:rsid w:val="006426B8"/>
    <w:rsid w:val="006428F7"/>
    <w:rsid w:val="00642987"/>
    <w:rsid w:val="00642B65"/>
    <w:rsid w:val="00642CBD"/>
    <w:rsid w:val="00642EB8"/>
    <w:rsid w:val="006430B1"/>
    <w:rsid w:val="0064316A"/>
    <w:rsid w:val="0064376D"/>
    <w:rsid w:val="00643A24"/>
    <w:rsid w:val="00643C5F"/>
    <w:rsid w:val="00643D5D"/>
    <w:rsid w:val="00643FC4"/>
    <w:rsid w:val="00644296"/>
    <w:rsid w:val="00644957"/>
    <w:rsid w:val="00644AE0"/>
    <w:rsid w:val="00644B88"/>
    <w:rsid w:val="00644BA8"/>
    <w:rsid w:val="00644F64"/>
    <w:rsid w:val="0064528A"/>
    <w:rsid w:val="006452C6"/>
    <w:rsid w:val="0064541B"/>
    <w:rsid w:val="006456A8"/>
    <w:rsid w:val="0064587A"/>
    <w:rsid w:val="00645D64"/>
    <w:rsid w:val="00645DCB"/>
    <w:rsid w:val="00645E65"/>
    <w:rsid w:val="00645F27"/>
    <w:rsid w:val="00646038"/>
    <w:rsid w:val="006463FA"/>
    <w:rsid w:val="00646493"/>
    <w:rsid w:val="00646ABA"/>
    <w:rsid w:val="00646B2C"/>
    <w:rsid w:val="00646D2C"/>
    <w:rsid w:val="00646D7D"/>
    <w:rsid w:val="00646F1C"/>
    <w:rsid w:val="0064703A"/>
    <w:rsid w:val="00647220"/>
    <w:rsid w:val="006472CA"/>
    <w:rsid w:val="006474BC"/>
    <w:rsid w:val="006475A3"/>
    <w:rsid w:val="00647949"/>
    <w:rsid w:val="006479F4"/>
    <w:rsid w:val="00647AB1"/>
    <w:rsid w:val="00647B1D"/>
    <w:rsid w:val="00647B35"/>
    <w:rsid w:val="00647D3E"/>
    <w:rsid w:val="006501F4"/>
    <w:rsid w:val="00650238"/>
    <w:rsid w:val="006502FE"/>
    <w:rsid w:val="00650307"/>
    <w:rsid w:val="006503C8"/>
    <w:rsid w:val="006503CF"/>
    <w:rsid w:val="00650437"/>
    <w:rsid w:val="006504BF"/>
    <w:rsid w:val="006505F4"/>
    <w:rsid w:val="00650676"/>
    <w:rsid w:val="00650998"/>
    <w:rsid w:val="006509D7"/>
    <w:rsid w:val="00650A44"/>
    <w:rsid w:val="00650AF1"/>
    <w:rsid w:val="006511BD"/>
    <w:rsid w:val="00651491"/>
    <w:rsid w:val="0065150A"/>
    <w:rsid w:val="006517A8"/>
    <w:rsid w:val="00651BC8"/>
    <w:rsid w:val="00651D2B"/>
    <w:rsid w:val="00651F72"/>
    <w:rsid w:val="00652020"/>
    <w:rsid w:val="006520A4"/>
    <w:rsid w:val="0065212E"/>
    <w:rsid w:val="006522CE"/>
    <w:rsid w:val="006522D4"/>
    <w:rsid w:val="00652364"/>
    <w:rsid w:val="0065253B"/>
    <w:rsid w:val="00652567"/>
    <w:rsid w:val="0065260F"/>
    <w:rsid w:val="00652770"/>
    <w:rsid w:val="00652A03"/>
    <w:rsid w:val="00652D56"/>
    <w:rsid w:val="00652F7B"/>
    <w:rsid w:val="00653281"/>
    <w:rsid w:val="00653352"/>
    <w:rsid w:val="006533A1"/>
    <w:rsid w:val="006534FC"/>
    <w:rsid w:val="00653600"/>
    <w:rsid w:val="006536E2"/>
    <w:rsid w:val="00653764"/>
    <w:rsid w:val="00653853"/>
    <w:rsid w:val="00653996"/>
    <w:rsid w:val="006540CB"/>
    <w:rsid w:val="006540DA"/>
    <w:rsid w:val="006544DB"/>
    <w:rsid w:val="00654781"/>
    <w:rsid w:val="00654E8C"/>
    <w:rsid w:val="00654F19"/>
    <w:rsid w:val="00655023"/>
    <w:rsid w:val="006550DB"/>
    <w:rsid w:val="00655703"/>
    <w:rsid w:val="0065576A"/>
    <w:rsid w:val="00655DBD"/>
    <w:rsid w:val="00655ED2"/>
    <w:rsid w:val="00655EEE"/>
    <w:rsid w:val="00655F78"/>
    <w:rsid w:val="0065611D"/>
    <w:rsid w:val="006562A9"/>
    <w:rsid w:val="00656654"/>
    <w:rsid w:val="0065666A"/>
    <w:rsid w:val="006567E9"/>
    <w:rsid w:val="006567EF"/>
    <w:rsid w:val="0065686F"/>
    <w:rsid w:val="00656B86"/>
    <w:rsid w:val="00656D6F"/>
    <w:rsid w:val="00657254"/>
    <w:rsid w:val="006573FF"/>
    <w:rsid w:val="00657544"/>
    <w:rsid w:val="006577CA"/>
    <w:rsid w:val="006577F1"/>
    <w:rsid w:val="00657BFA"/>
    <w:rsid w:val="00657D2C"/>
    <w:rsid w:val="00657D2E"/>
    <w:rsid w:val="00657DD0"/>
    <w:rsid w:val="00657F8B"/>
    <w:rsid w:val="00657FE4"/>
    <w:rsid w:val="006600B6"/>
    <w:rsid w:val="006602AF"/>
    <w:rsid w:val="0066051F"/>
    <w:rsid w:val="006606E1"/>
    <w:rsid w:val="00660745"/>
    <w:rsid w:val="0066074A"/>
    <w:rsid w:val="006607AB"/>
    <w:rsid w:val="0066082B"/>
    <w:rsid w:val="00660A03"/>
    <w:rsid w:val="00660AA6"/>
    <w:rsid w:val="00660E82"/>
    <w:rsid w:val="00660F70"/>
    <w:rsid w:val="00661031"/>
    <w:rsid w:val="0066109E"/>
    <w:rsid w:val="00661151"/>
    <w:rsid w:val="00661776"/>
    <w:rsid w:val="006618B4"/>
    <w:rsid w:val="00661D20"/>
    <w:rsid w:val="00661D81"/>
    <w:rsid w:val="00662101"/>
    <w:rsid w:val="00662103"/>
    <w:rsid w:val="00662132"/>
    <w:rsid w:val="006621FD"/>
    <w:rsid w:val="006623AD"/>
    <w:rsid w:val="006625A6"/>
    <w:rsid w:val="0066265C"/>
    <w:rsid w:val="00662676"/>
    <w:rsid w:val="006627AF"/>
    <w:rsid w:val="0066280E"/>
    <w:rsid w:val="00662A11"/>
    <w:rsid w:val="00662A14"/>
    <w:rsid w:val="00662B4C"/>
    <w:rsid w:val="00662D9C"/>
    <w:rsid w:val="00662F4E"/>
    <w:rsid w:val="00663222"/>
    <w:rsid w:val="006634DE"/>
    <w:rsid w:val="0066357C"/>
    <w:rsid w:val="00663AC7"/>
    <w:rsid w:val="00663B68"/>
    <w:rsid w:val="00663C19"/>
    <w:rsid w:val="0066408D"/>
    <w:rsid w:val="0066412F"/>
    <w:rsid w:val="006642E7"/>
    <w:rsid w:val="006645CE"/>
    <w:rsid w:val="00664838"/>
    <w:rsid w:val="00664846"/>
    <w:rsid w:val="006648AD"/>
    <w:rsid w:val="00664AA0"/>
    <w:rsid w:val="00664B5C"/>
    <w:rsid w:val="00664CC9"/>
    <w:rsid w:val="00664D63"/>
    <w:rsid w:val="00664E9A"/>
    <w:rsid w:val="00664FFD"/>
    <w:rsid w:val="00665084"/>
    <w:rsid w:val="006650C0"/>
    <w:rsid w:val="006651C3"/>
    <w:rsid w:val="006654F1"/>
    <w:rsid w:val="00665863"/>
    <w:rsid w:val="00665CBE"/>
    <w:rsid w:val="00665D2B"/>
    <w:rsid w:val="00665DAC"/>
    <w:rsid w:val="00665DF8"/>
    <w:rsid w:val="00665EE8"/>
    <w:rsid w:val="00665FA0"/>
    <w:rsid w:val="006661A2"/>
    <w:rsid w:val="00666357"/>
    <w:rsid w:val="00666504"/>
    <w:rsid w:val="006665E8"/>
    <w:rsid w:val="00666A46"/>
    <w:rsid w:val="00666BD5"/>
    <w:rsid w:val="00667019"/>
    <w:rsid w:val="00667361"/>
    <w:rsid w:val="0066736F"/>
    <w:rsid w:val="0066753B"/>
    <w:rsid w:val="006675E4"/>
    <w:rsid w:val="006675E5"/>
    <w:rsid w:val="00667890"/>
    <w:rsid w:val="006678FC"/>
    <w:rsid w:val="00667BE0"/>
    <w:rsid w:val="00667C46"/>
    <w:rsid w:val="00667C84"/>
    <w:rsid w:val="00667D4E"/>
    <w:rsid w:val="00667DBD"/>
    <w:rsid w:val="00667EC2"/>
    <w:rsid w:val="00667EDB"/>
    <w:rsid w:val="006700C8"/>
    <w:rsid w:val="00670697"/>
    <w:rsid w:val="0067079A"/>
    <w:rsid w:val="00670C5E"/>
    <w:rsid w:val="00670CD9"/>
    <w:rsid w:val="00670DB2"/>
    <w:rsid w:val="00670E3C"/>
    <w:rsid w:val="00670FA9"/>
    <w:rsid w:val="006712B1"/>
    <w:rsid w:val="006712ED"/>
    <w:rsid w:val="00671398"/>
    <w:rsid w:val="00671639"/>
    <w:rsid w:val="00671645"/>
    <w:rsid w:val="00671862"/>
    <w:rsid w:val="006719BC"/>
    <w:rsid w:val="00671C86"/>
    <w:rsid w:val="00671DCB"/>
    <w:rsid w:val="00671E01"/>
    <w:rsid w:val="00671FAE"/>
    <w:rsid w:val="006720A3"/>
    <w:rsid w:val="0067249A"/>
    <w:rsid w:val="006724A1"/>
    <w:rsid w:val="00672573"/>
    <w:rsid w:val="00672691"/>
    <w:rsid w:val="0067285E"/>
    <w:rsid w:val="0067289E"/>
    <w:rsid w:val="00672A98"/>
    <w:rsid w:val="00672E06"/>
    <w:rsid w:val="00672F1B"/>
    <w:rsid w:val="0067311C"/>
    <w:rsid w:val="006731CF"/>
    <w:rsid w:val="00673255"/>
    <w:rsid w:val="006733D4"/>
    <w:rsid w:val="00673492"/>
    <w:rsid w:val="006734CB"/>
    <w:rsid w:val="00673611"/>
    <w:rsid w:val="00673897"/>
    <w:rsid w:val="00673968"/>
    <w:rsid w:val="00673A72"/>
    <w:rsid w:val="00673C50"/>
    <w:rsid w:val="00674131"/>
    <w:rsid w:val="0067429E"/>
    <w:rsid w:val="006745A9"/>
    <w:rsid w:val="00674885"/>
    <w:rsid w:val="00674C4E"/>
    <w:rsid w:val="00674F91"/>
    <w:rsid w:val="0067540A"/>
    <w:rsid w:val="00675494"/>
    <w:rsid w:val="00675688"/>
    <w:rsid w:val="0067568C"/>
    <w:rsid w:val="00675783"/>
    <w:rsid w:val="006757C0"/>
    <w:rsid w:val="0067585B"/>
    <w:rsid w:val="00675B94"/>
    <w:rsid w:val="00675BD8"/>
    <w:rsid w:val="00675BE8"/>
    <w:rsid w:val="00675EA4"/>
    <w:rsid w:val="00675FF8"/>
    <w:rsid w:val="006760BD"/>
    <w:rsid w:val="0067623C"/>
    <w:rsid w:val="00676435"/>
    <w:rsid w:val="006767C6"/>
    <w:rsid w:val="00676EFA"/>
    <w:rsid w:val="00676F92"/>
    <w:rsid w:val="0067740A"/>
    <w:rsid w:val="00677918"/>
    <w:rsid w:val="0067797B"/>
    <w:rsid w:val="00677CAF"/>
    <w:rsid w:val="00677E99"/>
    <w:rsid w:val="00677EE3"/>
    <w:rsid w:val="00677F52"/>
    <w:rsid w:val="00680005"/>
    <w:rsid w:val="006801DB"/>
    <w:rsid w:val="00680424"/>
    <w:rsid w:val="0068046C"/>
    <w:rsid w:val="00680508"/>
    <w:rsid w:val="006805C3"/>
    <w:rsid w:val="00680709"/>
    <w:rsid w:val="00680894"/>
    <w:rsid w:val="00680939"/>
    <w:rsid w:val="00680A02"/>
    <w:rsid w:val="00680BF3"/>
    <w:rsid w:val="00680CDA"/>
    <w:rsid w:val="006811B5"/>
    <w:rsid w:val="006813E7"/>
    <w:rsid w:val="00681446"/>
    <w:rsid w:val="006814A2"/>
    <w:rsid w:val="006816CA"/>
    <w:rsid w:val="00681739"/>
    <w:rsid w:val="00681978"/>
    <w:rsid w:val="00681AFC"/>
    <w:rsid w:val="00681EBB"/>
    <w:rsid w:val="00682040"/>
    <w:rsid w:val="00682378"/>
    <w:rsid w:val="006823A1"/>
    <w:rsid w:val="006824C8"/>
    <w:rsid w:val="00682713"/>
    <w:rsid w:val="00682782"/>
    <w:rsid w:val="006827EA"/>
    <w:rsid w:val="00682A6B"/>
    <w:rsid w:val="00682B33"/>
    <w:rsid w:val="00682BE4"/>
    <w:rsid w:val="0068345E"/>
    <w:rsid w:val="00683A25"/>
    <w:rsid w:val="00683DB2"/>
    <w:rsid w:val="00683E95"/>
    <w:rsid w:val="00683F0B"/>
    <w:rsid w:val="006840B2"/>
    <w:rsid w:val="00684146"/>
    <w:rsid w:val="006843EF"/>
    <w:rsid w:val="00684498"/>
    <w:rsid w:val="0068499C"/>
    <w:rsid w:val="00684EF9"/>
    <w:rsid w:val="00685062"/>
    <w:rsid w:val="00685465"/>
    <w:rsid w:val="00685494"/>
    <w:rsid w:val="00685764"/>
    <w:rsid w:val="00685A79"/>
    <w:rsid w:val="00685AC7"/>
    <w:rsid w:val="00685DFB"/>
    <w:rsid w:val="00685ECB"/>
    <w:rsid w:val="00686049"/>
    <w:rsid w:val="00686119"/>
    <w:rsid w:val="006862D3"/>
    <w:rsid w:val="0068650A"/>
    <w:rsid w:val="0068670A"/>
    <w:rsid w:val="00686745"/>
    <w:rsid w:val="0068697D"/>
    <w:rsid w:val="00686B5A"/>
    <w:rsid w:val="00686C2D"/>
    <w:rsid w:val="0068748F"/>
    <w:rsid w:val="00687601"/>
    <w:rsid w:val="00687845"/>
    <w:rsid w:val="00687A8E"/>
    <w:rsid w:val="00687A97"/>
    <w:rsid w:val="00687B5D"/>
    <w:rsid w:val="00687E59"/>
    <w:rsid w:val="00687FCC"/>
    <w:rsid w:val="006904F4"/>
    <w:rsid w:val="0069094F"/>
    <w:rsid w:val="00690A48"/>
    <w:rsid w:val="00690A70"/>
    <w:rsid w:val="00690AED"/>
    <w:rsid w:val="00690D2F"/>
    <w:rsid w:val="00690E66"/>
    <w:rsid w:val="00690FCC"/>
    <w:rsid w:val="00691045"/>
    <w:rsid w:val="0069115B"/>
    <w:rsid w:val="00691386"/>
    <w:rsid w:val="006914FC"/>
    <w:rsid w:val="006916C3"/>
    <w:rsid w:val="006916FD"/>
    <w:rsid w:val="006917E8"/>
    <w:rsid w:val="00691A18"/>
    <w:rsid w:val="00691E3C"/>
    <w:rsid w:val="00691FB5"/>
    <w:rsid w:val="0069211F"/>
    <w:rsid w:val="006921EE"/>
    <w:rsid w:val="00692226"/>
    <w:rsid w:val="0069251A"/>
    <w:rsid w:val="0069260B"/>
    <w:rsid w:val="00692CD8"/>
    <w:rsid w:val="00692E59"/>
    <w:rsid w:val="00692E9B"/>
    <w:rsid w:val="00692FA9"/>
    <w:rsid w:val="00692FF6"/>
    <w:rsid w:val="0069322F"/>
    <w:rsid w:val="00693245"/>
    <w:rsid w:val="00693415"/>
    <w:rsid w:val="006935DA"/>
    <w:rsid w:val="0069360C"/>
    <w:rsid w:val="0069364F"/>
    <w:rsid w:val="00693676"/>
    <w:rsid w:val="00693756"/>
    <w:rsid w:val="00693826"/>
    <w:rsid w:val="00693B6D"/>
    <w:rsid w:val="00694008"/>
    <w:rsid w:val="00694836"/>
    <w:rsid w:val="006948EC"/>
    <w:rsid w:val="00694908"/>
    <w:rsid w:val="00694A4A"/>
    <w:rsid w:val="00694C13"/>
    <w:rsid w:val="00695027"/>
    <w:rsid w:val="00695097"/>
    <w:rsid w:val="00695169"/>
    <w:rsid w:val="006951E8"/>
    <w:rsid w:val="00695219"/>
    <w:rsid w:val="00695652"/>
    <w:rsid w:val="00695D4C"/>
    <w:rsid w:val="00695F3E"/>
    <w:rsid w:val="00695F8F"/>
    <w:rsid w:val="0069605B"/>
    <w:rsid w:val="006960A5"/>
    <w:rsid w:val="00696253"/>
    <w:rsid w:val="0069644A"/>
    <w:rsid w:val="006967DA"/>
    <w:rsid w:val="006967F9"/>
    <w:rsid w:val="0069680F"/>
    <w:rsid w:val="0069685E"/>
    <w:rsid w:val="006968DB"/>
    <w:rsid w:val="00696B66"/>
    <w:rsid w:val="00696E15"/>
    <w:rsid w:val="00696F6D"/>
    <w:rsid w:val="00696F88"/>
    <w:rsid w:val="00697092"/>
    <w:rsid w:val="0069727A"/>
    <w:rsid w:val="00697319"/>
    <w:rsid w:val="006974BF"/>
    <w:rsid w:val="006976DE"/>
    <w:rsid w:val="00697844"/>
    <w:rsid w:val="00697A57"/>
    <w:rsid w:val="006A018B"/>
    <w:rsid w:val="006A019C"/>
    <w:rsid w:val="006A0439"/>
    <w:rsid w:val="006A0475"/>
    <w:rsid w:val="006A0639"/>
    <w:rsid w:val="006A0C55"/>
    <w:rsid w:val="006A0C75"/>
    <w:rsid w:val="006A0D64"/>
    <w:rsid w:val="006A1083"/>
    <w:rsid w:val="006A1146"/>
    <w:rsid w:val="006A13C1"/>
    <w:rsid w:val="006A1549"/>
    <w:rsid w:val="006A15E5"/>
    <w:rsid w:val="006A1812"/>
    <w:rsid w:val="006A1969"/>
    <w:rsid w:val="006A1A78"/>
    <w:rsid w:val="006A1AF8"/>
    <w:rsid w:val="006A1DFE"/>
    <w:rsid w:val="006A2058"/>
    <w:rsid w:val="006A20E5"/>
    <w:rsid w:val="006A219C"/>
    <w:rsid w:val="006A22A4"/>
    <w:rsid w:val="006A2782"/>
    <w:rsid w:val="006A28AD"/>
    <w:rsid w:val="006A293B"/>
    <w:rsid w:val="006A30AE"/>
    <w:rsid w:val="006A3158"/>
    <w:rsid w:val="006A31AE"/>
    <w:rsid w:val="006A3287"/>
    <w:rsid w:val="006A3499"/>
    <w:rsid w:val="006A35C0"/>
    <w:rsid w:val="006A36A6"/>
    <w:rsid w:val="006A3788"/>
    <w:rsid w:val="006A3902"/>
    <w:rsid w:val="006A3948"/>
    <w:rsid w:val="006A3A21"/>
    <w:rsid w:val="006A3BA0"/>
    <w:rsid w:val="006A3D1B"/>
    <w:rsid w:val="006A3D73"/>
    <w:rsid w:val="006A4084"/>
    <w:rsid w:val="006A486A"/>
    <w:rsid w:val="006A4A6B"/>
    <w:rsid w:val="006A4B61"/>
    <w:rsid w:val="006A4EAF"/>
    <w:rsid w:val="006A50A7"/>
    <w:rsid w:val="006A55EE"/>
    <w:rsid w:val="006A5743"/>
    <w:rsid w:val="006A5793"/>
    <w:rsid w:val="006A5A05"/>
    <w:rsid w:val="006A5A4D"/>
    <w:rsid w:val="006A5C82"/>
    <w:rsid w:val="006A5E79"/>
    <w:rsid w:val="006A5EBF"/>
    <w:rsid w:val="006A5FE3"/>
    <w:rsid w:val="006A617B"/>
    <w:rsid w:val="006A6190"/>
    <w:rsid w:val="006A6274"/>
    <w:rsid w:val="006A6830"/>
    <w:rsid w:val="006A6CBA"/>
    <w:rsid w:val="006A704B"/>
    <w:rsid w:val="006A7139"/>
    <w:rsid w:val="006A7550"/>
    <w:rsid w:val="006A779B"/>
    <w:rsid w:val="006A7841"/>
    <w:rsid w:val="006A7925"/>
    <w:rsid w:val="006A7AD7"/>
    <w:rsid w:val="006A7B2C"/>
    <w:rsid w:val="006A7DED"/>
    <w:rsid w:val="006A7FA3"/>
    <w:rsid w:val="006B02F7"/>
    <w:rsid w:val="006B0555"/>
    <w:rsid w:val="006B0682"/>
    <w:rsid w:val="006B081A"/>
    <w:rsid w:val="006B0945"/>
    <w:rsid w:val="006B0A2F"/>
    <w:rsid w:val="006B0F98"/>
    <w:rsid w:val="006B10E4"/>
    <w:rsid w:val="006B10E6"/>
    <w:rsid w:val="006B11DC"/>
    <w:rsid w:val="006B11E5"/>
    <w:rsid w:val="006B164E"/>
    <w:rsid w:val="006B1C87"/>
    <w:rsid w:val="006B1D21"/>
    <w:rsid w:val="006B1E98"/>
    <w:rsid w:val="006B21CF"/>
    <w:rsid w:val="006B23B1"/>
    <w:rsid w:val="006B2456"/>
    <w:rsid w:val="006B255D"/>
    <w:rsid w:val="006B25B8"/>
    <w:rsid w:val="006B2DDE"/>
    <w:rsid w:val="006B316A"/>
    <w:rsid w:val="006B31E4"/>
    <w:rsid w:val="006B32B9"/>
    <w:rsid w:val="006B3385"/>
    <w:rsid w:val="006B3562"/>
    <w:rsid w:val="006B36E5"/>
    <w:rsid w:val="006B3863"/>
    <w:rsid w:val="006B391E"/>
    <w:rsid w:val="006B393D"/>
    <w:rsid w:val="006B3F38"/>
    <w:rsid w:val="006B4099"/>
    <w:rsid w:val="006B44F0"/>
    <w:rsid w:val="006B4538"/>
    <w:rsid w:val="006B48B2"/>
    <w:rsid w:val="006B4AEF"/>
    <w:rsid w:val="006B4CE7"/>
    <w:rsid w:val="006B50AA"/>
    <w:rsid w:val="006B5148"/>
    <w:rsid w:val="006B54D4"/>
    <w:rsid w:val="006B55FF"/>
    <w:rsid w:val="006B59CD"/>
    <w:rsid w:val="006B5D2B"/>
    <w:rsid w:val="006B60F1"/>
    <w:rsid w:val="006B61DE"/>
    <w:rsid w:val="006B6373"/>
    <w:rsid w:val="006B637E"/>
    <w:rsid w:val="006B664F"/>
    <w:rsid w:val="006B6A71"/>
    <w:rsid w:val="006B6ED8"/>
    <w:rsid w:val="006B7112"/>
    <w:rsid w:val="006B71AA"/>
    <w:rsid w:val="006B7477"/>
    <w:rsid w:val="006B77BA"/>
    <w:rsid w:val="006B7935"/>
    <w:rsid w:val="006B7BFD"/>
    <w:rsid w:val="006C0445"/>
    <w:rsid w:val="006C04DE"/>
    <w:rsid w:val="006C06F4"/>
    <w:rsid w:val="006C073C"/>
    <w:rsid w:val="006C089B"/>
    <w:rsid w:val="006C08F7"/>
    <w:rsid w:val="006C08F8"/>
    <w:rsid w:val="006C09F0"/>
    <w:rsid w:val="006C0C46"/>
    <w:rsid w:val="006C0E56"/>
    <w:rsid w:val="006C12B7"/>
    <w:rsid w:val="006C1368"/>
    <w:rsid w:val="006C1774"/>
    <w:rsid w:val="006C1943"/>
    <w:rsid w:val="006C19C7"/>
    <w:rsid w:val="006C1ABD"/>
    <w:rsid w:val="006C1AD8"/>
    <w:rsid w:val="006C1B1B"/>
    <w:rsid w:val="006C1C90"/>
    <w:rsid w:val="006C1CB4"/>
    <w:rsid w:val="006C1DB3"/>
    <w:rsid w:val="006C1F15"/>
    <w:rsid w:val="006C2088"/>
    <w:rsid w:val="006C22A3"/>
    <w:rsid w:val="006C2643"/>
    <w:rsid w:val="006C2725"/>
    <w:rsid w:val="006C2981"/>
    <w:rsid w:val="006C2C4B"/>
    <w:rsid w:val="006C2D8D"/>
    <w:rsid w:val="006C2ED6"/>
    <w:rsid w:val="006C30E5"/>
    <w:rsid w:val="006C3179"/>
    <w:rsid w:val="006C31B1"/>
    <w:rsid w:val="006C3201"/>
    <w:rsid w:val="006C3635"/>
    <w:rsid w:val="006C38F5"/>
    <w:rsid w:val="006C396B"/>
    <w:rsid w:val="006C39B6"/>
    <w:rsid w:val="006C3A9F"/>
    <w:rsid w:val="006C3C4E"/>
    <w:rsid w:val="006C3C6F"/>
    <w:rsid w:val="006C3CF9"/>
    <w:rsid w:val="006C3E9C"/>
    <w:rsid w:val="006C3FC3"/>
    <w:rsid w:val="006C42F2"/>
    <w:rsid w:val="006C462B"/>
    <w:rsid w:val="006C468C"/>
    <w:rsid w:val="006C46C2"/>
    <w:rsid w:val="006C479B"/>
    <w:rsid w:val="006C4AE8"/>
    <w:rsid w:val="006C4D04"/>
    <w:rsid w:val="006C4E70"/>
    <w:rsid w:val="006C4E93"/>
    <w:rsid w:val="006C5059"/>
    <w:rsid w:val="006C5121"/>
    <w:rsid w:val="006C520F"/>
    <w:rsid w:val="006C572D"/>
    <w:rsid w:val="006C582B"/>
    <w:rsid w:val="006C584B"/>
    <w:rsid w:val="006C5F96"/>
    <w:rsid w:val="006C636E"/>
    <w:rsid w:val="006C6387"/>
    <w:rsid w:val="006C6A78"/>
    <w:rsid w:val="006C6C20"/>
    <w:rsid w:val="006C6C43"/>
    <w:rsid w:val="006C6EA6"/>
    <w:rsid w:val="006C6FD9"/>
    <w:rsid w:val="006C7005"/>
    <w:rsid w:val="006C7030"/>
    <w:rsid w:val="006C72D5"/>
    <w:rsid w:val="006C74AD"/>
    <w:rsid w:val="006C7550"/>
    <w:rsid w:val="006C76D9"/>
    <w:rsid w:val="006C7775"/>
    <w:rsid w:val="006C7A02"/>
    <w:rsid w:val="006C7B79"/>
    <w:rsid w:val="006C7BEB"/>
    <w:rsid w:val="006C7D7C"/>
    <w:rsid w:val="006C7E9A"/>
    <w:rsid w:val="006C7EC7"/>
    <w:rsid w:val="006C7F0A"/>
    <w:rsid w:val="006C7F4B"/>
    <w:rsid w:val="006D008B"/>
    <w:rsid w:val="006D00FE"/>
    <w:rsid w:val="006D037B"/>
    <w:rsid w:val="006D059D"/>
    <w:rsid w:val="006D0DAE"/>
    <w:rsid w:val="006D102C"/>
    <w:rsid w:val="006D10F2"/>
    <w:rsid w:val="006D130F"/>
    <w:rsid w:val="006D134B"/>
    <w:rsid w:val="006D1372"/>
    <w:rsid w:val="006D1480"/>
    <w:rsid w:val="006D15EC"/>
    <w:rsid w:val="006D1602"/>
    <w:rsid w:val="006D1A51"/>
    <w:rsid w:val="006D1B21"/>
    <w:rsid w:val="006D1B53"/>
    <w:rsid w:val="006D1BA2"/>
    <w:rsid w:val="006D1D03"/>
    <w:rsid w:val="006D1EB8"/>
    <w:rsid w:val="006D1FD3"/>
    <w:rsid w:val="006D2133"/>
    <w:rsid w:val="006D2198"/>
    <w:rsid w:val="006D235D"/>
    <w:rsid w:val="006D242F"/>
    <w:rsid w:val="006D2772"/>
    <w:rsid w:val="006D2817"/>
    <w:rsid w:val="006D2862"/>
    <w:rsid w:val="006D286A"/>
    <w:rsid w:val="006D286C"/>
    <w:rsid w:val="006D2B32"/>
    <w:rsid w:val="006D2CE7"/>
    <w:rsid w:val="006D2D10"/>
    <w:rsid w:val="006D321D"/>
    <w:rsid w:val="006D339B"/>
    <w:rsid w:val="006D33BA"/>
    <w:rsid w:val="006D3500"/>
    <w:rsid w:val="006D3574"/>
    <w:rsid w:val="006D386F"/>
    <w:rsid w:val="006D39BF"/>
    <w:rsid w:val="006D3B10"/>
    <w:rsid w:val="006D3C32"/>
    <w:rsid w:val="006D3CC4"/>
    <w:rsid w:val="006D42B7"/>
    <w:rsid w:val="006D42EB"/>
    <w:rsid w:val="006D442A"/>
    <w:rsid w:val="006D465F"/>
    <w:rsid w:val="006D4959"/>
    <w:rsid w:val="006D4A3D"/>
    <w:rsid w:val="006D4A90"/>
    <w:rsid w:val="006D4B64"/>
    <w:rsid w:val="006D5090"/>
    <w:rsid w:val="006D5527"/>
    <w:rsid w:val="006D5889"/>
    <w:rsid w:val="006D58E6"/>
    <w:rsid w:val="006D5994"/>
    <w:rsid w:val="006D599F"/>
    <w:rsid w:val="006D5AB6"/>
    <w:rsid w:val="006D5C79"/>
    <w:rsid w:val="006D5D53"/>
    <w:rsid w:val="006D5EF3"/>
    <w:rsid w:val="006D6183"/>
    <w:rsid w:val="006D6487"/>
    <w:rsid w:val="006D68C5"/>
    <w:rsid w:val="006D6C2A"/>
    <w:rsid w:val="006D6D2D"/>
    <w:rsid w:val="006D6D34"/>
    <w:rsid w:val="006D6E54"/>
    <w:rsid w:val="006D6EA6"/>
    <w:rsid w:val="006D70BF"/>
    <w:rsid w:val="006D7204"/>
    <w:rsid w:val="006D7274"/>
    <w:rsid w:val="006D7311"/>
    <w:rsid w:val="006D76F0"/>
    <w:rsid w:val="006D7882"/>
    <w:rsid w:val="006D78B8"/>
    <w:rsid w:val="006D78F3"/>
    <w:rsid w:val="006D79CB"/>
    <w:rsid w:val="006D7BDE"/>
    <w:rsid w:val="006D7E40"/>
    <w:rsid w:val="006D7F68"/>
    <w:rsid w:val="006D7FDA"/>
    <w:rsid w:val="006E03A5"/>
    <w:rsid w:val="006E0592"/>
    <w:rsid w:val="006E0845"/>
    <w:rsid w:val="006E0910"/>
    <w:rsid w:val="006E0A7C"/>
    <w:rsid w:val="006E0D38"/>
    <w:rsid w:val="006E0F5F"/>
    <w:rsid w:val="006E1114"/>
    <w:rsid w:val="006E119D"/>
    <w:rsid w:val="006E1297"/>
    <w:rsid w:val="006E12B8"/>
    <w:rsid w:val="006E12ED"/>
    <w:rsid w:val="006E133C"/>
    <w:rsid w:val="006E1356"/>
    <w:rsid w:val="006E1385"/>
    <w:rsid w:val="006E1458"/>
    <w:rsid w:val="006E152B"/>
    <w:rsid w:val="006E1586"/>
    <w:rsid w:val="006E1912"/>
    <w:rsid w:val="006E1961"/>
    <w:rsid w:val="006E19E4"/>
    <w:rsid w:val="006E1B74"/>
    <w:rsid w:val="006E1CF4"/>
    <w:rsid w:val="006E1DBB"/>
    <w:rsid w:val="006E1FD7"/>
    <w:rsid w:val="006E209A"/>
    <w:rsid w:val="006E2A40"/>
    <w:rsid w:val="006E2C60"/>
    <w:rsid w:val="006E2CBB"/>
    <w:rsid w:val="006E2D40"/>
    <w:rsid w:val="006E32F5"/>
    <w:rsid w:val="006E34C4"/>
    <w:rsid w:val="006E3559"/>
    <w:rsid w:val="006E364B"/>
    <w:rsid w:val="006E36A0"/>
    <w:rsid w:val="006E390D"/>
    <w:rsid w:val="006E3946"/>
    <w:rsid w:val="006E39A0"/>
    <w:rsid w:val="006E3DB5"/>
    <w:rsid w:val="006E3F99"/>
    <w:rsid w:val="006E424B"/>
    <w:rsid w:val="006E4254"/>
    <w:rsid w:val="006E42BF"/>
    <w:rsid w:val="006E42E1"/>
    <w:rsid w:val="006E450C"/>
    <w:rsid w:val="006E46B8"/>
    <w:rsid w:val="006E4803"/>
    <w:rsid w:val="006E49DF"/>
    <w:rsid w:val="006E4A0B"/>
    <w:rsid w:val="006E4A9F"/>
    <w:rsid w:val="006E4DA2"/>
    <w:rsid w:val="006E4DC0"/>
    <w:rsid w:val="006E5259"/>
    <w:rsid w:val="006E5352"/>
    <w:rsid w:val="006E551C"/>
    <w:rsid w:val="006E5866"/>
    <w:rsid w:val="006E5B09"/>
    <w:rsid w:val="006E5C9A"/>
    <w:rsid w:val="006E5C9C"/>
    <w:rsid w:val="006E6307"/>
    <w:rsid w:val="006E642F"/>
    <w:rsid w:val="006E66AC"/>
    <w:rsid w:val="006E6A2F"/>
    <w:rsid w:val="006E6AEB"/>
    <w:rsid w:val="006E6B8F"/>
    <w:rsid w:val="006E6CE9"/>
    <w:rsid w:val="006E6DA8"/>
    <w:rsid w:val="006E6EB8"/>
    <w:rsid w:val="006E6EB9"/>
    <w:rsid w:val="006E702A"/>
    <w:rsid w:val="006E74FD"/>
    <w:rsid w:val="006E76D6"/>
    <w:rsid w:val="006E79F1"/>
    <w:rsid w:val="006E7A58"/>
    <w:rsid w:val="006E7BB3"/>
    <w:rsid w:val="006F0112"/>
    <w:rsid w:val="006F0205"/>
    <w:rsid w:val="006F0709"/>
    <w:rsid w:val="006F08B7"/>
    <w:rsid w:val="006F08CD"/>
    <w:rsid w:val="006F09AF"/>
    <w:rsid w:val="006F115C"/>
    <w:rsid w:val="006F125B"/>
    <w:rsid w:val="006F133F"/>
    <w:rsid w:val="006F13E6"/>
    <w:rsid w:val="006F1440"/>
    <w:rsid w:val="006F155F"/>
    <w:rsid w:val="006F180C"/>
    <w:rsid w:val="006F1B3A"/>
    <w:rsid w:val="006F1D4A"/>
    <w:rsid w:val="006F1EC6"/>
    <w:rsid w:val="006F2082"/>
    <w:rsid w:val="006F228B"/>
    <w:rsid w:val="006F23AA"/>
    <w:rsid w:val="006F2438"/>
    <w:rsid w:val="006F24FD"/>
    <w:rsid w:val="006F2564"/>
    <w:rsid w:val="006F2821"/>
    <w:rsid w:val="006F2889"/>
    <w:rsid w:val="006F2ACF"/>
    <w:rsid w:val="006F2B1D"/>
    <w:rsid w:val="006F2B6F"/>
    <w:rsid w:val="006F2B95"/>
    <w:rsid w:val="006F2D6A"/>
    <w:rsid w:val="006F2DED"/>
    <w:rsid w:val="006F3131"/>
    <w:rsid w:val="006F3265"/>
    <w:rsid w:val="006F33D2"/>
    <w:rsid w:val="006F3443"/>
    <w:rsid w:val="006F3963"/>
    <w:rsid w:val="006F3AE0"/>
    <w:rsid w:val="006F3AE2"/>
    <w:rsid w:val="006F3B1D"/>
    <w:rsid w:val="006F3C0A"/>
    <w:rsid w:val="006F3D07"/>
    <w:rsid w:val="006F4661"/>
    <w:rsid w:val="006F4665"/>
    <w:rsid w:val="006F470D"/>
    <w:rsid w:val="006F4B40"/>
    <w:rsid w:val="006F4B8C"/>
    <w:rsid w:val="006F4BDC"/>
    <w:rsid w:val="006F4C57"/>
    <w:rsid w:val="006F4DE3"/>
    <w:rsid w:val="006F5523"/>
    <w:rsid w:val="006F554C"/>
    <w:rsid w:val="006F5A2C"/>
    <w:rsid w:val="006F5ADE"/>
    <w:rsid w:val="006F5DC8"/>
    <w:rsid w:val="006F6106"/>
    <w:rsid w:val="006F6334"/>
    <w:rsid w:val="006F65D2"/>
    <w:rsid w:val="006F65F4"/>
    <w:rsid w:val="006F665F"/>
    <w:rsid w:val="006F6878"/>
    <w:rsid w:val="006F69C2"/>
    <w:rsid w:val="006F6B00"/>
    <w:rsid w:val="006F6B65"/>
    <w:rsid w:val="006F6D4A"/>
    <w:rsid w:val="006F6EAA"/>
    <w:rsid w:val="006F6EF7"/>
    <w:rsid w:val="006F6F0D"/>
    <w:rsid w:val="006F6FA9"/>
    <w:rsid w:val="006F718B"/>
    <w:rsid w:val="006F72A1"/>
    <w:rsid w:val="006F7552"/>
    <w:rsid w:val="006F7596"/>
    <w:rsid w:val="006F75D6"/>
    <w:rsid w:val="006F75FD"/>
    <w:rsid w:val="006F7604"/>
    <w:rsid w:val="006F786D"/>
    <w:rsid w:val="006F78A6"/>
    <w:rsid w:val="006F7A01"/>
    <w:rsid w:val="006F7BDA"/>
    <w:rsid w:val="006F7C06"/>
    <w:rsid w:val="006F7EC8"/>
    <w:rsid w:val="006F7F16"/>
    <w:rsid w:val="007003E6"/>
    <w:rsid w:val="0070040B"/>
    <w:rsid w:val="00700509"/>
    <w:rsid w:val="007007DD"/>
    <w:rsid w:val="007009A7"/>
    <w:rsid w:val="00700BE6"/>
    <w:rsid w:val="00700D44"/>
    <w:rsid w:val="00700E0E"/>
    <w:rsid w:val="00700E61"/>
    <w:rsid w:val="00700EF9"/>
    <w:rsid w:val="00700F1E"/>
    <w:rsid w:val="007011BC"/>
    <w:rsid w:val="007013E5"/>
    <w:rsid w:val="00701567"/>
    <w:rsid w:val="0070162A"/>
    <w:rsid w:val="00701AD0"/>
    <w:rsid w:val="00701C1E"/>
    <w:rsid w:val="00701F08"/>
    <w:rsid w:val="007020B8"/>
    <w:rsid w:val="00702363"/>
    <w:rsid w:val="007024E6"/>
    <w:rsid w:val="00702559"/>
    <w:rsid w:val="00702643"/>
    <w:rsid w:val="007026CB"/>
    <w:rsid w:val="0070275B"/>
    <w:rsid w:val="00702AD3"/>
    <w:rsid w:val="00702B4A"/>
    <w:rsid w:val="00702F1D"/>
    <w:rsid w:val="00702FDB"/>
    <w:rsid w:val="00703182"/>
    <w:rsid w:val="0070342B"/>
    <w:rsid w:val="007034AE"/>
    <w:rsid w:val="00703712"/>
    <w:rsid w:val="007037AA"/>
    <w:rsid w:val="007037CF"/>
    <w:rsid w:val="007037DF"/>
    <w:rsid w:val="00703832"/>
    <w:rsid w:val="00703870"/>
    <w:rsid w:val="007038A2"/>
    <w:rsid w:val="007039E5"/>
    <w:rsid w:val="00703FE8"/>
    <w:rsid w:val="007044F1"/>
    <w:rsid w:val="00704848"/>
    <w:rsid w:val="00704D10"/>
    <w:rsid w:val="00704DC3"/>
    <w:rsid w:val="00704EC6"/>
    <w:rsid w:val="00705A26"/>
    <w:rsid w:val="00705B64"/>
    <w:rsid w:val="00705B6D"/>
    <w:rsid w:val="00705D47"/>
    <w:rsid w:val="007060CE"/>
    <w:rsid w:val="00706193"/>
    <w:rsid w:val="00706247"/>
    <w:rsid w:val="0070639F"/>
    <w:rsid w:val="00706679"/>
    <w:rsid w:val="007067D3"/>
    <w:rsid w:val="00706875"/>
    <w:rsid w:val="00706B9C"/>
    <w:rsid w:val="00706C43"/>
    <w:rsid w:val="00707004"/>
    <w:rsid w:val="007075F9"/>
    <w:rsid w:val="00707B3C"/>
    <w:rsid w:val="00707C07"/>
    <w:rsid w:val="00707E78"/>
    <w:rsid w:val="00710006"/>
    <w:rsid w:val="0071010A"/>
    <w:rsid w:val="0071077E"/>
    <w:rsid w:val="007107A7"/>
    <w:rsid w:val="007107E9"/>
    <w:rsid w:val="00710A1C"/>
    <w:rsid w:val="00710A9C"/>
    <w:rsid w:val="00711094"/>
    <w:rsid w:val="007112A6"/>
    <w:rsid w:val="00711347"/>
    <w:rsid w:val="007113CB"/>
    <w:rsid w:val="0071150F"/>
    <w:rsid w:val="0071166C"/>
    <w:rsid w:val="00711864"/>
    <w:rsid w:val="00711BA1"/>
    <w:rsid w:val="00711BF7"/>
    <w:rsid w:val="00711F70"/>
    <w:rsid w:val="00711FAE"/>
    <w:rsid w:val="00712173"/>
    <w:rsid w:val="007121BD"/>
    <w:rsid w:val="00712227"/>
    <w:rsid w:val="007124AE"/>
    <w:rsid w:val="0071253A"/>
    <w:rsid w:val="007125D6"/>
    <w:rsid w:val="0071271E"/>
    <w:rsid w:val="0071290D"/>
    <w:rsid w:val="00712964"/>
    <w:rsid w:val="00712A18"/>
    <w:rsid w:val="00712AB1"/>
    <w:rsid w:val="00712B5C"/>
    <w:rsid w:val="00712DA9"/>
    <w:rsid w:val="0071300A"/>
    <w:rsid w:val="00713409"/>
    <w:rsid w:val="00713438"/>
    <w:rsid w:val="0071376A"/>
    <w:rsid w:val="0071383C"/>
    <w:rsid w:val="007139CD"/>
    <w:rsid w:val="00713B8B"/>
    <w:rsid w:val="00713FC9"/>
    <w:rsid w:val="0071418A"/>
    <w:rsid w:val="00714364"/>
    <w:rsid w:val="007143BD"/>
    <w:rsid w:val="00714A22"/>
    <w:rsid w:val="00714C6C"/>
    <w:rsid w:val="00714CDE"/>
    <w:rsid w:val="007153AC"/>
    <w:rsid w:val="007153D7"/>
    <w:rsid w:val="007156DE"/>
    <w:rsid w:val="00715787"/>
    <w:rsid w:val="007158C9"/>
    <w:rsid w:val="00715953"/>
    <w:rsid w:val="00715A70"/>
    <w:rsid w:val="00715B55"/>
    <w:rsid w:val="00715BD0"/>
    <w:rsid w:val="00715BF5"/>
    <w:rsid w:val="00715F50"/>
    <w:rsid w:val="007160B4"/>
    <w:rsid w:val="0071660A"/>
    <w:rsid w:val="0071679E"/>
    <w:rsid w:val="007167F5"/>
    <w:rsid w:val="00716A68"/>
    <w:rsid w:val="00716D2B"/>
    <w:rsid w:val="00716EBC"/>
    <w:rsid w:val="007170DA"/>
    <w:rsid w:val="00717104"/>
    <w:rsid w:val="007171DA"/>
    <w:rsid w:val="00717279"/>
    <w:rsid w:val="007174F3"/>
    <w:rsid w:val="00717539"/>
    <w:rsid w:val="00717641"/>
    <w:rsid w:val="00717AEB"/>
    <w:rsid w:val="00717C65"/>
    <w:rsid w:val="00720448"/>
    <w:rsid w:val="00720579"/>
    <w:rsid w:val="00720735"/>
    <w:rsid w:val="0072073C"/>
    <w:rsid w:val="007208D1"/>
    <w:rsid w:val="00720CB1"/>
    <w:rsid w:val="00720F13"/>
    <w:rsid w:val="0072107E"/>
    <w:rsid w:val="00721166"/>
    <w:rsid w:val="007211CA"/>
    <w:rsid w:val="007215F3"/>
    <w:rsid w:val="0072166F"/>
    <w:rsid w:val="0072169E"/>
    <w:rsid w:val="007217CA"/>
    <w:rsid w:val="007217FB"/>
    <w:rsid w:val="00721894"/>
    <w:rsid w:val="00721B07"/>
    <w:rsid w:val="00721F8F"/>
    <w:rsid w:val="0072218A"/>
    <w:rsid w:val="00722388"/>
    <w:rsid w:val="007223CC"/>
    <w:rsid w:val="007223FD"/>
    <w:rsid w:val="007226A2"/>
    <w:rsid w:val="00723167"/>
    <w:rsid w:val="0072367E"/>
    <w:rsid w:val="00723776"/>
    <w:rsid w:val="0072382B"/>
    <w:rsid w:val="007238B4"/>
    <w:rsid w:val="00723949"/>
    <w:rsid w:val="007239DA"/>
    <w:rsid w:val="00723A03"/>
    <w:rsid w:val="00723D14"/>
    <w:rsid w:val="00723ED0"/>
    <w:rsid w:val="00723FF4"/>
    <w:rsid w:val="007240FC"/>
    <w:rsid w:val="0072415F"/>
    <w:rsid w:val="007241A0"/>
    <w:rsid w:val="00724253"/>
    <w:rsid w:val="0072425D"/>
    <w:rsid w:val="00724274"/>
    <w:rsid w:val="007242AE"/>
    <w:rsid w:val="0072439E"/>
    <w:rsid w:val="007243DA"/>
    <w:rsid w:val="007245D8"/>
    <w:rsid w:val="00724607"/>
    <w:rsid w:val="00724AD1"/>
    <w:rsid w:val="00724B0D"/>
    <w:rsid w:val="00724B50"/>
    <w:rsid w:val="00724E3F"/>
    <w:rsid w:val="00724E75"/>
    <w:rsid w:val="00724FD9"/>
    <w:rsid w:val="007250E3"/>
    <w:rsid w:val="00725274"/>
    <w:rsid w:val="0072532C"/>
    <w:rsid w:val="007254FC"/>
    <w:rsid w:val="007257AC"/>
    <w:rsid w:val="00725A85"/>
    <w:rsid w:val="00725B4C"/>
    <w:rsid w:val="00725C4C"/>
    <w:rsid w:val="00725DAF"/>
    <w:rsid w:val="00725FCD"/>
    <w:rsid w:val="007261AE"/>
    <w:rsid w:val="00726240"/>
    <w:rsid w:val="00726321"/>
    <w:rsid w:val="0072642F"/>
    <w:rsid w:val="007265FF"/>
    <w:rsid w:val="007269F1"/>
    <w:rsid w:val="00726ED9"/>
    <w:rsid w:val="00726EDB"/>
    <w:rsid w:val="0072715F"/>
    <w:rsid w:val="007273D9"/>
    <w:rsid w:val="00727446"/>
    <w:rsid w:val="007274D7"/>
    <w:rsid w:val="007275C2"/>
    <w:rsid w:val="00727BCB"/>
    <w:rsid w:val="00727D53"/>
    <w:rsid w:val="00727D91"/>
    <w:rsid w:val="00727EE9"/>
    <w:rsid w:val="00727EF2"/>
    <w:rsid w:val="007300C2"/>
    <w:rsid w:val="00730124"/>
    <w:rsid w:val="007302EE"/>
    <w:rsid w:val="007304EF"/>
    <w:rsid w:val="00730516"/>
    <w:rsid w:val="00730667"/>
    <w:rsid w:val="00730946"/>
    <w:rsid w:val="007309D6"/>
    <w:rsid w:val="00730CC2"/>
    <w:rsid w:val="00730E02"/>
    <w:rsid w:val="00730F24"/>
    <w:rsid w:val="00731086"/>
    <w:rsid w:val="007310D3"/>
    <w:rsid w:val="007310D7"/>
    <w:rsid w:val="007312A4"/>
    <w:rsid w:val="0073153D"/>
    <w:rsid w:val="007316E3"/>
    <w:rsid w:val="00731901"/>
    <w:rsid w:val="00731BBD"/>
    <w:rsid w:val="00731C66"/>
    <w:rsid w:val="00731FCC"/>
    <w:rsid w:val="00731FE4"/>
    <w:rsid w:val="00731FF6"/>
    <w:rsid w:val="00732200"/>
    <w:rsid w:val="00732371"/>
    <w:rsid w:val="00732731"/>
    <w:rsid w:val="007328C8"/>
    <w:rsid w:val="0073297D"/>
    <w:rsid w:val="007329A7"/>
    <w:rsid w:val="00732B01"/>
    <w:rsid w:val="00732BF8"/>
    <w:rsid w:val="00732CB3"/>
    <w:rsid w:val="00732D26"/>
    <w:rsid w:val="007338C3"/>
    <w:rsid w:val="00733C93"/>
    <w:rsid w:val="00733E15"/>
    <w:rsid w:val="00733F6C"/>
    <w:rsid w:val="00733F9E"/>
    <w:rsid w:val="007343E0"/>
    <w:rsid w:val="00734412"/>
    <w:rsid w:val="007344A6"/>
    <w:rsid w:val="00734646"/>
    <w:rsid w:val="00734760"/>
    <w:rsid w:val="00734769"/>
    <w:rsid w:val="007347C6"/>
    <w:rsid w:val="007349B8"/>
    <w:rsid w:val="00735198"/>
    <w:rsid w:val="007352B6"/>
    <w:rsid w:val="0073570F"/>
    <w:rsid w:val="0073585B"/>
    <w:rsid w:val="00735912"/>
    <w:rsid w:val="007359BF"/>
    <w:rsid w:val="00735A3B"/>
    <w:rsid w:val="00735BFE"/>
    <w:rsid w:val="00735CD8"/>
    <w:rsid w:val="00735F17"/>
    <w:rsid w:val="00735FD5"/>
    <w:rsid w:val="00736231"/>
    <w:rsid w:val="00736477"/>
    <w:rsid w:val="00736545"/>
    <w:rsid w:val="00736910"/>
    <w:rsid w:val="00737034"/>
    <w:rsid w:val="0073712A"/>
    <w:rsid w:val="007374AE"/>
    <w:rsid w:val="00737554"/>
    <w:rsid w:val="007377B0"/>
    <w:rsid w:val="00737877"/>
    <w:rsid w:val="0073789E"/>
    <w:rsid w:val="007378DF"/>
    <w:rsid w:val="00737B2D"/>
    <w:rsid w:val="00737B9F"/>
    <w:rsid w:val="00737D3E"/>
    <w:rsid w:val="00737FBA"/>
    <w:rsid w:val="00740252"/>
    <w:rsid w:val="007402F1"/>
    <w:rsid w:val="0074043E"/>
    <w:rsid w:val="007404C6"/>
    <w:rsid w:val="00740519"/>
    <w:rsid w:val="00740731"/>
    <w:rsid w:val="00740751"/>
    <w:rsid w:val="007409AD"/>
    <w:rsid w:val="00740B14"/>
    <w:rsid w:val="00740C87"/>
    <w:rsid w:val="007410A8"/>
    <w:rsid w:val="007416D3"/>
    <w:rsid w:val="007418E1"/>
    <w:rsid w:val="00741BA0"/>
    <w:rsid w:val="00741D06"/>
    <w:rsid w:val="00741D4D"/>
    <w:rsid w:val="00741D4F"/>
    <w:rsid w:val="00741EB0"/>
    <w:rsid w:val="0074227B"/>
    <w:rsid w:val="007422B5"/>
    <w:rsid w:val="00742328"/>
    <w:rsid w:val="00742406"/>
    <w:rsid w:val="0074255E"/>
    <w:rsid w:val="0074285B"/>
    <w:rsid w:val="00742886"/>
    <w:rsid w:val="00742B45"/>
    <w:rsid w:val="00742BBD"/>
    <w:rsid w:val="00742C12"/>
    <w:rsid w:val="00742E77"/>
    <w:rsid w:val="00743028"/>
    <w:rsid w:val="00743120"/>
    <w:rsid w:val="00743175"/>
    <w:rsid w:val="007435F1"/>
    <w:rsid w:val="0074373F"/>
    <w:rsid w:val="007437E2"/>
    <w:rsid w:val="0074390C"/>
    <w:rsid w:val="00743A3C"/>
    <w:rsid w:val="00743C5C"/>
    <w:rsid w:val="00743DC8"/>
    <w:rsid w:val="00743EBA"/>
    <w:rsid w:val="00743FCD"/>
    <w:rsid w:val="00744023"/>
    <w:rsid w:val="007441C1"/>
    <w:rsid w:val="00744218"/>
    <w:rsid w:val="00744298"/>
    <w:rsid w:val="007442BA"/>
    <w:rsid w:val="007444BD"/>
    <w:rsid w:val="0074485A"/>
    <w:rsid w:val="007448D6"/>
    <w:rsid w:val="00744910"/>
    <w:rsid w:val="0074492C"/>
    <w:rsid w:val="00744AC0"/>
    <w:rsid w:val="00744CF3"/>
    <w:rsid w:val="00744D06"/>
    <w:rsid w:val="00744E0B"/>
    <w:rsid w:val="0074501C"/>
    <w:rsid w:val="007452A5"/>
    <w:rsid w:val="007454F5"/>
    <w:rsid w:val="007458BA"/>
    <w:rsid w:val="00745B1D"/>
    <w:rsid w:val="00745B87"/>
    <w:rsid w:val="00745D35"/>
    <w:rsid w:val="00745DF0"/>
    <w:rsid w:val="00745ED6"/>
    <w:rsid w:val="00745F39"/>
    <w:rsid w:val="00746207"/>
    <w:rsid w:val="00746374"/>
    <w:rsid w:val="007469C6"/>
    <w:rsid w:val="00746A11"/>
    <w:rsid w:val="00746C8F"/>
    <w:rsid w:val="00746DAE"/>
    <w:rsid w:val="00746E82"/>
    <w:rsid w:val="007471DE"/>
    <w:rsid w:val="007471FA"/>
    <w:rsid w:val="0074760C"/>
    <w:rsid w:val="00747729"/>
    <w:rsid w:val="00747897"/>
    <w:rsid w:val="00747CAE"/>
    <w:rsid w:val="00747D8D"/>
    <w:rsid w:val="0075039B"/>
    <w:rsid w:val="0075075B"/>
    <w:rsid w:val="00750973"/>
    <w:rsid w:val="00750B46"/>
    <w:rsid w:val="00750DDF"/>
    <w:rsid w:val="00751136"/>
    <w:rsid w:val="007511C6"/>
    <w:rsid w:val="00751467"/>
    <w:rsid w:val="00751566"/>
    <w:rsid w:val="00751B33"/>
    <w:rsid w:val="00751F99"/>
    <w:rsid w:val="007521B4"/>
    <w:rsid w:val="0075228B"/>
    <w:rsid w:val="007522B7"/>
    <w:rsid w:val="007522D0"/>
    <w:rsid w:val="007524C5"/>
    <w:rsid w:val="00752914"/>
    <w:rsid w:val="007529AE"/>
    <w:rsid w:val="00752C29"/>
    <w:rsid w:val="00752E05"/>
    <w:rsid w:val="00752F7A"/>
    <w:rsid w:val="00753279"/>
    <w:rsid w:val="007534BF"/>
    <w:rsid w:val="00753644"/>
    <w:rsid w:val="007537BD"/>
    <w:rsid w:val="00753C68"/>
    <w:rsid w:val="00753D55"/>
    <w:rsid w:val="00753E49"/>
    <w:rsid w:val="00753E5F"/>
    <w:rsid w:val="00754189"/>
    <w:rsid w:val="0075427B"/>
    <w:rsid w:val="007542D0"/>
    <w:rsid w:val="00754550"/>
    <w:rsid w:val="00754627"/>
    <w:rsid w:val="007547C0"/>
    <w:rsid w:val="007548AB"/>
    <w:rsid w:val="00754901"/>
    <w:rsid w:val="00754BFD"/>
    <w:rsid w:val="00754C83"/>
    <w:rsid w:val="00754EA7"/>
    <w:rsid w:val="00754EB4"/>
    <w:rsid w:val="00754EC3"/>
    <w:rsid w:val="0075534A"/>
    <w:rsid w:val="00755355"/>
    <w:rsid w:val="007553D0"/>
    <w:rsid w:val="0075543C"/>
    <w:rsid w:val="007555F5"/>
    <w:rsid w:val="00755814"/>
    <w:rsid w:val="00755815"/>
    <w:rsid w:val="0075583C"/>
    <w:rsid w:val="00755976"/>
    <w:rsid w:val="00755C62"/>
    <w:rsid w:val="00756511"/>
    <w:rsid w:val="00756A1B"/>
    <w:rsid w:val="00756CB6"/>
    <w:rsid w:val="00756E4C"/>
    <w:rsid w:val="00756E66"/>
    <w:rsid w:val="00756F34"/>
    <w:rsid w:val="00757265"/>
    <w:rsid w:val="00757270"/>
    <w:rsid w:val="007572C0"/>
    <w:rsid w:val="00757493"/>
    <w:rsid w:val="00757548"/>
    <w:rsid w:val="0075778F"/>
    <w:rsid w:val="007577AE"/>
    <w:rsid w:val="00757842"/>
    <w:rsid w:val="007578E1"/>
    <w:rsid w:val="00757A68"/>
    <w:rsid w:val="00757BE5"/>
    <w:rsid w:val="00757E9E"/>
    <w:rsid w:val="00760160"/>
    <w:rsid w:val="00760823"/>
    <w:rsid w:val="0076100C"/>
    <w:rsid w:val="00761033"/>
    <w:rsid w:val="00761487"/>
    <w:rsid w:val="007616BA"/>
    <w:rsid w:val="0076179B"/>
    <w:rsid w:val="0076180F"/>
    <w:rsid w:val="007619E6"/>
    <w:rsid w:val="00761A1F"/>
    <w:rsid w:val="00761AA1"/>
    <w:rsid w:val="00761B25"/>
    <w:rsid w:val="00761BF4"/>
    <w:rsid w:val="00761E21"/>
    <w:rsid w:val="00761FD5"/>
    <w:rsid w:val="0076208A"/>
    <w:rsid w:val="00762160"/>
    <w:rsid w:val="0076222F"/>
    <w:rsid w:val="007624E8"/>
    <w:rsid w:val="00762631"/>
    <w:rsid w:val="007626BD"/>
    <w:rsid w:val="00762769"/>
    <w:rsid w:val="0076290A"/>
    <w:rsid w:val="00762B75"/>
    <w:rsid w:val="00762C91"/>
    <w:rsid w:val="00762D99"/>
    <w:rsid w:val="00762DC7"/>
    <w:rsid w:val="00762FE8"/>
    <w:rsid w:val="007633AE"/>
    <w:rsid w:val="007634CC"/>
    <w:rsid w:val="007638C4"/>
    <w:rsid w:val="00763D00"/>
    <w:rsid w:val="00764112"/>
    <w:rsid w:val="007641FF"/>
    <w:rsid w:val="00764225"/>
    <w:rsid w:val="007642F8"/>
    <w:rsid w:val="007643F9"/>
    <w:rsid w:val="0076449B"/>
    <w:rsid w:val="00764599"/>
    <w:rsid w:val="007649F7"/>
    <w:rsid w:val="00764D9B"/>
    <w:rsid w:val="00765385"/>
    <w:rsid w:val="007656CC"/>
    <w:rsid w:val="0076582A"/>
    <w:rsid w:val="0076592A"/>
    <w:rsid w:val="007659AD"/>
    <w:rsid w:val="00765AC4"/>
    <w:rsid w:val="00765AE0"/>
    <w:rsid w:val="00765B2C"/>
    <w:rsid w:val="00765C27"/>
    <w:rsid w:val="00765C95"/>
    <w:rsid w:val="00765C99"/>
    <w:rsid w:val="00765D8A"/>
    <w:rsid w:val="00765DB6"/>
    <w:rsid w:val="00765F26"/>
    <w:rsid w:val="0076605B"/>
    <w:rsid w:val="0076617F"/>
    <w:rsid w:val="00766241"/>
    <w:rsid w:val="007662AE"/>
    <w:rsid w:val="007663FB"/>
    <w:rsid w:val="007664EA"/>
    <w:rsid w:val="0076653B"/>
    <w:rsid w:val="007666EB"/>
    <w:rsid w:val="00766894"/>
    <w:rsid w:val="00766ED3"/>
    <w:rsid w:val="00766F91"/>
    <w:rsid w:val="00767163"/>
    <w:rsid w:val="00767169"/>
    <w:rsid w:val="0076748D"/>
    <w:rsid w:val="0076757E"/>
    <w:rsid w:val="00767AEB"/>
    <w:rsid w:val="00767B08"/>
    <w:rsid w:val="00767BB1"/>
    <w:rsid w:val="00767E14"/>
    <w:rsid w:val="00767FC0"/>
    <w:rsid w:val="00770130"/>
    <w:rsid w:val="0077021E"/>
    <w:rsid w:val="00770261"/>
    <w:rsid w:val="00770272"/>
    <w:rsid w:val="0077051F"/>
    <w:rsid w:val="007705E8"/>
    <w:rsid w:val="007706E8"/>
    <w:rsid w:val="00770893"/>
    <w:rsid w:val="00770AAB"/>
    <w:rsid w:val="00770B2D"/>
    <w:rsid w:val="00770B4F"/>
    <w:rsid w:val="00770EB9"/>
    <w:rsid w:val="007711BF"/>
    <w:rsid w:val="007713C3"/>
    <w:rsid w:val="00771689"/>
    <w:rsid w:val="007716F2"/>
    <w:rsid w:val="00771754"/>
    <w:rsid w:val="0077178D"/>
    <w:rsid w:val="00771990"/>
    <w:rsid w:val="00771AB4"/>
    <w:rsid w:val="00771C0A"/>
    <w:rsid w:val="00771D90"/>
    <w:rsid w:val="00771EC5"/>
    <w:rsid w:val="0077213F"/>
    <w:rsid w:val="007726C8"/>
    <w:rsid w:val="007729D1"/>
    <w:rsid w:val="00772ADA"/>
    <w:rsid w:val="00772C73"/>
    <w:rsid w:val="00772E37"/>
    <w:rsid w:val="00772EF4"/>
    <w:rsid w:val="00772F0C"/>
    <w:rsid w:val="00773105"/>
    <w:rsid w:val="00773566"/>
    <w:rsid w:val="0077386F"/>
    <w:rsid w:val="00773883"/>
    <w:rsid w:val="007738E7"/>
    <w:rsid w:val="007739C1"/>
    <w:rsid w:val="00773BA3"/>
    <w:rsid w:val="00773C97"/>
    <w:rsid w:val="00773CE7"/>
    <w:rsid w:val="00773EA0"/>
    <w:rsid w:val="00773EC8"/>
    <w:rsid w:val="00773F22"/>
    <w:rsid w:val="00773FE9"/>
    <w:rsid w:val="00774220"/>
    <w:rsid w:val="007742FD"/>
    <w:rsid w:val="00774426"/>
    <w:rsid w:val="0077461E"/>
    <w:rsid w:val="007747DC"/>
    <w:rsid w:val="00774886"/>
    <w:rsid w:val="007748A1"/>
    <w:rsid w:val="00774906"/>
    <w:rsid w:val="00774B1E"/>
    <w:rsid w:val="00774BA4"/>
    <w:rsid w:val="00774D09"/>
    <w:rsid w:val="00774D3A"/>
    <w:rsid w:val="0077513A"/>
    <w:rsid w:val="0077518E"/>
    <w:rsid w:val="007751CF"/>
    <w:rsid w:val="00775634"/>
    <w:rsid w:val="00775696"/>
    <w:rsid w:val="00775894"/>
    <w:rsid w:val="00775A9B"/>
    <w:rsid w:val="00775B24"/>
    <w:rsid w:val="00775DC1"/>
    <w:rsid w:val="00775E5D"/>
    <w:rsid w:val="00775E8D"/>
    <w:rsid w:val="00775EC7"/>
    <w:rsid w:val="007766D6"/>
    <w:rsid w:val="00776864"/>
    <w:rsid w:val="00776920"/>
    <w:rsid w:val="00776B99"/>
    <w:rsid w:val="00776C18"/>
    <w:rsid w:val="00776C1E"/>
    <w:rsid w:val="00776DFB"/>
    <w:rsid w:val="00776EDF"/>
    <w:rsid w:val="00777020"/>
    <w:rsid w:val="0077722F"/>
    <w:rsid w:val="007778D0"/>
    <w:rsid w:val="00777A1F"/>
    <w:rsid w:val="00777A8A"/>
    <w:rsid w:val="00777BD5"/>
    <w:rsid w:val="00777BDE"/>
    <w:rsid w:val="00777D06"/>
    <w:rsid w:val="00777D87"/>
    <w:rsid w:val="00777EDD"/>
    <w:rsid w:val="00777F06"/>
    <w:rsid w:val="00777F82"/>
    <w:rsid w:val="00780038"/>
    <w:rsid w:val="0078007D"/>
    <w:rsid w:val="00780123"/>
    <w:rsid w:val="007801AF"/>
    <w:rsid w:val="007801EC"/>
    <w:rsid w:val="0078063B"/>
    <w:rsid w:val="007806E0"/>
    <w:rsid w:val="007809C7"/>
    <w:rsid w:val="00780C30"/>
    <w:rsid w:val="00780DB2"/>
    <w:rsid w:val="00780FA3"/>
    <w:rsid w:val="007810E2"/>
    <w:rsid w:val="007812D3"/>
    <w:rsid w:val="00781305"/>
    <w:rsid w:val="00781396"/>
    <w:rsid w:val="00781578"/>
    <w:rsid w:val="007815DA"/>
    <w:rsid w:val="00781614"/>
    <w:rsid w:val="0078176E"/>
    <w:rsid w:val="0078199D"/>
    <w:rsid w:val="007819E0"/>
    <w:rsid w:val="00781A1F"/>
    <w:rsid w:val="00781AE8"/>
    <w:rsid w:val="00781D40"/>
    <w:rsid w:val="00781DA5"/>
    <w:rsid w:val="00781F73"/>
    <w:rsid w:val="00782045"/>
    <w:rsid w:val="00782541"/>
    <w:rsid w:val="00782657"/>
    <w:rsid w:val="0078272F"/>
    <w:rsid w:val="0078285D"/>
    <w:rsid w:val="00782F62"/>
    <w:rsid w:val="00783365"/>
    <w:rsid w:val="007833C0"/>
    <w:rsid w:val="00783518"/>
    <w:rsid w:val="00783567"/>
    <w:rsid w:val="007836A3"/>
    <w:rsid w:val="00783923"/>
    <w:rsid w:val="007839F5"/>
    <w:rsid w:val="00783A68"/>
    <w:rsid w:val="00783C8F"/>
    <w:rsid w:val="00783FC3"/>
    <w:rsid w:val="007843A4"/>
    <w:rsid w:val="007843DE"/>
    <w:rsid w:val="00784632"/>
    <w:rsid w:val="007846F8"/>
    <w:rsid w:val="0078474A"/>
    <w:rsid w:val="0078483A"/>
    <w:rsid w:val="00784862"/>
    <w:rsid w:val="007848BC"/>
    <w:rsid w:val="00784927"/>
    <w:rsid w:val="00784941"/>
    <w:rsid w:val="00784A6F"/>
    <w:rsid w:val="00784AA1"/>
    <w:rsid w:val="00784AE6"/>
    <w:rsid w:val="00784CAD"/>
    <w:rsid w:val="00784F34"/>
    <w:rsid w:val="00784FD9"/>
    <w:rsid w:val="00785318"/>
    <w:rsid w:val="007855C4"/>
    <w:rsid w:val="007856A7"/>
    <w:rsid w:val="00785799"/>
    <w:rsid w:val="007857F3"/>
    <w:rsid w:val="00785862"/>
    <w:rsid w:val="007858F9"/>
    <w:rsid w:val="0078599D"/>
    <w:rsid w:val="007859D4"/>
    <w:rsid w:val="00785AF7"/>
    <w:rsid w:val="00785AFC"/>
    <w:rsid w:val="00785E10"/>
    <w:rsid w:val="00785FC8"/>
    <w:rsid w:val="0078602D"/>
    <w:rsid w:val="0078604D"/>
    <w:rsid w:val="0078607D"/>
    <w:rsid w:val="00786207"/>
    <w:rsid w:val="00786596"/>
    <w:rsid w:val="0078659C"/>
    <w:rsid w:val="0078670B"/>
    <w:rsid w:val="0078698F"/>
    <w:rsid w:val="00787046"/>
    <w:rsid w:val="00787253"/>
    <w:rsid w:val="007872A6"/>
    <w:rsid w:val="0078771A"/>
    <w:rsid w:val="0078790E"/>
    <w:rsid w:val="00787B8D"/>
    <w:rsid w:val="00787F98"/>
    <w:rsid w:val="0079013E"/>
    <w:rsid w:val="00790195"/>
    <w:rsid w:val="00790516"/>
    <w:rsid w:val="00790781"/>
    <w:rsid w:val="00790827"/>
    <w:rsid w:val="0079087E"/>
    <w:rsid w:val="00790A45"/>
    <w:rsid w:val="00790D51"/>
    <w:rsid w:val="00790F3D"/>
    <w:rsid w:val="00790F42"/>
    <w:rsid w:val="00791384"/>
    <w:rsid w:val="00791769"/>
    <w:rsid w:val="007917BB"/>
    <w:rsid w:val="00791831"/>
    <w:rsid w:val="0079185D"/>
    <w:rsid w:val="00791A8A"/>
    <w:rsid w:val="00791AFA"/>
    <w:rsid w:val="00791DDA"/>
    <w:rsid w:val="00791F0A"/>
    <w:rsid w:val="0079214C"/>
    <w:rsid w:val="00792306"/>
    <w:rsid w:val="007923D3"/>
    <w:rsid w:val="00792510"/>
    <w:rsid w:val="007929A3"/>
    <w:rsid w:val="00792A35"/>
    <w:rsid w:val="00792D89"/>
    <w:rsid w:val="00793027"/>
    <w:rsid w:val="0079315F"/>
    <w:rsid w:val="007931B1"/>
    <w:rsid w:val="00793554"/>
    <w:rsid w:val="007935CD"/>
    <w:rsid w:val="00793C40"/>
    <w:rsid w:val="00794073"/>
    <w:rsid w:val="00794185"/>
    <w:rsid w:val="007941FF"/>
    <w:rsid w:val="007942EA"/>
    <w:rsid w:val="00794523"/>
    <w:rsid w:val="0079453C"/>
    <w:rsid w:val="00794605"/>
    <w:rsid w:val="00794782"/>
    <w:rsid w:val="00794865"/>
    <w:rsid w:val="0079499C"/>
    <w:rsid w:val="00794A7C"/>
    <w:rsid w:val="00794F5B"/>
    <w:rsid w:val="00795017"/>
    <w:rsid w:val="00795079"/>
    <w:rsid w:val="007950B2"/>
    <w:rsid w:val="00795414"/>
    <w:rsid w:val="007954A9"/>
    <w:rsid w:val="00795768"/>
    <w:rsid w:val="0079588B"/>
    <w:rsid w:val="007958C4"/>
    <w:rsid w:val="00795CA2"/>
    <w:rsid w:val="00795D1E"/>
    <w:rsid w:val="00795D75"/>
    <w:rsid w:val="00795D9A"/>
    <w:rsid w:val="00795E95"/>
    <w:rsid w:val="00795F3E"/>
    <w:rsid w:val="00796070"/>
    <w:rsid w:val="007960EC"/>
    <w:rsid w:val="007961E3"/>
    <w:rsid w:val="007965A2"/>
    <w:rsid w:val="00796A46"/>
    <w:rsid w:val="00796ABF"/>
    <w:rsid w:val="00796EC1"/>
    <w:rsid w:val="0079702C"/>
    <w:rsid w:val="007973A6"/>
    <w:rsid w:val="00797452"/>
    <w:rsid w:val="00797493"/>
    <w:rsid w:val="00797770"/>
    <w:rsid w:val="007977F4"/>
    <w:rsid w:val="00797824"/>
    <w:rsid w:val="007978C1"/>
    <w:rsid w:val="00797BA6"/>
    <w:rsid w:val="007A0002"/>
    <w:rsid w:val="007A0116"/>
    <w:rsid w:val="007A0210"/>
    <w:rsid w:val="007A06CB"/>
    <w:rsid w:val="007A0709"/>
    <w:rsid w:val="007A076F"/>
    <w:rsid w:val="007A0874"/>
    <w:rsid w:val="007A08B4"/>
    <w:rsid w:val="007A0D09"/>
    <w:rsid w:val="007A0E10"/>
    <w:rsid w:val="007A166E"/>
    <w:rsid w:val="007A182F"/>
    <w:rsid w:val="007A1E30"/>
    <w:rsid w:val="007A1FB4"/>
    <w:rsid w:val="007A2181"/>
    <w:rsid w:val="007A2194"/>
    <w:rsid w:val="007A2491"/>
    <w:rsid w:val="007A2725"/>
    <w:rsid w:val="007A29DF"/>
    <w:rsid w:val="007A2A06"/>
    <w:rsid w:val="007A2A1B"/>
    <w:rsid w:val="007A2A6B"/>
    <w:rsid w:val="007A2C9C"/>
    <w:rsid w:val="007A2CB6"/>
    <w:rsid w:val="007A2DD8"/>
    <w:rsid w:val="007A3279"/>
    <w:rsid w:val="007A3288"/>
    <w:rsid w:val="007A3618"/>
    <w:rsid w:val="007A3A0C"/>
    <w:rsid w:val="007A3A72"/>
    <w:rsid w:val="007A3A93"/>
    <w:rsid w:val="007A3BA1"/>
    <w:rsid w:val="007A3D81"/>
    <w:rsid w:val="007A3F1E"/>
    <w:rsid w:val="007A424C"/>
    <w:rsid w:val="007A4279"/>
    <w:rsid w:val="007A449A"/>
    <w:rsid w:val="007A45BF"/>
    <w:rsid w:val="007A4609"/>
    <w:rsid w:val="007A477F"/>
    <w:rsid w:val="007A4ADF"/>
    <w:rsid w:val="007A4B7A"/>
    <w:rsid w:val="007A4D59"/>
    <w:rsid w:val="007A4D97"/>
    <w:rsid w:val="007A4F5A"/>
    <w:rsid w:val="007A502C"/>
    <w:rsid w:val="007A509A"/>
    <w:rsid w:val="007A50AA"/>
    <w:rsid w:val="007A52A8"/>
    <w:rsid w:val="007A53DD"/>
    <w:rsid w:val="007A545F"/>
    <w:rsid w:val="007A55B7"/>
    <w:rsid w:val="007A55E9"/>
    <w:rsid w:val="007A5693"/>
    <w:rsid w:val="007A5973"/>
    <w:rsid w:val="007A59C0"/>
    <w:rsid w:val="007A5CB6"/>
    <w:rsid w:val="007A5CC7"/>
    <w:rsid w:val="007A5DA3"/>
    <w:rsid w:val="007A5EC1"/>
    <w:rsid w:val="007A5ECB"/>
    <w:rsid w:val="007A5FA0"/>
    <w:rsid w:val="007A602C"/>
    <w:rsid w:val="007A6230"/>
    <w:rsid w:val="007A63DA"/>
    <w:rsid w:val="007A67E8"/>
    <w:rsid w:val="007A68F4"/>
    <w:rsid w:val="007A6A3A"/>
    <w:rsid w:val="007A6A99"/>
    <w:rsid w:val="007A6AF2"/>
    <w:rsid w:val="007A70B4"/>
    <w:rsid w:val="007A771C"/>
    <w:rsid w:val="007A77DC"/>
    <w:rsid w:val="007A79A7"/>
    <w:rsid w:val="007A7A10"/>
    <w:rsid w:val="007A7A18"/>
    <w:rsid w:val="007A7A7D"/>
    <w:rsid w:val="007A7AE4"/>
    <w:rsid w:val="007A7BBD"/>
    <w:rsid w:val="007A7C3B"/>
    <w:rsid w:val="007A7D42"/>
    <w:rsid w:val="007A7EC1"/>
    <w:rsid w:val="007B026C"/>
    <w:rsid w:val="007B03EB"/>
    <w:rsid w:val="007B0412"/>
    <w:rsid w:val="007B080B"/>
    <w:rsid w:val="007B0892"/>
    <w:rsid w:val="007B095F"/>
    <w:rsid w:val="007B0DB5"/>
    <w:rsid w:val="007B0DD7"/>
    <w:rsid w:val="007B0DE6"/>
    <w:rsid w:val="007B115D"/>
    <w:rsid w:val="007B146F"/>
    <w:rsid w:val="007B1505"/>
    <w:rsid w:val="007B159C"/>
    <w:rsid w:val="007B17C2"/>
    <w:rsid w:val="007B18CE"/>
    <w:rsid w:val="007B190B"/>
    <w:rsid w:val="007B1A43"/>
    <w:rsid w:val="007B1B68"/>
    <w:rsid w:val="007B1B88"/>
    <w:rsid w:val="007B1CB3"/>
    <w:rsid w:val="007B1D4A"/>
    <w:rsid w:val="007B202C"/>
    <w:rsid w:val="007B24D7"/>
    <w:rsid w:val="007B24F1"/>
    <w:rsid w:val="007B2845"/>
    <w:rsid w:val="007B2A45"/>
    <w:rsid w:val="007B2B21"/>
    <w:rsid w:val="007B2E09"/>
    <w:rsid w:val="007B363F"/>
    <w:rsid w:val="007B3672"/>
    <w:rsid w:val="007B369E"/>
    <w:rsid w:val="007B3C3D"/>
    <w:rsid w:val="007B3E60"/>
    <w:rsid w:val="007B3F97"/>
    <w:rsid w:val="007B42F1"/>
    <w:rsid w:val="007B4704"/>
    <w:rsid w:val="007B49E4"/>
    <w:rsid w:val="007B4A00"/>
    <w:rsid w:val="007B4AD7"/>
    <w:rsid w:val="007B4ADA"/>
    <w:rsid w:val="007B4E9A"/>
    <w:rsid w:val="007B50FC"/>
    <w:rsid w:val="007B526A"/>
    <w:rsid w:val="007B5497"/>
    <w:rsid w:val="007B58B9"/>
    <w:rsid w:val="007B590D"/>
    <w:rsid w:val="007B5E86"/>
    <w:rsid w:val="007B5E9D"/>
    <w:rsid w:val="007B607F"/>
    <w:rsid w:val="007B616B"/>
    <w:rsid w:val="007B634E"/>
    <w:rsid w:val="007B63AD"/>
    <w:rsid w:val="007B65C5"/>
    <w:rsid w:val="007B65D9"/>
    <w:rsid w:val="007B66B1"/>
    <w:rsid w:val="007B67AF"/>
    <w:rsid w:val="007B68BE"/>
    <w:rsid w:val="007B68FE"/>
    <w:rsid w:val="007B6ACF"/>
    <w:rsid w:val="007B6AD6"/>
    <w:rsid w:val="007B6B08"/>
    <w:rsid w:val="007B6BCF"/>
    <w:rsid w:val="007B6C18"/>
    <w:rsid w:val="007B6F48"/>
    <w:rsid w:val="007B704D"/>
    <w:rsid w:val="007B711D"/>
    <w:rsid w:val="007B737E"/>
    <w:rsid w:val="007B7384"/>
    <w:rsid w:val="007B7575"/>
    <w:rsid w:val="007B77C8"/>
    <w:rsid w:val="007B78C5"/>
    <w:rsid w:val="007B79F8"/>
    <w:rsid w:val="007B7A14"/>
    <w:rsid w:val="007B7A5A"/>
    <w:rsid w:val="007B7E88"/>
    <w:rsid w:val="007B7FA4"/>
    <w:rsid w:val="007C00F7"/>
    <w:rsid w:val="007C0129"/>
    <w:rsid w:val="007C01C1"/>
    <w:rsid w:val="007C07A0"/>
    <w:rsid w:val="007C07C0"/>
    <w:rsid w:val="007C09BB"/>
    <w:rsid w:val="007C0B14"/>
    <w:rsid w:val="007C0CB7"/>
    <w:rsid w:val="007C0D96"/>
    <w:rsid w:val="007C0EFD"/>
    <w:rsid w:val="007C0F53"/>
    <w:rsid w:val="007C0FD5"/>
    <w:rsid w:val="007C0FF7"/>
    <w:rsid w:val="007C10DF"/>
    <w:rsid w:val="007C11DD"/>
    <w:rsid w:val="007C128F"/>
    <w:rsid w:val="007C1345"/>
    <w:rsid w:val="007C1603"/>
    <w:rsid w:val="007C1702"/>
    <w:rsid w:val="007C1CB6"/>
    <w:rsid w:val="007C1D8A"/>
    <w:rsid w:val="007C220D"/>
    <w:rsid w:val="007C22E3"/>
    <w:rsid w:val="007C2494"/>
    <w:rsid w:val="007C2497"/>
    <w:rsid w:val="007C24DF"/>
    <w:rsid w:val="007C2636"/>
    <w:rsid w:val="007C268E"/>
    <w:rsid w:val="007C270D"/>
    <w:rsid w:val="007C29F8"/>
    <w:rsid w:val="007C2A8F"/>
    <w:rsid w:val="007C2E27"/>
    <w:rsid w:val="007C2E3A"/>
    <w:rsid w:val="007C2E3C"/>
    <w:rsid w:val="007C2E93"/>
    <w:rsid w:val="007C31DE"/>
    <w:rsid w:val="007C3237"/>
    <w:rsid w:val="007C3262"/>
    <w:rsid w:val="007C3274"/>
    <w:rsid w:val="007C339B"/>
    <w:rsid w:val="007C33C5"/>
    <w:rsid w:val="007C3566"/>
    <w:rsid w:val="007C35EE"/>
    <w:rsid w:val="007C3630"/>
    <w:rsid w:val="007C3669"/>
    <w:rsid w:val="007C36AC"/>
    <w:rsid w:val="007C3832"/>
    <w:rsid w:val="007C39F5"/>
    <w:rsid w:val="007C3A6B"/>
    <w:rsid w:val="007C3B8F"/>
    <w:rsid w:val="007C3C5D"/>
    <w:rsid w:val="007C3F83"/>
    <w:rsid w:val="007C40ED"/>
    <w:rsid w:val="007C41C4"/>
    <w:rsid w:val="007C4269"/>
    <w:rsid w:val="007C4358"/>
    <w:rsid w:val="007C44A3"/>
    <w:rsid w:val="007C470F"/>
    <w:rsid w:val="007C4BD5"/>
    <w:rsid w:val="007C4DED"/>
    <w:rsid w:val="007C4FB2"/>
    <w:rsid w:val="007C517A"/>
    <w:rsid w:val="007C51D5"/>
    <w:rsid w:val="007C55F7"/>
    <w:rsid w:val="007C57AD"/>
    <w:rsid w:val="007C58D2"/>
    <w:rsid w:val="007C5A99"/>
    <w:rsid w:val="007C5BD3"/>
    <w:rsid w:val="007C5D3C"/>
    <w:rsid w:val="007C69C0"/>
    <w:rsid w:val="007C6D82"/>
    <w:rsid w:val="007C72E8"/>
    <w:rsid w:val="007C757E"/>
    <w:rsid w:val="007C7623"/>
    <w:rsid w:val="007C783A"/>
    <w:rsid w:val="007C7C03"/>
    <w:rsid w:val="007C7CD0"/>
    <w:rsid w:val="007C7DDE"/>
    <w:rsid w:val="007C7E7A"/>
    <w:rsid w:val="007C7F76"/>
    <w:rsid w:val="007C7FE7"/>
    <w:rsid w:val="007D01AA"/>
    <w:rsid w:val="007D05DE"/>
    <w:rsid w:val="007D073C"/>
    <w:rsid w:val="007D0889"/>
    <w:rsid w:val="007D0E14"/>
    <w:rsid w:val="007D0EB5"/>
    <w:rsid w:val="007D0F4A"/>
    <w:rsid w:val="007D10D5"/>
    <w:rsid w:val="007D136A"/>
    <w:rsid w:val="007D18D5"/>
    <w:rsid w:val="007D1A24"/>
    <w:rsid w:val="007D1AAC"/>
    <w:rsid w:val="007D1ABE"/>
    <w:rsid w:val="007D2032"/>
    <w:rsid w:val="007D2061"/>
    <w:rsid w:val="007D2174"/>
    <w:rsid w:val="007D2401"/>
    <w:rsid w:val="007D24E8"/>
    <w:rsid w:val="007D24F3"/>
    <w:rsid w:val="007D25C6"/>
    <w:rsid w:val="007D2636"/>
    <w:rsid w:val="007D26FB"/>
    <w:rsid w:val="007D2935"/>
    <w:rsid w:val="007D2A49"/>
    <w:rsid w:val="007D2CB9"/>
    <w:rsid w:val="007D2D1E"/>
    <w:rsid w:val="007D2EE9"/>
    <w:rsid w:val="007D314F"/>
    <w:rsid w:val="007D3288"/>
    <w:rsid w:val="007D3385"/>
    <w:rsid w:val="007D3522"/>
    <w:rsid w:val="007D354E"/>
    <w:rsid w:val="007D371D"/>
    <w:rsid w:val="007D39E3"/>
    <w:rsid w:val="007D3E53"/>
    <w:rsid w:val="007D4199"/>
    <w:rsid w:val="007D41F1"/>
    <w:rsid w:val="007D47F1"/>
    <w:rsid w:val="007D48BB"/>
    <w:rsid w:val="007D4988"/>
    <w:rsid w:val="007D4A7B"/>
    <w:rsid w:val="007D4A9F"/>
    <w:rsid w:val="007D4AE3"/>
    <w:rsid w:val="007D4CF4"/>
    <w:rsid w:val="007D4F42"/>
    <w:rsid w:val="007D53B9"/>
    <w:rsid w:val="007D5586"/>
    <w:rsid w:val="007D5DF2"/>
    <w:rsid w:val="007D5E68"/>
    <w:rsid w:val="007D5F4A"/>
    <w:rsid w:val="007D5FDB"/>
    <w:rsid w:val="007D6037"/>
    <w:rsid w:val="007D65B5"/>
    <w:rsid w:val="007D661D"/>
    <w:rsid w:val="007D6A91"/>
    <w:rsid w:val="007D6BAB"/>
    <w:rsid w:val="007D6BB1"/>
    <w:rsid w:val="007D6C34"/>
    <w:rsid w:val="007D6D5E"/>
    <w:rsid w:val="007D6F0F"/>
    <w:rsid w:val="007D7032"/>
    <w:rsid w:val="007D70A2"/>
    <w:rsid w:val="007D7100"/>
    <w:rsid w:val="007D726E"/>
    <w:rsid w:val="007D73B3"/>
    <w:rsid w:val="007D74E1"/>
    <w:rsid w:val="007D7533"/>
    <w:rsid w:val="007D7709"/>
    <w:rsid w:val="007D7C84"/>
    <w:rsid w:val="007D7CA4"/>
    <w:rsid w:val="007D7D7D"/>
    <w:rsid w:val="007D7F01"/>
    <w:rsid w:val="007E0529"/>
    <w:rsid w:val="007E06B6"/>
    <w:rsid w:val="007E0779"/>
    <w:rsid w:val="007E084C"/>
    <w:rsid w:val="007E0D05"/>
    <w:rsid w:val="007E0D0E"/>
    <w:rsid w:val="007E146E"/>
    <w:rsid w:val="007E1600"/>
    <w:rsid w:val="007E1946"/>
    <w:rsid w:val="007E19E2"/>
    <w:rsid w:val="007E1CEE"/>
    <w:rsid w:val="007E1FD0"/>
    <w:rsid w:val="007E2090"/>
    <w:rsid w:val="007E216E"/>
    <w:rsid w:val="007E2292"/>
    <w:rsid w:val="007E23B4"/>
    <w:rsid w:val="007E24C6"/>
    <w:rsid w:val="007E282F"/>
    <w:rsid w:val="007E2B73"/>
    <w:rsid w:val="007E2BB9"/>
    <w:rsid w:val="007E2C3A"/>
    <w:rsid w:val="007E2C80"/>
    <w:rsid w:val="007E2D1E"/>
    <w:rsid w:val="007E34E6"/>
    <w:rsid w:val="007E3521"/>
    <w:rsid w:val="007E36A7"/>
    <w:rsid w:val="007E3B4D"/>
    <w:rsid w:val="007E3B5B"/>
    <w:rsid w:val="007E3BA1"/>
    <w:rsid w:val="007E3CC6"/>
    <w:rsid w:val="007E3D6B"/>
    <w:rsid w:val="007E3F20"/>
    <w:rsid w:val="007E4100"/>
    <w:rsid w:val="007E4416"/>
    <w:rsid w:val="007E44A6"/>
    <w:rsid w:val="007E46AC"/>
    <w:rsid w:val="007E4844"/>
    <w:rsid w:val="007E4853"/>
    <w:rsid w:val="007E4B6E"/>
    <w:rsid w:val="007E4BFD"/>
    <w:rsid w:val="007E52EC"/>
    <w:rsid w:val="007E5446"/>
    <w:rsid w:val="007E55DA"/>
    <w:rsid w:val="007E56C6"/>
    <w:rsid w:val="007E583F"/>
    <w:rsid w:val="007E5AF3"/>
    <w:rsid w:val="007E5CBB"/>
    <w:rsid w:val="007E5DF6"/>
    <w:rsid w:val="007E62D4"/>
    <w:rsid w:val="007E62D8"/>
    <w:rsid w:val="007E648B"/>
    <w:rsid w:val="007E6783"/>
    <w:rsid w:val="007E684C"/>
    <w:rsid w:val="007E6B90"/>
    <w:rsid w:val="007E77E8"/>
    <w:rsid w:val="007E7B31"/>
    <w:rsid w:val="007E7C20"/>
    <w:rsid w:val="007E7C75"/>
    <w:rsid w:val="007E7CEE"/>
    <w:rsid w:val="007E7F45"/>
    <w:rsid w:val="007E7F72"/>
    <w:rsid w:val="007F0469"/>
    <w:rsid w:val="007F07D7"/>
    <w:rsid w:val="007F086D"/>
    <w:rsid w:val="007F087C"/>
    <w:rsid w:val="007F08E4"/>
    <w:rsid w:val="007F0A23"/>
    <w:rsid w:val="007F0BF1"/>
    <w:rsid w:val="007F0C9A"/>
    <w:rsid w:val="007F0EA8"/>
    <w:rsid w:val="007F0FB4"/>
    <w:rsid w:val="007F10BB"/>
    <w:rsid w:val="007F10C7"/>
    <w:rsid w:val="007F1238"/>
    <w:rsid w:val="007F1406"/>
    <w:rsid w:val="007F150D"/>
    <w:rsid w:val="007F189A"/>
    <w:rsid w:val="007F1CF6"/>
    <w:rsid w:val="007F1E82"/>
    <w:rsid w:val="007F23AF"/>
    <w:rsid w:val="007F2493"/>
    <w:rsid w:val="007F25D0"/>
    <w:rsid w:val="007F27B0"/>
    <w:rsid w:val="007F2A24"/>
    <w:rsid w:val="007F2CAD"/>
    <w:rsid w:val="007F2D47"/>
    <w:rsid w:val="007F2D7F"/>
    <w:rsid w:val="007F2F76"/>
    <w:rsid w:val="007F2FD2"/>
    <w:rsid w:val="007F309D"/>
    <w:rsid w:val="007F31D7"/>
    <w:rsid w:val="007F3270"/>
    <w:rsid w:val="007F3473"/>
    <w:rsid w:val="007F3499"/>
    <w:rsid w:val="007F3935"/>
    <w:rsid w:val="007F396B"/>
    <w:rsid w:val="007F3C4B"/>
    <w:rsid w:val="007F40AF"/>
    <w:rsid w:val="007F4176"/>
    <w:rsid w:val="007F4835"/>
    <w:rsid w:val="007F495B"/>
    <w:rsid w:val="007F49B3"/>
    <w:rsid w:val="007F4A0E"/>
    <w:rsid w:val="007F4A71"/>
    <w:rsid w:val="007F4A72"/>
    <w:rsid w:val="007F4A85"/>
    <w:rsid w:val="007F4B29"/>
    <w:rsid w:val="007F4C4A"/>
    <w:rsid w:val="007F4CBA"/>
    <w:rsid w:val="007F500B"/>
    <w:rsid w:val="007F5052"/>
    <w:rsid w:val="007F5080"/>
    <w:rsid w:val="007F5100"/>
    <w:rsid w:val="007F5159"/>
    <w:rsid w:val="007F51F1"/>
    <w:rsid w:val="007F5491"/>
    <w:rsid w:val="007F549A"/>
    <w:rsid w:val="007F569D"/>
    <w:rsid w:val="007F58A6"/>
    <w:rsid w:val="007F5973"/>
    <w:rsid w:val="007F5AE7"/>
    <w:rsid w:val="007F5B86"/>
    <w:rsid w:val="007F5C96"/>
    <w:rsid w:val="007F5D1A"/>
    <w:rsid w:val="007F5DD5"/>
    <w:rsid w:val="007F626B"/>
    <w:rsid w:val="007F62AB"/>
    <w:rsid w:val="007F63D6"/>
    <w:rsid w:val="007F63F3"/>
    <w:rsid w:val="007F64FF"/>
    <w:rsid w:val="007F6A30"/>
    <w:rsid w:val="007F6ACC"/>
    <w:rsid w:val="007F6BD6"/>
    <w:rsid w:val="007F6C45"/>
    <w:rsid w:val="007F6FFA"/>
    <w:rsid w:val="007F746A"/>
    <w:rsid w:val="007F7604"/>
    <w:rsid w:val="007F76A9"/>
    <w:rsid w:val="007F771E"/>
    <w:rsid w:val="007F7920"/>
    <w:rsid w:val="007F7A97"/>
    <w:rsid w:val="007F7A9E"/>
    <w:rsid w:val="007F7C7F"/>
    <w:rsid w:val="007F7D04"/>
    <w:rsid w:val="007F7D65"/>
    <w:rsid w:val="0080007D"/>
    <w:rsid w:val="00800115"/>
    <w:rsid w:val="0080015F"/>
    <w:rsid w:val="00800394"/>
    <w:rsid w:val="0080040E"/>
    <w:rsid w:val="00800544"/>
    <w:rsid w:val="00800567"/>
    <w:rsid w:val="008006A5"/>
    <w:rsid w:val="008006F6"/>
    <w:rsid w:val="00800917"/>
    <w:rsid w:val="00800A52"/>
    <w:rsid w:val="008010AD"/>
    <w:rsid w:val="008010CE"/>
    <w:rsid w:val="0080116E"/>
    <w:rsid w:val="00801264"/>
    <w:rsid w:val="00801619"/>
    <w:rsid w:val="008017C2"/>
    <w:rsid w:val="008019B4"/>
    <w:rsid w:val="00801E4A"/>
    <w:rsid w:val="00801F47"/>
    <w:rsid w:val="00802503"/>
    <w:rsid w:val="00802696"/>
    <w:rsid w:val="00802A5A"/>
    <w:rsid w:val="00802ADA"/>
    <w:rsid w:val="00802D7C"/>
    <w:rsid w:val="00803231"/>
    <w:rsid w:val="00803636"/>
    <w:rsid w:val="008037BD"/>
    <w:rsid w:val="00803F45"/>
    <w:rsid w:val="00803F4D"/>
    <w:rsid w:val="00803FEC"/>
    <w:rsid w:val="00804059"/>
    <w:rsid w:val="0080413F"/>
    <w:rsid w:val="008042F4"/>
    <w:rsid w:val="00804364"/>
    <w:rsid w:val="00804460"/>
    <w:rsid w:val="00804606"/>
    <w:rsid w:val="00804696"/>
    <w:rsid w:val="00804789"/>
    <w:rsid w:val="008047C6"/>
    <w:rsid w:val="00804BB3"/>
    <w:rsid w:val="00804F29"/>
    <w:rsid w:val="008050E0"/>
    <w:rsid w:val="00805349"/>
    <w:rsid w:val="00805763"/>
    <w:rsid w:val="00805A26"/>
    <w:rsid w:val="00805ABD"/>
    <w:rsid w:val="00805AD5"/>
    <w:rsid w:val="00805B47"/>
    <w:rsid w:val="00806148"/>
    <w:rsid w:val="00806280"/>
    <w:rsid w:val="008063E2"/>
    <w:rsid w:val="0080648A"/>
    <w:rsid w:val="00806CBE"/>
    <w:rsid w:val="00806FB9"/>
    <w:rsid w:val="008070A6"/>
    <w:rsid w:val="00807152"/>
    <w:rsid w:val="00807542"/>
    <w:rsid w:val="008078FF"/>
    <w:rsid w:val="008079C4"/>
    <w:rsid w:val="00807B14"/>
    <w:rsid w:val="00807BAE"/>
    <w:rsid w:val="00807CBA"/>
    <w:rsid w:val="0081022A"/>
    <w:rsid w:val="008103CB"/>
    <w:rsid w:val="008104A6"/>
    <w:rsid w:val="0081050C"/>
    <w:rsid w:val="0081054C"/>
    <w:rsid w:val="008105FE"/>
    <w:rsid w:val="008108CD"/>
    <w:rsid w:val="00810CE4"/>
    <w:rsid w:val="00810DB6"/>
    <w:rsid w:val="00810F06"/>
    <w:rsid w:val="00810FD0"/>
    <w:rsid w:val="008111B2"/>
    <w:rsid w:val="00811460"/>
    <w:rsid w:val="008114AB"/>
    <w:rsid w:val="008114C8"/>
    <w:rsid w:val="00811528"/>
    <w:rsid w:val="00811AB5"/>
    <w:rsid w:val="00811EC8"/>
    <w:rsid w:val="00811EE7"/>
    <w:rsid w:val="00811F90"/>
    <w:rsid w:val="00811FAA"/>
    <w:rsid w:val="0081207E"/>
    <w:rsid w:val="008120E8"/>
    <w:rsid w:val="00812186"/>
    <w:rsid w:val="008121B7"/>
    <w:rsid w:val="008124FD"/>
    <w:rsid w:val="00812501"/>
    <w:rsid w:val="008127B2"/>
    <w:rsid w:val="008127CD"/>
    <w:rsid w:val="00812B81"/>
    <w:rsid w:val="00812BE0"/>
    <w:rsid w:val="0081316C"/>
    <w:rsid w:val="008131BD"/>
    <w:rsid w:val="008133B0"/>
    <w:rsid w:val="008133E3"/>
    <w:rsid w:val="00813A58"/>
    <w:rsid w:val="00813A98"/>
    <w:rsid w:val="00813B52"/>
    <w:rsid w:val="00813E70"/>
    <w:rsid w:val="00814046"/>
    <w:rsid w:val="008140FA"/>
    <w:rsid w:val="00814769"/>
    <w:rsid w:val="00814D1D"/>
    <w:rsid w:val="00814DF8"/>
    <w:rsid w:val="00814FD7"/>
    <w:rsid w:val="00815039"/>
    <w:rsid w:val="00815264"/>
    <w:rsid w:val="0081531A"/>
    <w:rsid w:val="00815857"/>
    <w:rsid w:val="008159A9"/>
    <w:rsid w:val="00815A99"/>
    <w:rsid w:val="00815BBC"/>
    <w:rsid w:val="00815C47"/>
    <w:rsid w:val="00815E87"/>
    <w:rsid w:val="00816346"/>
    <w:rsid w:val="008164AE"/>
    <w:rsid w:val="00816762"/>
    <w:rsid w:val="00816BBD"/>
    <w:rsid w:val="00816D09"/>
    <w:rsid w:val="00816DA5"/>
    <w:rsid w:val="00816DBD"/>
    <w:rsid w:val="00817082"/>
    <w:rsid w:val="008170A9"/>
    <w:rsid w:val="00817283"/>
    <w:rsid w:val="008172A2"/>
    <w:rsid w:val="008173C6"/>
    <w:rsid w:val="00817500"/>
    <w:rsid w:val="008175FE"/>
    <w:rsid w:val="00817724"/>
    <w:rsid w:val="00817725"/>
    <w:rsid w:val="0081786B"/>
    <w:rsid w:val="0081787A"/>
    <w:rsid w:val="008178FB"/>
    <w:rsid w:val="00817A70"/>
    <w:rsid w:val="00817ABD"/>
    <w:rsid w:val="00817E37"/>
    <w:rsid w:val="00817E81"/>
    <w:rsid w:val="008200B7"/>
    <w:rsid w:val="008201C8"/>
    <w:rsid w:val="008206EE"/>
    <w:rsid w:val="0082086E"/>
    <w:rsid w:val="00820AA8"/>
    <w:rsid w:val="00820B11"/>
    <w:rsid w:val="00820BEA"/>
    <w:rsid w:val="008211FA"/>
    <w:rsid w:val="0082126B"/>
    <w:rsid w:val="00821629"/>
    <w:rsid w:val="00821CF7"/>
    <w:rsid w:val="00821D70"/>
    <w:rsid w:val="0082216A"/>
    <w:rsid w:val="0082246F"/>
    <w:rsid w:val="008224AF"/>
    <w:rsid w:val="008225F3"/>
    <w:rsid w:val="0082261F"/>
    <w:rsid w:val="0082263A"/>
    <w:rsid w:val="008226AC"/>
    <w:rsid w:val="00822723"/>
    <w:rsid w:val="008227AD"/>
    <w:rsid w:val="008227F8"/>
    <w:rsid w:val="0082283B"/>
    <w:rsid w:val="0082296B"/>
    <w:rsid w:val="00822ADC"/>
    <w:rsid w:val="00822CD8"/>
    <w:rsid w:val="00822DCF"/>
    <w:rsid w:val="00823087"/>
    <w:rsid w:val="00823298"/>
    <w:rsid w:val="00823548"/>
    <w:rsid w:val="008235A3"/>
    <w:rsid w:val="00823939"/>
    <w:rsid w:val="00823A01"/>
    <w:rsid w:val="00823A6E"/>
    <w:rsid w:val="00823B20"/>
    <w:rsid w:val="00823CF4"/>
    <w:rsid w:val="00823DAD"/>
    <w:rsid w:val="00823F01"/>
    <w:rsid w:val="00823F1F"/>
    <w:rsid w:val="0082432F"/>
    <w:rsid w:val="00824476"/>
    <w:rsid w:val="00824695"/>
    <w:rsid w:val="00824718"/>
    <w:rsid w:val="0082481C"/>
    <w:rsid w:val="008248A4"/>
    <w:rsid w:val="008248AF"/>
    <w:rsid w:val="00824A1D"/>
    <w:rsid w:val="00824B20"/>
    <w:rsid w:val="00824B51"/>
    <w:rsid w:val="008256EF"/>
    <w:rsid w:val="008257A1"/>
    <w:rsid w:val="008258CC"/>
    <w:rsid w:val="00825A43"/>
    <w:rsid w:val="00825AC9"/>
    <w:rsid w:val="00825E16"/>
    <w:rsid w:val="00825E73"/>
    <w:rsid w:val="00825F1E"/>
    <w:rsid w:val="00825FA4"/>
    <w:rsid w:val="00825FAA"/>
    <w:rsid w:val="0082611D"/>
    <w:rsid w:val="0082619C"/>
    <w:rsid w:val="008261CE"/>
    <w:rsid w:val="008266B0"/>
    <w:rsid w:val="00826798"/>
    <w:rsid w:val="00826B63"/>
    <w:rsid w:val="00826C13"/>
    <w:rsid w:val="00826ECD"/>
    <w:rsid w:val="00826F8D"/>
    <w:rsid w:val="0082748D"/>
    <w:rsid w:val="0082777B"/>
    <w:rsid w:val="00827B27"/>
    <w:rsid w:val="00827B98"/>
    <w:rsid w:val="00827E16"/>
    <w:rsid w:val="00827E40"/>
    <w:rsid w:val="008302F3"/>
    <w:rsid w:val="008303DC"/>
    <w:rsid w:val="00830502"/>
    <w:rsid w:val="008305B4"/>
    <w:rsid w:val="008305EE"/>
    <w:rsid w:val="0083061D"/>
    <w:rsid w:val="00830B8A"/>
    <w:rsid w:val="00830DFB"/>
    <w:rsid w:val="00830E90"/>
    <w:rsid w:val="00831049"/>
    <w:rsid w:val="00831122"/>
    <w:rsid w:val="00831454"/>
    <w:rsid w:val="008314A4"/>
    <w:rsid w:val="008316D9"/>
    <w:rsid w:val="00831854"/>
    <w:rsid w:val="008318E3"/>
    <w:rsid w:val="00831CF8"/>
    <w:rsid w:val="00831D2C"/>
    <w:rsid w:val="00831D50"/>
    <w:rsid w:val="00831DB7"/>
    <w:rsid w:val="00831DCA"/>
    <w:rsid w:val="00831EC6"/>
    <w:rsid w:val="00831EEC"/>
    <w:rsid w:val="00831F19"/>
    <w:rsid w:val="008320EA"/>
    <w:rsid w:val="008321BC"/>
    <w:rsid w:val="0083242D"/>
    <w:rsid w:val="00832538"/>
    <w:rsid w:val="0083258E"/>
    <w:rsid w:val="00832684"/>
    <w:rsid w:val="008326A4"/>
    <w:rsid w:val="00832C5B"/>
    <w:rsid w:val="00832C63"/>
    <w:rsid w:val="00832D34"/>
    <w:rsid w:val="00833160"/>
    <w:rsid w:val="00833248"/>
    <w:rsid w:val="00833667"/>
    <w:rsid w:val="00833840"/>
    <w:rsid w:val="008339CD"/>
    <w:rsid w:val="00833A2F"/>
    <w:rsid w:val="00833A6F"/>
    <w:rsid w:val="00833C0D"/>
    <w:rsid w:val="00833E5E"/>
    <w:rsid w:val="00833EC7"/>
    <w:rsid w:val="00833EC9"/>
    <w:rsid w:val="008344DD"/>
    <w:rsid w:val="0083486A"/>
    <w:rsid w:val="00834BCD"/>
    <w:rsid w:val="00834E40"/>
    <w:rsid w:val="00835332"/>
    <w:rsid w:val="00835487"/>
    <w:rsid w:val="008354E2"/>
    <w:rsid w:val="00835696"/>
    <w:rsid w:val="008357C5"/>
    <w:rsid w:val="008357E0"/>
    <w:rsid w:val="00835B6F"/>
    <w:rsid w:val="00835E48"/>
    <w:rsid w:val="00836210"/>
    <w:rsid w:val="008365DC"/>
    <w:rsid w:val="008365EC"/>
    <w:rsid w:val="008367CD"/>
    <w:rsid w:val="00836ECA"/>
    <w:rsid w:val="00836F36"/>
    <w:rsid w:val="008372ED"/>
    <w:rsid w:val="00837404"/>
    <w:rsid w:val="008375E4"/>
    <w:rsid w:val="00837756"/>
    <w:rsid w:val="00837968"/>
    <w:rsid w:val="008379B6"/>
    <w:rsid w:val="008379CF"/>
    <w:rsid w:val="00837F6B"/>
    <w:rsid w:val="008401B2"/>
    <w:rsid w:val="0084066B"/>
    <w:rsid w:val="00840859"/>
    <w:rsid w:val="00840A7A"/>
    <w:rsid w:val="00840AEC"/>
    <w:rsid w:val="00840BEB"/>
    <w:rsid w:val="00840E19"/>
    <w:rsid w:val="008412C0"/>
    <w:rsid w:val="00841498"/>
    <w:rsid w:val="0084188A"/>
    <w:rsid w:val="0084191B"/>
    <w:rsid w:val="00841B6F"/>
    <w:rsid w:val="00841DA4"/>
    <w:rsid w:val="00841EA7"/>
    <w:rsid w:val="00841EE0"/>
    <w:rsid w:val="00842418"/>
    <w:rsid w:val="00842535"/>
    <w:rsid w:val="00842897"/>
    <w:rsid w:val="00842945"/>
    <w:rsid w:val="00842CE8"/>
    <w:rsid w:val="00843128"/>
    <w:rsid w:val="00843261"/>
    <w:rsid w:val="008435C7"/>
    <w:rsid w:val="008435D2"/>
    <w:rsid w:val="008436A8"/>
    <w:rsid w:val="008437BD"/>
    <w:rsid w:val="008438C1"/>
    <w:rsid w:val="00843955"/>
    <w:rsid w:val="00843B3A"/>
    <w:rsid w:val="00843B46"/>
    <w:rsid w:val="00843CED"/>
    <w:rsid w:val="00843CF4"/>
    <w:rsid w:val="00843E6B"/>
    <w:rsid w:val="008440B3"/>
    <w:rsid w:val="00844127"/>
    <w:rsid w:val="00844297"/>
    <w:rsid w:val="00844CCD"/>
    <w:rsid w:val="00844E17"/>
    <w:rsid w:val="00845596"/>
    <w:rsid w:val="008459B0"/>
    <w:rsid w:val="00845B0E"/>
    <w:rsid w:val="00845E4E"/>
    <w:rsid w:val="00845E70"/>
    <w:rsid w:val="008462C0"/>
    <w:rsid w:val="00846306"/>
    <w:rsid w:val="0084666E"/>
    <w:rsid w:val="00846688"/>
    <w:rsid w:val="00847551"/>
    <w:rsid w:val="00847587"/>
    <w:rsid w:val="008477F0"/>
    <w:rsid w:val="00847AD9"/>
    <w:rsid w:val="00847BE9"/>
    <w:rsid w:val="00847C7F"/>
    <w:rsid w:val="00850388"/>
    <w:rsid w:val="00850546"/>
    <w:rsid w:val="00850638"/>
    <w:rsid w:val="00850C41"/>
    <w:rsid w:val="00850F41"/>
    <w:rsid w:val="00851029"/>
    <w:rsid w:val="00851095"/>
    <w:rsid w:val="0085111B"/>
    <w:rsid w:val="008514C4"/>
    <w:rsid w:val="008516B8"/>
    <w:rsid w:val="008516FE"/>
    <w:rsid w:val="00851906"/>
    <w:rsid w:val="008519DC"/>
    <w:rsid w:val="00851F9D"/>
    <w:rsid w:val="00852324"/>
    <w:rsid w:val="008523BD"/>
    <w:rsid w:val="008524EF"/>
    <w:rsid w:val="00852549"/>
    <w:rsid w:val="0085276C"/>
    <w:rsid w:val="00852952"/>
    <w:rsid w:val="00852A6E"/>
    <w:rsid w:val="00852B27"/>
    <w:rsid w:val="00852C4C"/>
    <w:rsid w:val="00852DF1"/>
    <w:rsid w:val="00852E3F"/>
    <w:rsid w:val="00852F57"/>
    <w:rsid w:val="00852F6A"/>
    <w:rsid w:val="00852FA8"/>
    <w:rsid w:val="008537B6"/>
    <w:rsid w:val="008537C5"/>
    <w:rsid w:val="0085389F"/>
    <w:rsid w:val="00853B79"/>
    <w:rsid w:val="00853CC8"/>
    <w:rsid w:val="00853F31"/>
    <w:rsid w:val="0085412F"/>
    <w:rsid w:val="00854238"/>
    <w:rsid w:val="00854525"/>
    <w:rsid w:val="008546C2"/>
    <w:rsid w:val="00854883"/>
    <w:rsid w:val="00854BE6"/>
    <w:rsid w:val="00854D50"/>
    <w:rsid w:val="00854E0F"/>
    <w:rsid w:val="00854F65"/>
    <w:rsid w:val="0085549E"/>
    <w:rsid w:val="0085556D"/>
    <w:rsid w:val="00855615"/>
    <w:rsid w:val="0085562A"/>
    <w:rsid w:val="00855A82"/>
    <w:rsid w:val="00855B3D"/>
    <w:rsid w:val="0085625B"/>
    <w:rsid w:val="00856279"/>
    <w:rsid w:val="00856342"/>
    <w:rsid w:val="008563AA"/>
    <w:rsid w:val="00856444"/>
    <w:rsid w:val="0085696A"/>
    <w:rsid w:val="00856CC4"/>
    <w:rsid w:val="00856EE2"/>
    <w:rsid w:val="00857138"/>
    <w:rsid w:val="0085751F"/>
    <w:rsid w:val="0085787C"/>
    <w:rsid w:val="008578C2"/>
    <w:rsid w:val="0085791D"/>
    <w:rsid w:val="00857A9C"/>
    <w:rsid w:val="00857FB0"/>
    <w:rsid w:val="0086005E"/>
    <w:rsid w:val="008604B3"/>
    <w:rsid w:val="00860512"/>
    <w:rsid w:val="008606F0"/>
    <w:rsid w:val="00860828"/>
    <w:rsid w:val="00860945"/>
    <w:rsid w:val="00860C20"/>
    <w:rsid w:val="00860CBB"/>
    <w:rsid w:val="00860CD7"/>
    <w:rsid w:val="00860D18"/>
    <w:rsid w:val="00860E24"/>
    <w:rsid w:val="00860F96"/>
    <w:rsid w:val="00860FA5"/>
    <w:rsid w:val="00861278"/>
    <w:rsid w:val="008615BC"/>
    <w:rsid w:val="008616A6"/>
    <w:rsid w:val="00861868"/>
    <w:rsid w:val="008618C0"/>
    <w:rsid w:val="00861C80"/>
    <w:rsid w:val="00861CC1"/>
    <w:rsid w:val="00861CED"/>
    <w:rsid w:val="00861FA2"/>
    <w:rsid w:val="00862127"/>
    <w:rsid w:val="00862153"/>
    <w:rsid w:val="00862226"/>
    <w:rsid w:val="008623A2"/>
    <w:rsid w:val="0086242E"/>
    <w:rsid w:val="00862566"/>
    <w:rsid w:val="0086264F"/>
    <w:rsid w:val="008627C7"/>
    <w:rsid w:val="008627EA"/>
    <w:rsid w:val="008627FF"/>
    <w:rsid w:val="00862938"/>
    <w:rsid w:val="008629A4"/>
    <w:rsid w:val="00862CC2"/>
    <w:rsid w:val="00863028"/>
    <w:rsid w:val="00863036"/>
    <w:rsid w:val="0086314F"/>
    <w:rsid w:val="00863580"/>
    <w:rsid w:val="00863A31"/>
    <w:rsid w:val="00863B18"/>
    <w:rsid w:val="00863F71"/>
    <w:rsid w:val="008640B3"/>
    <w:rsid w:val="00864450"/>
    <w:rsid w:val="0086466C"/>
    <w:rsid w:val="0086474F"/>
    <w:rsid w:val="00864ACB"/>
    <w:rsid w:val="00864C6F"/>
    <w:rsid w:val="00864FA4"/>
    <w:rsid w:val="0086555E"/>
    <w:rsid w:val="00865821"/>
    <w:rsid w:val="00865904"/>
    <w:rsid w:val="0086599B"/>
    <w:rsid w:val="008659D3"/>
    <w:rsid w:val="008659FA"/>
    <w:rsid w:val="00865AA8"/>
    <w:rsid w:val="00865AB8"/>
    <w:rsid w:val="00865B3B"/>
    <w:rsid w:val="00865E08"/>
    <w:rsid w:val="00865EF0"/>
    <w:rsid w:val="00865FB9"/>
    <w:rsid w:val="0086615C"/>
    <w:rsid w:val="008661DF"/>
    <w:rsid w:val="00866283"/>
    <w:rsid w:val="0086657A"/>
    <w:rsid w:val="0086659B"/>
    <w:rsid w:val="008666F4"/>
    <w:rsid w:val="008667D2"/>
    <w:rsid w:val="00866B31"/>
    <w:rsid w:val="00866BC8"/>
    <w:rsid w:val="00866BD3"/>
    <w:rsid w:val="00866EAC"/>
    <w:rsid w:val="00866EB3"/>
    <w:rsid w:val="00867123"/>
    <w:rsid w:val="008671DA"/>
    <w:rsid w:val="0086725E"/>
    <w:rsid w:val="00867264"/>
    <w:rsid w:val="00867634"/>
    <w:rsid w:val="008676F5"/>
    <w:rsid w:val="00867830"/>
    <w:rsid w:val="00867972"/>
    <w:rsid w:val="00867C73"/>
    <w:rsid w:val="00867CC4"/>
    <w:rsid w:val="00867FD4"/>
    <w:rsid w:val="00870158"/>
    <w:rsid w:val="008704A7"/>
    <w:rsid w:val="00870531"/>
    <w:rsid w:val="008705C1"/>
    <w:rsid w:val="0087065B"/>
    <w:rsid w:val="00870D2E"/>
    <w:rsid w:val="00870D4D"/>
    <w:rsid w:val="00870DA3"/>
    <w:rsid w:val="00870DE4"/>
    <w:rsid w:val="00871484"/>
    <w:rsid w:val="0087193B"/>
    <w:rsid w:val="00871D97"/>
    <w:rsid w:val="008727F2"/>
    <w:rsid w:val="0087296C"/>
    <w:rsid w:val="00872B5A"/>
    <w:rsid w:val="00873013"/>
    <w:rsid w:val="0087349E"/>
    <w:rsid w:val="0087353E"/>
    <w:rsid w:val="008735A9"/>
    <w:rsid w:val="008735DD"/>
    <w:rsid w:val="008743E4"/>
    <w:rsid w:val="00874420"/>
    <w:rsid w:val="0087462A"/>
    <w:rsid w:val="008748C8"/>
    <w:rsid w:val="00874A55"/>
    <w:rsid w:val="00874BE9"/>
    <w:rsid w:val="00874E02"/>
    <w:rsid w:val="00874E3E"/>
    <w:rsid w:val="0087517E"/>
    <w:rsid w:val="008752D0"/>
    <w:rsid w:val="00875566"/>
    <w:rsid w:val="0087577B"/>
    <w:rsid w:val="00875C81"/>
    <w:rsid w:val="00875D8F"/>
    <w:rsid w:val="00875E5F"/>
    <w:rsid w:val="00875E99"/>
    <w:rsid w:val="00875F85"/>
    <w:rsid w:val="00875FCF"/>
    <w:rsid w:val="008761B0"/>
    <w:rsid w:val="00876479"/>
    <w:rsid w:val="008764B7"/>
    <w:rsid w:val="008765DA"/>
    <w:rsid w:val="008766CC"/>
    <w:rsid w:val="00876831"/>
    <w:rsid w:val="0087686B"/>
    <w:rsid w:val="00876A5F"/>
    <w:rsid w:val="00876DBC"/>
    <w:rsid w:val="008772B5"/>
    <w:rsid w:val="008772F7"/>
    <w:rsid w:val="008773D5"/>
    <w:rsid w:val="00877575"/>
    <w:rsid w:val="008776B1"/>
    <w:rsid w:val="00877A5E"/>
    <w:rsid w:val="00877A6A"/>
    <w:rsid w:val="00877B26"/>
    <w:rsid w:val="00877CDE"/>
    <w:rsid w:val="00877D7F"/>
    <w:rsid w:val="00877E73"/>
    <w:rsid w:val="00880262"/>
    <w:rsid w:val="0088026F"/>
    <w:rsid w:val="008804CD"/>
    <w:rsid w:val="008804EF"/>
    <w:rsid w:val="0088098B"/>
    <w:rsid w:val="008809D6"/>
    <w:rsid w:val="008809DE"/>
    <w:rsid w:val="00880A41"/>
    <w:rsid w:val="00880D33"/>
    <w:rsid w:val="00880D83"/>
    <w:rsid w:val="00880E37"/>
    <w:rsid w:val="00880F7B"/>
    <w:rsid w:val="008810C4"/>
    <w:rsid w:val="00881493"/>
    <w:rsid w:val="008815D7"/>
    <w:rsid w:val="008819E9"/>
    <w:rsid w:val="00881AB7"/>
    <w:rsid w:val="00881AF9"/>
    <w:rsid w:val="00881B7E"/>
    <w:rsid w:val="00881CBC"/>
    <w:rsid w:val="00881F09"/>
    <w:rsid w:val="00882136"/>
    <w:rsid w:val="008822AA"/>
    <w:rsid w:val="00882517"/>
    <w:rsid w:val="0088259F"/>
    <w:rsid w:val="008826A2"/>
    <w:rsid w:val="00882716"/>
    <w:rsid w:val="008828A6"/>
    <w:rsid w:val="00882AD0"/>
    <w:rsid w:val="00882B78"/>
    <w:rsid w:val="00882C8F"/>
    <w:rsid w:val="00882CAC"/>
    <w:rsid w:val="00882D34"/>
    <w:rsid w:val="00882ED0"/>
    <w:rsid w:val="0088338A"/>
    <w:rsid w:val="008835D4"/>
    <w:rsid w:val="008836FE"/>
    <w:rsid w:val="00883A8C"/>
    <w:rsid w:val="00883AAC"/>
    <w:rsid w:val="00883ACF"/>
    <w:rsid w:val="00883BF9"/>
    <w:rsid w:val="00883CA4"/>
    <w:rsid w:val="00883D6B"/>
    <w:rsid w:val="00883FCF"/>
    <w:rsid w:val="008841E0"/>
    <w:rsid w:val="00884246"/>
    <w:rsid w:val="008842DF"/>
    <w:rsid w:val="00884369"/>
    <w:rsid w:val="008844AC"/>
    <w:rsid w:val="00884D65"/>
    <w:rsid w:val="00884DFA"/>
    <w:rsid w:val="00884F58"/>
    <w:rsid w:val="00884FC4"/>
    <w:rsid w:val="00884FE0"/>
    <w:rsid w:val="0088504E"/>
    <w:rsid w:val="0088505F"/>
    <w:rsid w:val="00885840"/>
    <w:rsid w:val="00885955"/>
    <w:rsid w:val="00885E46"/>
    <w:rsid w:val="00886143"/>
    <w:rsid w:val="00886192"/>
    <w:rsid w:val="00886342"/>
    <w:rsid w:val="008863E2"/>
    <w:rsid w:val="0088641E"/>
    <w:rsid w:val="0088650A"/>
    <w:rsid w:val="00886635"/>
    <w:rsid w:val="0088698D"/>
    <w:rsid w:val="008869DE"/>
    <w:rsid w:val="00886B2E"/>
    <w:rsid w:val="00886B75"/>
    <w:rsid w:val="00886F34"/>
    <w:rsid w:val="008870AC"/>
    <w:rsid w:val="0088710D"/>
    <w:rsid w:val="00887251"/>
    <w:rsid w:val="008873E1"/>
    <w:rsid w:val="0088752A"/>
    <w:rsid w:val="00887673"/>
    <w:rsid w:val="00887765"/>
    <w:rsid w:val="00887C50"/>
    <w:rsid w:val="00887DCA"/>
    <w:rsid w:val="00887E21"/>
    <w:rsid w:val="00887F0F"/>
    <w:rsid w:val="00890085"/>
    <w:rsid w:val="008900CE"/>
    <w:rsid w:val="008902E0"/>
    <w:rsid w:val="008902F8"/>
    <w:rsid w:val="008908E6"/>
    <w:rsid w:val="00890A0A"/>
    <w:rsid w:val="00890B11"/>
    <w:rsid w:val="00890B27"/>
    <w:rsid w:val="00890FFB"/>
    <w:rsid w:val="00891324"/>
    <w:rsid w:val="00891546"/>
    <w:rsid w:val="008915E2"/>
    <w:rsid w:val="00891833"/>
    <w:rsid w:val="008918F5"/>
    <w:rsid w:val="00891963"/>
    <w:rsid w:val="00891B95"/>
    <w:rsid w:val="00891BAF"/>
    <w:rsid w:val="00891BF4"/>
    <w:rsid w:val="00891C16"/>
    <w:rsid w:val="00891D10"/>
    <w:rsid w:val="00891D79"/>
    <w:rsid w:val="00891DBD"/>
    <w:rsid w:val="008920D3"/>
    <w:rsid w:val="00892126"/>
    <w:rsid w:val="008922DA"/>
    <w:rsid w:val="00892300"/>
    <w:rsid w:val="00892502"/>
    <w:rsid w:val="0089260E"/>
    <w:rsid w:val="00892656"/>
    <w:rsid w:val="00892697"/>
    <w:rsid w:val="008928F7"/>
    <w:rsid w:val="00892A66"/>
    <w:rsid w:val="00892A68"/>
    <w:rsid w:val="00892D05"/>
    <w:rsid w:val="00892F38"/>
    <w:rsid w:val="00892FDE"/>
    <w:rsid w:val="00893085"/>
    <w:rsid w:val="00893223"/>
    <w:rsid w:val="0089335D"/>
    <w:rsid w:val="00893428"/>
    <w:rsid w:val="00893503"/>
    <w:rsid w:val="008937B2"/>
    <w:rsid w:val="00893BF0"/>
    <w:rsid w:val="00893E7D"/>
    <w:rsid w:val="00893EB3"/>
    <w:rsid w:val="008940B4"/>
    <w:rsid w:val="008940FA"/>
    <w:rsid w:val="008941D5"/>
    <w:rsid w:val="0089451E"/>
    <w:rsid w:val="0089453E"/>
    <w:rsid w:val="00894881"/>
    <w:rsid w:val="0089499B"/>
    <w:rsid w:val="008949E2"/>
    <w:rsid w:val="00894A2E"/>
    <w:rsid w:val="00894AB0"/>
    <w:rsid w:val="00894B30"/>
    <w:rsid w:val="00894DE3"/>
    <w:rsid w:val="00894F1D"/>
    <w:rsid w:val="00895077"/>
    <w:rsid w:val="0089519F"/>
    <w:rsid w:val="008953E7"/>
    <w:rsid w:val="00895503"/>
    <w:rsid w:val="008955CE"/>
    <w:rsid w:val="0089592E"/>
    <w:rsid w:val="008959C2"/>
    <w:rsid w:val="00895A8B"/>
    <w:rsid w:val="00895C32"/>
    <w:rsid w:val="00895D67"/>
    <w:rsid w:val="00895F26"/>
    <w:rsid w:val="00896039"/>
    <w:rsid w:val="00896098"/>
    <w:rsid w:val="008961D0"/>
    <w:rsid w:val="008965BE"/>
    <w:rsid w:val="008965C1"/>
    <w:rsid w:val="0089675C"/>
    <w:rsid w:val="00896803"/>
    <w:rsid w:val="00896AB5"/>
    <w:rsid w:val="00896F56"/>
    <w:rsid w:val="0089711F"/>
    <w:rsid w:val="00897276"/>
    <w:rsid w:val="008973D7"/>
    <w:rsid w:val="0089740C"/>
    <w:rsid w:val="008976A0"/>
    <w:rsid w:val="008979D9"/>
    <w:rsid w:val="00897E0C"/>
    <w:rsid w:val="00897EAF"/>
    <w:rsid w:val="00897FED"/>
    <w:rsid w:val="008A0069"/>
    <w:rsid w:val="008A009B"/>
    <w:rsid w:val="008A0108"/>
    <w:rsid w:val="008A027F"/>
    <w:rsid w:val="008A03A1"/>
    <w:rsid w:val="008A0530"/>
    <w:rsid w:val="008A054F"/>
    <w:rsid w:val="008A05BF"/>
    <w:rsid w:val="008A0BE1"/>
    <w:rsid w:val="008A0BFC"/>
    <w:rsid w:val="008A1409"/>
    <w:rsid w:val="008A177C"/>
    <w:rsid w:val="008A17CD"/>
    <w:rsid w:val="008A196C"/>
    <w:rsid w:val="008A199F"/>
    <w:rsid w:val="008A1AE5"/>
    <w:rsid w:val="008A1B1C"/>
    <w:rsid w:val="008A1D5C"/>
    <w:rsid w:val="008A205B"/>
    <w:rsid w:val="008A2279"/>
    <w:rsid w:val="008A247C"/>
    <w:rsid w:val="008A26DF"/>
    <w:rsid w:val="008A2701"/>
    <w:rsid w:val="008A2798"/>
    <w:rsid w:val="008A287E"/>
    <w:rsid w:val="008A29CD"/>
    <w:rsid w:val="008A2E27"/>
    <w:rsid w:val="008A335B"/>
    <w:rsid w:val="008A363D"/>
    <w:rsid w:val="008A3716"/>
    <w:rsid w:val="008A3BA8"/>
    <w:rsid w:val="008A3C40"/>
    <w:rsid w:val="008A3E0A"/>
    <w:rsid w:val="008A3E11"/>
    <w:rsid w:val="008A413E"/>
    <w:rsid w:val="008A41BD"/>
    <w:rsid w:val="008A439B"/>
    <w:rsid w:val="008A443B"/>
    <w:rsid w:val="008A4770"/>
    <w:rsid w:val="008A4AD6"/>
    <w:rsid w:val="008A4B3C"/>
    <w:rsid w:val="008A4C15"/>
    <w:rsid w:val="008A5132"/>
    <w:rsid w:val="008A51E8"/>
    <w:rsid w:val="008A5420"/>
    <w:rsid w:val="008A557D"/>
    <w:rsid w:val="008A5661"/>
    <w:rsid w:val="008A58AB"/>
    <w:rsid w:val="008A594B"/>
    <w:rsid w:val="008A5BB1"/>
    <w:rsid w:val="008A5C93"/>
    <w:rsid w:val="008A5D01"/>
    <w:rsid w:val="008A6197"/>
    <w:rsid w:val="008A6315"/>
    <w:rsid w:val="008A6545"/>
    <w:rsid w:val="008A654E"/>
    <w:rsid w:val="008A65D4"/>
    <w:rsid w:val="008A6737"/>
    <w:rsid w:val="008A68BB"/>
    <w:rsid w:val="008A68C1"/>
    <w:rsid w:val="008A6B05"/>
    <w:rsid w:val="008A6D29"/>
    <w:rsid w:val="008A74F0"/>
    <w:rsid w:val="008A75BD"/>
    <w:rsid w:val="008A7D62"/>
    <w:rsid w:val="008A7DC5"/>
    <w:rsid w:val="008B0346"/>
    <w:rsid w:val="008B0470"/>
    <w:rsid w:val="008B04FC"/>
    <w:rsid w:val="008B05EF"/>
    <w:rsid w:val="008B066E"/>
    <w:rsid w:val="008B0810"/>
    <w:rsid w:val="008B0974"/>
    <w:rsid w:val="008B0B64"/>
    <w:rsid w:val="008B0DFB"/>
    <w:rsid w:val="008B0E26"/>
    <w:rsid w:val="008B0F76"/>
    <w:rsid w:val="008B0FD6"/>
    <w:rsid w:val="008B12C8"/>
    <w:rsid w:val="008B13F4"/>
    <w:rsid w:val="008B1414"/>
    <w:rsid w:val="008B17AD"/>
    <w:rsid w:val="008B1A37"/>
    <w:rsid w:val="008B1A7E"/>
    <w:rsid w:val="008B2113"/>
    <w:rsid w:val="008B212C"/>
    <w:rsid w:val="008B2196"/>
    <w:rsid w:val="008B2445"/>
    <w:rsid w:val="008B247D"/>
    <w:rsid w:val="008B25DD"/>
    <w:rsid w:val="008B2B2D"/>
    <w:rsid w:val="008B2DF6"/>
    <w:rsid w:val="008B2E60"/>
    <w:rsid w:val="008B2F83"/>
    <w:rsid w:val="008B2F9F"/>
    <w:rsid w:val="008B2FCC"/>
    <w:rsid w:val="008B3071"/>
    <w:rsid w:val="008B31AC"/>
    <w:rsid w:val="008B33A2"/>
    <w:rsid w:val="008B356B"/>
    <w:rsid w:val="008B35A1"/>
    <w:rsid w:val="008B3679"/>
    <w:rsid w:val="008B3B38"/>
    <w:rsid w:val="008B3D02"/>
    <w:rsid w:val="008B3EAB"/>
    <w:rsid w:val="008B3F33"/>
    <w:rsid w:val="008B41B4"/>
    <w:rsid w:val="008B42B5"/>
    <w:rsid w:val="008B461E"/>
    <w:rsid w:val="008B4A14"/>
    <w:rsid w:val="008B4BAF"/>
    <w:rsid w:val="008B4C5A"/>
    <w:rsid w:val="008B4CD8"/>
    <w:rsid w:val="008B4EDC"/>
    <w:rsid w:val="008B4F90"/>
    <w:rsid w:val="008B525A"/>
    <w:rsid w:val="008B52D0"/>
    <w:rsid w:val="008B556A"/>
    <w:rsid w:val="008B5699"/>
    <w:rsid w:val="008B58BD"/>
    <w:rsid w:val="008B5992"/>
    <w:rsid w:val="008B5B0D"/>
    <w:rsid w:val="008B5E6E"/>
    <w:rsid w:val="008B5E8B"/>
    <w:rsid w:val="008B6267"/>
    <w:rsid w:val="008B62BF"/>
    <w:rsid w:val="008B6337"/>
    <w:rsid w:val="008B638A"/>
    <w:rsid w:val="008B6406"/>
    <w:rsid w:val="008B64A6"/>
    <w:rsid w:val="008B654C"/>
    <w:rsid w:val="008B684D"/>
    <w:rsid w:val="008B68E1"/>
    <w:rsid w:val="008B6AA4"/>
    <w:rsid w:val="008B6B72"/>
    <w:rsid w:val="008B6E3D"/>
    <w:rsid w:val="008B6E5D"/>
    <w:rsid w:val="008B6EDA"/>
    <w:rsid w:val="008B71DB"/>
    <w:rsid w:val="008B72C3"/>
    <w:rsid w:val="008B73A2"/>
    <w:rsid w:val="008B73E8"/>
    <w:rsid w:val="008B76A1"/>
    <w:rsid w:val="008B777D"/>
    <w:rsid w:val="008B7A8B"/>
    <w:rsid w:val="008B7AE0"/>
    <w:rsid w:val="008B7B9D"/>
    <w:rsid w:val="008B7D7C"/>
    <w:rsid w:val="008B7DA1"/>
    <w:rsid w:val="008C0028"/>
    <w:rsid w:val="008C007F"/>
    <w:rsid w:val="008C00AC"/>
    <w:rsid w:val="008C0202"/>
    <w:rsid w:val="008C02D4"/>
    <w:rsid w:val="008C03DF"/>
    <w:rsid w:val="008C0548"/>
    <w:rsid w:val="008C07A5"/>
    <w:rsid w:val="008C0852"/>
    <w:rsid w:val="008C08C9"/>
    <w:rsid w:val="008C09FF"/>
    <w:rsid w:val="008C0EE8"/>
    <w:rsid w:val="008C1030"/>
    <w:rsid w:val="008C10B7"/>
    <w:rsid w:val="008C159A"/>
    <w:rsid w:val="008C15B3"/>
    <w:rsid w:val="008C1663"/>
    <w:rsid w:val="008C16BD"/>
    <w:rsid w:val="008C1D65"/>
    <w:rsid w:val="008C2028"/>
    <w:rsid w:val="008C2103"/>
    <w:rsid w:val="008C222E"/>
    <w:rsid w:val="008C22A3"/>
    <w:rsid w:val="008C22F9"/>
    <w:rsid w:val="008C2799"/>
    <w:rsid w:val="008C2890"/>
    <w:rsid w:val="008C2A12"/>
    <w:rsid w:val="008C2DBA"/>
    <w:rsid w:val="008C32CC"/>
    <w:rsid w:val="008C33AD"/>
    <w:rsid w:val="008C341B"/>
    <w:rsid w:val="008C3678"/>
    <w:rsid w:val="008C3CF8"/>
    <w:rsid w:val="008C3D7A"/>
    <w:rsid w:val="008C4065"/>
    <w:rsid w:val="008C4243"/>
    <w:rsid w:val="008C426A"/>
    <w:rsid w:val="008C48A0"/>
    <w:rsid w:val="008C4B57"/>
    <w:rsid w:val="008C4D37"/>
    <w:rsid w:val="008C4EBB"/>
    <w:rsid w:val="008C5208"/>
    <w:rsid w:val="008C543A"/>
    <w:rsid w:val="008C5607"/>
    <w:rsid w:val="008C57F6"/>
    <w:rsid w:val="008C5812"/>
    <w:rsid w:val="008C5D5F"/>
    <w:rsid w:val="008C5DAF"/>
    <w:rsid w:val="008C5E8B"/>
    <w:rsid w:val="008C5F0F"/>
    <w:rsid w:val="008C6021"/>
    <w:rsid w:val="008C618A"/>
    <w:rsid w:val="008C6601"/>
    <w:rsid w:val="008C6866"/>
    <w:rsid w:val="008C68A3"/>
    <w:rsid w:val="008C6CFB"/>
    <w:rsid w:val="008C6DD7"/>
    <w:rsid w:val="008C6DDE"/>
    <w:rsid w:val="008C72E3"/>
    <w:rsid w:val="008C7397"/>
    <w:rsid w:val="008C742D"/>
    <w:rsid w:val="008C7715"/>
    <w:rsid w:val="008C77C8"/>
    <w:rsid w:val="008C77E9"/>
    <w:rsid w:val="008C7948"/>
    <w:rsid w:val="008C7B0D"/>
    <w:rsid w:val="008C7C37"/>
    <w:rsid w:val="008C7E39"/>
    <w:rsid w:val="008C7E94"/>
    <w:rsid w:val="008D0124"/>
    <w:rsid w:val="008D0237"/>
    <w:rsid w:val="008D03C7"/>
    <w:rsid w:val="008D07A1"/>
    <w:rsid w:val="008D0995"/>
    <w:rsid w:val="008D0A46"/>
    <w:rsid w:val="008D0A5B"/>
    <w:rsid w:val="008D0ACB"/>
    <w:rsid w:val="008D0BAC"/>
    <w:rsid w:val="008D0DB0"/>
    <w:rsid w:val="008D0E0E"/>
    <w:rsid w:val="008D0F58"/>
    <w:rsid w:val="008D1292"/>
    <w:rsid w:val="008D142A"/>
    <w:rsid w:val="008D150D"/>
    <w:rsid w:val="008D155D"/>
    <w:rsid w:val="008D1724"/>
    <w:rsid w:val="008D17CE"/>
    <w:rsid w:val="008D19A4"/>
    <w:rsid w:val="008D1CF3"/>
    <w:rsid w:val="008D1F32"/>
    <w:rsid w:val="008D2454"/>
    <w:rsid w:val="008D254D"/>
    <w:rsid w:val="008D2620"/>
    <w:rsid w:val="008D2721"/>
    <w:rsid w:val="008D2787"/>
    <w:rsid w:val="008D29FC"/>
    <w:rsid w:val="008D2CE8"/>
    <w:rsid w:val="008D3543"/>
    <w:rsid w:val="008D35E3"/>
    <w:rsid w:val="008D3601"/>
    <w:rsid w:val="008D381E"/>
    <w:rsid w:val="008D39D5"/>
    <w:rsid w:val="008D3B4F"/>
    <w:rsid w:val="008D3E16"/>
    <w:rsid w:val="008D3F75"/>
    <w:rsid w:val="008D4160"/>
    <w:rsid w:val="008D437F"/>
    <w:rsid w:val="008D445F"/>
    <w:rsid w:val="008D473B"/>
    <w:rsid w:val="008D4768"/>
    <w:rsid w:val="008D492F"/>
    <w:rsid w:val="008D49A9"/>
    <w:rsid w:val="008D4A97"/>
    <w:rsid w:val="008D4B9E"/>
    <w:rsid w:val="008D4BAC"/>
    <w:rsid w:val="008D4BCD"/>
    <w:rsid w:val="008D4D7E"/>
    <w:rsid w:val="008D506D"/>
    <w:rsid w:val="008D5318"/>
    <w:rsid w:val="008D54F4"/>
    <w:rsid w:val="008D57B1"/>
    <w:rsid w:val="008D5887"/>
    <w:rsid w:val="008D5997"/>
    <w:rsid w:val="008D5A73"/>
    <w:rsid w:val="008D5A74"/>
    <w:rsid w:val="008D5A7C"/>
    <w:rsid w:val="008D5BDC"/>
    <w:rsid w:val="008D5ED4"/>
    <w:rsid w:val="008D5F43"/>
    <w:rsid w:val="008D62A2"/>
    <w:rsid w:val="008D695B"/>
    <w:rsid w:val="008D69C0"/>
    <w:rsid w:val="008D69F9"/>
    <w:rsid w:val="008D6D4E"/>
    <w:rsid w:val="008D7147"/>
    <w:rsid w:val="008D7316"/>
    <w:rsid w:val="008D7465"/>
    <w:rsid w:val="008D755F"/>
    <w:rsid w:val="008D7568"/>
    <w:rsid w:val="008D7581"/>
    <w:rsid w:val="008D7948"/>
    <w:rsid w:val="008D7A09"/>
    <w:rsid w:val="008D7B7A"/>
    <w:rsid w:val="008D7BD5"/>
    <w:rsid w:val="008E014B"/>
    <w:rsid w:val="008E0218"/>
    <w:rsid w:val="008E02DE"/>
    <w:rsid w:val="008E0966"/>
    <w:rsid w:val="008E0BF8"/>
    <w:rsid w:val="008E0DA5"/>
    <w:rsid w:val="008E0EC7"/>
    <w:rsid w:val="008E102F"/>
    <w:rsid w:val="008E1110"/>
    <w:rsid w:val="008E14D7"/>
    <w:rsid w:val="008E15DE"/>
    <w:rsid w:val="008E16AD"/>
    <w:rsid w:val="008E1A47"/>
    <w:rsid w:val="008E1CAA"/>
    <w:rsid w:val="008E1D08"/>
    <w:rsid w:val="008E1D42"/>
    <w:rsid w:val="008E1F6C"/>
    <w:rsid w:val="008E2213"/>
    <w:rsid w:val="008E2429"/>
    <w:rsid w:val="008E253F"/>
    <w:rsid w:val="008E269B"/>
    <w:rsid w:val="008E2764"/>
    <w:rsid w:val="008E2880"/>
    <w:rsid w:val="008E2BDC"/>
    <w:rsid w:val="008E2C19"/>
    <w:rsid w:val="008E2DDA"/>
    <w:rsid w:val="008E2F1D"/>
    <w:rsid w:val="008E3001"/>
    <w:rsid w:val="008E3022"/>
    <w:rsid w:val="008E3249"/>
    <w:rsid w:val="008E32D1"/>
    <w:rsid w:val="008E353F"/>
    <w:rsid w:val="008E39BC"/>
    <w:rsid w:val="008E4095"/>
    <w:rsid w:val="008E4229"/>
    <w:rsid w:val="008E44DE"/>
    <w:rsid w:val="008E479E"/>
    <w:rsid w:val="008E4952"/>
    <w:rsid w:val="008E4A9F"/>
    <w:rsid w:val="008E4AD1"/>
    <w:rsid w:val="008E4B65"/>
    <w:rsid w:val="008E4DB9"/>
    <w:rsid w:val="008E4EE9"/>
    <w:rsid w:val="008E523D"/>
    <w:rsid w:val="008E53F6"/>
    <w:rsid w:val="008E5471"/>
    <w:rsid w:val="008E551E"/>
    <w:rsid w:val="008E58E2"/>
    <w:rsid w:val="008E59B5"/>
    <w:rsid w:val="008E5A7E"/>
    <w:rsid w:val="008E5BEA"/>
    <w:rsid w:val="008E5C17"/>
    <w:rsid w:val="008E5DF8"/>
    <w:rsid w:val="008E5E26"/>
    <w:rsid w:val="008E5EC9"/>
    <w:rsid w:val="008E62FC"/>
    <w:rsid w:val="008E63E9"/>
    <w:rsid w:val="008E6645"/>
    <w:rsid w:val="008E6744"/>
    <w:rsid w:val="008E6A70"/>
    <w:rsid w:val="008E6D00"/>
    <w:rsid w:val="008E6D11"/>
    <w:rsid w:val="008E7024"/>
    <w:rsid w:val="008E7166"/>
    <w:rsid w:val="008E7254"/>
    <w:rsid w:val="008E73EA"/>
    <w:rsid w:val="008E7493"/>
    <w:rsid w:val="008E758A"/>
    <w:rsid w:val="008E759C"/>
    <w:rsid w:val="008E75B6"/>
    <w:rsid w:val="008E75D3"/>
    <w:rsid w:val="008E7666"/>
    <w:rsid w:val="008E774E"/>
    <w:rsid w:val="008E794C"/>
    <w:rsid w:val="008E7B13"/>
    <w:rsid w:val="008E7B47"/>
    <w:rsid w:val="008E7D8C"/>
    <w:rsid w:val="008F0005"/>
    <w:rsid w:val="008F00AC"/>
    <w:rsid w:val="008F01A6"/>
    <w:rsid w:val="008F022B"/>
    <w:rsid w:val="008F02BD"/>
    <w:rsid w:val="008F0451"/>
    <w:rsid w:val="008F0479"/>
    <w:rsid w:val="008F0707"/>
    <w:rsid w:val="008F0B21"/>
    <w:rsid w:val="008F0F5B"/>
    <w:rsid w:val="008F1100"/>
    <w:rsid w:val="008F1127"/>
    <w:rsid w:val="008F11AD"/>
    <w:rsid w:val="008F12DF"/>
    <w:rsid w:val="008F1543"/>
    <w:rsid w:val="008F15FD"/>
    <w:rsid w:val="008F16D4"/>
    <w:rsid w:val="008F1719"/>
    <w:rsid w:val="008F1854"/>
    <w:rsid w:val="008F190A"/>
    <w:rsid w:val="008F1929"/>
    <w:rsid w:val="008F1945"/>
    <w:rsid w:val="008F1963"/>
    <w:rsid w:val="008F1B76"/>
    <w:rsid w:val="008F1C56"/>
    <w:rsid w:val="008F1D1C"/>
    <w:rsid w:val="008F1EF1"/>
    <w:rsid w:val="008F21B8"/>
    <w:rsid w:val="008F23BF"/>
    <w:rsid w:val="008F2424"/>
    <w:rsid w:val="008F260E"/>
    <w:rsid w:val="008F2718"/>
    <w:rsid w:val="008F2B47"/>
    <w:rsid w:val="008F2F38"/>
    <w:rsid w:val="008F32A4"/>
    <w:rsid w:val="008F3308"/>
    <w:rsid w:val="008F3579"/>
    <w:rsid w:val="008F36B1"/>
    <w:rsid w:val="008F3B8C"/>
    <w:rsid w:val="008F3C3A"/>
    <w:rsid w:val="008F3CB6"/>
    <w:rsid w:val="008F412C"/>
    <w:rsid w:val="008F4223"/>
    <w:rsid w:val="008F4252"/>
    <w:rsid w:val="008F4327"/>
    <w:rsid w:val="008F43E5"/>
    <w:rsid w:val="008F4612"/>
    <w:rsid w:val="008F4883"/>
    <w:rsid w:val="008F4956"/>
    <w:rsid w:val="008F4974"/>
    <w:rsid w:val="008F4C02"/>
    <w:rsid w:val="008F4E8E"/>
    <w:rsid w:val="008F4F9C"/>
    <w:rsid w:val="008F54BA"/>
    <w:rsid w:val="008F56DF"/>
    <w:rsid w:val="008F5746"/>
    <w:rsid w:val="008F596A"/>
    <w:rsid w:val="008F5C0A"/>
    <w:rsid w:val="008F5D56"/>
    <w:rsid w:val="008F5E6B"/>
    <w:rsid w:val="008F6037"/>
    <w:rsid w:val="008F6519"/>
    <w:rsid w:val="008F65B4"/>
    <w:rsid w:val="008F6602"/>
    <w:rsid w:val="008F67B8"/>
    <w:rsid w:val="008F6999"/>
    <w:rsid w:val="008F6ADA"/>
    <w:rsid w:val="008F6BB8"/>
    <w:rsid w:val="008F6C62"/>
    <w:rsid w:val="008F6CE9"/>
    <w:rsid w:val="008F6E99"/>
    <w:rsid w:val="008F711C"/>
    <w:rsid w:val="008F726A"/>
    <w:rsid w:val="008F7461"/>
    <w:rsid w:val="008F757D"/>
    <w:rsid w:val="008F75F4"/>
    <w:rsid w:val="008F785F"/>
    <w:rsid w:val="008F7E18"/>
    <w:rsid w:val="009000FD"/>
    <w:rsid w:val="0090028F"/>
    <w:rsid w:val="009002C6"/>
    <w:rsid w:val="00900391"/>
    <w:rsid w:val="009006C2"/>
    <w:rsid w:val="00900769"/>
    <w:rsid w:val="00900AAB"/>
    <w:rsid w:val="00900BFC"/>
    <w:rsid w:val="00900CD2"/>
    <w:rsid w:val="00900F7C"/>
    <w:rsid w:val="009010C0"/>
    <w:rsid w:val="00901179"/>
    <w:rsid w:val="009011B4"/>
    <w:rsid w:val="0090140A"/>
    <w:rsid w:val="0090154E"/>
    <w:rsid w:val="00901596"/>
    <w:rsid w:val="00901642"/>
    <w:rsid w:val="0090165D"/>
    <w:rsid w:val="00901793"/>
    <w:rsid w:val="00901EDF"/>
    <w:rsid w:val="00901FF7"/>
    <w:rsid w:val="0090205C"/>
    <w:rsid w:val="00902247"/>
    <w:rsid w:val="0090248F"/>
    <w:rsid w:val="0090250F"/>
    <w:rsid w:val="00902707"/>
    <w:rsid w:val="00902906"/>
    <w:rsid w:val="00902966"/>
    <w:rsid w:val="00902995"/>
    <w:rsid w:val="00902E54"/>
    <w:rsid w:val="00902EA5"/>
    <w:rsid w:val="00903040"/>
    <w:rsid w:val="00903062"/>
    <w:rsid w:val="009030B9"/>
    <w:rsid w:val="0090313E"/>
    <w:rsid w:val="009032B0"/>
    <w:rsid w:val="0090381C"/>
    <w:rsid w:val="00903A13"/>
    <w:rsid w:val="00903D45"/>
    <w:rsid w:val="00903EA7"/>
    <w:rsid w:val="0090412E"/>
    <w:rsid w:val="00904242"/>
    <w:rsid w:val="00904295"/>
    <w:rsid w:val="009042B5"/>
    <w:rsid w:val="00904322"/>
    <w:rsid w:val="0090459E"/>
    <w:rsid w:val="0090480A"/>
    <w:rsid w:val="00904CFB"/>
    <w:rsid w:val="00904DC6"/>
    <w:rsid w:val="00904FB5"/>
    <w:rsid w:val="009051B8"/>
    <w:rsid w:val="009054CA"/>
    <w:rsid w:val="00905535"/>
    <w:rsid w:val="0090568A"/>
    <w:rsid w:val="009058B6"/>
    <w:rsid w:val="00905BBC"/>
    <w:rsid w:val="00905C73"/>
    <w:rsid w:val="00905D04"/>
    <w:rsid w:val="00906588"/>
    <w:rsid w:val="0090658A"/>
    <w:rsid w:val="0090658B"/>
    <w:rsid w:val="009065B1"/>
    <w:rsid w:val="009068DD"/>
    <w:rsid w:val="00906C6F"/>
    <w:rsid w:val="00906D23"/>
    <w:rsid w:val="00906D64"/>
    <w:rsid w:val="00906E8E"/>
    <w:rsid w:val="0090717F"/>
    <w:rsid w:val="0090755E"/>
    <w:rsid w:val="00907A9D"/>
    <w:rsid w:val="00907BD1"/>
    <w:rsid w:val="00907C2F"/>
    <w:rsid w:val="00907CD2"/>
    <w:rsid w:val="00907CD5"/>
    <w:rsid w:val="00907D27"/>
    <w:rsid w:val="00907E7B"/>
    <w:rsid w:val="0091027D"/>
    <w:rsid w:val="00910296"/>
    <w:rsid w:val="009102BA"/>
    <w:rsid w:val="00910896"/>
    <w:rsid w:val="00910A92"/>
    <w:rsid w:val="00910B2B"/>
    <w:rsid w:val="00910BA5"/>
    <w:rsid w:val="00910C37"/>
    <w:rsid w:val="00910CCD"/>
    <w:rsid w:val="0091116F"/>
    <w:rsid w:val="00911288"/>
    <w:rsid w:val="009112B4"/>
    <w:rsid w:val="00911AC2"/>
    <w:rsid w:val="00911B12"/>
    <w:rsid w:val="00911BC0"/>
    <w:rsid w:val="00911D50"/>
    <w:rsid w:val="00911D8C"/>
    <w:rsid w:val="00911EB5"/>
    <w:rsid w:val="009121C3"/>
    <w:rsid w:val="009123F6"/>
    <w:rsid w:val="009127EE"/>
    <w:rsid w:val="009129F8"/>
    <w:rsid w:val="00912C05"/>
    <w:rsid w:val="00912C4D"/>
    <w:rsid w:val="0091362B"/>
    <w:rsid w:val="009138B9"/>
    <w:rsid w:val="009138E0"/>
    <w:rsid w:val="00913B06"/>
    <w:rsid w:val="00913F04"/>
    <w:rsid w:val="009142CF"/>
    <w:rsid w:val="0091433F"/>
    <w:rsid w:val="00914642"/>
    <w:rsid w:val="0091467C"/>
    <w:rsid w:val="00914937"/>
    <w:rsid w:val="00914B70"/>
    <w:rsid w:val="00915234"/>
    <w:rsid w:val="0091557F"/>
    <w:rsid w:val="009155F8"/>
    <w:rsid w:val="009158E0"/>
    <w:rsid w:val="00915AC8"/>
    <w:rsid w:val="00915D7B"/>
    <w:rsid w:val="00915FB3"/>
    <w:rsid w:val="00916126"/>
    <w:rsid w:val="009161C1"/>
    <w:rsid w:val="009163B2"/>
    <w:rsid w:val="009163B6"/>
    <w:rsid w:val="00916810"/>
    <w:rsid w:val="0091697A"/>
    <w:rsid w:val="009169A7"/>
    <w:rsid w:val="00916AD4"/>
    <w:rsid w:val="00916B4A"/>
    <w:rsid w:val="00916CA3"/>
    <w:rsid w:val="00916D92"/>
    <w:rsid w:val="00916DE3"/>
    <w:rsid w:val="00916E12"/>
    <w:rsid w:val="00916FB6"/>
    <w:rsid w:val="00917356"/>
    <w:rsid w:val="0091750F"/>
    <w:rsid w:val="00917553"/>
    <w:rsid w:val="00917571"/>
    <w:rsid w:val="00917587"/>
    <w:rsid w:val="0091766E"/>
    <w:rsid w:val="0091773E"/>
    <w:rsid w:val="009178CA"/>
    <w:rsid w:val="00917925"/>
    <w:rsid w:val="00917C4A"/>
    <w:rsid w:val="00917CCC"/>
    <w:rsid w:val="00917D48"/>
    <w:rsid w:val="00917DEC"/>
    <w:rsid w:val="009200BA"/>
    <w:rsid w:val="00920138"/>
    <w:rsid w:val="00920176"/>
    <w:rsid w:val="0092043F"/>
    <w:rsid w:val="0092045B"/>
    <w:rsid w:val="009204AB"/>
    <w:rsid w:val="00920775"/>
    <w:rsid w:val="00920CB4"/>
    <w:rsid w:val="00920E97"/>
    <w:rsid w:val="00920F4D"/>
    <w:rsid w:val="009210F8"/>
    <w:rsid w:val="0092111D"/>
    <w:rsid w:val="009212E7"/>
    <w:rsid w:val="00921823"/>
    <w:rsid w:val="009218D8"/>
    <w:rsid w:val="00921B41"/>
    <w:rsid w:val="00921B5C"/>
    <w:rsid w:val="00921FA5"/>
    <w:rsid w:val="00922253"/>
    <w:rsid w:val="009222F1"/>
    <w:rsid w:val="009224AA"/>
    <w:rsid w:val="00922651"/>
    <w:rsid w:val="009227E6"/>
    <w:rsid w:val="0092285F"/>
    <w:rsid w:val="00922B1A"/>
    <w:rsid w:val="00922B79"/>
    <w:rsid w:val="00922CC5"/>
    <w:rsid w:val="00922F49"/>
    <w:rsid w:val="0092315D"/>
    <w:rsid w:val="009231DA"/>
    <w:rsid w:val="0092372B"/>
    <w:rsid w:val="009237B1"/>
    <w:rsid w:val="0092393E"/>
    <w:rsid w:val="00923AA7"/>
    <w:rsid w:val="00923BC7"/>
    <w:rsid w:val="00923E34"/>
    <w:rsid w:val="00923EBF"/>
    <w:rsid w:val="009240A3"/>
    <w:rsid w:val="00924163"/>
    <w:rsid w:val="009241FB"/>
    <w:rsid w:val="0092441F"/>
    <w:rsid w:val="00924649"/>
    <w:rsid w:val="009247C1"/>
    <w:rsid w:val="00924892"/>
    <w:rsid w:val="00924916"/>
    <w:rsid w:val="00924954"/>
    <w:rsid w:val="00924AF1"/>
    <w:rsid w:val="00924C3F"/>
    <w:rsid w:val="00924D67"/>
    <w:rsid w:val="00924D9A"/>
    <w:rsid w:val="00924EB5"/>
    <w:rsid w:val="00924F5E"/>
    <w:rsid w:val="00925048"/>
    <w:rsid w:val="009250C0"/>
    <w:rsid w:val="0092516B"/>
    <w:rsid w:val="00925479"/>
    <w:rsid w:val="009259AE"/>
    <w:rsid w:val="00925AC8"/>
    <w:rsid w:val="00925B25"/>
    <w:rsid w:val="00925C65"/>
    <w:rsid w:val="00925D4A"/>
    <w:rsid w:val="00925E6B"/>
    <w:rsid w:val="00925F05"/>
    <w:rsid w:val="00925F53"/>
    <w:rsid w:val="009263D1"/>
    <w:rsid w:val="00926A19"/>
    <w:rsid w:val="00926AA0"/>
    <w:rsid w:val="00926B3C"/>
    <w:rsid w:val="00926C09"/>
    <w:rsid w:val="00926DBA"/>
    <w:rsid w:val="0092740A"/>
    <w:rsid w:val="0092742F"/>
    <w:rsid w:val="00927927"/>
    <w:rsid w:val="00927ABF"/>
    <w:rsid w:val="00927ADB"/>
    <w:rsid w:val="00927C4E"/>
    <w:rsid w:val="00927CB8"/>
    <w:rsid w:val="00927DC7"/>
    <w:rsid w:val="00927F5A"/>
    <w:rsid w:val="00930187"/>
    <w:rsid w:val="00930236"/>
    <w:rsid w:val="00930287"/>
    <w:rsid w:val="009302AF"/>
    <w:rsid w:val="00930390"/>
    <w:rsid w:val="009303F6"/>
    <w:rsid w:val="00930450"/>
    <w:rsid w:val="00930758"/>
    <w:rsid w:val="00930A94"/>
    <w:rsid w:val="00930ACF"/>
    <w:rsid w:val="00930E9D"/>
    <w:rsid w:val="00930EE3"/>
    <w:rsid w:val="00930F5B"/>
    <w:rsid w:val="00930F9E"/>
    <w:rsid w:val="009310C9"/>
    <w:rsid w:val="00931186"/>
    <w:rsid w:val="00931237"/>
    <w:rsid w:val="0093127F"/>
    <w:rsid w:val="00931343"/>
    <w:rsid w:val="009313A7"/>
    <w:rsid w:val="009313EE"/>
    <w:rsid w:val="00931717"/>
    <w:rsid w:val="009319CD"/>
    <w:rsid w:val="00931CAA"/>
    <w:rsid w:val="00931DEE"/>
    <w:rsid w:val="0093210A"/>
    <w:rsid w:val="00932327"/>
    <w:rsid w:val="009323F1"/>
    <w:rsid w:val="0093248E"/>
    <w:rsid w:val="009325A8"/>
    <w:rsid w:val="0093277B"/>
    <w:rsid w:val="00932861"/>
    <w:rsid w:val="0093286E"/>
    <w:rsid w:val="0093287D"/>
    <w:rsid w:val="0093294F"/>
    <w:rsid w:val="00932D65"/>
    <w:rsid w:val="00933332"/>
    <w:rsid w:val="009333B3"/>
    <w:rsid w:val="009333B6"/>
    <w:rsid w:val="009333EE"/>
    <w:rsid w:val="0093358A"/>
    <w:rsid w:val="00933AF8"/>
    <w:rsid w:val="00933B85"/>
    <w:rsid w:val="00933CC7"/>
    <w:rsid w:val="00933D66"/>
    <w:rsid w:val="00933E2D"/>
    <w:rsid w:val="00933E7A"/>
    <w:rsid w:val="00934083"/>
    <w:rsid w:val="009340F6"/>
    <w:rsid w:val="009347C4"/>
    <w:rsid w:val="00934B6B"/>
    <w:rsid w:val="00934BB5"/>
    <w:rsid w:val="00934CD6"/>
    <w:rsid w:val="00934F24"/>
    <w:rsid w:val="00934FE1"/>
    <w:rsid w:val="0093503D"/>
    <w:rsid w:val="00935125"/>
    <w:rsid w:val="0093558E"/>
    <w:rsid w:val="009356B3"/>
    <w:rsid w:val="00935CD9"/>
    <w:rsid w:val="00935F95"/>
    <w:rsid w:val="0093617E"/>
    <w:rsid w:val="0093627B"/>
    <w:rsid w:val="009364E9"/>
    <w:rsid w:val="0093660F"/>
    <w:rsid w:val="009366C2"/>
    <w:rsid w:val="00936956"/>
    <w:rsid w:val="00936D79"/>
    <w:rsid w:val="0093709B"/>
    <w:rsid w:val="009372B5"/>
    <w:rsid w:val="00937442"/>
    <w:rsid w:val="00937632"/>
    <w:rsid w:val="00937EB3"/>
    <w:rsid w:val="00937F42"/>
    <w:rsid w:val="00940027"/>
    <w:rsid w:val="00940174"/>
    <w:rsid w:val="009401DE"/>
    <w:rsid w:val="0094020B"/>
    <w:rsid w:val="0094030B"/>
    <w:rsid w:val="009406F0"/>
    <w:rsid w:val="00940966"/>
    <w:rsid w:val="00940C6B"/>
    <w:rsid w:val="00940C8F"/>
    <w:rsid w:val="00940CF0"/>
    <w:rsid w:val="00941026"/>
    <w:rsid w:val="00941077"/>
    <w:rsid w:val="009412B9"/>
    <w:rsid w:val="00941470"/>
    <w:rsid w:val="00941587"/>
    <w:rsid w:val="009415C6"/>
    <w:rsid w:val="009417EC"/>
    <w:rsid w:val="009417F9"/>
    <w:rsid w:val="00941C4C"/>
    <w:rsid w:val="00941C58"/>
    <w:rsid w:val="00941EA5"/>
    <w:rsid w:val="009421C8"/>
    <w:rsid w:val="00942526"/>
    <w:rsid w:val="0094266C"/>
    <w:rsid w:val="0094266E"/>
    <w:rsid w:val="00942679"/>
    <w:rsid w:val="009426CE"/>
    <w:rsid w:val="0094277C"/>
    <w:rsid w:val="00942C65"/>
    <w:rsid w:val="00942F01"/>
    <w:rsid w:val="00942FA7"/>
    <w:rsid w:val="0094349C"/>
    <w:rsid w:val="0094364E"/>
    <w:rsid w:val="009436DC"/>
    <w:rsid w:val="009437DE"/>
    <w:rsid w:val="009439AB"/>
    <w:rsid w:val="00943E92"/>
    <w:rsid w:val="00943F25"/>
    <w:rsid w:val="00943FFE"/>
    <w:rsid w:val="0094401B"/>
    <w:rsid w:val="0094425A"/>
    <w:rsid w:val="00944739"/>
    <w:rsid w:val="009447CF"/>
    <w:rsid w:val="00944919"/>
    <w:rsid w:val="009449A2"/>
    <w:rsid w:val="00944A13"/>
    <w:rsid w:val="00944A6C"/>
    <w:rsid w:val="00944D7A"/>
    <w:rsid w:val="00944DDE"/>
    <w:rsid w:val="00944F2D"/>
    <w:rsid w:val="00945046"/>
    <w:rsid w:val="009454D6"/>
    <w:rsid w:val="00945814"/>
    <w:rsid w:val="00945849"/>
    <w:rsid w:val="00945BE9"/>
    <w:rsid w:val="00945C38"/>
    <w:rsid w:val="00945F4B"/>
    <w:rsid w:val="00946175"/>
    <w:rsid w:val="009462C9"/>
    <w:rsid w:val="00946431"/>
    <w:rsid w:val="00946526"/>
    <w:rsid w:val="009466E4"/>
    <w:rsid w:val="0094680A"/>
    <w:rsid w:val="0094693B"/>
    <w:rsid w:val="009469ED"/>
    <w:rsid w:val="00946D34"/>
    <w:rsid w:val="00946D70"/>
    <w:rsid w:val="00947096"/>
    <w:rsid w:val="009470B8"/>
    <w:rsid w:val="009472AE"/>
    <w:rsid w:val="0094760F"/>
    <w:rsid w:val="00947636"/>
    <w:rsid w:val="00947766"/>
    <w:rsid w:val="00950045"/>
    <w:rsid w:val="00950295"/>
    <w:rsid w:val="00950634"/>
    <w:rsid w:val="0095089C"/>
    <w:rsid w:val="00950B53"/>
    <w:rsid w:val="00950CD9"/>
    <w:rsid w:val="00950D03"/>
    <w:rsid w:val="009511C7"/>
    <w:rsid w:val="00951603"/>
    <w:rsid w:val="0095171A"/>
    <w:rsid w:val="0095178F"/>
    <w:rsid w:val="009519AD"/>
    <w:rsid w:val="00951A35"/>
    <w:rsid w:val="00951B20"/>
    <w:rsid w:val="00951D54"/>
    <w:rsid w:val="00951E17"/>
    <w:rsid w:val="009521DA"/>
    <w:rsid w:val="0095221E"/>
    <w:rsid w:val="00952309"/>
    <w:rsid w:val="009524CF"/>
    <w:rsid w:val="009525A9"/>
    <w:rsid w:val="0095283D"/>
    <w:rsid w:val="009528A8"/>
    <w:rsid w:val="00952B3C"/>
    <w:rsid w:val="00952B8B"/>
    <w:rsid w:val="00952BBC"/>
    <w:rsid w:val="00952DE5"/>
    <w:rsid w:val="00952E5B"/>
    <w:rsid w:val="00952ECF"/>
    <w:rsid w:val="009532B9"/>
    <w:rsid w:val="009536D7"/>
    <w:rsid w:val="0095377E"/>
    <w:rsid w:val="009537E4"/>
    <w:rsid w:val="009537F1"/>
    <w:rsid w:val="009539E2"/>
    <w:rsid w:val="00953A99"/>
    <w:rsid w:val="00953AE8"/>
    <w:rsid w:val="00953C2D"/>
    <w:rsid w:val="00953DB3"/>
    <w:rsid w:val="00953E8A"/>
    <w:rsid w:val="0095410D"/>
    <w:rsid w:val="009541E7"/>
    <w:rsid w:val="00954237"/>
    <w:rsid w:val="0095436C"/>
    <w:rsid w:val="00954436"/>
    <w:rsid w:val="00954591"/>
    <w:rsid w:val="009545F6"/>
    <w:rsid w:val="009546C9"/>
    <w:rsid w:val="00954ACF"/>
    <w:rsid w:val="00954C3B"/>
    <w:rsid w:val="00954F42"/>
    <w:rsid w:val="00955121"/>
    <w:rsid w:val="00955123"/>
    <w:rsid w:val="009553B1"/>
    <w:rsid w:val="009554C2"/>
    <w:rsid w:val="00955568"/>
    <w:rsid w:val="0095580A"/>
    <w:rsid w:val="0095584E"/>
    <w:rsid w:val="00955B99"/>
    <w:rsid w:val="00955DFC"/>
    <w:rsid w:val="00955EB7"/>
    <w:rsid w:val="009561BE"/>
    <w:rsid w:val="0095650D"/>
    <w:rsid w:val="00956519"/>
    <w:rsid w:val="009565EA"/>
    <w:rsid w:val="009567BA"/>
    <w:rsid w:val="0095688F"/>
    <w:rsid w:val="0095694E"/>
    <w:rsid w:val="00956A0E"/>
    <w:rsid w:val="00956AFD"/>
    <w:rsid w:val="00956B47"/>
    <w:rsid w:val="00956D60"/>
    <w:rsid w:val="00956E5B"/>
    <w:rsid w:val="00956E7C"/>
    <w:rsid w:val="00956F0F"/>
    <w:rsid w:val="00956FE2"/>
    <w:rsid w:val="00957246"/>
    <w:rsid w:val="009572D8"/>
    <w:rsid w:val="009577F2"/>
    <w:rsid w:val="00957906"/>
    <w:rsid w:val="009579AA"/>
    <w:rsid w:val="00957A53"/>
    <w:rsid w:val="00957B55"/>
    <w:rsid w:val="00957BA6"/>
    <w:rsid w:val="00957BAD"/>
    <w:rsid w:val="00957C3F"/>
    <w:rsid w:val="00957FC0"/>
    <w:rsid w:val="009600D5"/>
    <w:rsid w:val="009600E6"/>
    <w:rsid w:val="00960108"/>
    <w:rsid w:val="009601E1"/>
    <w:rsid w:val="009602D4"/>
    <w:rsid w:val="00960302"/>
    <w:rsid w:val="00960498"/>
    <w:rsid w:val="009606C6"/>
    <w:rsid w:val="009607B6"/>
    <w:rsid w:val="009607D7"/>
    <w:rsid w:val="0096089E"/>
    <w:rsid w:val="00960A17"/>
    <w:rsid w:val="00960C7F"/>
    <w:rsid w:val="00960C94"/>
    <w:rsid w:val="00960F6D"/>
    <w:rsid w:val="00961089"/>
    <w:rsid w:val="009610B1"/>
    <w:rsid w:val="00961207"/>
    <w:rsid w:val="0096142C"/>
    <w:rsid w:val="0096178F"/>
    <w:rsid w:val="0096197D"/>
    <w:rsid w:val="00961B8F"/>
    <w:rsid w:val="00961D8E"/>
    <w:rsid w:val="00961DD9"/>
    <w:rsid w:val="00962017"/>
    <w:rsid w:val="0096222B"/>
    <w:rsid w:val="00962422"/>
    <w:rsid w:val="00962704"/>
    <w:rsid w:val="0096278B"/>
    <w:rsid w:val="009627ED"/>
    <w:rsid w:val="00962B2D"/>
    <w:rsid w:val="00962E72"/>
    <w:rsid w:val="00962E73"/>
    <w:rsid w:val="009631FF"/>
    <w:rsid w:val="009632C1"/>
    <w:rsid w:val="00963350"/>
    <w:rsid w:val="009634A3"/>
    <w:rsid w:val="00963792"/>
    <w:rsid w:val="009637C7"/>
    <w:rsid w:val="0096383F"/>
    <w:rsid w:val="009639CB"/>
    <w:rsid w:val="00963CAC"/>
    <w:rsid w:val="00963E49"/>
    <w:rsid w:val="00963E6D"/>
    <w:rsid w:val="00963EBC"/>
    <w:rsid w:val="00963F4C"/>
    <w:rsid w:val="009641A9"/>
    <w:rsid w:val="009642AA"/>
    <w:rsid w:val="009643C0"/>
    <w:rsid w:val="009643C5"/>
    <w:rsid w:val="009648BA"/>
    <w:rsid w:val="00964A8E"/>
    <w:rsid w:val="00964BDC"/>
    <w:rsid w:val="00964C40"/>
    <w:rsid w:val="00964EEC"/>
    <w:rsid w:val="00964F16"/>
    <w:rsid w:val="00964FAD"/>
    <w:rsid w:val="0096500C"/>
    <w:rsid w:val="0096517C"/>
    <w:rsid w:val="00965231"/>
    <w:rsid w:val="0096540E"/>
    <w:rsid w:val="009656F2"/>
    <w:rsid w:val="00965829"/>
    <w:rsid w:val="009659C3"/>
    <w:rsid w:val="00965ABF"/>
    <w:rsid w:val="00965BE7"/>
    <w:rsid w:val="00965CD6"/>
    <w:rsid w:val="00965E91"/>
    <w:rsid w:val="00965EB3"/>
    <w:rsid w:val="00966140"/>
    <w:rsid w:val="009661EE"/>
    <w:rsid w:val="0096634A"/>
    <w:rsid w:val="00966412"/>
    <w:rsid w:val="0096641C"/>
    <w:rsid w:val="009665FB"/>
    <w:rsid w:val="009667A5"/>
    <w:rsid w:val="009668BF"/>
    <w:rsid w:val="009668CB"/>
    <w:rsid w:val="00966938"/>
    <w:rsid w:val="00966A78"/>
    <w:rsid w:val="00966A87"/>
    <w:rsid w:val="00966A99"/>
    <w:rsid w:val="00966AE3"/>
    <w:rsid w:val="00966AF9"/>
    <w:rsid w:val="00966D0F"/>
    <w:rsid w:val="00966D38"/>
    <w:rsid w:val="00966D97"/>
    <w:rsid w:val="0096727B"/>
    <w:rsid w:val="009672AE"/>
    <w:rsid w:val="0096749B"/>
    <w:rsid w:val="00967720"/>
    <w:rsid w:val="00967756"/>
    <w:rsid w:val="0096780D"/>
    <w:rsid w:val="009678C0"/>
    <w:rsid w:val="009678EE"/>
    <w:rsid w:val="00967A12"/>
    <w:rsid w:val="00967D1A"/>
    <w:rsid w:val="00967FA5"/>
    <w:rsid w:val="00970505"/>
    <w:rsid w:val="00970A41"/>
    <w:rsid w:val="00970B85"/>
    <w:rsid w:val="00970E16"/>
    <w:rsid w:val="0097105A"/>
    <w:rsid w:val="00971952"/>
    <w:rsid w:val="00971B94"/>
    <w:rsid w:val="00971CEF"/>
    <w:rsid w:val="00971D03"/>
    <w:rsid w:val="00971FE2"/>
    <w:rsid w:val="0097218E"/>
    <w:rsid w:val="009721AE"/>
    <w:rsid w:val="009721FF"/>
    <w:rsid w:val="00972576"/>
    <w:rsid w:val="009729C2"/>
    <w:rsid w:val="00972A10"/>
    <w:rsid w:val="00972A6A"/>
    <w:rsid w:val="00972A90"/>
    <w:rsid w:val="00972B71"/>
    <w:rsid w:val="00972C11"/>
    <w:rsid w:val="00972C2A"/>
    <w:rsid w:val="00972D17"/>
    <w:rsid w:val="00973257"/>
    <w:rsid w:val="009732B9"/>
    <w:rsid w:val="00973358"/>
    <w:rsid w:val="009733AB"/>
    <w:rsid w:val="0097340A"/>
    <w:rsid w:val="009734C5"/>
    <w:rsid w:val="00973724"/>
    <w:rsid w:val="009739C7"/>
    <w:rsid w:val="00974076"/>
    <w:rsid w:val="00974228"/>
    <w:rsid w:val="00974353"/>
    <w:rsid w:val="0097451F"/>
    <w:rsid w:val="009745D1"/>
    <w:rsid w:val="00974619"/>
    <w:rsid w:val="009747C2"/>
    <w:rsid w:val="00974AB0"/>
    <w:rsid w:val="00974BAA"/>
    <w:rsid w:val="00974C8A"/>
    <w:rsid w:val="00974E3E"/>
    <w:rsid w:val="0097520D"/>
    <w:rsid w:val="0097537C"/>
    <w:rsid w:val="009754CB"/>
    <w:rsid w:val="009755FC"/>
    <w:rsid w:val="009756EB"/>
    <w:rsid w:val="009759DF"/>
    <w:rsid w:val="00975AE2"/>
    <w:rsid w:val="00975B68"/>
    <w:rsid w:val="00975E3C"/>
    <w:rsid w:val="00975F9A"/>
    <w:rsid w:val="009764D9"/>
    <w:rsid w:val="0097664A"/>
    <w:rsid w:val="00976A86"/>
    <w:rsid w:val="00976C6F"/>
    <w:rsid w:val="00976C84"/>
    <w:rsid w:val="00976CD1"/>
    <w:rsid w:val="009774A5"/>
    <w:rsid w:val="00977698"/>
    <w:rsid w:val="00977916"/>
    <w:rsid w:val="009779B1"/>
    <w:rsid w:val="00977C48"/>
    <w:rsid w:val="00977E34"/>
    <w:rsid w:val="00980051"/>
    <w:rsid w:val="0098034E"/>
    <w:rsid w:val="00980614"/>
    <w:rsid w:val="00980D4A"/>
    <w:rsid w:val="00980F26"/>
    <w:rsid w:val="00980F96"/>
    <w:rsid w:val="00980FDC"/>
    <w:rsid w:val="009810A3"/>
    <w:rsid w:val="0098117B"/>
    <w:rsid w:val="009813DF"/>
    <w:rsid w:val="0098148A"/>
    <w:rsid w:val="009814E6"/>
    <w:rsid w:val="00981592"/>
    <w:rsid w:val="00981936"/>
    <w:rsid w:val="00981966"/>
    <w:rsid w:val="00981CC6"/>
    <w:rsid w:val="00981DC6"/>
    <w:rsid w:val="00981EE2"/>
    <w:rsid w:val="00981F47"/>
    <w:rsid w:val="00981F7A"/>
    <w:rsid w:val="0098215F"/>
    <w:rsid w:val="009823BE"/>
    <w:rsid w:val="00982842"/>
    <w:rsid w:val="00982959"/>
    <w:rsid w:val="009829C2"/>
    <w:rsid w:val="00983166"/>
    <w:rsid w:val="00983311"/>
    <w:rsid w:val="00983563"/>
    <w:rsid w:val="009835C5"/>
    <w:rsid w:val="00983A6E"/>
    <w:rsid w:val="00983DE2"/>
    <w:rsid w:val="00983EC2"/>
    <w:rsid w:val="009841F2"/>
    <w:rsid w:val="009847F5"/>
    <w:rsid w:val="00984D24"/>
    <w:rsid w:val="00984D99"/>
    <w:rsid w:val="00984EB8"/>
    <w:rsid w:val="00985134"/>
    <w:rsid w:val="00985180"/>
    <w:rsid w:val="00985373"/>
    <w:rsid w:val="009858CE"/>
    <w:rsid w:val="00985950"/>
    <w:rsid w:val="00985AC0"/>
    <w:rsid w:val="00985AD1"/>
    <w:rsid w:val="00985C62"/>
    <w:rsid w:val="00985C83"/>
    <w:rsid w:val="009861DB"/>
    <w:rsid w:val="0098625A"/>
    <w:rsid w:val="009864FB"/>
    <w:rsid w:val="0098654A"/>
    <w:rsid w:val="009865FE"/>
    <w:rsid w:val="009866ED"/>
    <w:rsid w:val="009868E2"/>
    <w:rsid w:val="00986C1D"/>
    <w:rsid w:val="00986CF4"/>
    <w:rsid w:val="00986DE7"/>
    <w:rsid w:val="00987148"/>
    <w:rsid w:val="00987292"/>
    <w:rsid w:val="00987426"/>
    <w:rsid w:val="009876BB"/>
    <w:rsid w:val="009879C4"/>
    <w:rsid w:val="009879E9"/>
    <w:rsid w:val="00987D66"/>
    <w:rsid w:val="00987FA7"/>
    <w:rsid w:val="009900D2"/>
    <w:rsid w:val="00990480"/>
    <w:rsid w:val="00990678"/>
    <w:rsid w:val="00990812"/>
    <w:rsid w:val="0099091C"/>
    <w:rsid w:val="00990B12"/>
    <w:rsid w:val="00990D0D"/>
    <w:rsid w:val="00990DD3"/>
    <w:rsid w:val="00990E9B"/>
    <w:rsid w:val="00991172"/>
    <w:rsid w:val="00991591"/>
    <w:rsid w:val="0099171A"/>
    <w:rsid w:val="009918C9"/>
    <w:rsid w:val="00991B78"/>
    <w:rsid w:val="00992136"/>
    <w:rsid w:val="009921FA"/>
    <w:rsid w:val="00992402"/>
    <w:rsid w:val="009924E3"/>
    <w:rsid w:val="009926D0"/>
    <w:rsid w:val="00992774"/>
    <w:rsid w:val="00992A48"/>
    <w:rsid w:val="00992B0B"/>
    <w:rsid w:val="00992C25"/>
    <w:rsid w:val="00992C7D"/>
    <w:rsid w:val="00992C8B"/>
    <w:rsid w:val="00992EC1"/>
    <w:rsid w:val="00992F7E"/>
    <w:rsid w:val="00993122"/>
    <w:rsid w:val="0099328C"/>
    <w:rsid w:val="009932A2"/>
    <w:rsid w:val="0099351D"/>
    <w:rsid w:val="00993533"/>
    <w:rsid w:val="009935E3"/>
    <w:rsid w:val="009937BB"/>
    <w:rsid w:val="00993A3D"/>
    <w:rsid w:val="00993E75"/>
    <w:rsid w:val="00994305"/>
    <w:rsid w:val="009943E7"/>
    <w:rsid w:val="009945D2"/>
    <w:rsid w:val="0099480D"/>
    <w:rsid w:val="0099482B"/>
    <w:rsid w:val="0099490B"/>
    <w:rsid w:val="00994AF2"/>
    <w:rsid w:val="00994C91"/>
    <w:rsid w:val="00994E1D"/>
    <w:rsid w:val="009950F0"/>
    <w:rsid w:val="00995124"/>
    <w:rsid w:val="0099512B"/>
    <w:rsid w:val="0099523D"/>
    <w:rsid w:val="009952AE"/>
    <w:rsid w:val="009955AE"/>
    <w:rsid w:val="009957EF"/>
    <w:rsid w:val="00995823"/>
    <w:rsid w:val="00995A76"/>
    <w:rsid w:val="00995CEB"/>
    <w:rsid w:val="00995E5D"/>
    <w:rsid w:val="00995E8E"/>
    <w:rsid w:val="00995ED6"/>
    <w:rsid w:val="00995F4C"/>
    <w:rsid w:val="00996272"/>
    <w:rsid w:val="0099659B"/>
    <w:rsid w:val="009965C7"/>
    <w:rsid w:val="0099666A"/>
    <w:rsid w:val="009966B0"/>
    <w:rsid w:val="00996991"/>
    <w:rsid w:val="00996C0C"/>
    <w:rsid w:val="00996E5A"/>
    <w:rsid w:val="00997003"/>
    <w:rsid w:val="00997109"/>
    <w:rsid w:val="009975BF"/>
    <w:rsid w:val="00997791"/>
    <w:rsid w:val="009979F2"/>
    <w:rsid w:val="00997BE5"/>
    <w:rsid w:val="00997DDE"/>
    <w:rsid w:val="009A006D"/>
    <w:rsid w:val="009A039B"/>
    <w:rsid w:val="009A03F9"/>
    <w:rsid w:val="009A0626"/>
    <w:rsid w:val="009A06A1"/>
    <w:rsid w:val="009A0AE2"/>
    <w:rsid w:val="009A0C7C"/>
    <w:rsid w:val="009A0F17"/>
    <w:rsid w:val="009A1226"/>
    <w:rsid w:val="009A134E"/>
    <w:rsid w:val="009A157C"/>
    <w:rsid w:val="009A15BB"/>
    <w:rsid w:val="009A1607"/>
    <w:rsid w:val="009A16A3"/>
    <w:rsid w:val="009A1C65"/>
    <w:rsid w:val="009A1C6D"/>
    <w:rsid w:val="009A1CB4"/>
    <w:rsid w:val="009A1E51"/>
    <w:rsid w:val="009A20A6"/>
    <w:rsid w:val="009A2275"/>
    <w:rsid w:val="009A231C"/>
    <w:rsid w:val="009A23ED"/>
    <w:rsid w:val="009A243A"/>
    <w:rsid w:val="009A292C"/>
    <w:rsid w:val="009A296E"/>
    <w:rsid w:val="009A2EC2"/>
    <w:rsid w:val="009A331A"/>
    <w:rsid w:val="009A3447"/>
    <w:rsid w:val="009A3450"/>
    <w:rsid w:val="009A348F"/>
    <w:rsid w:val="009A35BF"/>
    <w:rsid w:val="009A35C3"/>
    <w:rsid w:val="009A366D"/>
    <w:rsid w:val="009A38D2"/>
    <w:rsid w:val="009A3ABD"/>
    <w:rsid w:val="009A3CE1"/>
    <w:rsid w:val="009A3D28"/>
    <w:rsid w:val="009A3E63"/>
    <w:rsid w:val="009A4038"/>
    <w:rsid w:val="009A4074"/>
    <w:rsid w:val="009A43E4"/>
    <w:rsid w:val="009A4704"/>
    <w:rsid w:val="009A4ABF"/>
    <w:rsid w:val="009A4CAF"/>
    <w:rsid w:val="009A4CF2"/>
    <w:rsid w:val="009A4DF2"/>
    <w:rsid w:val="009A4F3A"/>
    <w:rsid w:val="009A542F"/>
    <w:rsid w:val="009A54B8"/>
    <w:rsid w:val="009A54F8"/>
    <w:rsid w:val="009A576C"/>
    <w:rsid w:val="009A5B6A"/>
    <w:rsid w:val="009A5CAA"/>
    <w:rsid w:val="009A5D72"/>
    <w:rsid w:val="009A5FF1"/>
    <w:rsid w:val="009A63BD"/>
    <w:rsid w:val="009A6568"/>
    <w:rsid w:val="009A6588"/>
    <w:rsid w:val="009A65BE"/>
    <w:rsid w:val="009A693B"/>
    <w:rsid w:val="009A6AD6"/>
    <w:rsid w:val="009A6CC3"/>
    <w:rsid w:val="009A6E7D"/>
    <w:rsid w:val="009A6EFB"/>
    <w:rsid w:val="009A6F29"/>
    <w:rsid w:val="009A74E6"/>
    <w:rsid w:val="009A75C5"/>
    <w:rsid w:val="009A75D4"/>
    <w:rsid w:val="009A77F4"/>
    <w:rsid w:val="009A788C"/>
    <w:rsid w:val="009A79DB"/>
    <w:rsid w:val="009A7B03"/>
    <w:rsid w:val="009A7C8B"/>
    <w:rsid w:val="009A7DFF"/>
    <w:rsid w:val="009B006B"/>
    <w:rsid w:val="009B039A"/>
    <w:rsid w:val="009B04BE"/>
    <w:rsid w:val="009B05EA"/>
    <w:rsid w:val="009B0A37"/>
    <w:rsid w:val="009B0CA2"/>
    <w:rsid w:val="009B0CB1"/>
    <w:rsid w:val="009B0DE7"/>
    <w:rsid w:val="009B0EAC"/>
    <w:rsid w:val="009B0F3D"/>
    <w:rsid w:val="009B1116"/>
    <w:rsid w:val="009B12F2"/>
    <w:rsid w:val="009B1324"/>
    <w:rsid w:val="009B13EA"/>
    <w:rsid w:val="009B14C8"/>
    <w:rsid w:val="009B16CD"/>
    <w:rsid w:val="009B174C"/>
    <w:rsid w:val="009B1BC9"/>
    <w:rsid w:val="009B1C19"/>
    <w:rsid w:val="009B1C41"/>
    <w:rsid w:val="009B2103"/>
    <w:rsid w:val="009B227D"/>
    <w:rsid w:val="009B23B3"/>
    <w:rsid w:val="009B2615"/>
    <w:rsid w:val="009B275F"/>
    <w:rsid w:val="009B2779"/>
    <w:rsid w:val="009B27B9"/>
    <w:rsid w:val="009B282D"/>
    <w:rsid w:val="009B29A6"/>
    <w:rsid w:val="009B2AA6"/>
    <w:rsid w:val="009B2AB8"/>
    <w:rsid w:val="009B2D20"/>
    <w:rsid w:val="009B2DED"/>
    <w:rsid w:val="009B2EC8"/>
    <w:rsid w:val="009B2FC3"/>
    <w:rsid w:val="009B3207"/>
    <w:rsid w:val="009B349B"/>
    <w:rsid w:val="009B385B"/>
    <w:rsid w:val="009B39CB"/>
    <w:rsid w:val="009B3A20"/>
    <w:rsid w:val="009B3E58"/>
    <w:rsid w:val="009B3F91"/>
    <w:rsid w:val="009B405C"/>
    <w:rsid w:val="009B4076"/>
    <w:rsid w:val="009B41AA"/>
    <w:rsid w:val="009B431F"/>
    <w:rsid w:val="009B4407"/>
    <w:rsid w:val="009B479E"/>
    <w:rsid w:val="009B4849"/>
    <w:rsid w:val="009B48A4"/>
    <w:rsid w:val="009B4A0D"/>
    <w:rsid w:val="009B4A53"/>
    <w:rsid w:val="009B4AE0"/>
    <w:rsid w:val="009B4BC7"/>
    <w:rsid w:val="009B4CB5"/>
    <w:rsid w:val="009B4D1C"/>
    <w:rsid w:val="009B4F54"/>
    <w:rsid w:val="009B4FC2"/>
    <w:rsid w:val="009B5366"/>
    <w:rsid w:val="009B538B"/>
    <w:rsid w:val="009B5438"/>
    <w:rsid w:val="009B5503"/>
    <w:rsid w:val="009B5692"/>
    <w:rsid w:val="009B58BB"/>
    <w:rsid w:val="009B5D6E"/>
    <w:rsid w:val="009B607C"/>
    <w:rsid w:val="009B6103"/>
    <w:rsid w:val="009B610B"/>
    <w:rsid w:val="009B642B"/>
    <w:rsid w:val="009B6700"/>
    <w:rsid w:val="009B6748"/>
    <w:rsid w:val="009B6902"/>
    <w:rsid w:val="009B6923"/>
    <w:rsid w:val="009B69BB"/>
    <w:rsid w:val="009B6A6B"/>
    <w:rsid w:val="009B6B27"/>
    <w:rsid w:val="009B706A"/>
    <w:rsid w:val="009B714F"/>
    <w:rsid w:val="009B71E0"/>
    <w:rsid w:val="009B7603"/>
    <w:rsid w:val="009B77BA"/>
    <w:rsid w:val="009B781C"/>
    <w:rsid w:val="009B7BFF"/>
    <w:rsid w:val="009B7DCB"/>
    <w:rsid w:val="009B7F85"/>
    <w:rsid w:val="009C025C"/>
    <w:rsid w:val="009C033B"/>
    <w:rsid w:val="009C0488"/>
    <w:rsid w:val="009C05E7"/>
    <w:rsid w:val="009C060C"/>
    <w:rsid w:val="009C0614"/>
    <w:rsid w:val="009C07F9"/>
    <w:rsid w:val="009C0B1B"/>
    <w:rsid w:val="009C0C07"/>
    <w:rsid w:val="009C0C45"/>
    <w:rsid w:val="009C0CF4"/>
    <w:rsid w:val="009C0D21"/>
    <w:rsid w:val="009C121B"/>
    <w:rsid w:val="009C12B5"/>
    <w:rsid w:val="009C1728"/>
    <w:rsid w:val="009C17F8"/>
    <w:rsid w:val="009C1AEE"/>
    <w:rsid w:val="009C1B0D"/>
    <w:rsid w:val="009C1B22"/>
    <w:rsid w:val="009C21A1"/>
    <w:rsid w:val="009C2213"/>
    <w:rsid w:val="009C22DB"/>
    <w:rsid w:val="009C24C6"/>
    <w:rsid w:val="009C2B52"/>
    <w:rsid w:val="009C2B56"/>
    <w:rsid w:val="009C2BD4"/>
    <w:rsid w:val="009C2CDC"/>
    <w:rsid w:val="009C303D"/>
    <w:rsid w:val="009C368F"/>
    <w:rsid w:val="009C383F"/>
    <w:rsid w:val="009C3999"/>
    <w:rsid w:val="009C3AC4"/>
    <w:rsid w:val="009C3BA3"/>
    <w:rsid w:val="009C40E7"/>
    <w:rsid w:val="009C4133"/>
    <w:rsid w:val="009C44CD"/>
    <w:rsid w:val="009C46F7"/>
    <w:rsid w:val="009C4712"/>
    <w:rsid w:val="009C48D1"/>
    <w:rsid w:val="009C48DC"/>
    <w:rsid w:val="009C4AA1"/>
    <w:rsid w:val="009C4C6A"/>
    <w:rsid w:val="009C5258"/>
    <w:rsid w:val="009C5352"/>
    <w:rsid w:val="009C5361"/>
    <w:rsid w:val="009C5566"/>
    <w:rsid w:val="009C5598"/>
    <w:rsid w:val="009C5748"/>
    <w:rsid w:val="009C57CA"/>
    <w:rsid w:val="009C58F9"/>
    <w:rsid w:val="009C5929"/>
    <w:rsid w:val="009C5E59"/>
    <w:rsid w:val="009C5FDE"/>
    <w:rsid w:val="009C6055"/>
    <w:rsid w:val="009C6197"/>
    <w:rsid w:val="009C630F"/>
    <w:rsid w:val="009C63E3"/>
    <w:rsid w:val="009C6438"/>
    <w:rsid w:val="009C67B0"/>
    <w:rsid w:val="009C6807"/>
    <w:rsid w:val="009C69B0"/>
    <w:rsid w:val="009C6B70"/>
    <w:rsid w:val="009C6D97"/>
    <w:rsid w:val="009C6DEA"/>
    <w:rsid w:val="009C6E25"/>
    <w:rsid w:val="009C701B"/>
    <w:rsid w:val="009C779F"/>
    <w:rsid w:val="009C77BA"/>
    <w:rsid w:val="009C7837"/>
    <w:rsid w:val="009C7BF2"/>
    <w:rsid w:val="009C7DF8"/>
    <w:rsid w:val="009D019F"/>
    <w:rsid w:val="009D031D"/>
    <w:rsid w:val="009D04B5"/>
    <w:rsid w:val="009D0601"/>
    <w:rsid w:val="009D063F"/>
    <w:rsid w:val="009D06C6"/>
    <w:rsid w:val="009D09BB"/>
    <w:rsid w:val="009D0B5A"/>
    <w:rsid w:val="009D0B9A"/>
    <w:rsid w:val="009D0D72"/>
    <w:rsid w:val="009D0E58"/>
    <w:rsid w:val="009D0FA4"/>
    <w:rsid w:val="009D11F1"/>
    <w:rsid w:val="009D1227"/>
    <w:rsid w:val="009D1312"/>
    <w:rsid w:val="009D183B"/>
    <w:rsid w:val="009D18C8"/>
    <w:rsid w:val="009D1A62"/>
    <w:rsid w:val="009D1AE7"/>
    <w:rsid w:val="009D1E33"/>
    <w:rsid w:val="009D2140"/>
    <w:rsid w:val="009D228F"/>
    <w:rsid w:val="009D28B2"/>
    <w:rsid w:val="009D2935"/>
    <w:rsid w:val="009D299D"/>
    <w:rsid w:val="009D30FD"/>
    <w:rsid w:val="009D3111"/>
    <w:rsid w:val="009D3572"/>
    <w:rsid w:val="009D3753"/>
    <w:rsid w:val="009D39C9"/>
    <w:rsid w:val="009D3C7A"/>
    <w:rsid w:val="009D3D2D"/>
    <w:rsid w:val="009D3D44"/>
    <w:rsid w:val="009D4152"/>
    <w:rsid w:val="009D4202"/>
    <w:rsid w:val="009D431D"/>
    <w:rsid w:val="009D4398"/>
    <w:rsid w:val="009D45CD"/>
    <w:rsid w:val="009D462D"/>
    <w:rsid w:val="009D4690"/>
    <w:rsid w:val="009D46BF"/>
    <w:rsid w:val="009D4880"/>
    <w:rsid w:val="009D4929"/>
    <w:rsid w:val="009D49D3"/>
    <w:rsid w:val="009D4B81"/>
    <w:rsid w:val="009D4CA9"/>
    <w:rsid w:val="009D4F68"/>
    <w:rsid w:val="009D4FEE"/>
    <w:rsid w:val="009D53EC"/>
    <w:rsid w:val="009D564F"/>
    <w:rsid w:val="009D5837"/>
    <w:rsid w:val="009D5C29"/>
    <w:rsid w:val="009D5D5C"/>
    <w:rsid w:val="009D5DA5"/>
    <w:rsid w:val="009D5DC7"/>
    <w:rsid w:val="009D5F81"/>
    <w:rsid w:val="009D6071"/>
    <w:rsid w:val="009D60D1"/>
    <w:rsid w:val="009D60FB"/>
    <w:rsid w:val="009D63B3"/>
    <w:rsid w:val="009D654D"/>
    <w:rsid w:val="009D65E1"/>
    <w:rsid w:val="009D6742"/>
    <w:rsid w:val="009D67E6"/>
    <w:rsid w:val="009D6855"/>
    <w:rsid w:val="009D688A"/>
    <w:rsid w:val="009D6B32"/>
    <w:rsid w:val="009D6B67"/>
    <w:rsid w:val="009D6BFD"/>
    <w:rsid w:val="009D73D7"/>
    <w:rsid w:val="009D760A"/>
    <w:rsid w:val="009D7642"/>
    <w:rsid w:val="009D79D6"/>
    <w:rsid w:val="009E02A5"/>
    <w:rsid w:val="009E03A9"/>
    <w:rsid w:val="009E04C5"/>
    <w:rsid w:val="009E061A"/>
    <w:rsid w:val="009E06BE"/>
    <w:rsid w:val="009E09A0"/>
    <w:rsid w:val="009E09B8"/>
    <w:rsid w:val="009E0BAE"/>
    <w:rsid w:val="009E0D04"/>
    <w:rsid w:val="009E0D5B"/>
    <w:rsid w:val="009E0E92"/>
    <w:rsid w:val="009E0F8A"/>
    <w:rsid w:val="009E0FB9"/>
    <w:rsid w:val="009E10FD"/>
    <w:rsid w:val="009E126A"/>
    <w:rsid w:val="009E1A00"/>
    <w:rsid w:val="009E1E60"/>
    <w:rsid w:val="009E1EC8"/>
    <w:rsid w:val="009E21CA"/>
    <w:rsid w:val="009E245D"/>
    <w:rsid w:val="009E24E3"/>
    <w:rsid w:val="009E273A"/>
    <w:rsid w:val="009E2963"/>
    <w:rsid w:val="009E29CE"/>
    <w:rsid w:val="009E2B80"/>
    <w:rsid w:val="009E2BF8"/>
    <w:rsid w:val="009E2D24"/>
    <w:rsid w:val="009E2F59"/>
    <w:rsid w:val="009E2FDA"/>
    <w:rsid w:val="009E3062"/>
    <w:rsid w:val="009E336B"/>
    <w:rsid w:val="009E33D1"/>
    <w:rsid w:val="009E340D"/>
    <w:rsid w:val="009E3417"/>
    <w:rsid w:val="009E344D"/>
    <w:rsid w:val="009E359C"/>
    <w:rsid w:val="009E3735"/>
    <w:rsid w:val="009E375C"/>
    <w:rsid w:val="009E38BD"/>
    <w:rsid w:val="009E3CC2"/>
    <w:rsid w:val="009E3E2F"/>
    <w:rsid w:val="009E40D5"/>
    <w:rsid w:val="009E4134"/>
    <w:rsid w:val="009E468E"/>
    <w:rsid w:val="009E4A2C"/>
    <w:rsid w:val="009E4B45"/>
    <w:rsid w:val="009E4B9B"/>
    <w:rsid w:val="009E4CA4"/>
    <w:rsid w:val="009E4CE1"/>
    <w:rsid w:val="009E4D03"/>
    <w:rsid w:val="009E4F2B"/>
    <w:rsid w:val="009E5366"/>
    <w:rsid w:val="009E53A2"/>
    <w:rsid w:val="009E549F"/>
    <w:rsid w:val="009E5514"/>
    <w:rsid w:val="009E5592"/>
    <w:rsid w:val="009E567E"/>
    <w:rsid w:val="009E5AC0"/>
    <w:rsid w:val="009E625A"/>
    <w:rsid w:val="009E6335"/>
    <w:rsid w:val="009E645A"/>
    <w:rsid w:val="009E650D"/>
    <w:rsid w:val="009E65AE"/>
    <w:rsid w:val="009E6803"/>
    <w:rsid w:val="009E684C"/>
    <w:rsid w:val="009E6981"/>
    <w:rsid w:val="009E6C72"/>
    <w:rsid w:val="009E6C9F"/>
    <w:rsid w:val="009E6D6B"/>
    <w:rsid w:val="009E6D96"/>
    <w:rsid w:val="009E6F13"/>
    <w:rsid w:val="009E6F75"/>
    <w:rsid w:val="009E6FCE"/>
    <w:rsid w:val="009E71B6"/>
    <w:rsid w:val="009E767B"/>
    <w:rsid w:val="009E768B"/>
    <w:rsid w:val="009E76D2"/>
    <w:rsid w:val="009E7B8C"/>
    <w:rsid w:val="009E7BED"/>
    <w:rsid w:val="009E7EB2"/>
    <w:rsid w:val="009E7F38"/>
    <w:rsid w:val="009E7F3A"/>
    <w:rsid w:val="009E7F58"/>
    <w:rsid w:val="009E7FA9"/>
    <w:rsid w:val="009E7FE7"/>
    <w:rsid w:val="009F00AE"/>
    <w:rsid w:val="009F015D"/>
    <w:rsid w:val="009F042F"/>
    <w:rsid w:val="009F0814"/>
    <w:rsid w:val="009F092D"/>
    <w:rsid w:val="009F0A4A"/>
    <w:rsid w:val="009F0ADA"/>
    <w:rsid w:val="009F0C16"/>
    <w:rsid w:val="009F0D21"/>
    <w:rsid w:val="009F0E39"/>
    <w:rsid w:val="009F0E54"/>
    <w:rsid w:val="009F10A1"/>
    <w:rsid w:val="009F1163"/>
    <w:rsid w:val="009F1542"/>
    <w:rsid w:val="009F18AA"/>
    <w:rsid w:val="009F1AF7"/>
    <w:rsid w:val="009F1BEE"/>
    <w:rsid w:val="009F1BF4"/>
    <w:rsid w:val="009F1CFA"/>
    <w:rsid w:val="009F1D09"/>
    <w:rsid w:val="009F2019"/>
    <w:rsid w:val="009F224C"/>
    <w:rsid w:val="009F22E8"/>
    <w:rsid w:val="009F2316"/>
    <w:rsid w:val="009F2681"/>
    <w:rsid w:val="009F2751"/>
    <w:rsid w:val="009F2A40"/>
    <w:rsid w:val="009F2B1B"/>
    <w:rsid w:val="009F2CFF"/>
    <w:rsid w:val="009F2D82"/>
    <w:rsid w:val="009F2EA5"/>
    <w:rsid w:val="009F3187"/>
    <w:rsid w:val="009F3231"/>
    <w:rsid w:val="009F3364"/>
    <w:rsid w:val="009F3E26"/>
    <w:rsid w:val="009F3F68"/>
    <w:rsid w:val="009F4012"/>
    <w:rsid w:val="009F41ED"/>
    <w:rsid w:val="009F4396"/>
    <w:rsid w:val="009F46C8"/>
    <w:rsid w:val="009F4AC1"/>
    <w:rsid w:val="009F4AD7"/>
    <w:rsid w:val="009F4BBC"/>
    <w:rsid w:val="009F4C21"/>
    <w:rsid w:val="009F4D5B"/>
    <w:rsid w:val="009F4EA7"/>
    <w:rsid w:val="009F51C7"/>
    <w:rsid w:val="009F539F"/>
    <w:rsid w:val="009F53BD"/>
    <w:rsid w:val="009F5410"/>
    <w:rsid w:val="009F54CC"/>
    <w:rsid w:val="009F5507"/>
    <w:rsid w:val="009F5516"/>
    <w:rsid w:val="009F55AA"/>
    <w:rsid w:val="009F55C3"/>
    <w:rsid w:val="009F5A2D"/>
    <w:rsid w:val="009F5CE1"/>
    <w:rsid w:val="009F5FA0"/>
    <w:rsid w:val="009F5FCF"/>
    <w:rsid w:val="009F6152"/>
    <w:rsid w:val="009F6159"/>
    <w:rsid w:val="009F6236"/>
    <w:rsid w:val="009F633F"/>
    <w:rsid w:val="009F63AC"/>
    <w:rsid w:val="009F650D"/>
    <w:rsid w:val="009F6510"/>
    <w:rsid w:val="009F6582"/>
    <w:rsid w:val="009F6735"/>
    <w:rsid w:val="009F69D2"/>
    <w:rsid w:val="009F6BE7"/>
    <w:rsid w:val="009F6BEA"/>
    <w:rsid w:val="009F7219"/>
    <w:rsid w:val="009F721A"/>
    <w:rsid w:val="009F72F8"/>
    <w:rsid w:val="009F73F9"/>
    <w:rsid w:val="009F751A"/>
    <w:rsid w:val="009F753B"/>
    <w:rsid w:val="009F754C"/>
    <w:rsid w:val="009F76C3"/>
    <w:rsid w:val="009F77AF"/>
    <w:rsid w:val="009F79C3"/>
    <w:rsid w:val="009F79D4"/>
    <w:rsid w:val="009F7C2B"/>
    <w:rsid w:val="009F7CC1"/>
    <w:rsid w:val="009F7F54"/>
    <w:rsid w:val="00A001A9"/>
    <w:rsid w:val="00A00331"/>
    <w:rsid w:val="00A00334"/>
    <w:rsid w:val="00A00360"/>
    <w:rsid w:val="00A00366"/>
    <w:rsid w:val="00A00604"/>
    <w:rsid w:val="00A0067B"/>
    <w:rsid w:val="00A006B6"/>
    <w:rsid w:val="00A00AFA"/>
    <w:rsid w:val="00A00B1D"/>
    <w:rsid w:val="00A00BB8"/>
    <w:rsid w:val="00A00DDE"/>
    <w:rsid w:val="00A00FFD"/>
    <w:rsid w:val="00A01027"/>
    <w:rsid w:val="00A019A0"/>
    <w:rsid w:val="00A01CFB"/>
    <w:rsid w:val="00A01F26"/>
    <w:rsid w:val="00A02071"/>
    <w:rsid w:val="00A02159"/>
    <w:rsid w:val="00A024D4"/>
    <w:rsid w:val="00A0253E"/>
    <w:rsid w:val="00A02542"/>
    <w:rsid w:val="00A025F2"/>
    <w:rsid w:val="00A0266A"/>
    <w:rsid w:val="00A026C0"/>
    <w:rsid w:val="00A026D7"/>
    <w:rsid w:val="00A02718"/>
    <w:rsid w:val="00A0279F"/>
    <w:rsid w:val="00A0280A"/>
    <w:rsid w:val="00A02A96"/>
    <w:rsid w:val="00A02ED9"/>
    <w:rsid w:val="00A0327F"/>
    <w:rsid w:val="00A0336F"/>
    <w:rsid w:val="00A03788"/>
    <w:rsid w:val="00A03A64"/>
    <w:rsid w:val="00A03F3D"/>
    <w:rsid w:val="00A03FD3"/>
    <w:rsid w:val="00A043D5"/>
    <w:rsid w:val="00A0447B"/>
    <w:rsid w:val="00A0455A"/>
    <w:rsid w:val="00A04644"/>
    <w:rsid w:val="00A04703"/>
    <w:rsid w:val="00A0483D"/>
    <w:rsid w:val="00A04AC2"/>
    <w:rsid w:val="00A04B12"/>
    <w:rsid w:val="00A04E2C"/>
    <w:rsid w:val="00A04F5A"/>
    <w:rsid w:val="00A051FC"/>
    <w:rsid w:val="00A05602"/>
    <w:rsid w:val="00A05731"/>
    <w:rsid w:val="00A057B7"/>
    <w:rsid w:val="00A05811"/>
    <w:rsid w:val="00A060A0"/>
    <w:rsid w:val="00A060F9"/>
    <w:rsid w:val="00A06194"/>
    <w:rsid w:val="00A06247"/>
    <w:rsid w:val="00A06442"/>
    <w:rsid w:val="00A0655E"/>
    <w:rsid w:val="00A0659F"/>
    <w:rsid w:val="00A0670D"/>
    <w:rsid w:val="00A06733"/>
    <w:rsid w:val="00A06AB4"/>
    <w:rsid w:val="00A06AB6"/>
    <w:rsid w:val="00A06AC9"/>
    <w:rsid w:val="00A06C12"/>
    <w:rsid w:val="00A06CF5"/>
    <w:rsid w:val="00A06D6D"/>
    <w:rsid w:val="00A06E48"/>
    <w:rsid w:val="00A070B6"/>
    <w:rsid w:val="00A07842"/>
    <w:rsid w:val="00A078CB"/>
    <w:rsid w:val="00A07AAA"/>
    <w:rsid w:val="00A07DB5"/>
    <w:rsid w:val="00A07E98"/>
    <w:rsid w:val="00A07F6B"/>
    <w:rsid w:val="00A07FED"/>
    <w:rsid w:val="00A10081"/>
    <w:rsid w:val="00A101B0"/>
    <w:rsid w:val="00A10262"/>
    <w:rsid w:val="00A102A6"/>
    <w:rsid w:val="00A102B8"/>
    <w:rsid w:val="00A10351"/>
    <w:rsid w:val="00A104A1"/>
    <w:rsid w:val="00A1061C"/>
    <w:rsid w:val="00A10663"/>
    <w:rsid w:val="00A106AB"/>
    <w:rsid w:val="00A108F4"/>
    <w:rsid w:val="00A1098F"/>
    <w:rsid w:val="00A10A00"/>
    <w:rsid w:val="00A10C5E"/>
    <w:rsid w:val="00A10FE7"/>
    <w:rsid w:val="00A1103D"/>
    <w:rsid w:val="00A1118B"/>
    <w:rsid w:val="00A11322"/>
    <w:rsid w:val="00A115DA"/>
    <w:rsid w:val="00A11664"/>
    <w:rsid w:val="00A119FD"/>
    <w:rsid w:val="00A11AAF"/>
    <w:rsid w:val="00A11C3C"/>
    <w:rsid w:val="00A11E7C"/>
    <w:rsid w:val="00A11FAC"/>
    <w:rsid w:val="00A12005"/>
    <w:rsid w:val="00A12034"/>
    <w:rsid w:val="00A12545"/>
    <w:rsid w:val="00A1267F"/>
    <w:rsid w:val="00A12B0D"/>
    <w:rsid w:val="00A12C9B"/>
    <w:rsid w:val="00A12CCA"/>
    <w:rsid w:val="00A12D50"/>
    <w:rsid w:val="00A12DB1"/>
    <w:rsid w:val="00A12F3C"/>
    <w:rsid w:val="00A1316F"/>
    <w:rsid w:val="00A1366C"/>
    <w:rsid w:val="00A13752"/>
    <w:rsid w:val="00A13818"/>
    <w:rsid w:val="00A13BA1"/>
    <w:rsid w:val="00A13C57"/>
    <w:rsid w:val="00A13EA0"/>
    <w:rsid w:val="00A13F19"/>
    <w:rsid w:val="00A13FA9"/>
    <w:rsid w:val="00A14290"/>
    <w:rsid w:val="00A14325"/>
    <w:rsid w:val="00A14337"/>
    <w:rsid w:val="00A14354"/>
    <w:rsid w:val="00A14787"/>
    <w:rsid w:val="00A147EE"/>
    <w:rsid w:val="00A14891"/>
    <w:rsid w:val="00A14FC9"/>
    <w:rsid w:val="00A15097"/>
    <w:rsid w:val="00A1538D"/>
    <w:rsid w:val="00A15521"/>
    <w:rsid w:val="00A15534"/>
    <w:rsid w:val="00A155C5"/>
    <w:rsid w:val="00A157E0"/>
    <w:rsid w:val="00A15869"/>
    <w:rsid w:val="00A15AA0"/>
    <w:rsid w:val="00A15D71"/>
    <w:rsid w:val="00A16339"/>
    <w:rsid w:val="00A163D2"/>
    <w:rsid w:val="00A1643A"/>
    <w:rsid w:val="00A166D7"/>
    <w:rsid w:val="00A1692E"/>
    <w:rsid w:val="00A16B1C"/>
    <w:rsid w:val="00A16DCB"/>
    <w:rsid w:val="00A17182"/>
    <w:rsid w:val="00A171D8"/>
    <w:rsid w:val="00A1720C"/>
    <w:rsid w:val="00A17262"/>
    <w:rsid w:val="00A175EA"/>
    <w:rsid w:val="00A177DC"/>
    <w:rsid w:val="00A177DE"/>
    <w:rsid w:val="00A1784C"/>
    <w:rsid w:val="00A17917"/>
    <w:rsid w:val="00A17A5F"/>
    <w:rsid w:val="00A17D18"/>
    <w:rsid w:val="00A20014"/>
    <w:rsid w:val="00A200DE"/>
    <w:rsid w:val="00A20192"/>
    <w:rsid w:val="00A20304"/>
    <w:rsid w:val="00A203FE"/>
    <w:rsid w:val="00A20414"/>
    <w:rsid w:val="00A2041A"/>
    <w:rsid w:val="00A20462"/>
    <w:rsid w:val="00A2059E"/>
    <w:rsid w:val="00A20635"/>
    <w:rsid w:val="00A20792"/>
    <w:rsid w:val="00A2089B"/>
    <w:rsid w:val="00A20A55"/>
    <w:rsid w:val="00A20A5E"/>
    <w:rsid w:val="00A20A8F"/>
    <w:rsid w:val="00A20B43"/>
    <w:rsid w:val="00A20C4B"/>
    <w:rsid w:val="00A20C66"/>
    <w:rsid w:val="00A20EBC"/>
    <w:rsid w:val="00A2143D"/>
    <w:rsid w:val="00A21699"/>
    <w:rsid w:val="00A21810"/>
    <w:rsid w:val="00A21918"/>
    <w:rsid w:val="00A21C5E"/>
    <w:rsid w:val="00A21CF8"/>
    <w:rsid w:val="00A21EA6"/>
    <w:rsid w:val="00A221A4"/>
    <w:rsid w:val="00A223D6"/>
    <w:rsid w:val="00A225B5"/>
    <w:rsid w:val="00A22847"/>
    <w:rsid w:val="00A22F9D"/>
    <w:rsid w:val="00A22FF0"/>
    <w:rsid w:val="00A233C1"/>
    <w:rsid w:val="00A23503"/>
    <w:rsid w:val="00A235F3"/>
    <w:rsid w:val="00A23827"/>
    <w:rsid w:val="00A2384F"/>
    <w:rsid w:val="00A23888"/>
    <w:rsid w:val="00A23E99"/>
    <w:rsid w:val="00A24327"/>
    <w:rsid w:val="00A245C5"/>
    <w:rsid w:val="00A24768"/>
    <w:rsid w:val="00A248E9"/>
    <w:rsid w:val="00A249C2"/>
    <w:rsid w:val="00A24CEE"/>
    <w:rsid w:val="00A25126"/>
    <w:rsid w:val="00A2524B"/>
    <w:rsid w:val="00A252CA"/>
    <w:rsid w:val="00A25521"/>
    <w:rsid w:val="00A25764"/>
    <w:rsid w:val="00A25C7D"/>
    <w:rsid w:val="00A25FB1"/>
    <w:rsid w:val="00A25FF0"/>
    <w:rsid w:val="00A260D2"/>
    <w:rsid w:val="00A2617A"/>
    <w:rsid w:val="00A26309"/>
    <w:rsid w:val="00A263DC"/>
    <w:rsid w:val="00A265C9"/>
    <w:rsid w:val="00A265E3"/>
    <w:rsid w:val="00A26609"/>
    <w:rsid w:val="00A2663B"/>
    <w:rsid w:val="00A269C8"/>
    <w:rsid w:val="00A26B2D"/>
    <w:rsid w:val="00A26B91"/>
    <w:rsid w:val="00A26F29"/>
    <w:rsid w:val="00A26FB9"/>
    <w:rsid w:val="00A27073"/>
    <w:rsid w:val="00A270A4"/>
    <w:rsid w:val="00A2753B"/>
    <w:rsid w:val="00A27767"/>
    <w:rsid w:val="00A279E5"/>
    <w:rsid w:val="00A27D4B"/>
    <w:rsid w:val="00A301C5"/>
    <w:rsid w:val="00A30259"/>
    <w:rsid w:val="00A30384"/>
    <w:rsid w:val="00A3057E"/>
    <w:rsid w:val="00A30790"/>
    <w:rsid w:val="00A30791"/>
    <w:rsid w:val="00A30C5A"/>
    <w:rsid w:val="00A30CE0"/>
    <w:rsid w:val="00A30EA4"/>
    <w:rsid w:val="00A30F5F"/>
    <w:rsid w:val="00A315AC"/>
    <w:rsid w:val="00A31694"/>
    <w:rsid w:val="00A316A7"/>
    <w:rsid w:val="00A3187D"/>
    <w:rsid w:val="00A319D6"/>
    <w:rsid w:val="00A31B8E"/>
    <w:rsid w:val="00A32158"/>
    <w:rsid w:val="00A3218F"/>
    <w:rsid w:val="00A322E8"/>
    <w:rsid w:val="00A3247F"/>
    <w:rsid w:val="00A325F5"/>
    <w:rsid w:val="00A3263E"/>
    <w:rsid w:val="00A32654"/>
    <w:rsid w:val="00A32B7A"/>
    <w:rsid w:val="00A32CBE"/>
    <w:rsid w:val="00A33186"/>
    <w:rsid w:val="00A331BB"/>
    <w:rsid w:val="00A33213"/>
    <w:rsid w:val="00A334A9"/>
    <w:rsid w:val="00A334AA"/>
    <w:rsid w:val="00A339D2"/>
    <w:rsid w:val="00A33A97"/>
    <w:rsid w:val="00A33E7E"/>
    <w:rsid w:val="00A341C1"/>
    <w:rsid w:val="00A344BC"/>
    <w:rsid w:val="00A34500"/>
    <w:rsid w:val="00A34754"/>
    <w:rsid w:val="00A3478F"/>
    <w:rsid w:val="00A34B08"/>
    <w:rsid w:val="00A34C99"/>
    <w:rsid w:val="00A34E1B"/>
    <w:rsid w:val="00A3506A"/>
    <w:rsid w:val="00A351A9"/>
    <w:rsid w:val="00A352B5"/>
    <w:rsid w:val="00A353BC"/>
    <w:rsid w:val="00A3557D"/>
    <w:rsid w:val="00A355C9"/>
    <w:rsid w:val="00A35898"/>
    <w:rsid w:val="00A358B2"/>
    <w:rsid w:val="00A35CD6"/>
    <w:rsid w:val="00A35D81"/>
    <w:rsid w:val="00A35E58"/>
    <w:rsid w:val="00A35E78"/>
    <w:rsid w:val="00A35F48"/>
    <w:rsid w:val="00A36069"/>
    <w:rsid w:val="00A360CC"/>
    <w:rsid w:val="00A360D3"/>
    <w:rsid w:val="00A3634E"/>
    <w:rsid w:val="00A36388"/>
    <w:rsid w:val="00A363A4"/>
    <w:rsid w:val="00A365C4"/>
    <w:rsid w:val="00A36A1A"/>
    <w:rsid w:val="00A36F5B"/>
    <w:rsid w:val="00A3720F"/>
    <w:rsid w:val="00A372D1"/>
    <w:rsid w:val="00A37313"/>
    <w:rsid w:val="00A37571"/>
    <w:rsid w:val="00A37613"/>
    <w:rsid w:val="00A37770"/>
    <w:rsid w:val="00A379A7"/>
    <w:rsid w:val="00A37A57"/>
    <w:rsid w:val="00A37B98"/>
    <w:rsid w:val="00A37C35"/>
    <w:rsid w:val="00A37DCA"/>
    <w:rsid w:val="00A4007A"/>
    <w:rsid w:val="00A400DF"/>
    <w:rsid w:val="00A4039B"/>
    <w:rsid w:val="00A40544"/>
    <w:rsid w:val="00A405B4"/>
    <w:rsid w:val="00A406DA"/>
    <w:rsid w:val="00A4079F"/>
    <w:rsid w:val="00A407DE"/>
    <w:rsid w:val="00A408DF"/>
    <w:rsid w:val="00A40E76"/>
    <w:rsid w:val="00A4135D"/>
    <w:rsid w:val="00A4157F"/>
    <w:rsid w:val="00A41B85"/>
    <w:rsid w:val="00A41CEC"/>
    <w:rsid w:val="00A41DB6"/>
    <w:rsid w:val="00A41EC4"/>
    <w:rsid w:val="00A41F60"/>
    <w:rsid w:val="00A41FBD"/>
    <w:rsid w:val="00A42486"/>
    <w:rsid w:val="00A42A2D"/>
    <w:rsid w:val="00A42AB8"/>
    <w:rsid w:val="00A42B27"/>
    <w:rsid w:val="00A42E75"/>
    <w:rsid w:val="00A42EB4"/>
    <w:rsid w:val="00A432B2"/>
    <w:rsid w:val="00A43496"/>
    <w:rsid w:val="00A437BB"/>
    <w:rsid w:val="00A43842"/>
    <w:rsid w:val="00A43ADE"/>
    <w:rsid w:val="00A43BAA"/>
    <w:rsid w:val="00A4412B"/>
    <w:rsid w:val="00A44437"/>
    <w:rsid w:val="00A4456B"/>
    <w:rsid w:val="00A44808"/>
    <w:rsid w:val="00A44B17"/>
    <w:rsid w:val="00A44CA2"/>
    <w:rsid w:val="00A44E25"/>
    <w:rsid w:val="00A44E5D"/>
    <w:rsid w:val="00A44F08"/>
    <w:rsid w:val="00A451B0"/>
    <w:rsid w:val="00A4530F"/>
    <w:rsid w:val="00A45495"/>
    <w:rsid w:val="00A45799"/>
    <w:rsid w:val="00A458D3"/>
    <w:rsid w:val="00A4590B"/>
    <w:rsid w:val="00A45ABE"/>
    <w:rsid w:val="00A45B55"/>
    <w:rsid w:val="00A45BCF"/>
    <w:rsid w:val="00A4600A"/>
    <w:rsid w:val="00A46134"/>
    <w:rsid w:val="00A464F0"/>
    <w:rsid w:val="00A4686A"/>
    <w:rsid w:val="00A469D0"/>
    <w:rsid w:val="00A472F6"/>
    <w:rsid w:val="00A473AB"/>
    <w:rsid w:val="00A4740E"/>
    <w:rsid w:val="00A477E0"/>
    <w:rsid w:val="00A47899"/>
    <w:rsid w:val="00A4798E"/>
    <w:rsid w:val="00A47A77"/>
    <w:rsid w:val="00A47A88"/>
    <w:rsid w:val="00A50035"/>
    <w:rsid w:val="00A50139"/>
    <w:rsid w:val="00A5059B"/>
    <w:rsid w:val="00A508DD"/>
    <w:rsid w:val="00A509AD"/>
    <w:rsid w:val="00A509C6"/>
    <w:rsid w:val="00A509F2"/>
    <w:rsid w:val="00A50C1E"/>
    <w:rsid w:val="00A50C1F"/>
    <w:rsid w:val="00A50C93"/>
    <w:rsid w:val="00A50D3D"/>
    <w:rsid w:val="00A50E67"/>
    <w:rsid w:val="00A50F55"/>
    <w:rsid w:val="00A511AD"/>
    <w:rsid w:val="00A512D2"/>
    <w:rsid w:val="00A5132D"/>
    <w:rsid w:val="00A5166D"/>
    <w:rsid w:val="00A516E8"/>
    <w:rsid w:val="00A51C51"/>
    <w:rsid w:val="00A51E9C"/>
    <w:rsid w:val="00A51F34"/>
    <w:rsid w:val="00A51FAA"/>
    <w:rsid w:val="00A520D9"/>
    <w:rsid w:val="00A521AB"/>
    <w:rsid w:val="00A521C9"/>
    <w:rsid w:val="00A52244"/>
    <w:rsid w:val="00A523A1"/>
    <w:rsid w:val="00A5258E"/>
    <w:rsid w:val="00A525B5"/>
    <w:rsid w:val="00A526E6"/>
    <w:rsid w:val="00A52744"/>
    <w:rsid w:val="00A527C4"/>
    <w:rsid w:val="00A52922"/>
    <w:rsid w:val="00A52987"/>
    <w:rsid w:val="00A5299E"/>
    <w:rsid w:val="00A52CD0"/>
    <w:rsid w:val="00A52E86"/>
    <w:rsid w:val="00A52EA9"/>
    <w:rsid w:val="00A52FF6"/>
    <w:rsid w:val="00A530C7"/>
    <w:rsid w:val="00A53109"/>
    <w:rsid w:val="00A533F1"/>
    <w:rsid w:val="00A534E7"/>
    <w:rsid w:val="00A5352F"/>
    <w:rsid w:val="00A53854"/>
    <w:rsid w:val="00A53863"/>
    <w:rsid w:val="00A53C55"/>
    <w:rsid w:val="00A53E0B"/>
    <w:rsid w:val="00A53E38"/>
    <w:rsid w:val="00A53FCF"/>
    <w:rsid w:val="00A54322"/>
    <w:rsid w:val="00A545B9"/>
    <w:rsid w:val="00A5473E"/>
    <w:rsid w:val="00A548CF"/>
    <w:rsid w:val="00A5527D"/>
    <w:rsid w:val="00A552B9"/>
    <w:rsid w:val="00A55323"/>
    <w:rsid w:val="00A5564B"/>
    <w:rsid w:val="00A556CF"/>
    <w:rsid w:val="00A55719"/>
    <w:rsid w:val="00A55904"/>
    <w:rsid w:val="00A55A20"/>
    <w:rsid w:val="00A55A4C"/>
    <w:rsid w:val="00A55ACB"/>
    <w:rsid w:val="00A55B19"/>
    <w:rsid w:val="00A55B61"/>
    <w:rsid w:val="00A55C1E"/>
    <w:rsid w:val="00A55C8C"/>
    <w:rsid w:val="00A55D6D"/>
    <w:rsid w:val="00A5610F"/>
    <w:rsid w:val="00A562C6"/>
    <w:rsid w:val="00A56387"/>
    <w:rsid w:val="00A563EE"/>
    <w:rsid w:val="00A565E8"/>
    <w:rsid w:val="00A56F62"/>
    <w:rsid w:val="00A5714F"/>
    <w:rsid w:val="00A572E8"/>
    <w:rsid w:val="00A5735B"/>
    <w:rsid w:val="00A573AE"/>
    <w:rsid w:val="00A574D3"/>
    <w:rsid w:val="00A57667"/>
    <w:rsid w:val="00A57679"/>
    <w:rsid w:val="00A577C5"/>
    <w:rsid w:val="00A57850"/>
    <w:rsid w:val="00A57C88"/>
    <w:rsid w:val="00A57DC4"/>
    <w:rsid w:val="00A57E28"/>
    <w:rsid w:val="00A57EC3"/>
    <w:rsid w:val="00A606AB"/>
    <w:rsid w:val="00A608FB"/>
    <w:rsid w:val="00A60A00"/>
    <w:rsid w:val="00A60B43"/>
    <w:rsid w:val="00A60B5D"/>
    <w:rsid w:val="00A60CC8"/>
    <w:rsid w:val="00A60D7D"/>
    <w:rsid w:val="00A60DF3"/>
    <w:rsid w:val="00A60E85"/>
    <w:rsid w:val="00A60F74"/>
    <w:rsid w:val="00A60F9B"/>
    <w:rsid w:val="00A61099"/>
    <w:rsid w:val="00A610AE"/>
    <w:rsid w:val="00A611D1"/>
    <w:rsid w:val="00A6138D"/>
    <w:rsid w:val="00A61564"/>
    <w:rsid w:val="00A61B47"/>
    <w:rsid w:val="00A61BA3"/>
    <w:rsid w:val="00A61E2D"/>
    <w:rsid w:val="00A61E3E"/>
    <w:rsid w:val="00A61EB7"/>
    <w:rsid w:val="00A62185"/>
    <w:rsid w:val="00A62301"/>
    <w:rsid w:val="00A62402"/>
    <w:rsid w:val="00A6240E"/>
    <w:rsid w:val="00A625C9"/>
    <w:rsid w:val="00A62632"/>
    <w:rsid w:val="00A62643"/>
    <w:rsid w:val="00A62C63"/>
    <w:rsid w:val="00A62F0A"/>
    <w:rsid w:val="00A632BD"/>
    <w:rsid w:val="00A63481"/>
    <w:rsid w:val="00A63860"/>
    <w:rsid w:val="00A63C78"/>
    <w:rsid w:val="00A63D43"/>
    <w:rsid w:val="00A63E26"/>
    <w:rsid w:val="00A63F37"/>
    <w:rsid w:val="00A63F64"/>
    <w:rsid w:val="00A64331"/>
    <w:rsid w:val="00A64358"/>
    <w:rsid w:val="00A646D0"/>
    <w:rsid w:val="00A64974"/>
    <w:rsid w:val="00A64AF8"/>
    <w:rsid w:val="00A64EC2"/>
    <w:rsid w:val="00A64F5C"/>
    <w:rsid w:val="00A65442"/>
    <w:rsid w:val="00A655B1"/>
    <w:rsid w:val="00A658C7"/>
    <w:rsid w:val="00A65910"/>
    <w:rsid w:val="00A6593F"/>
    <w:rsid w:val="00A65B0B"/>
    <w:rsid w:val="00A65C37"/>
    <w:rsid w:val="00A65EF2"/>
    <w:rsid w:val="00A65FA4"/>
    <w:rsid w:val="00A6602F"/>
    <w:rsid w:val="00A660E2"/>
    <w:rsid w:val="00A661B3"/>
    <w:rsid w:val="00A661FE"/>
    <w:rsid w:val="00A6624A"/>
    <w:rsid w:val="00A665F8"/>
    <w:rsid w:val="00A66700"/>
    <w:rsid w:val="00A66A51"/>
    <w:rsid w:val="00A66BD7"/>
    <w:rsid w:val="00A66DDA"/>
    <w:rsid w:val="00A66E6F"/>
    <w:rsid w:val="00A66E97"/>
    <w:rsid w:val="00A66F56"/>
    <w:rsid w:val="00A67064"/>
    <w:rsid w:val="00A672CA"/>
    <w:rsid w:val="00A67704"/>
    <w:rsid w:val="00A677C6"/>
    <w:rsid w:val="00A677D4"/>
    <w:rsid w:val="00A677DF"/>
    <w:rsid w:val="00A6791B"/>
    <w:rsid w:val="00A67975"/>
    <w:rsid w:val="00A67976"/>
    <w:rsid w:val="00A679D6"/>
    <w:rsid w:val="00A67C22"/>
    <w:rsid w:val="00A67C94"/>
    <w:rsid w:val="00A7018C"/>
    <w:rsid w:val="00A70346"/>
    <w:rsid w:val="00A7044A"/>
    <w:rsid w:val="00A70610"/>
    <w:rsid w:val="00A70786"/>
    <w:rsid w:val="00A7080F"/>
    <w:rsid w:val="00A70BC0"/>
    <w:rsid w:val="00A70D2B"/>
    <w:rsid w:val="00A70E35"/>
    <w:rsid w:val="00A70F36"/>
    <w:rsid w:val="00A70F4B"/>
    <w:rsid w:val="00A71164"/>
    <w:rsid w:val="00A713BC"/>
    <w:rsid w:val="00A715AC"/>
    <w:rsid w:val="00A7181D"/>
    <w:rsid w:val="00A718A4"/>
    <w:rsid w:val="00A71C24"/>
    <w:rsid w:val="00A72220"/>
    <w:rsid w:val="00A72693"/>
    <w:rsid w:val="00A72A6C"/>
    <w:rsid w:val="00A72D08"/>
    <w:rsid w:val="00A72E3A"/>
    <w:rsid w:val="00A73039"/>
    <w:rsid w:val="00A7316C"/>
    <w:rsid w:val="00A733ED"/>
    <w:rsid w:val="00A734D4"/>
    <w:rsid w:val="00A735F0"/>
    <w:rsid w:val="00A73AF5"/>
    <w:rsid w:val="00A73D05"/>
    <w:rsid w:val="00A73D38"/>
    <w:rsid w:val="00A73E94"/>
    <w:rsid w:val="00A73EE9"/>
    <w:rsid w:val="00A74072"/>
    <w:rsid w:val="00A741B9"/>
    <w:rsid w:val="00A74519"/>
    <w:rsid w:val="00A747B7"/>
    <w:rsid w:val="00A74A48"/>
    <w:rsid w:val="00A74BBF"/>
    <w:rsid w:val="00A74CF6"/>
    <w:rsid w:val="00A74D52"/>
    <w:rsid w:val="00A74D55"/>
    <w:rsid w:val="00A74E88"/>
    <w:rsid w:val="00A74F4F"/>
    <w:rsid w:val="00A75064"/>
    <w:rsid w:val="00A75294"/>
    <w:rsid w:val="00A752AF"/>
    <w:rsid w:val="00A755D8"/>
    <w:rsid w:val="00A755E5"/>
    <w:rsid w:val="00A75656"/>
    <w:rsid w:val="00A756ED"/>
    <w:rsid w:val="00A75941"/>
    <w:rsid w:val="00A75AE9"/>
    <w:rsid w:val="00A75B76"/>
    <w:rsid w:val="00A75E0D"/>
    <w:rsid w:val="00A75E0F"/>
    <w:rsid w:val="00A75EB4"/>
    <w:rsid w:val="00A75F0D"/>
    <w:rsid w:val="00A7608C"/>
    <w:rsid w:val="00A760D4"/>
    <w:rsid w:val="00A76131"/>
    <w:rsid w:val="00A76435"/>
    <w:rsid w:val="00A76487"/>
    <w:rsid w:val="00A7662A"/>
    <w:rsid w:val="00A7666C"/>
    <w:rsid w:val="00A76675"/>
    <w:rsid w:val="00A767E9"/>
    <w:rsid w:val="00A76AD1"/>
    <w:rsid w:val="00A76B8F"/>
    <w:rsid w:val="00A76B9D"/>
    <w:rsid w:val="00A76C79"/>
    <w:rsid w:val="00A77123"/>
    <w:rsid w:val="00A773C5"/>
    <w:rsid w:val="00A77548"/>
    <w:rsid w:val="00A77562"/>
    <w:rsid w:val="00A77647"/>
    <w:rsid w:val="00A77B0F"/>
    <w:rsid w:val="00A77E84"/>
    <w:rsid w:val="00A80006"/>
    <w:rsid w:val="00A80029"/>
    <w:rsid w:val="00A80360"/>
    <w:rsid w:val="00A804EE"/>
    <w:rsid w:val="00A805F7"/>
    <w:rsid w:val="00A8070C"/>
    <w:rsid w:val="00A80C23"/>
    <w:rsid w:val="00A80CB1"/>
    <w:rsid w:val="00A80E34"/>
    <w:rsid w:val="00A8155C"/>
    <w:rsid w:val="00A81711"/>
    <w:rsid w:val="00A817C3"/>
    <w:rsid w:val="00A819AC"/>
    <w:rsid w:val="00A819F7"/>
    <w:rsid w:val="00A81AA1"/>
    <w:rsid w:val="00A81D36"/>
    <w:rsid w:val="00A81E56"/>
    <w:rsid w:val="00A820E1"/>
    <w:rsid w:val="00A8246B"/>
    <w:rsid w:val="00A8247A"/>
    <w:rsid w:val="00A8296A"/>
    <w:rsid w:val="00A829AD"/>
    <w:rsid w:val="00A82B23"/>
    <w:rsid w:val="00A82BD8"/>
    <w:rsid w:val="00A82CE8"/>
    <w:rsid w:val="00A82D79"/>
    <w:rsid w:val="00A82F2F"/>
    <w:rsid w:val="00A832F0"/>
    <w:rsid w:val="00A8341B"/>
    <w:rsid w:val="00A834AC"/>
    <w:rsid w:val="00A83637"/>
    <w:rsid w:val="00A8399D"/>
    <w:rsid w:val="00A83A0D"/>
    <w:rsid w:val="00A83A74"/>
    <w:rsid w:val="00A83AF8"/>
    <w:rsid w:val="00A83C88"/>
    <w:rsid w:val="00A83E4B"/>
    <w:rsid w:val="00A83F14"/>
    <w:rsid w:val="00A83F2F"/>
    <w:rsid w:val="00A840CD"/>
    <w:rsid w:val="00A840FC"/>
    <w:rsid w:val="00A841EB"/>
    <w:rsid w:val="00A843A4"/>
    <w:rsid w:val="00A84546"/>
    <w:rsid w:val="00A845BF"/>
    <w:rsid w:val="00A845E4"/>
    <w:rsid w:val="00A847DE"/>
    <w:rsid w:val="00A84959"/>
    <w:rsid w:val="00A849A1"/>
    <w:rsid w:val="00A84B46"/>
    <w:rsid w:val="00A84E5E"/>
    <w:rsid w:val="00A84EBD"/>
    <w:rsid w:val="00A8528D"/>
    <w:rsid w:val="00A85582"/>
    <w:rsid w:val="00A8562E"/>
    <w:rsid w:val="00A85683"/>
    <w:rsid w:val="00A85829"/>
    <w:rsid w:val="00A8599B"/>
    <w:rsid w:val="00A85B73"/>
    <w:rsid w:val="00A85B94"/>
    <w:rsid w:val="00A85C9F"/>
    <w:rsid w:val="00A861BC"/>
    <w:rsid w:val="00A86365"/>
    <w:rsid w:val="00A8655E"/>
    <w:rsid w:val="00A86793"/>
    <w:rsid w:val="00A86989"/>
    <w:rsid w:val="00A8699C"/>
    <w:rsid w:val="00A86BB0"/>
    <w:rsid w:val="00A86CFA"/>
    <w:rsid w:val="00A86EB6"/>
    <w:rsid w:val="00A86F5E"/>
    <w:rsid w:val="00A87155"/>
    <w:rsid w:val="00A871EE"/>
    <w:rsid w:val="00A87209"/>
    <w:rsid w:val="00A87241"/>
    <w:rsid w:val="00A87402"/>
    <w:rsid w:val="00A87523"/>
    <w:rsid w:val="00A87A17"/>
    <w:rsid w:val="00A87CB4"/>
    <w:rsid w:val="00A87CF9"/>
    <w:rsid w:val="00A87DFC"/>
    <w:rsid w:val="00A87E61"/>
    <w:rsid w:val="00A87F5A"/>
    <w:rsid w:val="00A90206"/>
    <w:rsid w:val="00A90214"/>
    <w:rsid w:val="00A90662"/>
    <w:rsid w:val="00A90882"/>
    <w:rsid w:val="00A908B8"/>
    <w:rsid w:val="00A90A06"/>
    <w:rsid w:val="00A90A51"/>
    <w:rsid w:val="00A90CCB"/>
    <w:rsid w:val="00A90CF7"/>
    <w:rsid w:val="00A90E8E"/>
    <w:rsid w:val="00A911F2"/>
    <w:rsid w:val="00A912C0"/>
    <w:rsid w:val="00A91524"/>
    <w:rsid w:val="00A9177C"/>
    <w:rsid w:val="00A91983"/>
    <w:rsid w:val="00A91A8C"/>
    <w:rsid w:val="00A91B0F"/>
    <w:rsid w:val="00A91B46"/>
    <w:rsid w:val="00A91D13"/>
    <w:rsid w:val="00A91D9A"/>
    <w:rsid w:val="00A91F18"/>
    <w:rsid w:val="00A92114"/>
    <w:rsid w:val="00A922B3"/>
    <w:rsid w:val="00A92588"/>
    <w:rsid w:val="00A92611"/>
    <w:rsid w:val="00A9284D"/>
    <w:rsid w:val="00A928A0"/>
    <w:rsid w:val="00A92A12"/>
    <w:rsid w:val="00A92CD2"/>
    <w:rsid w:val="00A92F2F"/>
    <w:rsid w:val="00A92FC4"/>
    <w:rsid w:val="00A93064"/>
    <w:rsid w:val="00A9341A"/>
    <w:rsid w:val="00A9381A"/>
    <w:rsid w:val="00A93885"/>
    <w:rsid w:val="00A939B4"/>
    <w:rsid w:val="00A939DF"/>
    <w:rsid w:val="00A93A18"/>
    <w:rsid w:val="00A93A2B"/>
    <w:rsid w:val="00A93C23"/>
    <w:rsid w:val="00A93C81"/>
    <w:rsid w:val="00A93D98"/>
    <w:rsid w:val="00A942E2"/>
    <w:rsid w:val="00A945C7"/>
    <w:rsid w:val="00A949B6"/>
    <w:rsid w:val="00A94A40"/>
    <w:rsid w:val="00A94DC2"/>
    <w:rsid w:val="00A94E8D"/>
    <w:rsid w:val="00A94F50"/>
    <w:rsid w:val="00A951EA"/>
    <w:rsid w:val="00A953A2"/>
    <w:rsid w:val="00A956C7"/>
    <w:rsid w:val="00A95901"/>
    <w:rsid w:val="00A95A02"/>
    <w:rsid w:val="00A95B1A"/>
    <w:rsid w:val="00A95D23"/>
    <w:rsid w:val="00A95D53"/>
    <w:rsid w:val="00A95EBF"/>
    <w:rsid w:val="00A95F35"/>
    <w:rsid w:val="00A960C5"/>
    <w:rsid w:val="00A961C8"/>
    <w:rsid w:val="00A9629C"/>
    <w:rsid w:val="00A9648F"/>
    <w:rsid w:val="00A96549"/>
    <w:rsid w:val="00A9656C"/>
    <w:rsid w:val="00A9668A"/>
    <w:rsid w:val="00A969A1"/>
    <w:rsid w:val="00A96CD4"/>
    <w:rsid w:val="00A96D0C"/>
    <w:rsid w:val="00A96D47"/>
    <w:rsid w:val="00A96DB1"/>
    <w:rsid w:val="00A96F74"/>
    <w:rsid w:val="00A96FC6"/>
    <w:rsid w:val="00A972E6"/>
    <w:rsid w:val="00A973FE"/>
    <w:rsid w:val="00A97452"/>
    <w:rsid w:val="00A974C8"/>
    <w:rsid w:val="00A97622"/>
    <w:rsid w:val="00A976D0"/>
    <w:rsid w:val="00A97771"/>
    <w:rsid w:val="00A97B05"/>
    <w:rsid w:val="00A97BAA"/>
    <w:rsid w:val="00A97DC6"/>
    <w:rsid w:val="00A97F37"/>
    <w:rsid w:val="00AA016B"/>
    <w:rsid w:val="00AA044D"/>
    <w:rsid w:val="00AA0454"/>
    <w:rsid w:val="00AA0609"/>
    <w:rsid w:val="00AA06E8"/>
    <w:rsid w:val="00AA073A"/>
    <w:rsid w:val="00AA077F"/>
    <w:rsid w:val="00AA0BE5"/>
    <w:rsid w:val="00AA0C4A"/>
    <w:rsid w:val="00AA0CF0"/>
    <w:rsid w:val="00AA0F4D"/>
    <w:rsid w:val="00AA0FAE"/>
    <w:rsid w:val="00AA1191"/>
    <w:rsid w:val="00AA1212"/>
    <w:rsid w:val="00AA13B7"/>
    <w:rsid w:val="00AA13E9"/>
    <w:rsid w:val="00AA145E"/>
    <w:rsid w:val="00AA16A0"/>
    <w:rsid w:val="00AA1AE9"/>
    <w:rsid w:val="00AA1B51"/>
    <w:rsid w:val="00AA1CF5"/>
    <w:rsid w:val="00AA2132"/>
    <w:rsid w:val="00AA2591"/>
    <w:rsid w:val="00AA275A"/>
    <w:rsid w:val="00AA279F"/>
    <w:rsid w:val="00AA2837"/>
    <w:rsid w:val="00AA283D"/>
    <w:rsid w:val="00AA2A5C"/>
    <w:rsid w:val="00AA2B30"/>
    <w:rsid w:val="00AA301D"/>
    <w:rsid w:val="00AA313E"/>
    <w:rsid w:val="00AA3408"/>
    <w:rsid w:val="00AA3614"/>
    <w:rsid w:val="00AA3734"/>
    <w:rsid w:val="00AA3BB4"/>
    <w:rsid w:val="00AA3C47"/>
    <w:rsid w:val="00AA3C5A"/>
    <w:rsid w:val="00AA3CF8"/>
    <w:rsid w:val="00AA3E79"/>
    <w:rsid w:val="00AA414A"/>
    <w:rsid w:val="00AA4482"/>
    <w:rsid w:val="00AA4672"/>
    <w:rsid w:val="00AA4848"/>
    <w:rsid w:val="00AA49A5"/>
    <w:rsid w:val="00AA4A89"/>
    <w:rsid w:val="00AA4CCB"/>
    <w:rsid w:val="00AA501B"/>
    <w:rsid w:val="00AA51AB"/>
    <w:rsid w:val="00AA5453"/>
    <w:rsid w:val="00AA56B4"/>
    <w:rsid w:val="00AA56D2"/>
    <w:rsid w:val="00AA570C"/>
    <w:rsid w:val="00AA572F"/>
    <w:rsid w:val="00AA5939"/>
    <w:rsid w:val="00AA5AA7"/>
    <w:rsid w:val="00AA5C41"/>
    <w:rsid w:val="00AA5C44"/>
    <w:rsid w:val="00AA5FD7"/>
    <w:rsid w:val="00AA62A2"/>
    <w:rsid w:val="00AA63B8"/>
    <w:rsid w:val="00AA65A0"/>
    <w:rsid w:val="00AA65B3"/>
    <w:rsid w:val="00AA6635"/>
    <w:rsid w:val="00AA6983"/>
    <w:rsid w:val="00AA6D0B"/>
    <w:rsid w:val="00AA6DD4"/>
    <w:rsid w:val="00AA6E32"/>
    <w:rsid w:val="00AA6E49"/>
    <w:rsid w:val="00AA6FF4"/>
    <w:rsid w:val="00AA707E"/>
    <w:rsid w:val="00AA70CC"/>
    <w:rsid w:val="00AA716E"/>
    <w:rsid w:val="00AA7846"/>
    <w:rsid w:val="00AA7A72"/>
    <w:rsid w:val="00AA7ECE"/>
    <w:rsid w:val="00AA7FE2"/>
    <w:rsid w:val="00AB01E5"/>
    <w:rsid w:val="00AB0204"/>
    <w:rsid w:val="00AB0455"/>
    <w:rsid w:val="00AB050F"/>
    <w:rsid w:val="00AB0602"/>
    <w:rsid w:val="00AB06C2"/>
    <w:rsid w:val="00AB0FB0"/>
    <w:rsid w:val="00AB0FC5"/>
    <w:rsid w:val="00AB1082"/>
    <w:rsid w:val="00AB1238"/>
    <w:rsid w:val="00AB12C9"/>
    <w:rsid w:val="00AB1323"/>
    <w:rsid w:val="00AB13AE"/>
    <w:rsid w:val="00AB142D"/>
    <w:rsid w:val="00AB1693"/>
    <w:rsid w:val="00AB19F5"/>
    <w:rsid w:val="00AB1D24"/>
    <w:rsid w:val="00AB1E7E"/>
    <w:rsid w:val="00AB1FEA"/>
    <w:rsid w:val="00AB20C0"/>
    <w:rsid w:val="00AB225F"/>
    <w:rsid w:val="00AB2AEA"/>
    <w:rsid w:val="00AB2AF8"/>
    <w:rsid w:val="00AB2C59"/>
    <w:rsid w:val="00AB2E5E"/>
    <w:rsid w:val="00AB2E64"/>
    <w:rsid w:val="00AB3298"/>
    <w:rsid w:val="00AB3594"/>
    <w:rsid w:val="00AB3ADE"/>
    <w:rsid w:val="00AB3D74"/>
    <w:rsid w:val="00AB3EE1"/>
    <w:rsid w:val="00AB3F55"/>
    <w:rsid w:val="00AB40C4"/>
    <w:rsid w:val="00AB4975"/>
    <w:rsid w:val="00AB4DAF"/>
    <w:rsid w:val="00AB4DC5"/>
    <w:rsid w:val="00AB4F17"/>
    <w:rsid w:val="00AB521D"/>
    <w:rsid w:val="00AB5647"/>
    <w:rsid w:val="00AB594E"/>
    <w:rsid w:val="00AB5A66"/>
    <w:rsid w:val="00AB5B01"/>
    <w:rsid w:val="00AB5B39"/>
    <w:rsid w:val="00AB5BE9"/>
    <w:rsid w:val="00AB5D8B"/>
    <w:rsid w:val="00AB5ED4"/>
    <w:rsid w:val="00AB6297"/>
    <w:rsid w:val="00AB62BE"/>
    <w:rsid w:val="00AB62D8"/>
    <w:rsid w:val="00AB64B8"/>
    <w:rsid w:val="00AB6696"/>
    <w:rsid w:val="00AB67C2"/>
    <w:rsid w:val="00AB698E"/>
    <w:rsid w:val="00AB6BCF"/>
    <w:rsid w:val="00AB6C9D"/>
    <w:rsid w:val="00AB6CDE"/>
    <w:rsid w:val="00AB70A7"/>
    <w:rsid w:val="00AB73C8"/>
    <w:rsid w:val="00AB744C"/>
    <w:rsid w:val="00AB7466"/>
    <w:rsid w:val="00AB7570"/>
    <w:rsid w:val="00AB7680"/>
    <w:rsid w:val="00AB79E8"/>
    <w:rsid w:val="00AB7F6E"/>
    <w:rsid w:val="00AC00DC"/>
    <w:rsid w:val="00AC01CC"/>
    <w:rsid w:val="00AC0555"/>
    <w:rsid w:val="00AC05D9"/>
    <w:rsid w:val="00AC0748"/>
    <w:rsid w:val="00AC079D"/>
    <w:rsid w:val="00AC0806"/>
    <w:rsid w:val="00AC086C"/>
    <w:rsid w:val="00AC088F"/>
    <w:rsid w:val="00AC0AF2"/>
    <w:rsid w:val="00AC0DE3"/>
    <w:rsid w:val="00AC116A"/>
    <w:rsid w:val="00AC13AF"/>
    <w:rsid w:val="00AC14DA"/>
    <w:rsid w:val="00AC1670"/>
    <w:rsid w:val="00AC1710"/>
    <w:rsid w:val="00AC1880"/>
    <w:rsid w:val="00AC1935"/>
    <w:rsid w:val="00AC199D"/>
    <w:rsid w:val="00AC1A3E"/>
    <w:rsid w:val="00AC23F1"/>
    <w:rsid w:val="00AC26BD"/>
    <w:rsid w:val="00AC2720"/>
    <w:rsid w:val="00AC2AC7"/>
    <w:rsid w:val="00AC3131"/>
    <w:rsid w:val="00AC3430"/>
    <w:rsid w:val="00AC35DA"/>
    <w:rsid w:val="00AC36C0"/>
    <w:rsid w:val="00AC3F2F"/>
    <w:rsid w:val="00AC4057"/>
    <w:rsid w:val="00AC4238"/>
    <w:rsid w:val="00AC4577"/>
    <w:rsid w:val="00AC48AF"/>
    <w:rsid w:val="00AC49F5"/>
    <w:rsid w:val="00AC4E03"/>
    <w:rsid w:val="00AC4E6B"/>
    <w:rsid w:val="00AC4FDF"/>
    <w:rsid w:val="00AC5240"/>
    <w:rsid w:val="00AC55A7"/>
    <w:rsid w:val="00AC5CC2"/>
    <w:rsid w:val="00AC5EB5"/>
    <w:rsid w:val="00AC6769"/>
    <w:rsid w:val="00AC67D8"/>
    <w:rsid w:val="00AC686E"/>
    <w:rsid w:val="00AC68E9"/>
    <w:rsid w:val="00AC6AD2"/>
    <w:rsid w:val="00AC6ED3"/>
    <w:rsid w:val="00AC6F74"/>
    <w:rsid w:val="00AC7322"/>
    <w:rsid w:val="00AC76B8"/>
    <w:rsid w:val="00AC77B4"/>
    <w:rsid w:val="00AC7854"/>
    <w:rsid w:val="00AC78B2"/>
    <w:rsid w:val="00AC7B83"/>
    <w:rsid w:val="00AC7C2B"/>
    <w:rsid w:val="00AC7D79"/>
    <w:rsid w:val="00AC7E03"/>
    <w:rsid w:val="00AC7E1C"/>
    <w:rsid w:val="00AD0082"/>
    <w:rsid w:val="00AD009A"/>
    <w:rsid w:val="00AD024F"/>
    <w:rsid w:val="00AD0329"/>
    <w:rsid w:val="00AD035E"/>
    <w:rsid w:val="00AD04F3"/>
    <w:rsid w:val="00AD05F6"/>
    <w:rsid w:val="00AD0881"/>
    <w:rsid w:val="00AD08A9"/>
    <w:rsid w:val="00AD0922"/>
    <w:rsid w:val="00AD09C9"/>
    <w:rsid w:val="00AD0A60"/>
    <w:rsid w:val="00AD0D83"/>
    <w:rsid w:val="00AD0DAC"/>
    <w:rsid w:val="00AD12A2"/>
    <w:rsid w:val="00AD1376"/>
    <w:rsid w:val="00AD1587"/>
    <w:rsid w:val="00AD1A88"/>
    <w:rsid w:val="00AD1B1B"/>
    <w:rsid w:val="00AD2064"/>
    <w:rsid w:val="00AD2151"/>
    <w:rsid w:val="00AD2423"/>
    <w:rsid w:val="00AD24CB"/>
    <w:rsid w:val="00AD253F"/>
    <w:rsid w:val="00AD2765"/>
    <w:rsid w:val="00AD2AC0"/>
    <w:rsid w:val="00AD2CFE"/>
    <w:rsid w:val="00AD2FAC"/>
    <w:rsid w:val="00AD3778"/>
    <w:rsid w:val="00AD37AE"/>
    <w:rsid w:val="00AD3966"/>
    <w:rsid w:val="00AD3B69"/>
    <w:rsid w:val="00AD3C45"/>
    <w:rsid w:val="00AD3D06"/>
    <w:rsid w:val="00AD3D8A"/>
    <w:rsid w:val="00AD3DB0"/>
    <w:rsid w:val="00AD3F7B"/>
    <w:rsid w:val="00AD4181"/>
    <w:rsid w:val="00AD445C"/>
    <w:rsid w:val="00AD45DD"/>
    <w:rsid w:val="00AD4825"/>
    <w:rsid w:val="00AD4B45"/>
    <w:rsid w:val="00AD4C68"/>
    <w:rsid w:val="00AD4DD7"/>
    <w:rsid w:val="00AD5006"/>
    <w:rsid w:val="00AD502D"/>
    <w:rsid w:val="00AD5254"/>
    <w:rsid w:val="00AD52A3"/>
    <w:rsid w:val="00AD543E"/>
    <w:rsid w:val="00AD567C"/>
    <w:rsid w:val="00AD5739"/>
    <w:rsid w:val="00AD5777"/>
    <w:rsid w:val="00AD580D"/>
    <w:rsid w:val="00AD58C6"/>
    <w:rsid w:val="00AD593B"/>
    <w:rsid w:val="00AD6001"/>
    <w:rsid w:val="00AD60F9"/>
    <w:rsid w:val="00AD6157"/>
    <w:rsid w:val="00AD638D"/>
    <w:rsid w:val="00AD64DA"/>
    <w:rsid w:val="00AD6560"/>
    <w:rsid w:val="00AD6668"/>
    <w:rsid w:val="00AD66D1"/>
    <w:rsid w:val="00AD6BC4"/>
    <w:rsid w:val="00AD6CCD"/>
    <w:rsid w:val="00AD6D61"/>
    <w:rsid w:val="00AD6F53"/>
    <w:rsid w:val="00AD7309"/>
    <w:rsid w:val="00AD765C"/>
    <w:rsid w:val="00AD7854"/>
    <w:rsid w:val="00AD78B2"/>
    <w:rsid w:val="00AD79CA"/>
    <w:rsid w:val="00AD7D65"/>
    <w:rsid w:val="00AE0125"/>
    <w:rsid w:val="00AE022C"/>
    <w:rsid w:val="00AE031C"/>
    <w:rsid w:val="00AE04AE"/>
    <w:rsid w:val="00AE07E3"/>
    <w:rsid w:val="00AE083C"/>
    <w:rsid w:val="00AE0B3C"/>
    <w:rsid w:val="00AE0CD5"/>
    <w:rsid w:val="00AE0EEE"/>
    <w:rsid w:val="00AE1682"/>
    <w:rsid w:val="00AE1A38"/>
    <w:rsid w:val="00AE1A9D"/>
    <w:rsid w:val="00AE1AFD"/>
    <w:rsid w:val="00AE1B7A"/>
    <w:rsid w:val="00AE1F7E"/>
    <w:rsid w:val="00AE2575"/>
    <w:rsid w:val="00AE25CF"/>
    <w:rsid w:val="00AE2642"/>
    <w:rsid w:val="00AE266C"/>
    <w:rsid w:val="00AE285E"/>
    <w:rsid w:val="00AE2890"/>
    <w:rsid w:val="00AE28F3"/>
    <w:rsid w:val="00AE2936"/>
    <w:rsid w:val="00AE2A74"/>
    <w:rsid w:val="00AE2D98"/>
    <w:rsid w:val="00AE2E37"/>
    <w:rsid w:val="00AE3153"/>
    <w:rsid w:val="00AE3267"/>
    <w:rsid w:val="00AE3449"/>
    <w:rsid w:val="00AE3913"/>
    <w:rsid w:val="00AE3AF5"/>
    <w:rsid w:val="00AE3B20"/>
    <w:rsid w:val="00AE3BE1"/>
    <w:rsid w:val="00AE3C39"/>
    <w:rsid w:val="00AE3FE7"/>
    <w:rsid w:val="00AE4536"/>
    <w:rsid w:val="00AE4BE0"/>
    <w:rsid w:val="00AE4C67"/>
    <w:rsid w:val="00AE4CE3"/>
    <w:rsid w:val="00AE4DE6"/>
    <w:rsid w:val="00AE4F8F"/>
    <w:rsid w:val="00AE5637"/>
    <w:rsid w:val="00AE5888"/>
    <w:rsid w:val="00AE5A93"/>
    <w:rsid w:val="00AE5C89"/>
    <w:rsid w:val="00AE5DEE"/>
    <w:rsid w:val="00AE5F2F"/>
    <w:rsid w:val="00AE615F"/>
    <w:rsid w:val="00AE61FA"/>
    <w:rsid w:val="00AE65B0"/>
    <w:rsid w:val="00AE6664"/>
    <w:rsid w:val="00AE6718"/>
    <w:rsid w:val="00AE6C98"/>
    <w:rsid w:val="00AE6CBF"/>
    <w:rsid w:val="00AE7031"/>
    <w:rsid w:val="00AE7265"/>
    <w:rsid w:val="00AE727C"/>
    <w:rsid w:val="00AE72AF"/>
    <w:rsid w:val="00AE745A"/>
    <w:rsid w:val="00AE75E5"/>
    <w:rsid w:val="00AE7AD7"/>
    <w:rsid w:val="00AE7CB3"/>
    <w:rsid w:val="00AE7FBA"/>
    <w:rsid w:val="00AE7FF6"/>
    <w:rsid w:val="00AF015D"/>
    <w:rsid w:val="00AF01DF"/>
    <w:rsid w:val="00AF022E"/>
    <w:rsid w:val="00AF059B"/>
    <w:rsid w:val="00AF0613"/>
    <w:rsid w:val="00AF07F9"/>
    <w:rsid w:val="00AF088C"/>
    <w:rsid w:val="00AF0991"/>
    <w:rsid w:val="00AF09C0"/>
    <w:rsid w:val="00AF1099"/>
    <w:rsid w:val="00AF12C1"/>
    <w:rsid w:val="00AF1313"/>
    <w:rsid w:val="00AF14E5"/>
    <w:rsid w:val="00AF167C"/>
    <w:rsid w:val="00AF1A2B"/>
    <w:rsid w:val="00AF1D97"/>
    <w:rsid w:val="00AF1F34"/>
    <w:rsid w:val="00AF1F40"/>
    <w:rsid w:val="00AF203C"/>
    <w:rsid w:val="00AF2197"/>
    <w:rsid w:val="00AF2592"/>
    <w:rsid w:val="00AF2627"/>
    <w:rsid w:val="00AF2801"/>
    <w:rsid w:val="00AF2E8B"/>
    <w:rsid w:val="00AF318D"/>
    <w:rsid w:val="00AF31F8"/>
    <w:rsid w:val="00AF362B"/>
    <w:rsid w:val="00AF36A8"/>
    <w:rsid w:val="00AF37A7"/>
    <w:rsid w:val="00AF3B36"/>
    <w:rsid w:val="00AF3D47"/>
    <w:rsid w:val="00AF3EA2"/>
    <w:rsid w:val="00AF40CD"/>
    <w:rsid w:val="00AF43DA"/>
    <w:rsid w:val="00AF44A8"/>
    <w:rsid w:val="00AF4AE2"/>
    <w:rsid w:val="00AF4D09"/>
    <w:rsid w:val="00AF4E98"/>
    <w:rsid w:val="00AF4FE4"/>
    <w:rsid w:val="00AF508B"/>
    <w:rsid w:val="00AF51E2"/>
    <w:rsid w:val="00AF542B"/>
    <w:rsid w:val="00AF54F7"/>
    <w:rsid w:val="00AF56A6"/>
    <w:rsid w:val="00AF56D4"/>
    <w:rsid w:val="00AF57E1"/>
    <w:rsid w:val="00AF59AB"/>
    <w:rsid w:val="00AF5A2F"/>
    <w:rsid w:val="00AF5A97"/>
    <w:rsid w:val="00AF5BBE"/>
    <w:rsid w:val="00AF5C52"/>
    <w:rsid w:val="00AF5FB8"/>
    <w:rsid w:val="00AF5FDC"/>
    <w:rsid w:val="00AF6250"/>
    <w:rsid w:val="00AF6281"/>
    <w:rsid w:val="00AF6864"/>
    <w:rsid w:val="00AF68F4"/>
    <w:rsid w:val="00AF6CB6"/>
    <w:rsid w:val="00AF6CF0"/>
    <w:rsid w:val="00AF6D34"/>
    <w:rsid w:val="00AF7083"/>
    <w:rsid w:val="00AF7448"/>
    <w:rsid w:val="00AF752D"/>
    <w:rsid w:val="00AF7613"/>
    <w:rsid w:val="00AF78F2"/>
    <w:rsid w:val="00AF7EB1"/>
    <w:rsid w:val="00AF7FB6"/>
    <w:rsid w:val="00AF7FDF"/>
    <w:rsid w:val="00B00226"/>
    <w:rsid w:val="00B003EF"/>
    <w:rsid w:val="00B007D5"/>
    <w:rsid w:val="00B009D0"/>
    <w:rsid w:val="00B00B17"/>
    <w:rsid w:val="00B00B67"/>
    <w:rsid w:val="00B00C87"/>
    <w:rsid w:val="00B00E62"/>
    <w:rsid w:val="00B00ECE"/>
    <w:rsid w:val="00B01611"/>
    <w:rsid w:val="00B01770"/>
    <w:rsid w:val="00B0180F"/>
    <w:rsid w:val="00B019AD"/>
    <w:rsid w:val="00B01B50"/>
    <w:rsid w:val="00B01D2D"/>
    <w:rsid w:val="00B01FA5"/>
    <w:rsid w:val="00B020C7"/>
    <w:rsid w:val="00B021AD"/>
    <w:rsid w:val="00B02235"/>
    <w:rsid w:val="00B025F4"/>
    <w:rsid w:val="00B02696"/>
    <w:rsid w:val="00B028C3"/>
    <w:rsid w:val="00B0290F"/>
    <w:rsid w:val="00B02C05"/>
    <w:rsid w:val="00B02D07"/>
    <w:rsid w:val="00B02D4C"/>
    <w:rsid w:val="00B0309C"/>
    <w:rsid w:val="00B03105"/>
    <w:rsid w:val="00B034C8"/>
    <w:rsid w:val="00B036FB"/>
    <w:rsid w:val="00B03920"/>
    <w:rsid w:val="00B03A15"/>
    <w:rsid w:val="00B03A4F"/>
    <w:rsid w:val="00B03B9D"/>
    <w:rsid w:val="00B04242"/>
    <w:rsid w:val="00B04261"/>
    <w:rsid w:val="00B042CF"/>
    <w:rsid w:val="00B042D7"/>
    <w:rsid w:val="00B047D2"/>
    <w:rsid w:val="00B04AAA"/>
    <w:rsid w:val="00B04BF6"/>
    <w:rsid w:val="00B04E88"/>
    <w:rsid w:val="00B04F06"/>
    <w:rsid w:val="00B0504D"/>
    <w:rsid w:val="00B05056"/>
    <w:rsid w:val="00B052CE"/>
    <w:rsid w:val="00B05577"/>
    <w:rsid w:val="00B05587"/>
    <w:rsid w:val="00B055D6"/>
    <w:rsid w:val="00B0594B"/>
    <w:rsid w:val="00B05952"/>
    <w:rsid w:val="00B05B1C"/>
    <w:rsid w:val="00B05DE1"/>
    <w:rsid w:val="00B05EFD"/>
    <w:rsid w:val="00B05F59"/>
    <w:rsid w:val="00B060FF"/>
    <w:rsid w:val="00B062E4"/>
    <w:rsid w:val="00B0632F"/>
    <w:rsid w:val="00B06380"/>
    <w:rsid w:val="00B063D9"/>
    <w:rsid w:val="00B06963"/>
    <w:rsid w:val="00B06A61"/>
    <w:rsid w:val="00B06D5B"/>
    <w:rsid w:val="00B06DDF"/>
    <w:rsid w:val="00B06F64"/>
    <w:rsid w:val="00B06FE2"/>
    <w:rsid w:val="00B07077"/>
    <w:rsid w:val="00B0734C"/>
    <w:rsid w:val="00B0739D"/>
    <w:rsid w:val="00B0751A"/>
    <w:rsid w:val="00B07654"/>
    <w:rsid w:val="00B0765F"/>
    <w:rsid w:val="00B0783B"/>
    <w:rsid w:val="00B07C9F"/>
    <w:rsid w:val="00B07F06"/>
    <w:rsid w:val="00B101EC"/>
    <w:rsid w:val="00B1040C"/>
    <w:rsid w:val="00B10457"/>
    <w:rsid w:val="00B10648"/>
    <w:rsid w:val="00B10703"/>
    <w:rsid w:val="00B1071C"/>
    <w:rsid w:val="00B107A3"/>
    <w:rsid w:val="00B107A4"/>
    <w:rsid w:val="00B107B6"/>
    <w:rsid w:val="00B108FC"/>
    <w:rsid w:val="00B10AEA"/>
    <w:rsid w:val="00B10AF4"/>
    <w:rsid w:val="00B10C16"/>
    <w:rsid w:val="00B11017"/>
    <w:rsid w:val="00B11246"/>
    <w:rsid w:val="00B1141F"/>
    <w:rsid w:val="00B1166C"/>
    <w:rsid w:val="00B116C7"/>
    <w:rsid w:val="00B118A7"/>
    <w:rsid w:val="00B119F7"/>
    <w:rsid w:val="00B11ADE"/>
    <w:rsid w:val="00B11AED"/>
    <w:rsid w:val="00B11B79"/>
    <w:rsid w:val="00B11C09"/>
    <w:rsid w:val="00B120EA"/>
    <w:rsid w:val="00B12145"/>
    <w:rsid w:val="00B1228E"/>
    <w:rsid w:val="00B122AE"/>
    <w:rsid w:val="00B123B2"/>
    <w:rsid w:val="00B12485"/>
    <w:rsid w:val="00B12714"/>
    <w:rsid w:val="00B1282A"/>
    <w:rsid w:val="00B1295B"/>
    <w:rsid w:val="00B13208"/>
    <w:rsid w:val="00B13448"/>
    <w:rsid w:val="00B1365C"/>
    <w:rsid w:val="00B136AC"/>
    <w:rsid w:val="00B1380D"/>
    <w:rsid w:val="00B13A00"/>
    <w:rsid w:val="00B13A5D"/>
    <w:rsid w:val="00B13BE2"/>
    <w:rsid w:val="00B13D86"/>
    <w:rsid w:val="00B13EC3"/>
    <w:rsid w:val="00B13F4A"/>
    <w:rsid w:val="00B14260"/>
    <w:rsid w:val="00B14387"/>
    <w:rsid w:val="00B1450B"/>
    <w:rsid w:val="00B1481D"/>
    <w:rsid w:val="00B1488F"/>
    <w:rsid w:val="00B1491A"/>
    <w:rsid w:val="00B14922"/>
    <w:rsid w:val="00B14A9C"/>
    <w:rsid w:val="00B14BB1"/>
    <w:rsid w:val="00B14D2D"/>
    <w:rsid w:val="00B14DA9"/>
    <w:rsid w:val="00B151C4"/>
    <w:rsid w:val="00B15852"/>
    <w:rsid w:val="00B15A78"/>
    <w:rsid w:val="00B15CC4"/>
    <w:rsid w:val="00B15DE8"/>
    <w:rsid w:val="00B15EC3"/>
    <w:rsid w:val="00B161D1"/>
    <w:rsid w:val="00B162AD"/>
    <w:rsid w:val="00B1638B"/>
    <w:rsid w:val="00B16474"/>
    <w:rsid w:val="00B165A9"/>
    <w:rsid w:val="00B165DF"/>
    <w:rsid w:val="00B165EB"/>
    <w:rsid w:val="00B16807"/>
    <w:rsid w:val="00B1685C"/>
    <w:rsid w:val="00B169A5"/>
    <w:rsid w:val="00B16C44"/>
    <w:rsid w:val="00B16CAE"/>
    <w:rsid w:val="00B16CDF"/>
    <w:rsid w:val="00B16EFD"/>
    <w:rsid w:val="00B17284"/>
    <w:rsid w:val="00B17290"/>
    <w:rsid w:val="00B17292"/>
    <w:rsid w:val="00B1734A"/>
    <w:rsid w:val="00B175BE"/>
    <w:rsid w:val="00B17674"/>
    <w:rsid w:val="00B17727"/>
    <w:rsid w:val="00B17C0F"/>
    <w:rsid w:val="00B17D0F"/>
    <w:rsid w:val="00B17DEB"/>
    <w:rsid w:val="00B201D3"/>
    <w:rsid w:val="00B2020F"/>
    <w:rsid w:val="00B20317"/>
    <w:rsid w:val="00B203DA"/>
    <w:rsid w:val="00B20420"/>
    <w:rsid w:val="00B20517"/>
    <w:rsid w:val="00B205C1"/>
    <w:rsid w:val="00B209AC"/>
    <w:rsid w:val="00B20C53"/>
    <w:rsid w:val="00B20D61"/>
    <w:rsid w:val="00B212DD"/>
    <w:rsid w:val="00B21468"/>
    <w:rsid w:val="00B21712"/>
    <w:rsid w:val="00B220A0"/>
    <w:rsid w:val="00B2219B"/>
    <w:rsid w:val="00B22B27"/>
    <w:rsid w:val="00B22E96"/>
    <w:rsid w:val="00B22F55"/>
    <w:rsid w:val="00B2307D"/>
    <w:rsid w:val="00B2309D"/>
    <w:rsid w:val="00B2324B"/>
    <w:rsid w:val="00B2324C"/>
    <w:rsid w:val="00B232ED"/>
    <w:rsid w:val="00B23412"/>
    <w:rsid w:val="00B23886"/>
    <w:rsid w:val="00B23AC6"/>
    <w:rsid w:val="00B23CB5"/>
    <w:rsid w:val="00B23DF1"/>
    <w:rsid w:val="00B23F97"/>
    <w:rsid w:val="00B240B3"/>
    <w:rsid w:val="00B24F6F"/>
    <w:rsid w:val="00B25010"/>
    <w:rsid w:val="00B250A0"/>
    <w:rsid w:val="00B250CB"/>
    <w:rsid w:val="00B252CC"/>
    <w:rsid w:val="00B253DE"/>
    <w:rsid w:val="00B25978"/>
    <w:rsid w:val="00B25A65"/>
    <w:rsid w:val="00B25ABF"/>
    <w:rsid w:val="00B25B4A"/>
    <w:rsid w:val="00B25BFB"/>
    <w:rsid w:val="00B25D84"/>
    <w:rsid w:val="00B25EA8"/>
    <w:rsid w:val="00B26448"/>
    <w:rsid w:val="00B26564"/>
    <w:rsid w:val="00B267E9"/>
    <w:rsid w:val="00B26AF0"/>
    <w:rsid w:val="00B26B4A"/>
    <w:rsid w:val="00B27005"/>
    <w:rsid w:val="00B2743F"/>
    <w:rsid w:val="00B277BC"/>
    <w:rsid w:val="00B278D2"/>
    <w:rsid w:val="00B279B7"/>
    <w:rsid w:val="00B27F3A"/>
    <w:rsid w:val="00B30169"/>
    <w:rsid w:val="00B3048B"/>
    <w:rsid w:val="00B30874"/>
    <w:rsid w:val="00B309D9"/>
    <w:rsid w:val="00B30A4A"/>
    <w:rsid w:val="00B30E3F"/>
    <w:rsid w:val="00B310BC"/>
    <w:rsid w:val="00B31228"/>
    <w:rsid w:val="00B312A4"/>
    <w:rsid w:val="00B312F1"/>
    <w:rsid w:val="00B31336"/>
    <w:rsid w:val="00B31345"/>
    <w:rsid w:val="00B314E9"/>
    <w:rsid w:val="00B31515"/>
    <w:rsid w:val="00B31773"/>
    <w:rsid w:val="00B31780"/>
    <w:rsid w:val="00B3201B"/>
    <w:rsid w:val="00B322F8"/>
    <w:rsid w:val="00B3236C"/>
    <w:rsid w:val="00B32420"/>
    <w:rsid w:val="00B32532"/>
    <w:rsid w:val="00B32A8D"/>
    <w:rsid w:val="00B32B7D"/>
    <w:rsid w:val="00B32B9C"/>
    <w:rsid w:val="00B32F67"/>
    <w:rsid w:val="00B330A0"/>
    <w:rsid w:val="00B33225"/>
    <w:rsid w:val="00B33446"/>
    <w:rsid w:val="00B334DE"/>
    <w:rsid w:val="00B3352D"/>
    <w:rsid w:val="00B338D2"/>
    <w:rsid w:val="00B33A61"/>
    <w:rsid w:val="00B33EBC"/>
    <w:rsid w:val="00B33EDE"/>
    <w:rsid w:val="00B33EE3"/>
    <w:rsid w:val="00B33F9E"/>
    <w:rsid w:val="00B340CE"/>
    <w:rsid w:val="00B341E1"/>
    <w:rsid w:val="00B3426E"/>
    <w:rsid w:val="00B34692"/>
    <w:rsid w:val="00B3499C"/>
    <w:rsid w:val="00B349CB"/>
    <w:rsid w:val="00B34C15"/>
    <w:rsid w:val="00B34CF2"/>
    <w:rsid w:val="00B34D39"/>
    <w:rsid w:val="00B34E64"/>
    <w:rsid w:val="00B34E9F"/>
    <w:rsid w:val="00B34FD7"/>
    <w:rsid w:val="00B3501F"/>
    <w:rsid w:val="00B35250"/>
    <w:rsid w:val="00B3533B"/>
    <w:rsid w:val="00B3560F"/>
    <w:rsid w:val="00B3581C"/>
    <w:rsid w:val="00B35A69"/>
    <w:rsid w:val="00B35B06"/>
    <w:rsid w:val="00B35C24"/>
    <w:rsid w:val="00B35DD1"/>
    <w:rsid w:val="00B35FAC"/>
    <w:rsid w:val="00B361A0"/>
    <w:rsid w:val="00B362A3"/>
    <w:rsid w:val="00B3636B"/>
    <w:rsid w:val="00B3651F"/>
    <w:rsid w:val="00B36627"/>
    <w:rsid w:val="00B36B6B"/>
    <w:rsid w:val="00B36D9D"/>
    <w:rsid w:val="00B36E09"/>
    <w:rsid w:val="00B37131"/>
    <w:rsid w:val="00B37322"/>
    <w:rsid w:val="00B3777F"/>
    <w:rsid w:val="00B377A5"/>
    <w:rsid w:val="00B37C9B"/>
    <w:rsid w:val="00B37F3B"/>
    <w:rsid w:val="00B37FF8"/>
    <w:rsid w:val="00B400AB"/>
    <w:rsid w:val="00B40116"/>
    <w:rsid w:val="00B40138"/>
    <w:rsid w:val="00B4026A"/>
    <w:rsid w:val="00B405CE"/>
    <w:rsid w:val="00B405FF"/>
    <w:rsid w:val="00B40625"/>
    <w:rsid w:val="00B40A72"/>
    <w:rsid w:val="00B40BD5"/>
    <w:rsid w:val="00B40D72"/>
    <w:rsid w:val="00B4113D"/>
    <w:rsid w:val="00B4133E"/>
    <w:rsid w:val="00B41DB9"/>
    <w:rsid w:val="00B41DD7"/>
    <w:rsid w:val="00B42112"/>
    <w:rsid w:val="00B42586"/>
    <w:rsid w:val="00B427AE"/>
    <w:rsid w:val="00B427B4"/>
    <w:rsid w:val="00B42922"/>
    <w:rsid w:val="00B4293D"/>
    <w:rsid w:val="00B4297A"/>
    <w:rsid w:val="00B4299E"/>
    <w:rsid w:val="00B42A3E"/>
    <w:rsid w:val="00B42BD0"/>
    <w:rsid w:val="00B42BDB"/>
    <w:rsid w:val="00B42ED5"/>
    <w:rsid w:val="00B4334F"/>
    <w:rsid w:val="00B434E7"/>
    <w:rsid w:val="00B43670"/>
    <w:rsid w:val="00B43988"/>
    <w:rsid w:val="00B43A87"/>
    <w:rsid w:val="00B43AF3"/>
    <w:rsid w:val="00B43B5A"/>
    <w:rsid w:val="00B444F0"/>
    <w:rsid w:val="00B4457A"/>
    <w:rsid w:val="00B44588"/>
    <w:rsid w:val="00B445B6"/>
    <w:rsid w:val="00B4471A"/>
    <w:rsid w:val="00B4478F"/>
    <w:rsid w:val="00B449E5"/>
    <w:rsid w:val="00B44ADD"/>
    <w:rsid w:val="00B44AF8"/>
    <w:rsid w:val="00B44B8F"/>
    <w:rsid w:val="00B44BC3"/>
    <w:rsid w:val="00B44C1E"/>
    <w:rsid w:val="00B44CC8"/>
    <w:rsid w:val="00B44D04"/>
    <w:rsid w:val="00B44D3F"/>
    <w:rsid w:val="00B45047"/>
    <w:rsid w:val="00B450BC"/>
    <w:rsid w:val="00B4519D"/>
    <w:rsid w:val="00B4537A"/>
    <w:rsid w:val="00B45430"/>
    <w:rsid w:val="00B45470"/>
    <w:rsid w:val="00B456A6"/>
    <w:rsid w:val="00B45B21"/>
    <w:rsid w:val="00B45E70"/>
    <w:rsid w:val="00B45EB4"/>
    <w:rsid w:val="00B45ECF"/>
    <w:rsid w:val="00B46343"/>
    <w:rsid w:val="00B4655C"/>
    <w:rsid w:val="00B468C2"/>
    <w:rsid w:val="00B46A10"/>
    <w:rsid w:val="00B46A1D"/>
    <w:rsid w:val="00B46EE8"/>
    <w:rsid w:val="00B46F18"/>
    <w:rsid w:val="00B47027"/>
    <w:rsid w:val="00B471A4"/>
    <w:rsid w:val="00B4720D"/>
    <w:rsid w:val="00B4748E"/>
    <w:rsid w:val="00B474D5"/>
    <w:rsid w:val="00B47916"/>
    <w:rsid w:val="00B47AB9"/>
    <w:rsid w:val="00B50115"/>
    <w:rsid w:val="00B5025C"/>
    <w:rsid w:val="00B50709"/>
    <w:rsid w:val="00B50B69"/>
    <w:rsid w:val="00B50CD3"/>
    <w:rsid w:val="00B50DAB"/>
    <w:rsid w:val="00B50E85"/>
    <w:rsid w:val="00B5119F"/>
    <w:rsid w:val="00B5120F"/>
    <w:rsid w:val="00B51408"/>
    <w:rsid w:val="00B5168B"/>
    <w:rsid w:val="00B516DE"/>
    <w:rsid w:val="00B518A5"/>
    <w:rsid w:val="00B51B8B"/>
    <w:rsid w:val="00B520BA"/>
    <w:rsid w:val="00B522AB"/>
    <w:rsid w:val="00B52E04"/>
    <w:rsid w:val="00B52FE1"/>
    <w:rsid w:val="00B5305C"/>
    <w:rsid w:val="00B53235"/>
    <w:rsid w:val="00B53376"/>
    <w:rsid w:val="00B5354C"/>
    <w:rsid w:val="00B537E0"/>
    <w:rsid w:val="00B53800"/>
    <w:rsid w:val="00B53805"/>
    <w:rsid w:val="00B53A9C"/>
    <w:rsid w:val="00B53AAF"/>
    <w:rsid w:val="00B53ADE"/>
    <w:rsid w:val="00B53CFB"/>
    <w:rsid w:val="00B53EF1"/>
    <w:rsid w:val="00B53FBA"/>
    <w:rsid w:val="00B5427B"/>
    <w:rsid w:val="00B542E9"/>
    <w:rsid w:val="00B545CC"/>
    <w:rsid w:val="00B5467E"/>
    <w:rsid w:val="00B546E4"/>
    <w:rsid w:val="00B549E7"/>
    <w:rsid w:val="00B54D73"/>
    <w:rsid w:val="00B54F23"/>
    <w:rsid w:val="00B54F7D"/>
    <w:rsid w:val="00B5514A"/>
    <w:rsid w:val="00B551FB"/>
    <w:rsid w:val="00B555CD"/>
    <w:rsid w:val="00B55669"/>
    <w:rsid w:val="00B556B6"/>
    <w:rsid w:val="00B557B8"/>
    <w:rsid w:val="00B55900"/>
    <w:rsid w:val="00B55AEE"/>
    <w:rsid w:val="00B55D5C"/>
    <w:rsid w:val="00B55E15"/>
    <w:rsid w:val="00B56678"/>
    <w:rsid w:val="00B568B5"/>
    <w:rsid w:val="00B568D3"/>
    <w:rsid w:val="00B56A66"/>
    <w:rsid w:val="00B56A87"/>
    <w:rsid w:val="00B56B33"/>
    <w:rsid w:val="00B56C4A"/>
    <w:rsid w:val="00B56E01"/>
    <w:rsid w:val="00B56E0D"/>
    <w:rsid w:val="00B56F60"/>
    <w:rsid w:val="00B56FE4"/>
    <w:rsid w:val="00B571C2"/>
    <w:rsid w:val="00B57232"/>
    <w:rsid w:val="00B57287"/>
    <w:rsid w:val="00B5732E"/>
    <w:rsid w:val="00B574A7"/>
    <w:rsid w:val="00B57971"/>
    <w:rsid w:val="00B57986"/>
    <w:rsid w:val="00B57C66"/>
    <w:rsid w:val="00B57D14"/>
    <w:rsid w:val="00B57F83"/>
    <w:rsid w:val="00B6010F"/>
    <w:rsid w:val="00B6051A"/>
    <w:rsid w:val="00B605BA"/>
    <w:rsid w:val="00B60A18"/>
    <w:rsid w:val="00B60BA8"/>
    <w:rsid w:val="00B610A6"/>
    <w:rsid w:val="00B61281"/>
    <w:rsid w:val="00B614B3"/>
    <w:rsid w:val="00B6154E"/>
    <w:rsid w:val="00B616C1"/>
    <w:rsid w:val="00B618DE"/>
    <w:rsid w:val="00B618EE"/>
    <w:rsid w:val="00B61D5F"/>
    <w:rsid w:val="00B62216"/>
    <w:rsid w:val="00B62769"/>
    <w:rsid w:val="00B627A4"/>
    <w:rsid w:val="00B6282A"/>
    <w:rsid w:val="00B62953"/>
    <w:rsid w:val="00B62A91"/>
    <w:rsid w:val="00B62C61"/>
    <w:rsid w:val="00B62FBE"/>
    <w:rsid w:val="00B63099"/>
    <w:rsid w:val="00B633A2"/>
    <w:rsid w:val="00B6348C"/>
    <w:rsid w:val="00B636C1"/>
    <w:rsid w:val="00B63B2D"/>
    <w:rsid w:val="00B63C27"/>
    <w:rsid w:val="00B63CB3"/>
    <w:rsid w:val="00B63CDB"/>
    <w:rsid w:val="00B63D18"/>
    <w:rsid w:val="00B63D42"/>
    <w:rsid w:val="00B63EDC"/>
    <w:rsid w:val="00B63FD8"/>
    <w:rsid w:val="00B6418B"/>
    <w:rsid w:val="00B64737"/>
    <w:rsid w:val="00B64823"/>
    <w:rsid w:val="00B64C0A"/>
    <w:rsid w:val="00B64C0E"/>
    <w:rsid w:val="00B64D37"/>
    <w:rsid w:val="00B64F9D"/>
    <w:rsid w:val="00B650EB"/>
    <w:rsid w:val="00B6524D"/>
    <w:rsid w:val="00B65369"/>
    <w:rsid w:val="00B653CE"/>
    <w:rsid w:val="00B65471"/>
    <w:rsid w:val="00B6568E"/>
    <w:rsid w:val="00B65ABE"/>
    <w:rsid w:val="00B65B2E"/>
    <w:rsid w:val="00B65D40"/>
    <w:rsid w:val="00B66046"/>
    <w:rsid w:val="00B66487"/>
    <w:rsid w:val="00B664F8"/>
    <w:rsid w:val="00B66873"/>
    <w:rsid w:val="00B668CA"/>
    <w:rsid w:val="00B66914"/>
    <w:rsid w:val="00B66E0C"/>
    <w:rsid w:val="00B67396"/>
    <w:rsid w:val="00B67416"/>
    <w:rsid w:val="00B67650"/>
    <w:rsid w:val="00B67679"/>
    <w:rsid w:val="00B6797F"/>
    <w:rsid w:val="00B67B50"/>
    <w:rsid w:val="00B67C90"/>
    <w:rsid w:val="00B67CDB"/>
    <w:rsid w:val="00B67D85"/>
    <w:rsid w:val="00B67DC8"/>
    <w:rsid w:val="00B67EBA"/>
    <w:rsid w:val="00B67EF4"/>
    <w:rsid w:val="00B67FCE"/>
    <w:rsid w:val="00B70308"/>
    <w:rsid w:val="00B7035E"/>
    <w:rsid w:val="00B70BD0"/>
    <w:rsid w:val="00B70CE4"/>
    <w:rsid w:val="00B70CFD"/>
    <w:rsid w:val="00B70EA8"/>
    <w:rsid w:val="00B7156B"/>
    <w:rsid w:val="00B715D7"/>
    <w:rsid w:val="00B717A6"/>
    <w:rsid w:val="00B717DE"/>
    <w:rsid w:val="00B7193F"/>
    <w:rsid w:val="00B71940"/>
    <w:rsid w:val="00B71A2C"/>
    <w:rsid w:val="00B71AF2"/>
    <w:rsid w:val="00B71BE3"/>
    <w:rsid w:val="00B71C5A"/>
    <w:rsid w:val="00B71F47"/>
    <w:rsid w:val="00B72756"/>
    <w:rsid w:val="00B729E3"/>
    <w:rsid w:val="00B72A67"/>
    <w:rsid w:val="00B72F8E"/>
    <w:rsid w:val="00B730F8"/>
    <w:rsid w:val="00B73100"/>
    <w:rsid w:val="00B731B9"/>
    <w:rsid w:val="00B73658"/>
    <w:rsid w:val="00B7384B"/>
    <w:rsid w:val="00B73867"/>
    <w:rsid w:val="00B73DFB"/>
    <w:rsid w:val="00B73E1D"/>
    <w:rsid w:val="00B73E6B"/>
    <w:rsid w:val="00B74A63"/>
    <w:rsid w:val="00B74CA7"/>
    <w:rsid w:val="00B74D51"/>
    <w:rsid w:val="00B74E51"/>
    <w:rsid w:val="00B75435"/>
    <w:rsid w:val="00B75499"/>
    <w:rsid w:val="00B75564"/>
    <w:rsid w:val="00B7586A"/>
    <w:rsid w:val="00B759DF"/>
    <w:rsid w:val="00B759E6"/>
    <w:rsid w:val="00B75A34"/>
    <w:rsid w:val="00B75E77"/>
    <w:rsid w:val="00B75F7B"/>
    <w:rsid w:val="00B7605A"/>
    <w:rsid w:val="00B76324"/>
    <w:rsid w:val="00B76335"/>
    <w:rsid w:val="00B76414"/>
    <w:rsid w:val="00B7665A"/>
    <w:rsid w:val="00B76897"/>
    <w:rsid w:val="00B769D1"/>
    <w:rsid w:val="00B76CA5"/>
    <w:rsid w:val="00B76F1A"/>
    <w:rsid w:val="00B77385"/>
    <w:rsid w:val="00B775D9"/>
    <w:rsid w:val="00B77693"/>
    <w:rsid w:val="00B776E3"/>
    <w:rsid w:val="00B77793"/>
    <w:rsid w:val="00B7780D"/>
    <w:rsid w:val="00B778C9"/>
    <w:rsid w:val="00B77957"/>
    <w:rsid w:val="00B779D5"/>
    <w:rsid w:val="00B779DA"/>
    <w:rsid w:val="00B77B1E"/>
    <w:rsid w:val="00B77BA2"/>
    <w:rsid w:val="00B80095"/>
    <w:rsid w:val="00B8023B"/>
    <w:rsid w:val="00B80576"/>
    <w:rsid w:val="00B805CA"/>
    <w:rsid w:val="00B808DA"/>
    <w:rsid w:val="00B80D2E"/>
    <w:rsid w:val="00B80D48"/>
    <w:rsid w:val="00B80E05"/>
    <w:rsid w:val="00B81060"/>
    <w:rsid w:val="00B81246"/>
    <w:rsid w:val="00B814E2"/>
    <w:rsid w:val="00B8161A"/>
    <w:rsid w:val="00B817D4"/>
    <w:rsid w:val="00B819FD"/>
    <w:rsid w:val="00B82184"/>
    <w:rsid w:val="00B821D1"/>
    <w:rsid w:val="00B822CC"/>
    <w:rsid w:val="00B82810"/>
    <w:rsid w:val="00B829C7"/>
    <w:rsid w:val="00B82AF4"/>
    <w:rsid w:val="00B82CAE"/>
    <w:rsid w:val="00B82E38"/>
    <w:rsid w:val="00B82E6A"/>
    <w:rsid w:val="00B82F1B"/>
    <w:rsid w:val="00B8301E"/>
    <w:rsid w:val="00B83072"/>
    <w:rsid w:val="00B8308D"/>
    <w:rsid w:val="00B830DB"/>
    <w:rsid w:val="00B83126"/>
    <w:rsid w:val="00B8374C"/>
    <w:rsid w:val="00B838F3"/>
    <w:rsid w:val="00B8399F"/>
    <w:rsid w:val="00B83CB1"/>
    <w:rsid w:val="00B83DA0"/>
    <w:rsid w:val="00B83DDF"/>
    <w:rsid w:val="00B83E43"/>
    <w:rsid w:val="00B83ED5"/>
    <w:rsid w:val="00B8408C"/>
    <w:rsid w:val="00B84456"/>
    <w:rsid w:val="00B845C0"/>
    <w:rsid w:val="00B846BD"/>
    <w:rsid w:val="00B848F8"/>
    <w:rsid w:val="00B849D2"/>
    <w:rsid w:val="00B84A09"/>
    <w:rsid w:val="00B84C62"/>
    <w:rsid w:val="00B84DCB"/>
    <w:rsid w:val="00B851FA"/>
    <w:rsid w:val="00B852A9"/>
    <w:rsid w:val="00B85358"/>
    <w:rsid w:val="00B855A2"/>
    <w:rsid w:val="00B8561A"/>
    <w:rsid w:val="00B857AD"/>
    <w:rsid w:val="00B85AC5"/>
    <w:rsid w:val="00B85CD1"/>
    <w:rsid w:val="00B85CF3"/>
    <w:rsid w:val="00B85CF4"/>
    <w:rsid w:val="00B85ECD"/>
    <w:rsid w:val="00B85FDA"/>
    <w:rsid w:val="00B8639D"/>
    <w:rsid w:val="00B86622"/>
    <w:rsid w:val="00B869EC"/>
    <w:rsid w:val="00B86BC7"/>
    <w:rsid w:val="00B86E9F"/>
    <w:rsid w:val="00B87031"/>
    <w:rsid w:val="00B8714A"/>
    <w:rsid w:val="00B871BD"/>
    <w:rsid w:val="00B872F0"/>
    <w:rsid w:val="00B873EF"/>
    <w:rsid w:val="00B87514"/>
    <w:rsid w:val="00B877F6"/>
    <w:rsid w:val="00B87A5F"/>
    <w:rsid w:val="00B87D92"/>
    <w:rsid w:val="00B87DAA"/>
    <w:rsid w:val="00B90506"/>
    <w:rsid w:val="00B9063F"/>
    <w:rsid w:val="00B90787"/>
    <w:rsid w:val="00B909AC"/>
    <w:rsid w:val="00B90A2A"/>
    <w:rsid w:val="00B90B69"/>
    <w:rsid w:val="00B90C93"/>
    <w:rsid w:val="00B90CD3"/>
    <w:rsid w:val="00B911CF"/>
    <w:rsid w:val="00B912A3"/>
    <w:rsid w:val="00B9179D"/>
    <w:rsid w:val="00B91861"/>
    <w:rsid w:val="00B91A81"/>
    <w:rsid w:val="00B921F2"/>
    <w:rsid w:val="00B92B2D"/>
    <w:rsid w:val="00B92BC1"/>
    <w:rsid w:val="00B931AA"/>
    <w:rsid w:val="00B93436"/>
    <w:rsid w:val="00B9349B"/>
    <w:rsid w:val="00B934AA"/>
    <w:rsid w:val="00B937A6"/>
    <w:rsid w:val="00B937B5"/>
    <w:rsid w:val="00B93824"/>
    <w:rsid w:val="00B938C2"/>
    <w:rsid w:val="00B938EE"/>
    <w:rsid w:val="00B9398F"/>
    <w:rsid w:val="00B939E8"/>
    <w:rsid w:val="00B93F2D"/>
    <w:rsid w:val="00B94101"/>
    <w:rsid w:val="00B94106"/>
    <w:rsid w:val="00B94326"/>
    <w:rsid w:val="00B9442B"/>
    <w:rsid w:val="00B944F0"/>
    <w:rsid w:val="00B947C9"/>
    <w:rsid w:val="00B949EB"/>
    <w:rsid w:val="00B94B7D"/>
    <w:rsid w:val="00B94B98"/>
    <w:rsid w:val="00B94C20"/>
    <w:rsid w:val="00B94CC0"/>
    <w:rsid w:val="00B94DF5"/>
    <w:rsid w:val="00B9505C"/>
    <w:rsid w:val="00B95207"/>
    <w:rsid w:val="00B952EC"/>
    <w:rsid w:val="00B9532F"/>
    <w:rsid w:val="00B9543A"/>
    <w:rsid w:val="00B95478"/>
    <w:rsid w:val="00B954CE"/>
    <w:rsid w:val="00B95847"/>
    <w:rsid w:val="00B95CA2"/>
    <w:rsid w:val="00B95D13"/>
    <w:rsid w:val="00B95E51"/>
    <w:rsid w:val="00B95E5A"/>
    <w:rsid w:val="00B95F1D"/>
    <w:rsid w:val="00B95FF6"/>
    <w:rsid w:val="00B96354"/>
    <w:rsid w:val="00B964BF"/>
    <w:rsid w:val="00B965E3"/>
    <w:rsid w:val="00B9688C"/>
    <w:rsid w:val="00B96B5F"/>
    <w:rsid w:val="00B96BCA"/>
    <w:rsid w:val="00B96C30"/>
    <w:rsid w:val="00B96C5C"/>
    <w:rsid w:val="00B96E33"/>
    <w:rsid w:val="00B96E65"/>
    <w:rsid w:val="00B96EFF"/>
    <w:rsid w:val="00B972C7"/>
    <w:rsid w:val="00B97A22"/>
    <w:rsid w:val="00B97B6A"/>
    <w:rsid w:val="00B97B99"/>
    <w:rsid w:val="00B97D6B"/>
    <w:rsid w:val="00B97EE1"/>
    <w:rsid w:val="00B97F35"/>
    <w:rsid w:val="00BA0308"/>
    <w:rsid w:val="00BA033D"/>
    <w:rsid w:val="00BA0545"/>
    <w:rsid w:val="00BA07FA"/>
    <w:rsid w:val="00BA0802"/>
    <w:rsid w:val="00BA08A5"/>
    <w:rsid w:val="00BA09C5"/>
    <w:rsid w:val="00BA0A3D"/>
    <w:rsid w:val="00BA0A7F"/>
    <w:rsid w:val="00BA0B21"/>
    <w:rsid w:val="00BA0C81"/>
    <w:rsid w:val="00BA0CDD"/>
    <w:rsid w:val="00BA0CF6"/>
    <w:rsid w:val="00BA0D65"/>
    <w:rsid w:val="00BA0ED5"/>
    <w:rsid w:val="00BA1193"/>
    <w:rsid w:val="00BA134F"/>
    <w:rsid w:val="00BA14E9"/>
    <w:rsid w:val="00BA1823"/>
    <w:rsid w:val="00BA1B58"/>
    <w:rsid w:val="00BA21AC"/>
    <w:rsid w:val="00BA2257"/>
    <w:rsid w:val="00BA2442"/>
    <w:rsid w:val="00BA28FB"/>
    <w:rsid w:val="00BA2E36"/>
    <w:rsid w:val="00BA2EB9"/>
    <w:rsid w:val="00BA2EFD"/>
    <w:rsid w:val="00BA2F0F"/>
    <w:rsid w:val="00BA30CA"/>
    <w:rsid w:val="00BA3134"/>
    <w:rsid w:val="00BA3153"/>
    <w:rsid w:val="00BA3331"/>
    <w:rsid w:val="00BA3406"/>
    <w:rsid w:val="00BA3471"/>
    <w:rsid w:val="00BA3765"/>
    <w:rsid w:val="00BA3916"/>
    <w:rsid w:val="00BA39D6"/>
    <w:rsid w:val="00BA39DF"/>
    <w:rsid w:val="00BA39FA"/>
    <w:rsid w:val="00BA3AFE"/>
    <w:rsid w:val="00BA3E08"/>
    <w:rsid w:val="00BA408A"/>
    <w:rsid w:val="00BA41A0"/>
    <w:rsid w:val="00BA435F"/>
    <w:rsid w:val="00BA446B"/>
    <w:rsid w:val="00BA480C"/>
    <w:rsid w:val="00BA4937"/>
    <w:rsid w:val="00BA4AD8"/>
    <w:rsid w:val="00BA4B06"/>
    <w:rsid w:val="00BA4B76"/>
    <w:rsid w:val="00BA4BE6"/>
    <w:rsid w:val="00BA4C8E"/>
    <w:rsid w:val="00BA4EC3"/>
    <w:rsid w:val="00BA5213"/>
    <w:rsid w:val="00BA5220"/>
    <w:rsid w:val="00BA54A1"/>
    <w:rsid w:val="00BA5AA8"/>
    <w:rsid w:val="00BA5AF6"/>
    <w:rsid w:val="00BA5CE0"/>
    <w:rsid w:val="00BA5D40"/>
    <w:rsid w:val="00BA5F59"/>
    <w:rsid w:val="00BA6912"/>
    <w:rsid w:val="00BA7030"/>
    <w:rsid w:val="00BA7088"/>
    <w:rsid w:val="00BA71E9"/>
    <w:rsid w:val="00BA7267"/>
    <w:rsid w:val="00BA726A"/>
    <w:rsid w:val="00BA72BA"/>
    <w:rsid w:val="00BA7334"/>
    <w:rsid w:val="00BA7707"/>
    <w:rsid w:val="00BA780E"/>
    <w:rsid w:val="00BB009A"/>
    <w:rsid w:val="00BB0188"/>
    <w:rsid w:val="00BB0492"/>
    <w:rsid w:val="00BB066E"/>
    <w:rsid w:val="00BB0793"/>
    <w:rsid w:val="00BB0961"/>
    <w:rsid w:val="00BB0C04"/>
    <w:rsid w:val="00BB0C47"/>
    <w:rsid w:val="00BB0D55"/>
    <w:rsid w:val="00BB0DF5"/>
    <w:rsid w:val="00BB0E18"/>
    <w:rsid w:val="00BB0F17"/>
    <w:rsid w:val="00BB1039"/>
    <w:rsid w:val="00BB1467"/>
    <w:rsid w:val="00BB177B"/>
    <w:rsid w:val="00BB17B3"/>
    <w:rsid w:val="00BB1978"/>
    <w:rsid w:val="00BB1A21"/>
    <w:rsid w:val="00BB2083"/>
    <w:rsid w:val="00BB22DE"/>
    <w:rsid w:val="00BB250E"/>
    <w:rsid w:val="00BB26B7"/>
    <w:rsid w:val="00BB271A"/>
    <w:rsid w:val="00BB271F"/>
    <w:rsid w:val="00BB294A"/>
    <w:rsid w:val="00BB298D"/>
    <w:rsid w:val="00BB2D8E"/>
    <w:rsid w:val="00BB2D9C"/>
    <w:rsid w:val="00BB2DAC"/>
    <w:rsid w:val="00BB3094"/>
    <w:rsid w:val="00BB3267"/>
    <w:rsid w:val="00BB32D9"/>
    <w:rsid w:val="00BB32DD"/>
    <w:rsid w:val="00BB3350"/>
    <w:rsid w:val="00BB3374"/>
    <w:rsid w:val="00BB3455"/>
    <w:rsid w:val="00BB3554"/>
    <w:rsid w:val="00BB3582"/>
    <w:rsid w:val="00BB37B1"/>
    <w:rsid w:val="00BB39BD"/>
    <w:rsid w:val="00BB39DD"/>
    <w:rsid w:val="00BB3A9C"/>
    <w:rsid w:val="00BB3BD3"/>
    <w:rsid w:val="00BB3BEC"/>
    <w:rsid w:val="00BB3D2C"/>
    <w:rsid w:val="00BB3E25"/>
    <w:rsid w:val="00BB4108"/>
    <w:rsid w:val="00BB43F2"/>
    <w:rsid w:val="00BB45E9"/>
    <w:rsid w:val="00BB47A7"/>
    <w:rsid w:val="00BB4DC1"/>
    <w:rsid w:val="00BB4E07"/>
    <w:rsid w:val="00BB4E86"/>
    <w:rsid w:val="00BB4F9F"/>
    <w:rsid w:val="00BB5136"/>
    <w:rsid w:val="00BB5885"/>
    <w:rsid w:val="00BB5931"/>
    <w:rsid w:val="00BB6097"/>
    <w:rsid w:val="00BB61D1"/>
    <w:rsid w:val="00BB648A"/>
    <w:rsid w:val="00BB6716"/>
    <w:rsid w:val="00BB6924"/>
    <w:rsid w:val="00BB6949"/>
    <w:rsid w:val="00BB6993"/>
    <w:rsid w:val="00BB6AA0"/>
    <w:rsid w:val="00BB6CC5"/>
    <w:rsid w:val="00BB6D16"/>
    <w:rsid w:val="00BB6D88"/>
    <w:rsid w:val="00BB7091"/>
    <w:rsid w:val="00BB7706"/>
    <w:rsid w:val="00BB7827"/>
    <w:rsid w:val="00BB7C70"/>
    <w:rsid w:val="00BB7FDB"/>
    <w:rsid w:val="00BC0113"/>
    <w:rsid w:val="00BC014B"/>
    <w:rsid w:val="00BC02C7"/>
    <w:rsid w:val="00BC0610"/>
    <w:rsid w:val="00BC0B0A"/>
    <w:rsid w:val="00BC0C9D"/>
    <w:rsid w:val="00BC0CF5"/>
    <w:rsid w:val="00BC0E2D"/>
    <w:rsid w:val="00BC0E99"/>
    <w:rsid w:val="00BC0F19"/>
    <w:rsid w:val="00BC10CD"/>
    <w:rsid w:val="00BC1127"/>
    <w:rsid w:val="00BC1692"/>
    <w:rsid w:val="00BC1725"/>
    <w:rsid w:val="00BC17A2"/>
    <w:rsid w:val="00BC19E0"/>
    <w:rsid w:val="00BC1C86"/>
    <w:rsid w:val="00BC1F9A"/>
    <w:rsid w:val="00BC2031"/>
    <w:rsid w:val="00BC2074"/>
    <w:rsid w:val="00BC2331"/>
    <w:rsid w:val="00BC2466"/>
    <w:rsid w:val="00BC2550"/>
    <w:rsid w:val="00BC2570"/>
    <w:rsid w:val="00BC2587"/>
    <w:rsid w:val="00BC2868"/>
    <w:rsid w:val="00BC2A1B"/>
    <w:rsid w:val="00BC2A84"/>
    <w:rsid w:val="00BC2B0E"/>
    <w:rsid w:val="00BC2C31"/>
    <w:rsid w:val="00BC2D71"/>
    <w:rsid w:val="00BC2E82"/>
    <w:rsid w:val="00BC2F38"/>
    <w:rsid w:val="00BC2F8C"/>
    <w:rsid w:val="00BC301E"/>
    <w:rsid w:val="00BC30A4"/>
    <w:rsid w:val="00BC31EA"/>
    <w:rsid w:val="00BC37B4"/>
    <w:rsid w:val="00BC3AC3"/>
    <w:rsid w:val="00BC3B4D"/>
    <w:rsid w:val="00BC3BE4"/>
    <w:rsid w:val="00BC3E88"/>
    <w:rsid w:val="00BC3EED"/>
    <w:rsid w:val="00BC4064"/>
    <w:rsid w:val="00BC40E1"/>
    <w:rsid w:val="00BC41E4"/>
    <w:rsid w:val="00BC4450"/>
    <w:rsid w:val="00BC44F5"/>
    <w:rsid w:val="00BC4647"/>
    <w:rsid w:val="00BC4952"/>
    <w:rsid w:val="00BC495A"/>
    <w:rsid w:val="00BC4A74"/>
    <w:rsid w:val="00BC4C10"/>
    <w:rsid w:val="00BC4D34"/>
    <w:rsid w:val="00BC4F32"/>
    <w:rsid w:val="00BC4FA1"/>
    <w:rsid w:val="00BC518F"/>
    <w:rsid w:val="00BC52FF"/>
    <w:rsid w:val="00BC53E6"/>
    <w:rsid w:val="00BC5461"/>
    <w:rsid w:val="00BC54C1"/>
    <w:rsid w:val="00BC5EDD"/>
    <w:rsid w:val="00BC5F8E"/>
    <w:rsid w:val="00BC5FCF"/>
    <w:rsid w:val="00BC633E"/>
    <w:rsid w:val="00BC67EC"/>
    <w:rsid w:val="00BC6A12"/>
    <w:rsid w:val="00BC6CED"/>
    <w:rsid w:val="00BC6D29"/>
    <w:rsid w:val="00BC6D32"/>
    <w:rsid w:val="00BC6D5A"/>
    <w:rsid w:val="00BC7282"/>
    <w:rsid w:val="00BC73AE"/>
    <w:rsid w:val="00BC73C1"/>
    <w:rsid w:val="00BC74D3"/>
    <w:rsid w:val="00BC7507"/>
    <w:rsid w:val="00BC7584"/>
    <w:rsid w:val="00BC79C7"/>
    <w:rsid w:val="00BC7C1F"/>
    <w:rsid w:val="00BC7E3A"/>
    <w:rsid w:val="00BD0022"/>
    <w:rsid w:val="00BD0145"/>
    <w:rsid w:val="00BD021B"/>
    <w:rsid w:val="00BD04C4"/>
    <w:rsid w:val="00BD07B3"/>
    <w:rsid w:val="00BD0B1E"/>
    <w:rsid w:val="00BD0B9C"/>
    <w:rsid w:val="00BD0DF7"/>
    <w:rsid w:val="00BD0E81"/>
    <w:rsid w:val="00BD0F37"/>
    <w:rsid w:val="00BD0F7D"/>
    <w:rsid w:val="00BD1122"/>
    <w:rsid w:val="00BD112A"/>
    <w:rsid w:val="00BD1212"/>
    <w:rsid w:val="00BD13AD"/>
    <w:rsid w:val="00BD13C6"/>
    <w:rsid w:val="00BD15D8"/>
    <w:rsid w:val="00BD1655"/>
    <w:rsid w:val="00BD18E3"/>
    <w:rsid w:val="00BD1B78"/>
    <w:rsid w:val="00BD1B8B"/>
    <w:rsid w:val="00BD1F60"/>
    <w:rsid w:val="00BD20D5"/>
    <w:rsid w:val="00BD2123"/>
    <w:rsid w:val="00BD223C"/>
    <w:rsid w:val="00BD26DF"/>
    <w:rsid w:val="00BD295A"/>
    <w:rsid w:val="00BD2B68"/>
    <w:rsid w:val="00BD2DDA"/>
    <w:rsid w:val="00BD2FD6"/>
    <w:rsid w:val="00BD31F9"/>
    <w:rsid w:val="00BD332B"/>
    <w:rsid w:val="00BD3705"/>
    <w:rsid w:val="00BD3745"/>
    <w:rsid w:val="00BD38D5"/>
    <w:rsid w:val="00BD390A"/>
    <w:rsid w:val="00BD3D83"/>
    <w:rsid w:val="00BD45A1"/>
    <w:rsid w:val="00BD4A52"/>
    <w:rsid w:val="00BD4BE7"/>
    <w:rsid w:val="00BD4C96"/>
    <w:rsid w:val="00BD4E4E"/>
    <w:rsid w:val="00BD5277"/>
    <w:rsid w:val="00BD52E7"/>
    <w:rsid w:val="00BD5460"/>
    <w:rsid w:val="00BD5693"/>
    <w:rsid w:val="00BD569F"/>
    <w:rsid w:val="00BD57A8"/>
    <w:rsid w:val="00BD5856"/>
    <w:rsid w:val="00BD5C02"/>
    <w:rsid w:val="00BD5D10"/>
    <w:rsid w:val="00BD6084"/>
    <w:rsid w:val="00BD62BE"/>
    <w:rsid w:val="00BD62C5"/>
    <w:rsid w:val="00BD64A2"/>
    <w:rsid w:val="00BD67DD"/>
    <w:rsid w:val="00BD68E0"/>
    <w:rsid w:val="00BD6A52"/>
    <w:rsid w:val="00BD6AB1"/>
    <w:rsid w:val="00BD6DEA"/>
    <w:rsid w:val="00BD6EDF"/>
    <w:rsid w:val="00BD7062"/>
    <w:rsid w:val="00BD7096"/>
    <w:rsid w:val="00BD7137"/>
    <w:rsid w:val="00BD7219"/>
    <w:rsid w:val="00BD7292"/>
    <w:rsid w:val="00BD73B1"/>
    <w:rsid w:val="00BD73E4"/>
    <w:rsid w:val="00BD7465"/>
    <w:rsid w:val="00BD7BCA"/>
    <w:rsid w:val="00BD7C38"/>
    <w:rsid w:val="00BD7CB0"/>
    <w:rsid w:val="00BE01D3"/>
    <w:rsid w:val="00BE0244"/>
    <w:rsid w:val="00BE0247"/>
    <w:rsid w:val="00BE03E6"/>
    <w:rsid w:val="00BE0461"/>
    <w:rsid w:val="00BE04C3"/>
    <w:rsid w:val="00BE05AC"/>
    <w:rsid w:val="00BE0712"/>
    <w:rsid w:val="00BE0BF7"/>
    <w:rsid w:val="00BE0C73"/>
    <w:rsid w:val="00BE0CC9"/>
    <w:rsid w:val="00BE0E9E"/>
    <w:rsid w:val="00BE0F6C"/>
    <w:rsid w:val="00BE11E3"/>
    <w:rsid w:val="00BE1229"/>
    <w:rsid w:val="00BE12C2"/>
    <w:rsid w:val="00BE134B"/>
    <w:rsid w:val="00BE1448"/>
    <w:rsid w:val="00BE144F"/>
    <w:rsid w:val="00BE159E"/>
    <w:rsid w:val="00BE1B67"/>
    <w:rsid w:val="00BE1C68"/>
    <w:rsid w:val="00BE1DB9"/>
    <w:rsid w:val="00BE1E24"/>
    <w:rsid w:val="00BE1E67"/>
    <w:rsid w:val="00BE1EAE"/>
    <w:rsid w:val="00BE2015"/>
    <w:rsid w:val="00BE233B"/>
    <w:rsid w:val="00BE266E"/>
    <w:rsid w:val="00BE26E8"/>
    <w:rsid w:val="00BE27D3"/>
    <w:rsid w:val="00BE28AD"/>
    <w:rsid w:val="00BE2A16"/>
    <w:rsid w:val="00BE2A65"/>
    <w:rsid w:val="00BE2C8E"/>
    <w:rsid w:val="00BE2CE5"/>
    <w:rsid w:val="00BE2DA2"/>
    <w:rsid w:val="00BE2F01"/>
    <w:rsid w:val="00BE3119"/>
    <w:rsid w:val="00BE3216"/>
    <w:rsid w:val="00BE32F0"/>
    <w:rsid w:val="00BE348A"/>
    <w:rsid w:val="00BE3594"/>
    <w:rsid w:val="00BE3694"/>
    <w:rsid w:val="00BE389A"/>
    <w:rsid w:val="00BE3940"/>
    <w:rsid w:val="00BE39BE"/>
    <w:rsid w:val="00BE39C0"/>
    <w:rsid w:val="00BE3F99"/>
    <w:rsid w:val="00BE3FAC"/>
    <w:rsid w:val="00BE439F"/>
    <w:rsid w:val="00BE4401"/>
    <w:rsid w:val="00BE44E4"/>
    <w:rsid w:val="00BE4691"/>
    <w:rsid w:val="00BE48E4"/>
    <w:rsid w:val="00BE49D2"/>
    <w:rsid w:val="00BE4A6A"/>
    <w:rsid w:val="00BE4DDB"/>
    <w:rsid w:val="00BE520D"/>
    <w:rsid w:val="00BE573B"/>
    <w:rsid w:val="00BE57EE"/>
    <w:rsid w:val="00BE5951"/>
    <w:rsid w:val="00BE5B51"/>
    <w:rsid w:val="00BE5DE7"/>
    <w:rsid w:val="00BE5E81"/>
    <w:rsid w:val="00BE5F2F"/>
    <w:rsid w:val="00BE5FA5"/>
    <w:rsid w:val="00BE5FAE"/>
    <w:rsid w:val="00BE621A"/>
    <w:rsid w:val="00BE62BC"/>
    <w:rsid w:val="00BE6615"/>
    <w:rsid w:val="00BE6648"/>
    <w:rsid w:val="00BE6CBA"/>
    <w:rsid w:val="00BE7079"/>
    <w:rsid w:val="00BE722B"/>
    <w:rsid w:val="00BE799C"/>
    <w:rsid w:val="00BE7D98"/>
    <w:rsid w:val="00BF0208"/>
    <w:rsid w:val="00BF024D"/>
    <w:rsid w:val="00BF042C"/>
    <w:rsid w:val="00BF0812"/>
    <w:rsid w:val="00BF0895"/>
    <w:rsid w:val="00BF08CE"/>
    <w:rsid w:val="00BF0A78"/>
    <w:rsid w:val="00BF0CA9"/>
    <w:rsid w:val="00BF0E32"/>
    <w:rsid w:val="00BF0EDC"/>
    <w:rsid w:val="00BF0FE2"/>
    <w:rsid w:val="00BF1587"/>
    <w:rsid w:val="00BF1687"/>
    <w:rsid w:val="00BF17C8"/>
    <w:rsid w:val="00BF18D9"/>
    <w:rsid w:val="00BF1B74"/>
    <w:rsid w:val="00BF1D1C"/>
    <w:rsid w:val="00BF1DBD"/>
    <w:rsid w:val="00BF2128"/>
    <w:rsid w:val="00BF2218"/>
    <w:rsid w:val="00BF2A86"/>
    <w:rsid w:val="00BF2E82"/>
    <w:rsid w:val="00BF3191"/>
    <w:rsid w:val="00BF324C"/>
    <w:rsid w:val="00BF32C9"/>
    <w:rsid w:val="00BF35F8"/>
    <w:rsid w:val="00BF3667"/>
    <w:rsid w:val="00BF3681"/>
    <w:rsid w:val="00BF3A5B"/>
    <w:rsid w:val="00BF3EC3"/>
    <w:rsid w:val="00BF3F1A"/>
    <w:rsid w:val="00BF404B"/>
    <w:rsid w:val="00BF407E"/>
    <w:rsid w:val="00BF453A"/>
    <w:rsid w:val="00BF4744"/>
    <w:rsid w:val="00BF47E2"/>
    <w:rsid w:val="00BF4963"/>
    <w:rsid w:val="00BF49A2"/>
    <w:rsid w:val="00BF4C3F"/>
    <w:rsid w:val="00BF4E03"/>
    <w:rsid w:val="00BF4F0A"/>
    <w:rsid w:val="00BF5432"/>
    <w:rsid w:val="00BF5464"/>
    <w:rsid w:val="00BF564C"/>
    <w:rsid w:val="00BF5721"/>
    <w:rsid w:val="00BF5B09"/>
    <w:rsid w:val="00BF5E16"/>
    <w:rsid w:val="00BF5FCA"/>
    <w:rsid w:val="00BF6610"/>
    <w:rsid w:val="00BF665A"/>
    <w:rsid w:val="00BF6726"/>
    <w:rsid w:val="00BF68A6"/>
    <w:rsid w:val="00BF6FDF"/>
    <w:rsid w:val="00BF7464"/>
    <w:rsid w:val="00BF748D"/>
    <w:rsid w:val="00BF7578"/>
    <w:rsid w:val="00BF7595"/>
    <w:rsid w:val="00BF75FA"/>
    <w:rsid w:val="00BF7680"/>
    <w:rsid w:val="00BF76C5"/>
    <w:rsid w:val="00BF7796"/>
    <w:rsid w:val="00BF7B9E"/>
    <w:rsid w:val="00BF7C5E"/>
    <w:rsid w:val="00BF7D0B"/>
    <w:rsid w:val="00BF7DA1"/>
    <w:rsid w:val="00C0058A"/>
    <w:rsid w:val="00C0069D"/>
    <w:rsid w:val="00C006D6"/>
    <w:rsid w:val="00C00716"/>
    <w:rsid w:val="00C007C3"/>
    <w:rsid w:val="00C00957"/>
    <w:rsid w:val="00C00B28"/>
    <w:rsid w:val="00C00B6B"/>
    <w:rsid w:val="00C00B6D"/>
    <w:rsid w:val="00C00D40"/>
    <w:rsid w:val="00C00E1B"/>
    <w:rsid w:val="00C00FD6"/>
    <w:rsid w:val="00C011CE"/>
    <w:rsid w:val="00C011EF"/>
    <w:rsid w:val="00C013BE"/>
    <w:rsid w:val="00C014BA"/>
    <w:rsid w:val="00C018F7"/>
    <w:rsid w:val="00C01C65"/>
    <w:rsid w:val="00C01EB0"/>
    <w:rsid w:val="00C0256A"/>
    <w:rsid w:val="00C02888"/>
    <w:rsid w:val="00C02CDC"/>
    <w:rsid w:val="00C02F8F"/>
    <w:rsid w:val="00C02F9F"/>
    <w:rsid w:val="00C03068"/>
    <w:rsid w:val="00C0364F"/>
    <w:rsid w:val="00C03693"/>
    <w:rsid w:val="00C03B43"/>
    <w:rsid w:val="00C03BE3"/>
    <w:rsid w:val="00C03CF2"/>
    <w:rsid w:val="00C03E3B"/>
    <w:rsid w:val="00C04181"/>
    <w:rsid w:val="00C04239"/>
    <w:rsid w:val="00C04557"/>
    <w:rsid w:val="00C046C9"/>
    <w:rsid w:val="00C04870"/>
    <w:rsid w:val="00C04A14"/>
    <w:rsid w:val="00C04B05"/>
    <w:rsid w:val="00C04C71"/>
    <w:rsid w:val="00C04E5C"/>
    <w:rsid w:val="00C0515C"/>
    <w:rsid w:val="00C05193"/>
    <w:rsid w:val="00C05374"/>
    <w:rsid w:val="00C053B3"/>
    <w:rsid w:val="00C05549"/>
    <w:rsid w:val="00C05D82"/>
    <w:rsid w:val="00C05DB9"/>
    <w:rsid w:val="00C05F62"/>
    <w:rsid w:val="00C05FEF"/>
    <w:rsid w:val="00C062A1"/>
    <w:rsid w:val="00C063D5"/>
    <w:rsid w:val="00C063F1"/>
    <w:rsid w:val="00C0657A"/>
    <w:rsid w:val="00C06745"/>
    <w:rsid w:val="00C06BFA"/>
    <w:rsid w:val="00C06CED"/>
    <w:rsid w:val="00C07966"/>
    <w:rsid w:val="00C07A6C"/>
    <w:rsid w:val="00C07BEA"/>
    <w:rsid w:val="00C07ED0"/>
    <w:rsid w:val="00C101C7"/>
    <w:rsid w:val="00C10295"/>
    <w:rsid w:val="00C102B1"/>
    <w:rsid w:val="00C104A3"/>
    <w:rsid w:val="00C105D7"/>
    <w:rsid w:val="00C10A1C"/>
    <w:rsid w:val="00C10B01"/>
    <w:rsid w:val="00C10BBD"/>
    <w:rsid w:val="00C10E87"/>
    <w:rsid w:val="00C11198"/>
    <w:rsid w:val="00C111FE"/>
    <w:rsid w:val="00C11308"/>
    <w:rsid w:val="00C11325"/>
    <w:rsid w:val="00C11375"/>
    <w:rsid w:val="00C11A0D"/>
    <w:rsid w:val="00C11BF1"/>
    <w:rsid w:val="00C11C89"/>
    <w:rsid w:val="00C11DA5"/>
    <w:rsid w:val="00C121D3"/>
    <w:rsid w:val="00C122EF"/>
    <w:rsid w:val="00C122FA"/>
    <w:rsid w:val="00C125D2"/>
    <w:rsid w:val="00C12CDF"/>
    <w:rsid w:val="00C12D14"/>
    <w:rsid w:val="00C12EC4"/>
    <w:rsid w:val="00C13169"/>
    <w:rsid w:val="00C131B9"/>
    <w:rsid w:val="00C1328C"/>
    <w:rsid w:val="00C1329A"/>
    <w:rsid w:val="00C13305"/>
    <w:rsid w:val="00C1369E"/>
    <w:rsid w:val="00C13ABC"/>
    <w:rsid w:val="00C13C20"/>
    <w:rsid w:val="00C13C66"/>
    <w:rsid w:val="00C13F7E"/>
    <w:rsid w:val="00C13FBC"/>
    <w:rsid w:val="00C140D5"/>
    <w:rsid w:val="00C14349"/>
    <w:rsid w:val="00C146CB"/>
    <w:rsid w:val="00C149CF"/>
    <w:rsid w:val="00C14BE6"/>
    <w:rsid w:val="00C14C63"/>
    <w:rsid w:val="00C14D12"/>
    <w:rsid w:val="00C14D61"/>
    <w:rsid w:val="00C150EA"/>
    <w:rsid w:val="00C15208"/>
    <w:rsid w:val="00C15277"/>
    <w:rsid w:val="00C152B2"/>
    <w:rsid w:val="00C153AD"/>
    <w:rsid w:val="00C15448"/>
    <w:rsid w:val="00C1546E"/>
    <w:rsid w:val="00C155BD"/>
    <w:rsid w:val="00C155EE"/>
    <w:rsid w:val="00C156C0"/>
    <w:rsid w:val="00C15830"/>
    <w:rsid w:val="00C15974"/>
    <w:rsid w:val="00C15A8C"/>
    <w:rsid w:val="00C15B73"/>
    <w:rsid w:val="00C15BCB"/>
    <w:rsid w:val="00C15D1F"/>
    <w:rsid w:val="00C15F98"/>
    <w:rsid w:val="00C1639B"/>
    <w:rsid w:val="00C16456"/>
    <w:rsid w:val="00C16597"/>
    <w:rsid w:val="00C166AD"/>
    <w:rsid w:val="00C1680B"/>
    <w:rsid w:val="00C16D2A"/>
    <w:rsid w:val="00C16FAD"/>
    <w:rsid w:val="00C1730C"/>
    <w:rsid w:val="00C17319"/>
    <w:rsid w:val="00C17358"/>
    <w:rsid w:val="00C178C4"/>
    <w:rsid w:val="00C17BA0"/>
    <w:rsid w:val="00C17BB9"/>
    <w:rsid w:val="00C17BDC"/>
    <w:rsid w:val="00C20053"/>
    <w:rsid w:val="00C202EA"/>
    <w:rsid w:val="00C20352"/>
    <w:rsid w:val="00C20468"/>
    <w:rsid w:val="00C207D3"/>
    <w:rsid w:val="00C20A8E"/>
    <w:rsid w:val="00C20E31"/>
    <w:rsid w:val="00C20ED8"/>
    <w:rsid w:val="00C210D8"/>
    <w:rsid w:val="00C2124F"/>
    <w:rsid w:val="00C2133A"/>
    <w:rsid w:val="00C2148A"/>
    <w:rsid w:val="00C21508"/>
    <w:rsid w:val="00C2179E"/>
    <w:rsid w:val="00C21891"/>
    <w:rsid w:val="00C21A97"/>
    <w:rsid w:val="00C21B20"/>
    <w:rsid w:val="00C21B23"/>
    <w:rsid w:val="00C21B32"/>
    <w:rsid w:val="00C221E9"/>
    <w:rsid w:val="00C22352"/>
    <w:rsid w:val="00C2248D"/>
    <w:rsid w:val="00C2257C"/>
    <w:rsid w:val="00C227D1"/>
    <w:rsid w:val="00C22AC1"/>
    <w:rsid w:val="00C22FF3"/>
    <w:rsid w:val="00C230F8"/>
    <w:rsid w:val="00C23616"/>
    <w:rsid w:val="00C23705"/>
    <w:rsid w:val="00C238EA"/>
    <w:rsid w:val="00C23C12"/>
    <w:rsid w:val="00C23C3D"/>
    <w:rsid w:val="00C23C5C"/>
    <w:rsid w:val="00C247B9"/>
    <w:rsid w:val="00C247DE"/>
    <w:rsid w:val="00C24AFC"/>
    <w:rsid w:val="00C24C10"/>
    <w:rsid w:val="00C250FF"/>
    <w:rsid w:val="00C25366"/>
    <w:rsid w:val="00C25764"/>
    <w:rsid w:val="00C25C52"/>
    <w:rsid w:val="00C25CD5"/>
    <w:rsid w:val="00C25CE4"/>
    <w:rsid w:val="00C25E59"/>
    <w:rsid w:val="00C26045"/>
    <w:rsid w:val="00C2632C"/>
    <w:rsid w:val="00C263BB"/>
    <w:rsid w:val="00C263CD"/>
    <w:rsid w:val="00C26486"/>
    <w:rsid w:val="00C264BF"/>
    <w:rsid w:val="00C26504"/>
    <w:rsid w:val="00C26593"/>
    <w:rsid w:val="00C26652"/>
    <w:rsid w:val="00C26727"/>
    <w:rsid w:val="00C26A1D"/>
    <w:rsid w:val="00C270BB"/>
    <w:rsid w:val="00C27194"/>
    <w:rsid w:val="00C271AF"/>
    <w:rsid w:val="00C27547"/>
    <w:rsid w:val="00C27686"/>
    <w:rsid w:val="00C276A7"/>
    <w:rsid w:val="00C277DF"/>
    <w:rsid w:val="00C27998"/>
    <w:rsid w:val="00C27AA7"/>
    <w:rsid w:val="00C27B03"/>
    <w:rsid w:val="00C27E79"/>
    <w:rsid w:val="00C27F0F"/>
    <w:rsid w:val="00C30110"/>
    <w:rsid w:val="00C3049D"/>
    <w:rsid w:val="00C306CE"/>
    <w:rsid w:val="00C30763"/>
    <w:rsid w:val="00C307D9"/>
    <w:rsid w:val="00C308E4"/>
    <w:rsid w:val="00C3098F"/>
    <w:rsid w:val="00C30AEF"/>
    <w:rsid w:val="00C30B09"/>
    <w:rsid w:val="00C30E39"/>
    <w:rsid w:val="00C31106"/>
    <w:rsid w:val="00C31233"/>
    <w:rsid w:val="00C312C8"/>
    <w:rsid w:val="00C312E1"/>
    <w:rsid w:val="00C3136A"/>
    <w:rsid w:val="00C31688"/>
    <w:rsid w:val="00C31722"/>
    <w:rsid w:val="00C31760"/>
    <w:rsid w:val="00C31A3C"/>
    <w:rsid w:val="00C31B9C"/>
    <w:rsid w:val="00C31BA7"/>
    <w:rsid w:val="00C31C5E"/>
    <w:rsid w:val="00C31DA0"/>
    <w:rsid w:val="00C3212D"/>
    <w:rsid w:val="00C32151"/>
    <w:rsid w:val="00C321A4"/>
    <w:rsid w:val="00C32880"/>
    <w:rsid w:val="00C328DC"/>
    <w:rsid w:val="00C32917"/>
    <w:rsid w:val="00C32C12"/>
    <w:rsid w:val="00C32C24"/>
    <w:rsid w:val="00C32FAC"/>
    <w:rsid w:val="00C330A3"/>
    <w:rsid w:val="00C330CC"/>
    <w:rsid w:val="00C3369F"/>
    <w:rsid w:val="00C3370F"/>
    <w:rsid w:val="00C33745"/>
    <w:rsid w:val="00C337E7"/>
    <w:rsid w:val="00C3399D"/>
    <w:rsid w:val="00C33B08"/>
    <w:rsid w:val="00C33B48"/>
    <w:rsid w:val="00C33D2E"/>
    <w:rsid w:val="00C34082"/>
    <w:rsid w:val="00C34280"/>
    <w:rsid w:val="00C3431F"/>
    <w:rsid w:val="00C345BE"/>
    <w:rsid w:val="00C34829"/>
    <w:rsid w:val="00C34834"/>
    <w:rsid w:val="00C349FB"/>
    <w:rsid w:val="00C34A57"/>
    <w:rsid w:val="00C34C4F"/>
    <w:rsid w:val="00C34FF3"/>
    <w:rsid w:val="00C351D8"/>
    <w:rsid w:val="00C352C7"/>
    <w:rsid w:val="00C353C7"/>
    <w:rsid w:val="00C354AE"/>
    <w:rsid w:val="00C354E4"/>
    <w:rsid w:val="00C354EE"/>
    <w:rsid w:val="00C35592"/>
    <w:rsid w:val="00C35845"/>
    <w:rsid w:val="00C35948"/>
    <w:rsid w:val="00C3596D"/>
    <w:rsid w:val="00C35DEA"/>
    <w:rsid w:val="00C35E37"/>
    <w:rsid w:val="00C362CC"/>
    <w:rsid w:val="00C3631F"/>
    <w:rsid w:val="00C36444"/>
    <w:rsid w:val="00C36545"/>
    <w:rsid w:val="00C366E0"/>
    <w:rsid w:val="00C368E3"/>
    <w:rsid w:val="00C36944"/>
    <w:rsid w:val="00C36CA9"/>
    <w:rsid w:val="00C374E7"/>
    <w:rsid w:val="00C3753D"/>
    <w:rsid w:val="00C37655"/>
    <w:rsid w:val="00C376A2"/>
    <w:rsid w:val="00C376AB"/>
    <w:rsid w:val="00C377F1"/>
    <w:rsid w:val="00C378DF"/>
    <w:rsid w:val="00C37BC1"/>
    <w:rsid w:val="00C37BCE"/>
    <w:rsid w:val="00C37ED0"/>
    <w:rsid w:val="00C40299"/>
    <w:rsid w:val="00C403E8"/>
    <w:rsid w:val="00C40753"/>
    <w:rsid w:val="00C40762"/>
    <w:rsid w:val="00C40C75"/>
    <w:rsid w:val="00C40CAE"/>
    <w:rsid w:val="00C40DFC"/>
    <w:rsid w:val="00C41D3C"/>
    <w:rsid w:val="00C41F14"/>
    <w:rsid w:val="00C4202D"/>
    <w:rsid w:val="00C42110"/>
    <w:rsid w:val="00C423A6"/>
    <w:rsid w:val="00C423BD"/>
    <w:rsid w:val="00C42479"/>
    <w:rsid w:val="00C4267D"/>
    <w:rsid w:val="00C426BB"/>
    <w:rsid w:val="00C426CB"/>
    <w:rsid w:val="00C428B8"/>
    <w:rsid w:val="00C42CFD"/>
    <w:rsid w:val="00C42E7C"/>
    <w:rsid w:val="00C42F12"/>
    <w:rsid w:val="00C42FA6"/>
    <w:rsid w:val="00C43042"/>
    <w:rsid w:val="00C43046"/>
    <w:rsid w:val="00C43271"/>
    <w:rsid w:val="00C434F8"/>
    <w:rsid w:val="00C4362D"/>
    <w:rsid w:val="00C43743"/>
    <w:rsid w:val="00C43778"/>
    <w:rsid w:val="00C43ABF"/>
    <w:rsid w:val="00C43C7B"/>
    <w:rsid w:val="00C43D71"/>
    <w:rsid w:val="00C43DEE"/>
    <w:rsid w:val="00C43F44"/>
    <w:rsid w:val="00C44155"/>
    <w:rsid w:val="00C44272"/>
    <w:rsid w:val="00C444B5"/>
    <w:rsid w:val="00C44569"/>
    <w:rsid w:val="00C44692"/>
    <w:rsid w:val="00C44744"/>
    <w:rsid w:val="00C447F6"/>
    <w:rsid w:val="00C44816"/>
    <w:rsid w:val="00C44C3C"/>
    <w:rsid w:val="00C44D36"/>
    <w:rsid w:val="00C44D6C"/>
    <w:rsid w:val="00C44EED"/>
    <w:rsid w:val="00C44F46"/>
    <w:rsid w:val="00C45047"/>
    <w:rsid w:val="00C45417"/>
    <w:rsid w:val="00C4551B"/>
    <w:rsid w:val="00C4551E"/>
    <w:rsid w:val="00C45676"/>
    <w:rsid w:val="00C4570D"/>
    <w:rsid w:val="00C4582F"/>
    <w:rsid w:val="00C458B3"/>
    <w:rsid w:val="00C45AFC"/>
    <w:rsid w:val="00C45C39"/>
    <w:rsid w:val="00C45CA1"/>
    <w:rsid w:val="00C45CCC"/>
    <w:rsid w:val="00C4636F"/>
    <w:rsid w:val="00C46412"/>
    <w:rsid w:val="00C465B0"/>
    <w:rsid w:val="00C465EE"/>
    <w:rsid w:val="00C467B3"/>
    <w:rsid w:val="00C46AA5"/>
    <w:rsid w:val="00C46E3F"/>
    <w:rsid w:val="00C46EA9"/>
    <w:rsid w:val="00C46ECC"/>
    <w:rsid w:val="00C46FEF"/>
    <w:rsid w:val="00C47052"/>
    <w:rsid w:val="00C472E2"/>
    <w:rsid w:val="00C4743A"/>
    <w:rsid w:val="00C476BE"/>
    <w:rsid w:val="00C4786F"/>
    <w:rsid w:val="00C47BFD"/>
    <w:rsid w:val="00C47C4D"/>
    <w:rsid w:val="00C47CC3"/>
    <w:rsid w:val="00C47D11"/>
    <w:rsid w:val="00C47E63"/>
    <w:rsid w:val="00C47F90"/>
    <w:rsid w:val="00C47FBE"/>
    <w:rsid w:val="00C500C2"/>
    <w:rsid w:val="00C50359"/>
    <w:rsid w:val="00C50727"/>
    <w:rsid w:val="00C507C9"/>
    <w:rsid w:val="00C50864"/>
    <w:rsid w:val="00C508DB"/>
    <w:rsid w:val="00C50C0D"/>
    <w:rsid w:val="00C50E89"/>
    <w:rsid w:val="00C50EC7"/>
    <w:rsid w:val="00C50F33"/>
    <w:rsid w:val="00C50F74"/>
    <w:rsid w:val="00C50FD1"/>
    <w:rsid w:val="00C512C1"/>
    <w:rsid w:val="00C51537"/>
    <w:rsid w:val="00C516B9"/>
    <w:rsid w:val="00C51DCD"/>
    <w:rsid w:val="00C51F46"/>
    <w:rsid w:val="00C522AC"/>
    <w:rsid w:val="00C52AC3"/>
    <w:rsid w:val="00C52D6B"/>
    <w:rsid w:val="00C5314F"/>
    <w:rsid w:val="00C53475"/>
    <w:rsid w:val="00C536FF"/>
    <w:rsid w:val="00C5378B"/>
    <w:rsid w:val="00C537C0"/>
    <w:rsid w:val="00C53C38"/>
    <w:rsid w:val="00C53D00"/>
    <w:rsid w:val="00C53D3F"/>
    <w:rsid w:val="00C53D9D"/>
    <w:rsid w:val="00C53FE1"/>
    <w:rsid w:val="00C54205"/>
    <w:rsid w:val="00C5430B"/>
    <w:rsid w:val="00C5440C"/>
    <w:rsid w:val="00C545C5"/>
    <w:rsid w:val="00C5476D"/>
    <w:rsid w:val="00C547C0"/>
    <w:rsid w:val="00C54C0F"/>
    <w:rsid w:val="00C54F1F"/>
    <w:rsid w:val="00C55006"/>
    <w:rsid w:val="00C55069"/>
    <w:rsid w:val="00C552BD"/>
    <w:rsid w:val="00C55334"/>
    <w:rsid w:val="00C55384"/>
    <w:rsid w:val="00C556C0"/>
    <w:rsid w:val="00C556C2"/>
    <w:rsid w:val="00C5578F"/>
    <w:rsid w:val="00C558D6"/>
    <w:rsid w:val="00C55C5E"/>
    <w:rsid w:val="00C55F84"/>
    <w:rsid w:val="00C56024"/>
    <w:rsid w:val="00C5603F"/>
    <w:rsid w:val="00C5615B"/>
    <w:rsid w:val="00C56194"/>
    <w:rsid w:val="00C561B5"/>
    <w:rsid w:val="00C56379"/>
    <w:rsid w:val="00C5687C"/>
    <w:rsid w:val="00C56D18"/>
    <w:rsid w:val="00C56DAA"/>
    <w:rsid w:val="00C570C6"/>
    <w:rsid w:val="00C57176"/>
    <w:rsid w:val="00C57489"/>
    <w:rsid w:val="00C574E3"/>
    <w:rsid w:val="00C577C9"/>
    <w:rsid w:val="00C57CFB"/>
    <w:rsid w:val="00C57D43"/>
    <w:rsid w:val="00C57E28"/>
    <w:rsid w:val="00C57FAA"/>
    <w:rsid w:val="00C600EF"/>
    <w:rsid w:val="00C60206"/>
    <w:rsid w:val="00C604BC"/>
    <w:rsid w:val="00C60657"/>
    <w:rsid w:val="00C60811"/>
    <w:rsid w:val="00C609CD"/>
    <w:rsid w:val="00C6184F"/>
    <w:rsid w:val="00C618D2"/>
    <w:rsid w:val="00C61905"/>
    <w:rsid w:val="00C619FE"/>
    <w:rsid w:val="00C61A21"/>
    <w:rsid w:val="00C61AFA"/>
    <w:rsid w:val="00C61CA8"/>
    <w:rsid w:val="00C61EAA"/>
    <w:rsid w:val="00C6211A"/>
    <w:rsid w:val="00C6216F"/>
    <w:rsid w:val="00C6225F"/>
    <w:rsid w:val="00C6229A"/>
    <w:rsid w:val="00C62437"/>
    <w:rsid w:val="00C62458"/>
    <w:rsid w:val="00C62479"/>
    <w:rsid w:val="00C628AB"/>
    <w:rsid w:val="00C62940"/>
    <w:rsid w:val="00C62ECA"/>
    <w:rsid w:val="00C62F56"/>
    <w:rsid w:val="00C62F92"/>
    <w:rsid w:val="00C62FC1"/>
    <w:rsid w:val="00C63361"/>
    <w:rsid w:val="00C63575"/>
    <w:rsid w:val="00C636C4"/>
    <w:rsid w:val="00C6396C"/>
    <w:rsid w:val="00C63984"/>
    <w:rsid w:val="00C63A48"/>
    <w:rsid w:val="00C63BB6"/>
    <w:rsid w:val="00C63BF0"/>
    <w:rsid w:val="00C63CB5"/>
    <w:rsid w:val="00C63F03"/>
    <w:rsid w:val="00C63F26"/>
    <w:rsid w:val="00C64248"/>
    <w:rsid w:val="00C64445"/>
    <w:rsid w:val="00C64577"/>
    <w:rsid w:val="00C6464A"/>
    <w:rsid w:val="00C64736"/>
    <w:rsid w:val="00C649C7"/>
    <w:rsid w:val="00C64AC2"/>
    <w:rsid w:val="00C64C7A"/>
    <w:rsid w:val="00C64DF6"/>
    <w:rsid w:val="00C64F4B"/>
    <w:rsid w:val="00C65807"/>
    <w:rsid w:val="00C6584E"/>
    <w:rsid w:val="00C65992"/>
    <w:rsid w:val="00C659CB"/>
    <w:rsid w:val="00C65D06"/>
    <w:rsid w:val="00C65D56"/>
    <w:rsid w:val="00C65DDE"/>
    <w:rsid w:val="00C65EA0"/>
    <w:rsid w:val="00C65FEF"/>
    <w:rsid w:val="00C661FF"/>
    <w:rsid w:val="00C6643F"/>
    <w:rsid w:val="00C6651D"/>
    <w:rsid w:val="00C6660D"/>
    <w:rsid w:val="00C66B61"/>
    <w:rsid w:val="00C66C85"/>
    <w:rsid w:val="00C66DDA"/>
    <w:rsid w:val="00C66FB8"/>
    <w:rsid w:val="00C67084"/>
    <w:rsid w:val="00C670BE"/>
    <w:rsid w:val="00C67191"/>
    <w:rsid w:val="00C671EA"/>
    <w:rsid w:val="00C6767C"/>
    <w:rsid w:val="00C67AD0"/>
    <w:rsid w:val="00C67E02"/>
    <w:rsid w:val="00C702F9"/>
    <w:rsid w:val="00C7068C"/>
    <w:rsid w:val="00C7070E"/>
    <w:rsid w:val="00C708FD"/>
    <w:rsid w:val="00C70921"/>
    <w:rsid w:val="00C70DB2"/>
    <w:rsid w:val="00C7117A"/>
    <w:rsid w:val="00C7126F"/>
    <w:rsid w:val="00C71483"/>
    <w:rsid w:val="00C716D2"/>
    <w:rsid w:val="00C7176C"/>
    <w:rsid w:val="00C717E3"/>
    <w:rsid w:val="00C7194E"/>
    <w:rsid w:val="00C719D8"/>
    <w:rsid w:val="00C71C91"/>
    <w:rsid w:val="00C71D62"/>
    <w:rsid w:val="00C724D1"/>
    <w:rsid w:val="00C7263A"/>
    <w:rsid w:val="00C72A78"/>
    <w:rsid w:val="00C72AC8"/>
    <w:rsid w:val="00C72B57"/>
    <w:rsid w:val="00C72B8E"/>
    <w:rsid w:val="00C72CDD"/>
    <w:rsid w:val="00C72E33"/>
    <w:rsid w:val="00C72FEA"/>
    <w:rsid w:val="00C730BF"/>
    <w:rsid w:val="00C731BE"/>
    <w:rsid w:val="00C731D0"/>
    <w:rsid w:val="00C7330A"/>
    <w:rsid w:val="00C7340E"/>
    <w:rsid w:val="00C73421"/>
    <w:rsid w:val="00C735EB"/>
    <w:rsid w:val="00C73695"/>
    <w:rsid w:val="00C736EA"/>
    <w:rsid w:val="00C7374B"/>
    <w:rsid w:val="00C73781"/>
    <w:rsid w:val="00C738B6"/>
    <w:rsid w:val="00C738BB"/>
    <w:rsid w:val="00C73A0F"/>
    <w:rsid w:val="00C73C24"/>
    <w:rsid w:val="00C73C58"/>
    <w:rsid w:val="00C73DFE"/>
    <w:rsid w:val="00C74162"/>
    <w:rsid w:val="00C7416F"/>
    <w:rsid w:val="00C74252"/>
    <w:rsid w:val="00C7426A"/>
    <w:rsid w:val="00C742C5"/>
    <w:rsid w:val="00C74379"/>
    <w:rsid w:val="00C744A9"/>
    <w:rsid w:val="00C746CF"/>
    <w:rsid w:val="00C74806"/>
    <w:rsid w:val="00C7480A"/>
    <w:rsid w:val="00C749F2"/>
    <w:rsid w:val="00C74BC2"/>
    <w:rsid w:val="00C74C89"/>
    <w:rsid w:val="00C74D50"/>
    <w:rsid w:val="00C74E20"/>
    <w:rsid w:val="00C75176"/>
    <w:rsid w:val="00C7532F"/>
    <w:rsid w:val="00C753FD"/>
    <w:rsid w:val="00C75423"/>
    <w:rsid w:val="00C7549F"/>
    <w:rsid w:val="00C75587"/>
    <w:rsid w:val="00C755EB"/>
    <w:rsid w:val="00C7577B"/>
    <w:rsid w:val="00C75A98"/>
    <w:rsid w:val="00C75A9B"/>
    <w:rsid w:val="00C75B26"/>
    <w:rsid w:val="00C75D99"/>
    <w:rsid w:val="00C7606B"/>
    <w:rsid w:val="00C76080"/>
    <w:rsid w:val="00C761C7"/>
    <w:rsid w:val="00C76402"/>
    <w:rsid w:val="00C765C8"/>
    <w:rsid w:val="00C765DD"/>
    <w:rsid w:val="00C767B0"/>
    <w:rsid w:val="00C768C9"/>
    <w:rsid w:val="00C7696B"/>
    <w:rsid w:val="00C76ABE"/>
    <w:rsid w:val="00C76C6D"/>
    <w:rsid w:val="00C76CC2"/>
    <w:rsid w:val="00C76D97"/>
    <w:rsid w:val="00C76DE6"/>
    <w:rsid w:val="00C76F28"/>
    <w:rsid w:val="00C77300"/>
    <w:rsid w:val="00C77577"/>
    <w:rsid w:val="00C775E8"/>
    <w:rsid w:val="00C77739"/>
    <w:rsid w:val="00C77A6E"/>
    <w:rsid w:val="00C77A96"/>
    <w:rsid w:val="00C77EA1"/>
    <w:rsid w:val="00C77EB2"/>
    <w:rsid w:val="00C8002E"/>
    <w:rsid w:val="00C801D8"/>
    <w:rsid w:val="00C80A09"/>
    <w:rsid w:val="00C80B4A"/>
    <w:rsid w:val="00C80BD2"/>
    <w:rsid w:val="00C80E10"/>
    <w:rsid w:val="00C80F3A"/>
    <w:rsid w:val="00C8102E"/>
    <w:rsid w:val="00C810F3"/>
    <w:rsid w:val="00C8110D"/>
    <w:rsid w:val="00C81177"/>
    <w:rsid w:val="00C8127C"/>
    <w:rsid w:val="00C8151D"/>
    <w:rsid w:val="00C8172F"/>
    <w:rsid w:val="00C81787"/>
    <w:rsid w:val="00C817B2"/>
    <w:rsid w:val="00C818F2"/>
    <w:rsid w:val="00C819B4"/>
    <w:rsid w:val="00C81C4C"/>
    <w:rsid w:val="00C81D68"/>
    <w:rsid w:val="00C81E25"/>
    <w:rsid w:val="00C81EB6"/>
    <w:rsid w:val="00C8231F"/>
    <w:rsid w:val="00C823BF"/>
    <w:rsid w:val="00C82495"/>
    <w:rsid w:val="00C824D2"/>
    <w:rsid w:val="00C825E1"/>
    <w:rsid w:val="00C827CD"/>
    <w:rsid w:val="00C829B2"/>
    <w:rsid w:val="00C82A7F"/>
    <w:rsid w:val="00C82D45"/>
    <w:rsid w:val="00C82D4D"/>
    <w:rsid w:val="00C82EF0"/>
    <w:rsid w:val="00C82F2E"/>
    <w:rsid w:val="00C82FF6"/>
    <w:rsid w:val="00C83259"/>
    <w:rsid w:val="00C832D7"/>
    <w:rsid w:val="00C83708"/>
    <w:rsid w:val="00C83A61"/>
    <w:rsid w:val="00C83ABE"/>
    <w:rsid w:val="00C83CA2"/>
    <w:rsid w:val="00C83DC7"/>
    <w:rsid w:val="00C83E84"/>
    <w:rsid w:val="00C83FF2"/>
    <w:rsid w:val="00C8415B"/>
    <w:rsid w:val="00C84394"/>
    <w:rsid w:val="00C8442F"/>
    <w:rsid w:val="00C84455"/>
    <w:rsid w:val="00C845EB"/>
    <w:rsid w:val="00C846DA"/>
    <w:rsid w:val="00C848E0"/>
    <w:rsid w:val="00C84A16"/>
    <w:rsid w:val="00C84DE2"/>
    <w:rsid w:val="00C85B8F"/>
    <w:rsid w:val="00C85CB3"/>
    <w:rsid w:val="00C85E75"/>
    <w:rsid w:val="00C86018"/>
    <w:rsid w:val="00C86062"/>
    <w:rsid w:val="00C864F6"/>
    <w:rsid w:val="00C8665E"/>
    <w:rsid w:val="00C86B74"/>
    <w:rsid w:val="00C86BEC"/>
    <w:rsid w:val="00C86EC6"/>
    <w:rsid w:val="00C87077"/>
    <w:rsid w:val="00C873E1"/>
    <w:rsid w:val="00C87751"/>
    <w:rsid w:val="00C877C7"/>
    <w:rsid w:val="00C87A27"/>
    <w:rsid w:val="00C87A28"/>
    <w:rsid w:val="00C87B97"/>
    <w:rsid w:val="00C87DD6"/>
    <w:rsid w:val="00C87ED1"/>
    <w:rsid w:val="00C87FB5"/>
    <w:rsid w:val="00C90013"/>
    <w:rsid w:val="00C9005A"/>
    <w:rsid w:val="00C901BF"/>
    <w:rsid w:val="00C902AB"/>
    <w:rsid w:val="00C9034A"/>
    <w:rsid w:val="00C90526"/>
    <w:rsid w:val="00C90678"/>
    <w:rsid w:val="00C906D2"/>
    <w:rsid w:val="00C90C0A"/>
    <w:rsid w:val="00C90D6E"/>
    <w:rsid w:val="00C912FB"/>
    <w:rsid w:val="00C91CAD"/>
    <w:rsid w:val="00C91CC0"/>
    <w:rsid w:val="00C91F1E"/>
    <w:rsid w:val="00C921B1"/>
    <w:rsid w:val="00C922C4"/>
    <w:rsid w:val="00C9238A"/>
    <w:rsid w:val="00C92404"/>
    <w:rsid w:val="00C92459"/>
    <w:rsid w:val="00C926FB"/>
    <w:rsid w:val="00C92728"/>
    <w:rsid w:val="00C927B4"/>
    <w:rsid w:val="00C928AA"/>
    <w:rsid w:val="00C92AEB"/>
    <w:rsid w:val="00C92B6B"/>
    <w:rsid w:val="00C92D85"/>
    <w:rsid w:val="00C92E64"/>
    <w:rsid w:val="00C92F17"/>
    <w:rsid w:val="00C92FD1"/>
    <w:rsid w:val="00C9327F"/>
    <w:rsid w:val="00C932C1"/>
    <w:rsid w:val="00C93304"/>
    <w:rsid w:val="00C9365B"/>
    <w:rsid w:val="00C93EB9"/>
    <w:rsid w:val="00C93F70"/>
    <w:rsid w:val="00C94042"/>
    <w:rsid w:val="00C940E6"/>
    <w:rsid w:val="00C9421A"/>
    <w:rsid w:val="00C942BC"/>
    <w:rsid w:val="00C94431"/>
    <w:rsid w:val="00C94532"/>
    <w:rsid w:val="00C946CE"/>
    <w:rsid w:val="00C946E9"/>
    <w:rsid w:val="00C947C7"/>
    <w:rsid w:val="00C947D1"/>
    <w:rsid w:val="00C949B8"/>
    <w:rsid w:val="00C949F5"/>
    <w:rsid w:val="00C94C50"/>
    <w:rsid w:val="00C94EF0"/>
    <w:rsid w:val="00C953D4"/>
    <w:rsid w:val="00C95406"/>
    <w:rsid w:val="00C95510"/>
    <w:rsid w:val="00C955B0"/>
    <w:rsid w:val="00C955B3"/>
    <w:rsid w:val="00C9568D"/>
    <w:rsid w:val="00C95BD3"/>
    <w:rsid w:val="00C95C90"/>
    <w:rsid w:val="00C95CDF"/>
    <w:rsid w:val="00C95DA9"/>
    <w:rsid w:val="00C95DB5"/>
    <w:rsid w:val="00C9608C"/>
    <w:rsid w:val="00C9634F"/>
    <w:rsid w:val="00C9650C"/>
    <w:rsid w:val="00C96570"/>
    <w:rsid w:val="00C9658C"/>
    <w:rsid w:val="00C966C2"/>
    <w:rsid w:val="00C9692C"/>
    <w:rsid w:val="00C97137"/>
    <w:rsid w:val="00C97252"/>
    <w:rsid w:val="00C9729F"/>
    <w:rsid w:val="00C974A3"/>
    <w:rsid w:val="00C97586"/>
    <w:rsid w:val="00C975F7"/>
    <w:rsid w:val="00C97B44"/>
    <w:rsid w:val="00C97BEC"/>
    <w:rsid w:val="00C97C7E"/>
    <w:rsid w:val="00C97FD3"/>
    <w:rsid w:val="00CA04F7"/>
    <w:rsid w:val="00CA0655"/>
    <w:rsid w:val="00CA065B"/>
    <w:rsid w:val="00CA06E5"/>
    <w:rsid w:val="00CA0728"/>
    <w:rsid w:val="00CA07FC"/>
    <w:rsid w:val="00CA0BA2"/>
    <w:rsid w:val="00CA0BB1"/>
    <w:rsid w:val="00CA0CEE"/>
    <w:rsid w:val="00CA0D2B"/>
    <w:rsid w:val="00CA0E08"/>
    <w:rsid w:val="00CA0E28"/>
    <w:rsid w:val="00CA11A6"/>
    <w:rsid w:val="00CA14CF"/>
    <w:rsid w:val="00CA174B"/>
    <w:rsid w:val="00CA17D2"/>
    <w:rsid w:val="00CA1848"/>
    <w:rsid w:val="00CA1961"/>
    <w:rsid w:val="00CA1985"/>
    <w:rsid w:val="00CA1C1D"/>
    <w:rsid w:val="00CA2015"/>
    <w:rsid w:val="00CA20E3"/>
    <w:rsid w:val="00CA231E"/>
    <w:rsid w:val="00CA2340"/>
    <w:rsid w:val="00CA23D3"/>
    <w:rsid w:val="00CA26CD"/>
    <w:rsid w:val="00CA287C"/>
    <w:rsid w:val="00CA2982"/>
    <w:rsid w:val="00CA2BF7"/>
    <w:rsid w:val="00CA2D48"/>
    <w:rsid w:val="00CA2E3D"/>
    <w:rsid w:val="00CA2FA4"/>
    <w:rsid w:val="00CA31A0"/>
    <w:rsid w:val="00CA3318"/>
    <w:rsid w:val="00CA3516"/>
    <w:rsid w:val="00CA35C0"/>
    <w:rsid w:val="00CA3689"/>
    <w:rsid w:val="00CA3693"/>
    <w:rsid w:val="00CA36E7"/>
    <w:rsid w:val="00CA37D7"/>
    <w:rsid w:val="00CA3DB3"/>
    <w:rsid w:val="00CA3DEC"/>
    <w:rsid w:val="00CA3E0C"/>
    <w:rsid w:val="00CA3EEF"/>
    <w:rsid w:val="00CA3F9D"/>
    <w:rsid w:val="00CA4053"/>
    <w:rsid w:val="00CA41FF"/>
    <w:rsid w:val="00CA4251"/>
    <w:rsid w:val="00CA4480"/>
    <w:rsid w:val="00CA4504"/>
    <w:rsid w:val="00CA47E9"/>
    <w:rsid w:val="00CA4D86"/>
    <w:rsid w:val="00CA4EC5"/>
    <w:rsid w:val="00CA4F83"/>
    <w:rsid w:val="00CA4FDC"/>
    <w:rsid w:val="00CA500D"/>
    <w:rsid w:val="00CA50DC"/>
    <w:rsid w:val="00CA50FE"/>
    <w:rsid w:val="00CA51C7"/>
    <w:rsid w:val="00CA5270"/>
    <w:rsid w:val="00CA534C"/>
    <w:rsid w:val="00CA53C9"/>
    <w:rsid w:val="00CA5658"/>
    <w:rsid w:val="00CA58DA"/>
    <w:rsid w:val="00CA5A7D"/>
    <w:rsid w:val="00CA5B13"/>
    <w:rsid w:val="00CA5D08"/>
    <w:rsid w:val="00CA5D2B"/>
    <w:rsid w:val="00CA6225"/>
    <w:rsid w:val="00CA63EE"/>
    <w:rsid w:val="00CA645F"/>
    <w:rsid w:val="00CA6593"/>
    <w:rsid w:val="00CA6744"/>
    <w:rsid w:val="00CA67FD"/>
    <w:rsid w:val="00CA68FB"/>
    <w:rsid w:val="00CA6A03"/>
    <w:rsid w:val="00CA6A72"/>
    <w:rsid w:val="00CA6D84"/>
    <w:rsid w:val="00CA6FAB"/>
    <w:rsid w:val="00CA7233"/>
    <w:rsid w:val="00CA7664"/>
    <w:rsid w:val="00CA79FE"/>
    <w:rsid w:val="00CA7A0D"/>
    <w:rsid w:val="00CA7E51"/>
    <w:rsid w:val="00CA7F1E"/>
    <w:rsid w:val="00CA7F5E"/>
    <w:rsid w:val="00CA7F8C"/>
    <w:rsid w:val="00CB0045"/>
    <w:rsid w:val="00CB03CA"/>
    <w:rsid w:val="00CB0551"/>
    <w:rsid w:val="00CB077F"/>
    <w:rsid w:val="00CB0B98"/>
    <w:rsid w:val="00CB0E34"/>
    <w:rsid w:val="00CB0EBA"/>
    <w:rsid w:val="00CB0FA2"/>
    <w:rsid w:val="00CB13C7"/>
    <w:rsid w:val="00CB1501"/>
    <w:rsid w:val="00CB1525"/>
    <w:rsid w:val="00CB15F8"/>
    <w:rsid w:val="00CB1687"/>
    <w:rsid w:val="00CB173D"/>
    <w:rsid w:val="00CB1807"/>
    <w:rsid w:val="00CB1F8F"/>
    <w:rsid w:val="00CB2095"/>
    <w:rsid w:val="00CB24E8"/>
    <w:rsid w:val="00CB25FB"/>
    <w:rsid w:val="00CB271A"/>
    <w:rsid w:val="00CB281A"/>
    <w:rsid w:val="00CB286E"/>
    <w:rsid w:val="00CB2892"/>
    <w:rsid w:val="00CB293E"/>
    <w:rsid w:val="00CB2E4D"/>
    <w:rsid w:val="00CB31DB"/>
    <w:rsid w:val="00CB380A"/>
    <w:rsid w:val="00CB38A6"/>
    <w:rsid w:val="00CB39E0"/>
    <w:rsid w:val="00CB3C1A"/>
    <w:rsid w:val="00CB3F15"/>
    <w:rsid w:val="00CB3F8D"/>
    <w:rsid w:val="00CB4012"/>
    <w:rsid w:val="00CB4092"/>
    <w:rsid w:val="00CB4132"/>
    <w:rsid w:val="00CB4236"/>
    <w:rsid w:val="00CB428C"/>
    <w:rsid w:val="00CB4579"/>
    <w:rsid w:val="00CB47EB"/>
    <w:rsid w:val="00CB484E"/>
    <w:rsid w:val="00CB48D4"/>
    <w:rsid w:val="00CB4CE1"/>
    <w:rsid w:val="00CB4E6C"/>
    <w:rsid w:val="00CB5191"/>
    <w:rsid w:val="00CB5246"/>
    <w:rsid w:val="00CB52FD"/>
    <w:rsid w:val="00CB5421"/>
    <w:rsid w:val="00CB5887"/>
    <w:rsid w:val="00CB593A"/>
    <w:rsid w:val="00CB5B4E"/>
    <w:rsid w:val="00CB5B9C"/>
    <w:rsid w:val="00CB5D66"/>
    <w:rsid w:val="00CB5D7E"/>
    <w:rsid w:val="00CB5EE1"/>
    <w:rsid w:val="00CB600D"/>
    <w:rsid w:val="00CB6055"/>
    <w:rsid w:val="00CB6282"/>
    <w:rsid w:val="00CB630E"/>
    <w:rsid w:val="00CB65B3"/>
    <w:rsid w:val="00CB6706"/>
    <w:rsid w:val="00CB683A"/>
    <w:rsid w:val="00CB6972"/>
    <w:rsid w:val="00CB69DF"/>
    <w:rsid w:val="00CB6A66"/>
    <w:rsid w:val="00CB6B60"/>
    <w:rsid w:val="00CB6E61"/>
    <w:rsid w:val="00CB6FD9"/>
    <w:rsid w:val="00CB7152"/>
    <w:rsid w:val="00CB72EB"/>
    <w:rsid w:val="00CB7444"/>
    <w:rsid w:val="00CB7617"/>
    <w:rsid w:val="00CB7727"/>
    <w:rsid w:val="00CB779B"/>
    <w:rsid w:val="00CB7B1F"/>
    <w:rsid w:val="00CB7B4F"/>
    <w:rsid w:val="00CB7C29"/>
    <w:rsid w:val="00CB7CE1"/>
    <w:rsid w:val="00CB7E35"/>
    <w:rsid w:val="00CC00A0"/>
    <w:rsid w:val="00CC017B"/>
    <w:rsid w:val="00CC04D4"/>
    <w:rsid w:val="00CC051D"/>
    <w:rsid w:val="00CC05D8"/>
    <w:rsid w:val="00CC07AF"/>
    <w:rsid w:val="00CC0D09"/>
    <w:rsid w:val="00CC121B"/>
    <w:rsid w:val="00CC1349"/>
    <w:rsid w:val="00CC18C6"/>
    <w:rsid w:val="00CC1934"/>
    <w:rsid w:val="00CC19FD"/>
    <w:rsid w:val="00CC1A4E"/>
    <w:rsid w:val="00CC1CF3"/>
    <w:rsid w:val="00CC1D87"/>
    <w:rsid w:val="00CC1DEC"/>
    <w:rsid w:val="00CC2177"/>
    <w:rsid w:val="00CC2444"/>
    <w:rsid w:val="00CC267B"/>
    <w:rsid w:val="00CC29BF"/>
    <w:rsid w:val="00CC2B66"/>
    <w:rsid w:val="00CC2D34"/>
    <w:rsid w:val="00CC3003"/>
    <w:rsid w:val="00CC307C"/>
    <w:rsid w:val="00CC314E"/>
    <w:rsid w:val="00CC3AD8"/>
    <w:rsid w:val="00CC3E26"/>
    <w:rsid w:val="00CC3E68"/>
    <w:rsid w:val="00CC3FF7"/>
    <w:rsid w:val="00CC4094"/>
    <w:rsid w:val="00CC40F4"/>
    <w:rsid w:val="00CC4125"/>
    <w:rsid w:val="00CC4159"/>
    <w:rsid w:val="00CC4631"/>
    <w:rsid w:val="00CC4B32"/>
    <w:rsid w:val="00CC4C41"/>
    <w:rsid w:val="00CC4C57"/>
    <w:rsid w:val="00CC4C85"/>
    <w:rsid w:val="00CC5136"/>
    <w:rsid w:val="00CC5354"/>
    <w:rsid w:val="00CC55E4"/>
    <w:rsid w:val="00CC59B0"/>
    <w:rsid w:val="00CC5ADF"/>
    <w:rsid w:val="00CC5B6C"/>
    <w:rsid w:val="00CC5CCF"/>
    <w:rsid w:val="00CC5D93"/>
    <w:rsid w:val="00CC5F46"/>
    <w:rsid w:val="00CC6021"/>
    <w:rsid w:val="00CC6A57"/>
    <w:rsid w:val="00CC6CA3"/>
    <w:rsid w:val="00CC6CF7"/>
    <w:rsid w:val="00CC6E9D"/>
    <w:rsid w:val="00CC6FF5"/>
    <w:rsid w:val="00CC7047"/>
    <w:rsid w:val="00CC7093"/>
    <w:rsid w:val="00CC70BB"/>
    <w:rsid w:val="00CC70D9"/>
    <w:rsid w:val="00CC7267"/>
    <w:rsid w:val="00CC72C9"/>
    <w:rsid w:val="00CC7725"/>
    <w:rsid w:val="00CC7AE2"/>
    <w:rsid w:val="00CC7D8E"/>
    <w:rsid w:val="00CC7FA8"/>
    <w:rsid w:val="00CD0287"/>
    <w:rsid w:val="00CD02CC"/>
    <w:rsid w:val="00CD0380"/>
    <w:rsid w:val="00CD038D"/>
    <w:rsid w:val="00CD0530"/>
    <w:rsid w:val="00CD067E"/>
    <w:rsid w:val="00CD088B"/>
    <w:rsid w:val="00CD08BA"/>
    <w:rsid w:val="00CD08F1"/>
    <w:rsid w:val="00CD128A"/>
    <w:rsid w:val="00CD12DD"/>
    <w:rsid w:val="00CD1441"/>
    <w:rsid w:val="00CD14AA"/>
    <w:rsid w:val="00CD1673"/>
    <w:rsid w:val="00CD1AFB"/>
    <w:rsid w:val="00CD1DEE"/>
    <w:rsid w:val="00CD1F2F"/>
    <w:rsid w:val="00CD203F"/>
    <w:rsid w:val="00CD2102"/>
    <w:rsid w:val="00CD22F6"/>
    <w:rsid w:val="00CD235D"/>
    <w:rsid w:val="00CD259A"/>
    <w:rsid w:val="00CD25F8"/>
    <w:rsid w:val="00CD2701"/>
    <w:rsid w:val="00CD271F"/>
    <w:rsid w:val="00CD272B"/>
    <w:rsid w:val="00CD27F0"/>
    <w:rsid w:val="00CD2955"/>
    <w:rsid w:val="00CD2AB8"/>
    <w:rsid w:val="00CD2D10"/>
    <w:rsid w:val="00CD2ECF"/>
    <w:rsid w:val="00CD302E"/>
    <w:rsid w:val="00CD30C2"/>
    <w:rsid w:val="00CD3215"/>
    <w:rsid w:val="00CD35A5"/>
    <w:rsid w:val="00CD37C1"/>
    <w:rsid w:val="00CD39F5"/>
    <w:rsid w:val="00CD3B26"/>
    <w:rsid w:val="00CD3D19"/>
    <w:rsid w:val="00CD3E86"/>
    <w:rsid w:val="00CD469B"/>
    <w:rsid w:val="00CD499C"/>
    <w:rsid w:val="00CD49CB"/>
    <w:rsid w:val="00CD4ABE"/>
    <w:rsid w:val="00CD4FAB"/>
    <w:rsid w:val="00CD4FDC"/>
    <w:rsid w:val="00CD5415"/>
    <w:rsid w:val="00CD542E"/>
    <w:rsid w:val="00CD58C3"/>
    <w:rsid w:val="00CD595D"/>
    <w:rsid w:val="00CD5C0D"/>
    <w:rsid w:val="00CD6345"/>
    <w:rsid w:val="00CD651A"/>
    <w:rsid w:val="00CD65D2"/>
    <w:rsid w:val="00CD6801"/>
    <w:rsid w:val="00CD6858"/>
    <w:rsid w:val="00CD6D8A"/>
    <w:rsid w:val="00CD6FCC"/>
    <w:rsid w:val="00CD73BE"/>
    <w:rsid w:val="00CD742D"/>
    <w:rsid w:val="00CD7471"/>
    <w:rsid w:val="00CD7631"/>
    <w:rsid w:val="00CD7BDF"/>
    <w:rsid w:val="00CD7D2C"/>
    <w:rsid w:val="00CD7E39"/>
    <w:rsid w:val="00CE0262"/>
    <w:rsid w:val="00CE0403"/>
    <w:rsid w:val="00CE08F9"/>
    <w:rsid w:val="00CE08FC"/>
    <w:rsid w:val="00CE0C1E"/>
    <w:rsid w:val="00CE0DFF"/>
    <w:rsid w:val="00CE0F27"/>
    <w:rsid w:val="00CE11A0"/>
    <w:rsid w:val="00CE120E"/>
    <w:rsid w:val="00CE126F"/>
    <w:rsid w:val="00CE153F"/>
    <w:rsid w:val="00CE1554"/>
    <w:rsid w:val="00CE177B"/>
    <w:rsid w:val="00CE1815"/>
    <w:rsid w:val="00CE18B8"/>
    <w:rsid w:val="00CE19EC"/>
    <w:rsid w:val="00CE1AEF"/>
    <w:rsid w:val="00CE1DCE"/>
    <w:rsid w:val="00CE1E84"/>
    <w:rsid w:val="00CE1EEC"/>
    <w:rsid w:val="00CE21E1"/>
    <w:rsid w:val="00CE2309"/>
    <w:rsid w:val="00CE254B"/>
    <w:rsid w:val="00CE2728"/>
    <w:rsid w:val="00CE2BA8"/>
    <w:rsid w:val="00CE2E72"/>
    <w:rsid w:val="00CE3379"/>
    <w:rsid w:val="00CE36CF"/>
    <w:rsid w:val="00CE371E"/>
    <w:rsid w:val="00CE37C3"/>
    <w:rsid w:val="00CE3834"/>
    <w:rsid w:val="00CE3E97"/>
    <w:rsid w:val="00CE40CB"/>
    <w:rsid w:val="00CE4365"/>
    <w:rsid w:val="00CE472A"/>
    <w:rsid w:val="00CE47CA"/>
    <w:rsid w:val="00CE48A5"/>
    <w:rsid w:val="00CE48CF"/>
    <w:rsid w:val="00CE4924"/>
    <w:rsid w:val="00CE4934"/>
    <w:rsid w:val="00CE4A8D"/>
    <w:rsid w:val="00CE5062"/>
    <w:rsid w:val="00CE52E8"/>
    <w:rsid w:val="00CE5435"/>
    <w:rsid w:val="00CE5566"/>
    <w:rsid w:val="00CE58B5"/>
    <w:rsid w:val="00CE5AAA"/>
    <w:rsid w:val="00CE5AD2"/>
    <w:rsid w:val="00CE6575"/>
    <w:rsid w:val="00CE6B2D"/>
    <w:rsid w:val="00CE6C20"/>
    <w:rsid w:val="00CE6D26"/>
    <w:rsid w:val="00CE6EC3"/>
    <w:rsid w:val="00CE6F9F"/>
    <w:rsid w:val="00CE6FD7"/>
    <w:rsid w:val="00CE714B"/>
    <w:rsid w:val="00CE71F2"/>
    <w:rsid w:val="00CE726D"/>
    <w:rsid w:val="00CE7270"/>
    <w:rsid w:val="00CE7426"/>
    <w:rsid w:val="00CE79FA"/>
    <w:rsid w:val="00CE7B5B"/>
    <w:rsid w:val="00CE7CAE"/>
    <w:rsid w:val="00CF002A"/>
    <w:rsid w:val="00CF03A1"/>
    <w:rsid w:val="00CF06F3"/>
    <w:rsid w:val="00CF075F"/>
    <w:rsid w:val="00CF0766"/>
    <w:rsid w:val="00CF0900"/>
    <w:rsid w:val="00CF0A4E"/>
    <w:rsid w:val="00CF0A50"/>
    <w:rsid w:val="00CF0B67"/>
    <w:rsid w:val="00CF0CAE"/>
    <w:rsid w:val="00CF0E75"/>
    <w:rsid w:val="00CF1055"/>
    <w:rsid w:val="00CF1253"/>
    <w:rsid w:val="00CF137E"/>
    <w:rsid w:val="00CF1752"/>
    <w:rsid w:val="00CF19FC"/>
    <w:rsid w:val="00CF1B2C"/>
    <w:rsid w:val="00CF1CC5"/>
    <w:rsid w:val="00CF1D11"/>
    <w:rsid w:val="00CF1D18"/>
    <w:rsid w:val="00CF1E3B"/>
    <w:rsid w:val="00CF1FD6"/>
    <w:rsid w:val="00CF277B"/>
    <w:rsid w:val="00CF27BF"/>
    <w:rsid w:val="00CF284C"/>
    <w:rsid w:val="00CF2C5A"/>
    <w:rsid w:val="00CF2F7F"/>
    <w:rsid w:val="00CF2FED"/>
    <w:rsid w:val="00CF30C0"/>
    <w:rsid w:val="00CF3162"/>
    <w:rsid w:val="00CF32BD"/>
    <w:rsid w:val="00CF3599"/>
    <w:rsid w:val="00CF3805"/>
    <w:rsid w:val="00CF381D"/>
    <w:rsid w:val="00CF38E7"/>
    <w:rsid w:val="00CF3B94"/>
    <w:rsid w:val="00CF3C7D"/>
    <w:rsid w:val="00CF3CE2"/>
    <w:rsid w:val="00CF429F"/>
    <w:rsid w:val="00CF4485"/>
    <w:rsid w:val="00CF4583"/>
    <w:rsid w:val="00CF473B"/>
    <w:rsid w:val="00CF482F"/>
    <w:rsid w:val="00CF4868"/>
    <w:rsid w:val="00CF48C8"/>
    <w:rsid w:val="00CF4C8F"/>
    <w:rsid w:val="00CF5148"/>
    <w:rsid w:val="00CF51C1"/>
    <w:rsid w:val="00CF538B"/>
    <w:rsid w:val="00CF5699"/>
    <w:rsid w:val="00CF5723"/>
    <w:rsid w:val="00CF5812"/>
    <w:rsid w:val="00CF594F"/>
    <w:rsid w:val="00CF5988"/>
    <w:rsid w:val="00CF608D"/>
    <w:rsid w:val="00CF6158"/>
    <w:rsid w:val="00CF61A5"/>
    <w:rsid w:val="00CF6233"/>
    <w:rsid w:val="00CF630E"/>
    <w:rsid w:val="00CF64F3"/>
    <w:rsid w:val="00CF651E"/>
    <w:rsid w:val="00CF66C7"/>
    <w:rsid w:val="00CF66DD"/>
    <w:rsid w:val="00CF6C82"/>
    <w:rsid w:val="00CF6D77"/>
    <w:rsid w:val="00CF6FEB"/>
    <w:rsid w:val="00CF72E6"/>
    <w:rsid w:val="00CF7450"/>
    <w:rsid w:val="00CF75CD"/>
    <w:rsid w:val="00CF76ED"/>
    <w:rsid w:val="00CF77E2"/>
    <w:rsid w:val="00CF79C6"/>
    <w:rsid w:val="00CF7B1E"/>
    <w:rsid w:val="00CF7B67"/>
    <w:rsid w:val="00CF7BB2"/>
    <w:rsid w:val="00D003D5"/>
    <w:rsid w:val="00D0043B"/>
    <w:rsid w:val="00D0045C"/>
    <w:rsid w:val="00D0054B"/>
    <w:rsid w:val="00D005B7"/>
    <w:rsid w:val="00D0119F"/>
    <w:rsid w:val="00D012C3"/>
    <w:rsid w:val="00D012CC"/>
    <w:rsid w:val="00D013CE"/>
    <w:rsid w:val="00D01513"/>
    <w:rsid w:val="00D01A98"/>
    <w:rsid w:val="00D01BBB"/>
    <w:rsid w:val="00D01D0F"/>
    <w:rsid w:val="00D02079"/>
    <w:rsid w:val="00D0209F"/>
    <w:rsid w:val="00D020FB"/>
    <w:rsid w:val="00D021B7"/>
    <w:rsid w:val="00D0221F"/>
    <w:rsid w:val="00D02325"/>
    <w:rsid w:val="00D02357"/>
    <w:rsid w:val="00D0277B"/>
    <w:rsid w:val="00D0285D"/>
    <w:rsid w:val="00D028D9"/>
    <w:rsid w:val="00D02AFD"/>
    <w:rsid w:val="00D02B82"/>
    <w:rsid w:val="00D02B85"/>
    <w:rsid w:val="00D02C76"/>
    <w:rsid w:val="00D02C94"/>
    <w:rsid w:val="00D02F01"/>
    <w:rsid w:val="00D02FE4"/>
    <w:rsid w:val="00D0333D"/>
    <w:rsid w:val="00D03363"/>
    <w:rsid w:val="00D0336B"/>
    <w:rsid w:val="00D034EA"/>
    <w:rsid w:val="00D0384C"/>
    <w:rsid w:val="00D03920"/>
    <w:rsid w:val="00D03B82"/>
    <w:rsid w:val="00D03D41"/>
    <w:rsid w:val="00D03E83"/>
    <w:rsid w:val="00D03F41"/>
    <w:rsid w:val="00D04121"/>
    <w:rsid w:val="00D04201"/>
    <w:rsid w:val="00D042CC"/>
    <w:rsid w:val="00D04CB7"/>
    <w:rsid w:val="00D04DD4"/>
    <w:rsid w:val="00D04F5F"/>
    <w:rsid w:val="00D05171"/>
    <w:rsid w:val="00D0518A"/>
    <w:rsid w:val="00D05374"/>
    <w:rsid w:val="00D05386"/>
    <w:rsid w:val="00D05613"/>
    <w:rsid w:val="00D05758"/>
    <w:rsid w:val="00D05799"/>
    <w:rsid w:val="00D059E1"/>
    <w:rsid w:val="00D05CA3"/>
    <w:rsid w:val="00D05D22"/>
    <w:rsid w:val="00D05E3D"/>
    <w:rsid w:val="00D05E4B"/>
    <w:rsid w:val="00D05FFB"/>
    <w:rsid w:val="00D06056"/>
    <w:rsid w:val="00D06120"/>
    <w:rsid w:val="00D062F5"/>
    <w:rsid w:val="00D063C9"/>
    <w:rsid w:val="00D06781"/>
    <w:rsid w:val="00D067FA"/>
    <w:rsid w:val="00D068E3"/>
    <w:rsid w:val="00D068F4"/>
    <w:rsid w:val="00D06990"/>
    <w:rsid w:val="00D06B28"/>
    <w:rsid w:val="00D06B86"/>
    <w:rsid w:val="00D06BDF"/>
    <w:rsid w:val="00D06E38"/>
    <w:rsid w:val="00D07108"/>
    <w:rsid w:val="00D0710B"/>
    <w:rsid w:val="00D073C9"/>
    <w:rsid w:val="00D0744D"/>
    <w:rsid w:val="00D07503"/>
    <w:rsid w:val="00D075D4"/>
    <w:rsid w:val="00D0779D"/>
    <w:rsid w:val="00D07985"/>
    <w:rsid w:val="00D07AE0"/>
    <w:rsid w:val="00D07FCB"/>
    <w:rsid w:val="00D1001E"/>
    <w:rsid w:val="00D1003C"/>
    <w:rsid w:val="00D102EA"/>
    <w:rsid w:val="00D1042A"/>
    <w:rsid w:val="00D10455"/>
    <w:rsid w:val="00D106B6"/>
    <w:rsid w:val="00D10A65"/>
    <w:rsid w:val="00D10C46"/>
    <w:rsid w:val="00D11157"/>
    <w:rsid w:val="00D11423"/>
    <w:rsid w:val="00D11589"/>
    <w:rsid w:val="00D116AF"/>
    <w:rsid w:val="00D11714"/>
    <w:rsid w:val="00D117DC"/>
    <w:rsid w:val="00D119E3"/>
    <w:rsid w:val="00D11D34"/>
    <w:rsid w:val="00D11F86"/>
    <w:rsid w:val="00D12088"/>
    <w:rsid w:val="00D12173"/>
    <w:rsid w:val="00D12211"/>
    <w:rsid w:val="00D12266"/>
    <w:rsid w:val="00D12535"/>
    <w:rsid w:val="00D12610"/>
    <w:rsid w:val="00D12F29"/>
    <w:rsid w:val="00D13191"/>
    <w:rsid w:val="00D132F3"/>
    <w:rsid w:val="00D1335D"/>
    <w:rsid w:val="00D13439"/>
    <w:rsid w:val="00D1363E"/>
    <w:rsid w:val="00D138C9"/>
    <w:rsid w:val="00D13B84"/>
    <w:rsid w:val="00D13D7B"/>
    <w:rsid w:val="00D13EA8"/>
    <w:rsid w:val="00D13EE8"/>
    <w:rsid w:val="00D14108"/>
    <w:rsid w:val="00D1422F"/>
    <w:rsid w:val="00D142FD"/>
    <w:rsid w:val="00D1458B"/>
    <w:rsid w:val="00D14686"/>
    <w:rsid w:val="00D146FC"/>
    <w:rsid w:val="00D147DB"/>
    <w:rsid w:val="00D14A39"/>
    <w:rsid w:val="00D1515E"/>
    <w:rsid w:val="00D153CB"/>
    <w:rsid w:val="00D155B9"/>
    <w:rsid w:val="00D156B3"/>
    <w:rsid w:val="00D1572D"/>
    <w:rsid w:val="00D15AB6"/>
    <w:rsid w:val="00D15CAE"/>
    <w:rsid w:val="00D15DC9"/>
    <w:rsid w:val="00D160C2"/>
    <w:rsid w:val="00D16155"/>
    <w:rsid w:val="00D1636F"/>
    <w:rsid w:val="00D16899"/>
    <w:rsid w:val="00D168A8"/>
    <w:rsid w:val="00D168AE"/>
    <w:rsid w:val="00D1690E"/>
    <w:rsid w:val="00D16B4A"/>
    <w:rsid w:val="00D16B6E"/>
    <w:rsid w:val="00D16B8D"/>
    <w:rsid w:val="00D16DC6"/>
    <w:rsid w:val="00D17043"/>
    <w:rsid w:val="00D17056"/>
    <w:rsid w:val="00D17074"/>
    <w:rsid w:val="00D1722A"/>
    <w:rsid w:val="00D1722F"/>
    <w:rsid w:val="00D172AE"/>
    <w:rsid w:val="00D177F1"/>
    <w:rsid w:val="00D17DBB"/>
    <w:rsid w:val="00D20136"/>
    <w:rsid w:val="00D20237"/>
    <w:rsid w:val="00D203A6"/>
    <w:rsid w:val="00D20402"/>
    <w:rsid w:val="00D208A6"/>
    <w:rsid w:val="00D20A64"/>
    <w:rsid w:val="00D20B33"/>
    <w:rsid w:val="00D20BAD"/>
    <w:rsid w:val="00D20D88"/>
    <w:rsid w:val="00D20E71"/>
    <w:rsid w:val="00D20F97"/>
    <w:rsid w:val="00D20FBB"/>
    <w:rsid w:val="00D2163D"/>
    <w:rsid w:val="00D2169D"/>
    <w:rsid w:val="00D21715"/>
    <w:rsid w:val="00D21793"/>
    <w:rsid w:val="00D21816"/>
    <w:rsid w:val="00D21AC8"/>
    <w:rsid w:val="00D21DBE"/>
    <w:rsid w:val="00D21F14"/>
    <w:rsid w:val="00D2202A"/>
    <w:rsid w:val="00D2214C"/>
    <w:rsid w:val="00D222EB"/>
    <w:rsid w:val="00D224AD"/>
    <w:rsid w:val="00D225D1"/>
    <w:rsid w:val="00D22605"/>
    <w:rsid w:val="00D2263E"/>
    <w:rsid w:val="00D228E4"/>
    <w:rsid w:val="00D2291C"/>
    <w:rsid w:val="00D22BEF"/>
    <w:rsid w:val="00D22C8A"/>
    <w:rsid w:val="00D22C96"/>
    <w:rsid w:val="00D22D4D"/>
    <w:rsid w:val="00D22F3A"/>
    <w:rsid w:val="00D22FC2"/>
    <w:rsid w:val="00D2336D"/>
    <w:rsid w:val="00D2354F"/>
    <w:rsid w:val="00D23625"/>
    <w:rsid w:val="00D23964"/>
    <w:rsid w:val="00D23A9F"/>
    <w:rsid w:val="00D23C42"/>
    <w:rsid w:val="00D23F26"/>
    <w:rsid w:val="00D23FBF"/>
    <w:rsid w:val="00D2415C"/>
    <w:rsid w:val="00D241D8"/>
    <w:rsid w:val="00D2430F"/>
    <w:rsid w:val="00D2445A"/>
    <w:rsid w:val="00D24484"/>
    <w:rsid w:val="00D24525"/>
    <w:rsid w:val="00D247A3"/>
    <w:rsid w:val="00D248E5"/>
    <w:rsid w:val="00D24B77"/>
    <w:rsid w:val="00D24FE7"/>
    <w:rsid w:val="00D25022"/>
    <w:rsid w:val="00D2502D"/>
    <w:rsid w:val="00D250EC"/>
    <w:rsid w:val="00D25122"/>
    <w:rsid w:val="00D2538C"/>
    <w:rsid w:val="00D255B8"/>
    <w:rsid w:val="00D255FC"/>
    <w:rsid w:val="00D2581A"/>
    <w:rsid w:val="00D25832"/>
    <w:rsid w:val="00D2588A"/>
    <w:rsid w:val="00D2596C"/>
    <w:rsid w:val="00D25972"/>
    <w:rsid w:val="00D25A8B"/>
    <w:rsid w:val="00D25B25"/>
    <w:rsid w:val="00D25CDF"/>
    <w:rsid w:val="00D25DA2"/>
    <w:rsid w:val="00D25DFD"/>
    <w:rsid w:val="00D25FD3"/>
    <w:rsid w:val="00D26302"/>
    <w:rsid w:val="00D264D9"/>
    <w:rsid w:val="00D265DA"/>
    <w:rsid w:val="00D265E6"/>
    <w:rsid w:val="00D265EB"/>
    <w:rsid w:val="00D2673B"/>
    <w:rsid w:val="00D26911"/>
    <w:rsid w:val="00D26D00"/>
    <w:rsid w:val="00D26E58"/>
    <w:rsid w:val="00D27010"/>
    <w:rsid w:val="00D271B2"/>
    <w:rsid w:val="00D27274"/>
    <w:rsid w:val="00D272E4"/>
    <w:rsid w:val="00D273EC"/>
    <w:rsid w:val="00D27558"/>
    <w:rsid w:val="00D276D5"/>
    <w:rsid w:val="00D277D1"/>
    <w:rsid w:val="00D278D3"/>
    <w:rsid w:val="00D27D2E"/>
    <w:rsid w:val="00D27FD7"/>
    <w:rsid w:val="00D30003"/>
    <w:rsid w:val="00D302B0"/>
    <w:rsid w:val="00D30360"/>
    <w:rsid w:val="00D303AA"/>
    <w:rsid w:val="00D3062B"/>
    <w:rsid w:val="00D30A92"/>
    <w:rsid w:val="00D30B31"/>
    <w:rsid w:val="00D30B54"/>
    <w:rsid w:val="00D30DB4"/>
    <w:rsid w:val="00D30FCA"/>
    <w:rsid w:val="00D310BA"/>
    <w:rsid w:val="00D3150F"/>
    <w:rsid w:val="00D317F5"/>
    <w:rsid w:val="00D31912"/>
    <w:rsid w:val="00D31B81"/>
    <w:rsid w:val="00D31C06"/>
    <w:rsid w:val="00D31D85"/>
    <w:rsid w:val="00D31E8A"/>
    <w:rsid w:val="00D32365"/>
    <w:rsid w:val="00D32387"/>
    <w:rsid w:val="00D3246E"/>
    <w:rsid w:val="00D324B6"/>
    <w:rsid w:val="00D32811"/>
    <w:rsid w:val="00D329BE"/>
    <w:rsid w:val="00D32ACA"/>
    <w:rsid w:val="00D32BF9"/>
    <w:rsid w:val="00D32DB0"/>
    <w:rsid w:val="00D33475"/>
    <w:rsid w:val="00D33477"/>
    <w:rsid w:val="00D33540"/>
    <w:rsid w:val="00D33700"/>
    <w:rsid w:val="00D33721"/>
    <w:rsid w:val="00D33BE1"/>
    <w:rsid w:val="00D33CDE"/>
    <w:rsid w:val="00D33F18"/>
    <w:rsid w:val="00D34356"/>
    <w:rsid w:val="00D3441F"/>
    <w:rsid w:val="00D34466"/>
    <w:rsid w:val="00D346FE"/>
    <w:rsid w:val="00D347DA"/>
    <w:rsid w:val="00D3481D"/>
    <w:rsid w:val="00D34847"/>
    <w:rsid w:val="00D3488B"/>
    <w:rsid w:val="00D34AC8"/>
    <w:rsid w:val="00D34D11"/>
    <w:rsid w:val="00D3532D"/>
    <w:rsid w:val="00D3553D"/>
    <w:rsid w:val="00D35680"/>
    <w:rsid w:val="00D3581B"/>
    <w:rsid w:val="00D358D3"/>
    <w:rsid w:val="00D358F6"/>
    <w:rsid w:val="00D35B81"/>
    <w:rsid w:val="00D35C0F"/>
    <w:rsid w:val="00D35DDC"/>
    <w:rsid w:val="00D35E74"/>
    <w:rsid w:val="00D35EE7"/>
    <w:rsid w:val="00D35F13"/>
    <w:rsid w:val="00D35FFE"/>
    <w:rsid w:val="00D361DB"/>
    <w:rsid w:val="00D3621B"/>
    <w:rsid w:val="00D36285"/>
    <w:rsid w:val="00D362F5"/>
    <w:rsid w:val="00D36336"/>
    <w:rsid w:val="00D36361"/>
    <w:rsid w:val="00D364CD"/>
    <w:rsid w:val="00D36612"/>
    <w:rsid w:val="00D36753"/>
    <w:rsid w:val="00D36A7B"/>
    <w:rsid w:val="00D36B3A"/>
    <w:rsid w:val="00D36B53"/>
    <w:rsid w:val="00D36BDD"/>
    <w:rsid w:val="00D36E2C"/>
    <w:rsid w:val="00D36F40"/>
    <w:rsid w:val="00D370CD"/>
    <w:rsid w:val="00D3715C"/>
    <w:rsid w:val="00D37286"/>
    <w:rsid w:val="00D37598"/>
    <w:rsid w:val="00D37B5A"/>
    <w:rsid w:val="00D37C3F"/>
    <w:rsid w:val="00D37E87"/>
    <w:rsid w:val="00D37E8A"/>
    <w:rsid w:val="00D37EE3"/>
    <w:rsid w:val="00D4039D"/>
    <w:rsid w:val="00D403B2"/>
    <w:rsid w:val="00D406FF"/>
    <w:rsid w:val="00D40810"/>
    <w:rsid w:val="00D40B75"/>
    <w:rsid w:val="00D40BD1"/>
    <w:rsid w:val="00D411BC"/>
    <w:rsid w:val="00D4139E"/>
    <w:rsid w:val="00D413E8"/>
    <w:rsid w:val="00D414CD"/>
    <w:rsid w:val="00D414DF"/>
    <w:rsid w:val="00D4157B"/>
    <w:rsid w:val="00D415D9"/>
    <w:rsid w:val="00D4173D"/>
    <w:rsid w:val="00D41764"/>
    <w:rsid w:val="00D4178B"/>
    <w:rsid w:val="00D417B0"/>
    <w:rsid w:val="00D41895"/>
    <w:rsid w:val="00D41DFF"/>
    <w:rsid w:val="00D41EE7"/>
    <w:rsid w:val="00D421A7"/>
    <w:rsid w:val="00D42549"/>
    <w:rsid w:val="00D42623"/>
    <w:rsid w:val="00D42813"/>
    <w:rsid w:val="00D42892"/>
    <w:rsid w:val="00D4295E"/>
    <w:rsid w:val="00D42993"/>
    <w:rsid w:val="00D42CA9"/>
    <w:rsid w:val="00D435DA"/>
    <w:rsid w:val="00D43669"/>
    <w:rsid w:val="00D436EE"/>
    <w:rsid w:val="00D4371A"/>
    <w:rsid w:val="00D43781"/>
    <w:rsid w:val="00D43A11"/>
    <w:rsid w:val="00D43C53"/>
    <w:rsid w:val="00D4404A"/>
    <w:rsid w:val="00D4431F"/>
    <w:rsid w:val="00D443BA"/>
    <w:rsid w:val="00D44430"/>
    <w:rsid w:val="00D44486"/>
    <w:rsid w:val="00D446C4"/>
    <w:rsid w:val="00D4479D"/>
    <w:rsid w:val="00D44840"/>
    <w:rsid w:val="00D44C11"/>
    <w:rsid w:val="00D44ECB"/>
    <w:rsid w:val="00D451AB"/>
    <w:rsid w:val="00D4522A"/>
    <w:rsid w:val="00D45575"/>
    <w:rsid w:val="00D455D0"/>
    <w:rsid w:val="00D456C1"/>
    <w:rsid w:val="00D45772"/>
    <w:rsid w:val="00D45AB2"/>
    <w:rsid w:val="00D45B12"/>
    <w:rsid w:val="00D45B2A"/>
    <w:rsid w:val="00D45B60"/>
    <w:rsid w:val="00D45C09"/>
    <w:rsid w:val="00D46045"/>
    <w:rsid w:val="00D46430"/>
    <w:rsid w:val="00D46460"/>
    <w:rsid w:val="00D4660C"/>
    <w:rsid w:val="00D46ADF"/>
    <w:rsid w:val="00D46C39"/>
    <w:rsid w:val="00D46F03"/>
    <w:rsid w:val="00D46F60"/>
    <w:rsid w:val="00D46FC6"/>
    <w:rsid w:val="00D47171"/>
    <w:rsid w:val="00D4719C"/>
    <w:rsid w:val="00D47635"/>
    <w:rsid w:val="00D476AE"/>
    <w:rsid w:val="00D478B6"/>
    <w:rsid w:val="00D47902"/>
    <w:rsid w:val="00D47ACA"/>
    <w:rsid w:val="00D47CE7"/>
    <w:rsid w:val="00D47F71"/>
    <w:rsid w:val="00D5007C"/>
    <w:rsid w:val="00D50101"/>
    <w:rsid w:val="00D50481"/>
    <w:rsid w:val="00D5074C"/>
    <w:rsid w:val="00D50860"/>
    <w:rsid w:val="00D508BC"/>
    <w:rsid w:val="00D508F0"/>
    <w:rsid w:val="00D50A76"/>
    <w:rsid w:val="00D50AAA"/>
    <w:rsid w:val="00D50B67"/>
    <w:rsid w:val="00D50E79"/>
    <w:rsid w:val="00D50E80"/>
    <w:rsid w:val="00D513EC"/>
    <w:rsid w:val="00D5157E"/>
    <w:rsid w:val="00D51A43"/>
    <w:rsid w:val="00D51C1D"/>
    <w:rsid w:val="00D51C48"/>
    <w:rsid w:val="00D51C97"/>
    <w:rsid w:val="00D51D5E"/>
    <w:rsid w:val="00D51D86"/>
    <w:rsid w:val="00D51F86"/>
    <w:rsid w:val="00D5233E"/>
    <w:rsid w:val="00D524B8"/>
    <w:rsid w:val="00D52597"/>
    <w:rsid w:val="00D525CC"/>
    <w:rsid w:val="00D52684"/>
    <w:rsid w:val="00D52758"/>
    <w:rsid w:val="00D52A55"/>
    <w:rsid w:val="00D52C45"/>
    <w:rsid w:val="00D52C7D"/>
    <w:rsid w:val="00D52CA0"/>
    <w:rsid w:val="00D52D7F"/>
    <w:rsid w:val="00D52EDB"/>
    <w:rsid w:val="00D52EF8"/>
    <w:rsid w:val="00D53025"/>
    <w:rsid w:val="00D53054"/>
    <w:rsid w:val="00D530A8"/>
    <w:rsid w:val="00D530E5"/>
    <w:rsid w:val="00D536EC"/>
    <w:rsid w:val="00D5392F"/>
    <w:rsid w:val="00D53A86"/>
    <w:rsid w:val="00D53D68"/>
    <w:rsid w:val="00D53E4E"/>
    <w:rsid w:val="00D53F39"/>
    <w:rsid w:val="00D54002"/>
    <w:rsid w:val="00D547C4"/>
    <w:rsid w:val="00D54880"/>
    <w:rsid w:val="00D548AD"/>
    <w:rsid w:val="00D548E7"/>
    <w:rsid w:val="00D549C1"/>
    <w:rsid w:val="00D54B68"/>
    <w:rsid w:val="00D54E25"/>
    <w:rsid w:val="00D553AF"/>
    <w:rsid w:val="00D555BF"/>
    <w:rsid w:val="00D5566F"/>
    <w:rsid w:val="00D5571D"/>
    <w:rsid w:val="00D5573A"/>
    <w:rsid w:val="00D5581C"/>
    <w:rsid w:val="00D559BF"/>
    <w:rsid w:val="00D55BD2"/>
    <w:rsid w:val="00D55C14"/>
    <w:rsid w:val="00D55CB0"/>
    <w:rsid w:val="00D56031"/>
    <w:rsid w:val="00D56091"/>
    <w:rsid w:val="00D563D7"/>
    <w:rsid w:val="00D5684F"/>
    <w:rsid w:val="00D5687F"/>
    <w:rsid w:val="00D5736C"/>
    <w:rsid w:val="00D57624"/>
    <w:rsid w:val="00D57C80"/>
    <w:rsid w:val="00D57FEC"/>
    <w:rsid w:val="00D60600"/>
    <w:rsid w:val="00D60647"/>
    <w:rsid w:val="00D60B23"/>
    <w:rsid w:val="00D60B31"/>
    <w:rsid w:val="00D60B45"/>
    <w:rsid w:val="00D60B58"/>
    <w:rsid w:val="00D60C6F"/>
    <w:rsid w:val="00D60E00"/>
    <w:rsid w:val="00D60E65"/>
    <w:rsid w:val="00D60ED3"/>
    <w:rsid w:val="00D61295"/>
    <w:rsid w:val="00D612D8"/>
    <w:rsid w:val="00D61551"/>
    <w:rsid w:val="00D61881"/>
    <w:rsid w:val="00D61936"/>
    <w:rsid w:val="00D61BFF"/>
    <w:rsid w:val="00D61D57"/>
    <w:rsid w:val="00D61D9A"/>
    <w:rsid w:val="00D61FD5"/>
    <w:rsid w:val="00D62148"/>
    <w:rsid w:val="00D6215B"/>
    <w:rsid w:val="00D62484"/>
    <w:rsid w:val="00D6283C"/>
    <w:rsid w:val="00D628E2"/>
    <w:rsid w:val="00D6295F"/>
    <w:rsid w:val="00D62CFE"/>
    <w:rsid w:val="00D6302A"/>
    <w:rsid w:val="00D63052"/>
    <w:rsid w:val="00D6310D"/>
    <w:rsid w:val="00D63129"/>
    <w:rsid w:val="00D6324F"/>
    <w:rsid w:val="00D633F9"/>
    <w:rsid w:val="00D6361E"/>
    <w:rsid w:val="00D6365C"/>
    <w:rsid w:val="00D638E7"/>
    <w:rsid w:val="00D638EE"/>
    <w:rsid w:val="00D63A3A"/>
    <w:rsid w:val="00D63A9B"/>
    <w:rsid w:val="00D63BBC"/>
    <w:rsid w:val="00D640FA"/>
    <w:rsid w:val="00D6432B"/>
    <w:rsid w:val="00D64330"/>
    <w:rsid w:val="00D646C1"/>
    <w:rsid w:val="00D64760"/>
    <w:rsid w:val="00D647C2"/>
    <w:rsid w:val="00D6483F"/>
    <w:rsid w:val="00D6495B"/>
    <w:rsid w:val="00D64A44"/>
    <w:rsid w:val="00D64A69"/>
    <w:rsid w:val="00D64AEA"/>
    <w:rsid w:val="00D64D2D"/>
    <w:rsid w:val="00D64DB8"/>
    <w:rsid w:val="00D64F24"/>
    <w:rsid w:val="00D64F62"/>
    <w:rsid w:val="00D6521E"/>
    <w:rsid w:val="00D65494"/>
    <w:rsid w:val="00D6558E"/>
    <w:rsid w:val="00D655B0"/>
    <w:rsid w:val="00D65734"/>
    <w:rsid w:val="00D657F6"/>
    <w:rsid w:val="00D6582F"/>
    <w:rsid w:val="00D65958"/>
    <w:rsid w:val="00D65D9D"/>
    <w:rsid w:val="00D66164"/>
    <w:rsid w:val="00D66661"/>
    <w:rsid w:val="00D66B60"/>
    <w:rsid w:val="00D66CA1"/>
    <w:rsid w:val="00D67338"/>
    <w:rsid w:val="00D673A4"/>
    <w:rsid w:val="00D673CA"/>
    <w:rsid w:val="00D67485"/>
    <w:rsid w:val="00D6787F"/>
    <w:rsid w:val="00D67986"/>
    <w:rsid w:val="00D67A0C"/>
    <w:rsid w:val="00D67BA8"/>
    <w:rsid w:val="00D67C29"/>
    <w:rsid w:val="00D67D43"/>
    <w:rsid w:val="00D67D9E"/>
    <w:rsid w:val="00D67DD6"/>
    <w:rsid w:val="00D7015B"/>
    <w:rsid w:val="00D7019D"/>
    <w:rsid w:val="00D7061C"/>
    <w:rsid w:val="00D707FA"/>
    <w:rsid w:val="00D7087D"/>
    <w:rsid w:val="00D708EA"/>
    <w:rsid w:val="00D70CFF"/>
    <w:rsid w:val="00D70E58"/>
    <w:rsid w:val="00D70EF4"/>
    <w:rsid w:val="00D7114B"/>
    <w:rsid w:val="00D71DE1"/>
    <w:rsid w:val="00D722E2"/>
    <w:rsid w:val="00D72925"/>
    <w:rsid w:val="00D72B0C"/>
    <w:rsid w:val="00D72F43"/>
    <w:rsid w:val="00D73051"/>
    <w:rsid w:val="00D730CB"/>
    <w:rsid w:val="00D7320F"/>
    <w:rsid w:val="00D732AD"/>
    <w:rsid w:val="00D73544"/>
    <w:rsid w:val="00D736C5"/>
    <w:rsid w:val="00D73DFA"/>
    <w:rsid w:val="00D740C0"/>
    <w:rsid w:val="00D740CB"/>
    <w:rsid w:val="00D7419D"/>
    <w:rsid w:val="00D742DE"/>
    <w:rsid w:val="00D743B4"/>
    <w:rsid w:val="00D743F4"/>
    <w:rsid w:val="00D7454E"/>
    <w:rsid w:val="00D745E7"/>
    <w:rsid w:val="00D74600"/>
    <w:rsid w:val="00D7490F"/>
    <w:rsid w:val="00D74910"/>
    <w:rsid w:val="00D74B48"/>
    <w:rsid w:val="00D74DA7"/>
    <w:rsid w:val="00D74E63"/>
    <w:rsid w:val="00D75064"/>
    <w:rsid w:val="00D750AF"/>
    <w:rsid w:val="00D753DB"/>
    <w:rsid w:val="00D75461"/>
    <w:rsid w:val="00D754B3"/>
    <w:rsid w:val="00D758C8"/>
    <w:rsid w:val="00D75BFF"/>
    <w:rsid w:val="00D76070"/>
    <w:rsid w:val="00D7656B"/>
    <w:rsid w:val="00D765EE"/>
    <w:rsid w:val="00D767A3"/>
    <w:rsid w:val="00D7684A"/>
    <w:rsid w:val="00D7686B"/>
    <w:rsid w:val="00D76997"/>
    <w:rsid w:val="00D76BF6"/>
    <w:rsid w:val="00D76D2F"/>
    <w:rsid w:val="00D76DB1"/>
    <w:rsid w:val="00D76DED"/>
    <w:rsid w:val="00D76EE2"/>
    <w:rsid w:val="00D770E0"/>
    <w:rsid w:val="00D77412"/>
    <w:rsid w:val="00D775F6"/>
    <w:rsid w:val="00D776D9"/>
    <w:rsid w:val="00D7772E"/>
    <w:rsid w:val="00D77801"/>
    <w:rsid w:val="00D801AC"/>
    <w:rsid w:val="00D80260"/>
    <w:rsid w:val="00D80297"/>
    <w:rsid w:val="00D803AC"/>
    <w:rsid w:val="00D80562"/>
    <w:rsid w:val="00D80666"/>
    <w:rsid w:val="00D80882"/>
    <w:rsid w:val="00D80A11"/>
    <w:rsid w:val="00D80CF7"/>
    <w:rsid w:val="00D80D2D"/>
    <w:rsid w:val="00D8159F"/>
    <w:rsid w:val="00D81622"/>
    <w:rsid w:val="00D81631"/>
    <w:rsid w:val="00D81A20"/>
    <w:rsid w:val="00D81B0A"/>
    <w:rsid w:val="00D81C8F"/>
    <w:rsid w:val="00D81FB1"/>
    <w:rsid w:val="00D8211F"/>
    <w:rsid w:val="00D821FF"/>
    <w:rsid w:val="00D82306"/>
    <w:rsid w:val="00D8253C"/>
    <w:rsid w:val="00D826AC"/>
    <w:rsid w:val="00D8293B"/>
    <w:rsid w:val="00D82E39"/>
    <w:rsid w:val="00D831BD"/>
    <w:rsid w:val="00D8322A"/>
    <w:rsid w:val="00D83234"/>
    <w:rsid w:val="00D835E5"/>
    <w:rsid w:val="00D837A0"/>
    <w:rsid w:val="00D84163"/>
    <w:rsid w:val="00D841D6"/>
    <w:rsid w:val="00D842BD"/>
    <w:rsid w:val="00D84526"/>
    <w:rsid w:val="00D8472A"/>
    <w:rsid w:val="00D8475C"/>
    <w:rsid w:val="00D84ABE"/>
    <w:rsid w:val="00D84D05"/>
    <w:rsid w:val="00D84D96"/>
    <w:rsid w:val="00D85149"/>
    <w:rsid w:val="00D85307"/>
    <w:rsid w:val="00D8557C"/>
    <w:rsid w:val="00D8559B"/>
    <w:rsid w:val="00D85600"/>
    <w:rsid w:val="00D859EC"/>
    <w:rsid w:val="00D85E23"/>
    <w:rsid w:val="00D86633"/>
    <w:rsid w:val="00D8676D"/>
    <w:rsid w:val="00D86784"/>
    <w:rsid w:val="00D8679F"/>
    <w:rsid w:val="00D867E0"/>
    <w:rsid w:val="00D86843"/>
    <w:rsid w:val="00D86A01"/>
    <w:rsid w:val="00D86B63"/>
    <w:rsid w:val="00D86FCC"/>
    <w:rsid w:val="00D8718B"/>
    <w:rsid w:val="00D87201"/>
    <w:rsid w:val="00D8725E"/>
    <w:rsid w:val="00D872DD"/>
    <w:rsid w:val="00D879D2"/>
    <w:rsid w:val="00D87A8A"/>
    <w:rsid w:val="00D87E36"/>
    <w:rsid w:val="00D904DD"/>
    <w:rsid w:val="00D9098A"/>
    <w:rsid w:val="00D90EE9"/>
    <w:rsid w:val="00D91122"/>
    <w:rsid w:val="00D91212"/>
    <w:rsid w:val="00D91281"/>
    <w:rsid w:val="00D91450"/>
    <w:rsid w:val="00D915BA"/>
    <w:rsid w:val="00D91626"/>
    <w:rsid w:val="00D91809"/>
    <w:rsid w:val="00D9194D"/>
    <w:rsid w:val="00D91A58"/>
    <w:rsid w:val="00D91CEB"/>
    <w:rsid w:val="00D91D76"/>
    <w:rsid w:val="00D91D95"/>
    <w:rsid w:val="00D91DBC"/>
    <w:rsid w:val="00D9214E"/>
    <w:rsid w:val="00D92168"/>
    <w:rsid w:val="00D92646"/>
    <w:rsid w:val="00D9271E"/>
    <w:rsid w:val="00D9275F"/>
    <w:rsid w:val="00D92CE8"/>
    <w:rsid w:val="00D92D9D"/>
    <w:rsid w:val="00D92E88"/>
    <w:rsid w:val="00D9309A"/>
    <w:rsid w:val="00D930A2"/>
    <w:rsid w:val="00D931AB"/>
    <w:rsid w:val="00D93358"/>
    <w:rsid w:val="00D93453"/>
    <w:rsid w:val="00D93568"/>
    <w:rsid w:val="00D936EA"/>
    <w:rsid w:val="00D9383D"/>
    <w:rsid w:val="00D93857"/>
    <w:rsid w:val="00D9388A"/>
    <w:rsid w:val="00D93956"/>
    <w:rsid w:val="00D93AE8"/>
    <w:rsid w:val="00D93B0F"/>
    <w:rsid w:val="00D93C8A"/>
    <w:rsid w:val="00D93FD1"/>
    <w:rsid w:val="00D940D9"/>
    <w:rsid w:val="00D941C7"/>
    <w:rsid w:val="00D94243"/>
    <w:rsid w:val="00D94348"/>
    <w:rsid w:val="00D94402"/>
    <w:rsid w:val="00D9448C"/>
    <w:rsid w:val="00D946C3"/>
    <w:rsid w:val="00D9472A"/>
    <w:rsid w:val="00D947AD"/>
    <w:rsid w:val="00D9480C"/>
    <w:rsid w:val="00D94884"/>
    <w:rsid w:val="00D94BAE"/>
    <w:rsid w:val="00D94CAA"/>
    <w:rsid w:val="00D94CBA"/>
    <w:rsid w:val="00D94D9B"/>
    <w:rsid w:val="00D9504A"/>
    <w:rsid w:val="00D951D1"/>
    <w:rsid w:val="00D952D1"/>
    <w:rsid w:val="00D95387"/>
    <w:rsid w:val="00D9562B"/>
    <w:rsid w:val="00D95A3E"/>
    <w:rsid w:val="00D95DB7"/>
    <w:rsid w:val="00D961E7"/>
    <w:rsid w:val="00D963BC"/>
    <w:rsid w:val="00D96534"/>
    <w:rsid w:val="00D96647"/>
    <w:rsid w:val="00D96AFC"/>
    <w:rsid w:val="00D96B25"/>
    <w:rsid w:val="00D96BD6"/>
    <w:rsid w:val="00D97080"/>
    <w:rsid w:val="00D970BF"/>
    <w:rsid w:val="00D97187"/>
    <w:rsid w:val="00D972BC"/>
    <w:rsid w:val="00D97789"/>
    <w:rsid w:val="00D97A76"/>
    <w:rsid w:val="00D97C3C"/>
    <w:rsid w:val="00D97D27"/>
    <w:rsid w:val="00DA027F"/>
    <w:rsid w:val="00DA039B"/>
    <w:rsid w:val="00DA0744"/>
    <w:rsid w:val="00DA0769"/>
    <w:rsid w:val="00DA093F"/>
    <w:rsid w:val="00DA0A20"/>
    <w:rsid w:val="00DA0A71"/>
    <w:rsid w:val="00DA0E7B"/>
    <w:rsid w:val="00DA0EDE"/>
    <w:rsid w:val="00DA1359"/>
    <w:rsid w:val="00DA145F"/>
    <w:rsid w:val="00DA175D"/>
    <w:rsid w:val="00DA17A2"/>
    <w:rsid w:val="00DA1917"/>
    <w:rsid w:val="00DA1941"/>
    <w:rsid w:val="00DA1A36"/>
    <w:rsid w:val="00DA1BC3"/>
    <w:rsid w:val="00DA2511"/>
    <w:rsid w:val="00DA272A"/>
    <w:rsid w:val="00DA2856"/>
    <w:rsid w:val="00DA2B44"/>
    <w:rsid w:val="00DA2BF2"/>
    <w:rsid w:val="00DA2F44"/>
    <w:rsid w:val="00DA320D"/>
    <w:rsid w:val="00DA3325"/>
    <w:rsid w:val="00DA3439"/>
    <w:rsid w:val="00DA358A"/>
    <w:rsid w:val="00DA3856"/>
    <w:rsid w:val="00DA388C"/>
    <w:rsid w:val="00DA3D98"/>
    <w:rsid w:val="00DA3DE5"/>
    <w:rsid w:val="00DA4081"/>
    <w:rsid w:val="00DA421F"/>
    <w:rsid w:val="00DA42EE"/>
    <w:rsid w:val="00DA433C"/>
    <w:rsid w:val="00DA4511"/>
    <w:rsid w:val="00DA45D0"/>
    <w:rsid w:val="00DA48C7"/>
    <w:rsid w:val="00DA4B23"/>
    <w:rsid w:val="00DA4F74"/>
    <w:rsid w:val="00DA5458"/>
    <w:rsid w:val="00DA5BC7"/>
    <w:rsid w:val="00DA5D56"/>
    <w:rsid w:val="00DA5E3B"/>
    <w:rsid w:val="00DA5E5E"/>
    <w:rsid w:val="00DA5EB5"/>
    <w:rsid w:val="00DA66F1"/>
    <w:rsid w:val="00DA6BD3"/>
    <w:rsid w:val="00DA6E18"/>
    <w:rsid w:val="00DA6F14"/>
    <w:rsid w:val="00DA6FFC"/>
    <w:rsid w:val="00DA7039"/>
    <w:rsid w:val="00DA729D"/>
    <w:rsid w:val="00DA72D0"/>
    <w:rsid w:val="00DA7369"/>
    <w:rsid w:val="00DA774D"/>
    <w:rsid w:val="00DA77BA"/>
    <w:rsid w:val="00DA77F1"/>
    <w:rsid w:val="00DA7B03"/>
    <w:rsid w:val="00DA7B77"/>
    <w:rsid w:val="00DA7C8F"/>
    <w:rsid w:val="00DA7E3B"/>
    <w:rsid w:val="00DB00EE"/>
    <w:rsid w:val="00DB00FA"/>
    <w:rsid w:val="00DB0184"/>
    <w:rsid w:val="00DB0244"/>
    <w:rsid w:val="00DB035B"/>
    <w:rsid w:val="00DB04A9"/>
    <w:rsid w:val="00DB065C"/>
    <w:rsid w:val="00DB0906"/>
    <w:rsid w:val="00DB0C0D"/>
    <w:rsid w:val="00DB0CAC"/>
    <w:rsid w:val="00DB0ED0"/>
    <w:rsid w:val="00DB0F05"/>
    <w:rsid w:val="00DB0F7F"/>
    <w:rsid w:val="00DB0F91"/>
    <w:rsid w:val="00DB0FB1"/>
    <w:rsid w:val="00DB0FBC"/>
    <w:rsid w:val="00DB1093"/>
    <w:rsid w:val="00DB109D"/>
    <w:rsid w:val="00DB10EA"/>
    <w:rsid w:val="00DB125B"/>
    <w:rsid w:val="00DB1338"/>
    <w:rsid w:val="00DB1380"/>
    <w:rsid w:val="00DB1424"/>
    <w:rsid w:val="00DB151B"/>
    <w:rsid w:val="00DB1656"/>
    <w:rsid w:val="00DB1948"/>
    <w:rsid w:val="00DB1CD5"/>
    <w:rsid w:val="00DB1D2B"/>
    <w:rsid w:val="00DB1D78"/>
    <w:rsid w:val="00DB1DED"/>
    <w:rsid w:val="00DB201C"/>
    <w:rsid w:val="00DB21B1"/>
    <w:rsid w:val="00DB22F2"/>
    <w:rsid w:val="00DB2313"/>
    <w:rsid w:val="00DB263E"/>
    <w:rsid w:val="00DB2A50"/>
    <w:rsid w:val="00DB2B08"/>
    <w:rsid w:val="00DB2BFA"/>
    <w:rsid w:val="00DB304A"/>
    <w:rsid w:val="00DB34D2"/>
    <w:rsid w:val="00DB357E"/>
    <w:rsid w:val="00DB37F0"/>
    <w:rsid w:val="00DB39E4"/>
    <w:rsid w:val="00DB3B48"/>
    <w:rsid w:val="00DB3B52"/>
    <w:rsid w:val="00DB3C3B"/>
    <w:rsid w:val="00DB4044"/>
    <w:rsid w:val="00DB41A2"/>
    <w:rsid w:val="00DB4635"/>
    <w:rsid w:val="00DB4943"/>
    <w:rsid w:val="00DB496D"/>
    <w:rsid w:val="00DB4B59"/>
    <w:rsid w:val="00DB4B72"/>
    <w:rsid w:val="00DB4E45"/>
    <w:rsid w:val="00DB4E46"/>
    <w:rsid w:val="00DB4E7B"/>
    <w:rsid w:val="00DB5415"/>
    <w:rsid w:val="00DB55CC"/>
    <w:rsid w:val="00DB5840"/>
    <w:rsid w:val="00DB5AF2"/>
    <w:rsid w:val="00DB5BC4"/>
    <w:rsid w:val="00DB604C"/>
    <w:rsid w:val="00DB6385"/>
    <w:rsid w:val="00DB663D"/>
    <w:rsid w:val="00DB68D5"/>
    <w:rsid w:val="00DB6B85"/>
    <w:rsid w:val="00DB6BBD"/>
    <w:rsid w:val="00DB6CD4"/>
    <w:rsid w:val="00DB6D35"/>
    <w:rsid w:val="00DB6DE1"/>
    <w:rsid w:val="00DB6E3A"/>
    <w:rsid w:val="00DB704A"/>
    <w:rsid w:val="00DB7154"/>
    <w:rsid w:val="00DB717A"/>
    <w:rsid w:val="00DB7318"/>
    <w:rsid w:val="00DB7591"/>
    <w:rsid w:val="00DB76E2"/>
    <w:rsid w:val="00DB776D"/>
    <w:rsid w:val="00DB77C4"/>
    <w:rsid w:val="00DB7926"/>
    <w:rsid w:val="00DB7A2B"/>
    <w:rsid w:val="00DB7AD2"/>
    <w:rsid w:val="00DC0194"/>
    <w:rsid w:val="00DC01B5"/>
    <w:rsid w:val="00DC029F"/>
    <w:rsid w:val="00DC02CF"/>
    <w:rsid w:val="00DC099A"/>
    <w:rsid w:val="00DC0ACD"/>
    <w:rsid w:val="00DC0B12"/>
    <w:rsid w:val="00DC0BA4"/>
    <w:rsid w:val="00DC1087"/>
    <w:rsid w:val="00DC1142"/>
    <w:rsid w:val="00DC12EE"/>
    <w:rsid w:val="00DC13C8"/>
    <w:rsid w:val="00DC143A"/>
    <w:rsid w:val="00DC1777"/>
    <w:rsid w:val="00DC1A4B"/>
    <w:rsid w:val="00DC1ABC"/>
    <w:rsid w:val="00DC1ADE"/>
    <w:rsid w:val="00DC1B4F"/>
    <w:rsid w:val="00DC1E85"/>
    <w:rsid w:val="00DC1F0B"/>
    <w:rsid w:val="00DC1F9A"/>
    <w:rsid w:val="00DC2472"/>
    <w:rsid w:val="00DC24DB"/>
    <w:rsid w:val="00DC2656"/>
    <w:rsid w:val="00DC2D53"/>
    <w:rsid w:val="00DC2E95"/>
    <w:rsid w:val="00DC2F1F"/>
    <w:rsid w:val="00DC3047"/>
    <w:rsid w:val="00DC3195"/>
    <w:rsid w:val="00DC3295"/>
    <w:rsid w:val="00DC32CA"/>
    <w:rsid w:val="00DC3359"/>
    <w:rsid w:val="00DC35E7"/>
    <w:rsid w:val="00DC36AF"/>
    <w:rsid w:val="00DC39A3"/>
    <w:rsid w:val="00DC3BAE"/>
    <w:rsid w:val="00DC3EE9"/>
    <w:rsid w:val="00DC422A"/>
    <w:rsid w:val="00DC44F1"/>
    <w:rsid w:val="00DC4746"/>
    <w:rsid w:val="00DC4A75"/>
    <w:rsid w:val="00DC4AA4"/>
    <w:rsid w:val="00DC4C91"/>
    <w:rsid w:val="00DC4CDF"/>
    <w:rsid w:val="00DC4E26"/>
    <w:rsid w:val="00DC4F9A"/>
    <w:rsid w:val="00DC4FEE"/>
    <w:rsid w:val="00DC504F"/>
    <w:rsid w:val="00DC51FB"/>
    <w:rsid w:val="00DC531F"/>
    <w:rsid w:val="00DC5345"/>
    <w:rsid w:val="00DC5358"/>
    <w:rsid w:val="00DC53C8"/>
    <w:rsid w:val="00DC542E"/>
    <w:rsid w:val="00DC567E"/>
    <w:rsid w:val="00DC568F"/>
    <w:rsid w:val="00DC59D7"/>
    <w:rsid w:val="00DC5A2B"/>
    <w:rsid w:val="00DC5C04"/>
    <w:rsid w:val="00DC5D5C"/>
    <w:rsid w:val="00DC5EC2"/>
    <w:rsid w:val="00DC5ECC"/>
    <w:rsid w:val="00DC5F32"/>
    <w:rsid w:val="00DC6167"/>
    <w:rsid w:val="00DC633F"/>
    <w:rsid w:val="00DC65A5"/>
    <w:rsid w:val="00DC6647"/>
    <w:rsid w:val="00DC6727"/>
    <w:rsid w:val="00DC674E"/>
    <w:rsid w:val="00DC68B1"/>
    <w:rsid w:val="00DC6A6B"/>
    <w:rsid w:val="00DC6C01"/>
    <w:rsid w:val="00DC6FA5"/>
    <w:rsid w:val="00DC743A"/>
    <w:rsid w:val="00DC74B9"/>
    <w:rsid w:val="00DC769E"/>
    <w:rsid w:val="00DC76DA"/>
    <w:rsid w:val="00DC78D2"/>
    <w:rsid w:val="00DC7A7C"/>
    <w:rsid w:val="00DC7ABD"/>
    <w:rsid w:val="00DC7CC5"/>
    <w:rsid w:val="00DC7DE2"/>
    <w:rsid w:val="00DC7F83"/>
    <w:rsid w:val="00DD0340"/>
    <w:rsid w:val="00DD03BF"/>
    <w:rsid w:val="00DD07AE"/>
    <w:rsid w:val="00DD0A62"/>
    <w:rsid w:val="00DD0C06"/>
    <w:rsid w:val="00DD0C87"/>
    <w:rsid w:val="00DD0CC8"/>
    <w:rsid w:val="00DD115A"/>
    <w:rsid w:val="00DD116F"/>
    <w:rsid w:val="00DD11CA"/>
    <w:rsid w:val="00DD1243"/>
    <w:rsid w:val="00DD1450"/>
    <w:rsid w:val="00DD1497"/>
    <w:rsid w:val="00DD15F3"/>
    <w:rsid w:val="00DD15F9"/>
    <w:rsid w:val="00DD1666"/>
    <w:rsid w:val="00DD1893"/>
    <w:rsid w:val="00DD1A00"/>
    <w:rsid w:val="00DD1C45"/>
    <w:rsid w:val="00DD1CC8"/>
    <w:rsid w:val="00DD1F97"/>
    <w:rsid w:val="00DD2245"/>
    <w:rsid w:val="00DD23C9"/>
    <w:rsid w:val="00DD247A"/>
    <w:rsid w:val="00DD26C7"/>
    <w:rsid w:val="00DD26E4"/>
    <w:rsid w:val="00DD28E2"/>
    <w:rsid w:val="00DD2D1C"/>
    <w:rsid w:val="00DD2E0A"/>
    <w:rsid w:val="00DD3692"/>
    <w:rsid w:val="00DD38F4"/>
    <w:rsid w:val="00DD3B1A"/>
    <w:rsid w:val="00DD3B22"/>
    <w:rsid w:val="00DD3C52"/>
    <w:rsid w:val="00DD3ED0"/>
    <w:rsid w:val="00DD4137"/>
    <w:rsid w:val="00DD447D"/>
    <w:rsid w:val="00DD48EF"/>
    <w:rsid w:val="00DD4C56"/>
    <w:rsid w:val="00DD4E5C"/>
    <w:rsid w:val="00DD4FE7"/>
    <w:rsid w:val="00DD51A5"/>
    <w:rsid w:val="00DD523A"/>
    <w:rsid w:val="00DD528B"/>
    <w:rsid w:val="00DD5381"/>
    <w:rsid w:val="00DD53D0"/>
    <w:rsid w:val="00DD54A1"/>
    <w:rsid w:val="00DD55BA"/>
    <w:rsid w:val="00DD562E"/>
    <w:rsid w:val="00DD5639"/>
    <w:rsid w:val="00DD5887"/>
    <w:rsid w:val="00DD588C"/>
    <w:rsid w:val="00DD5C6B"/>
    <w:rsid w:val="00DD5D97"/>
    <w:rsid w:val="00DD5F92"/>
    <w:rsid w:val="00DD6202"/>
    <w:rsid w:val="00DD62FC"/>
    <w:rsid w:val="00DD6362"/>
    <w:rsid w:val="00DD63B2"/>
    <w:rsid w:val="00DD6481"/>
    <w:rsid w:val="00DD654B"/>
    <w:rsid w:val="00DD6988"/>
    <w:rsid w:val="00DD6C75"/>
    <w:rsid w:val="00DD6D94"/>
    <w:rsid w:val="00DD6E1D"/>
    <w:rsid w:val="00DD6F15"/>
    <w:rsid w:val="00DD6F37"/>
    <w:rsid w:val="00DD73BF"/>
    <w:rsid w:val="00DD75B1"/>
    <w:rsid w:val="00DD77BB"/>
    <w:rsid w:val="00DD7984"/>
    <w:rsid w:val="00DD7A47"/>
    <w:rsid w:val="00DD7C61"/>
    <w:rsid w:val="00DE01F2"/>
    <w:rsid w:val="00DE034B"/>
    <w:rsid w:val="00DE0981"/>
    <w:rsid w:val="00DE0A05"/>
    <w:rsid w:val="00DE0AED"/>
    <w:rsid w:val="00DE0B35"/>
    <w:rsid w:val="00DE0CF2"/>
    <w:rsid w:val="00DE0D55"/>
    <w:rsid w:val="00DE0D6D"/>
    <w:rsid w:val="00DE0D9B"/>
    <w:rsid w:val="00DE1045"/>
    <w:rsid w:val="00DE10F3"/>
    <w:rsid w:val="00DE1151"/>
    <w:rsid w:val="00DE17C5"/>
    <w:rsid w:val="00DE197A"/>
    <w:rsid w:val="00DE1AC0"/>
    <w:rsid w:val="00DE1B46"/>
    <w:rsid w:val="00DE1BF0"/>
    <w:rsid w:val="00DE1CEF"/>
    <w:rsid w:val="00DE1D67"/>
    <w:rsid w:val="00DE1E14"/>
    <w:rsid w:val="00DE1EAB"/>
    <w:rsid w:val="00DE1EB0"/>
    <w:rsid w:val="00DE23D5"/>
    <w:rsid w:val="00DE279D"/>
    <w:rsid w:val="00DE27CD"/>
    <w:rsid w:val="00DE2881"/>
    <w:rsid w:val="00DE2AEB"/>
    <w:rsid w:val="00DE2B29"/>
    <w:rsid w:val="00DE2D68"/>
    <w:rsid w:val="00DE2E10"/>
    <w:rsid w:val="00DE2E39"/>
    <w:rsid w:val="00DE3095"/>
    <w:rsid w:val="00DE3418"/>
    <w:rsid w:val="00DE3682"/>
    <w:rsid w:val="00DE38A1"/>
    <w:rsid w:val="00DE398E"/>
    <w:rsid w:val="00DE3B1E"/>
    <w:rsid w:val="00DE3EED"/>
    <w:rsid w:val="00DE40FB"/>
    <w:rsid w:val="00DE412F"/>
    <w:rsid w:val="00DE4287"/>
    <w:rsid w:val="00DE441B"/>
    <w:rsid w:val="00DE441E"/>
    <w:rsid w:val="00DE471A"/>
    <w:rsid w:val="00DE4783"/>
    <w:rsid w:val="00DE47B0"/>
    <w:rsid w:val="00DE48C8"/>
    <w:rsid w:val="00DE4947"/>
    <w:rsid w:val="00DE4A26"/>
    <w:rsid w:val="00DE4EAC"/>
    <w:rsid w:val="00DE53AC"/>
    <w:rsid w:val="00DE5480"/>
    <w:rsid w:val="00DE54A1"/>
    <w:rsid w:val="00DE554C"/>
    <w:rsid w:val="00DE55B4"/>
    <w:rsid w:val="00DE5608"/>
    <w:rsid w:val="00DE56DA"/>
    <w:rsid w:val="00DE58D8"/>
    <w:rsid w:val="00DE5C5E"/>
    <w:rsid w:val="00DE5D39"/>
    <w:rsid w:val="00DE5DB9"/>
    <w:rsid w:val="00DE5E23"/>
    <w:rsid w:val="00DE5F56"/>
    <w:rsid w:val="00DE600B"/>
    <w:rsid w:val="00DE6016"/>
    <w:rsid w:val="00DE6067"/>
    <w:rsid w:val="00DE6785"/>
    <w:rsid w:val="00DE6AEE"/>
    <w:rsid w:val="00DE6ECE"/>
    <w:rsid w:val="00DE7065"/>
    <w:rsid w:val="00DE70BD"/>
    <w:rsid w:val="00DE71B6"/>
    <w:rsid w:val="00DE71EA"/>
    <w:rsid w:val="00DE72BA"/>
    <w:rsid w:val="00DE72FE"/>
    <w:rsid w:val="00DE73DF"/>
    <w:rsid w:val="00DE7896"/>
    <w:rsid w:val="00DE7AE1"/>
    <w:rsid w:val="00DE7CA3"/>
    <w:rsid w:val="00DE7CF5"/>
    <w:rsid w:val="00DE7D95"/>
    <w:rsid w:val="00DF005F"/>
    <w:rsid w:val="00DF02B0"/>
    <w:rsid w:val="00DF0450"/>
    <w:rsid w:val="00DF0525"/>
    <w:rsid w:val="00DF054A"/>
    <w:rsid w:val="00DF054D"/>
    <w:rsid w:val="00DF059D"/>
    <w:rsid w:val="00DF08AE"/>
    <w:rsid w:val="00DF0A51"/>
    <w:rsid w:val="00DF0A97"/>
    <w:rsid w:val="00DF0B5F"/>
    <w:rsid w:val="00DF0EEA"/>
    <w:rsid w:val="00DF119D"/>
    <w:rsid w:val="00DF1389"/>
    <w:rsid w:val="00DF13EC"/>
    <w:rsid w:val="00DF14D2"/>
    <w:rsid w:val="00DF17A1"/>
    <w:rsid w:val="00DF17C8"/>
    <w:rsid w:val="00DF18C7"/>
    <w:rsid w:val="00DF196E"/>
    <w:rsid w:val="00DF1D6B"/>
    <w:rsid w:val="00DF1DEF"/>
    <w:rsid w:val="00DF1E5F"/>
    <w:rsid w:val="00DF1F4C"/>
    <w:rsid w:val="00DF2135"/>
    <w:rsid w:val="00DF226C"/>
    <w:rsid w:val="00DF228A"/>
    <w:rsid w:val="00DF22CE"/>
    <w:rsid w:val="00DF22D5"/>
    <w:rsid w:val="00DF2935"/>
    <w:rsid w:val="00DF2944"/>
    <w:rsid w:val="00DF2C89"/>
    <w:rsid w:val="00DF2D45"/>
    <w:rsid w:val="00DF3037"/>
    <w:rsid w:val="00DF3132"/>
    <w:rsid w:val="00DF33C9"/>
    <w:rsid w:val="00DF3409"/>
    <w:rsid w:val="00DF3726"/>
    <w:rsid w:val="00DF3A8D"/>
    <w:rsid w:val="00DF3C1B"/>
    <w:rsid w:val="00DF3C56"/>
    <w:rsid w:val="00DF3DF5"/>
    <w:rsid w:val="00DF3E0D"/>
    <w:rsid w:val="00DF42F2"/>
    <w:rsid w:val="00DF467E"/>
    <w:rsid w:val="00DF4771"/>
    <w:rsid w:val="00DF47D6"/>
    <w:rsid w:val="00DF4A11"/>
    <w:rsid w:val="00DF4A56"/>
    <w:rsid w:val="00DF4CD7"/>
    <w:rsid w:val="00DF4CF6"/>
    <w:rsid w:val="00DF4EFE"/>
    <w:rsid w:val="00DF4FC2"/>
    <w:rsid w:val="00DF5235"/>
    <w:rsid w:val="00DF54FC"/>
    <w:rsid w:val="00DF5593"/>
    <w:rsid w:val="00DF5E68"/>
    <w:rsid w:val="00DF61E3"/>
    <w:rsid w:val="00DF62C0"/>
    <w:rsid w:val="00DF6307"/>
    <w:rsid w:val="00DF6BBC"/>
    <w:rsid w:val="00DF6BC2"/>
    <w:rsid w:val="00DF6C4B"/>
    <w:rsid w:val="00DF6F27"/>
    <w:rsid w:val="00DF70C1"/>
    <w:rsid w:val="00DF739F"/>
    <w:rsid w:val="00DF7619"/>
    <w:rsid w:val="00DF7692"/>
    <w:rsid w:val="00DF78EA"/>
    <w:rsid w:val="00DF7D00"/>
    <w:rsid w:val="00DF7E1B"/>
    <w:rsid w:val="00E0094C"/>
    <w:rsid w:val="00E00A51"/>
    <w:rsid w:val="00E00EE8"/>
    <w:rsid w:val="00E01043"/>
    <w:rsid w:val="00E010D3"/>
    <w:rsid w:val="00E0118F"/>
    <w:rsid w:val="00E013CF"/>
    <w:rsid w:val="00E01569"/>
    <w:rsid w:val="00E01639"/>
    <w:rsid w:val="00E0169F"/>
    <w:rsid w:val="00E01CAE"/>
    <w:rsid w:val="00E01DEB"/>
    <w:rsid w:val="00E02000"/>
    <w:rsid w:val="00E02156"/>
    <w:rsid w:val="00E0233C"/>
    <w:rsid w:val="00E02391"/>
    <w:rsid w:val="00E023DE"/>
    <w:rsid w:val="00E02819"/>
    <w:rsid w:val="00E0282D"/>
    <w:rsid w:val="00E02906"/>
    <w:rsid w:val="00E02D12"/>
    <w:rsid w:val="00E02D2D"/>
    <w:rsid w:val="00E02D34"/>
    <w:rsid w:val="00E02F8B"/>
    <w:rsid w:val="00E0300A"/>
    <w:rsid w:val="00E0306A"/>
    <w:rsid w:val="00E0327D"/>
    <w:rsid w:val="00E03315"/>
    <w:rsid w:val="00E03607"/>
    <w:rsid w:val="00E03765"/>
    <w:rsid w:val="00E0381D"/>
    <w:rsid w:val="00E03FA2"/>
    <w:rsid w:val="00E04019"/>
    <w:rsid w:val="00E04306"/>
    <w:rsid w:val="00E044D1"/>
    <w:rsid w:val="00E04550"/>
    <w:rsid w:val="00E046AE"/>
    <w:rsid w:val="00E04763"/>
    <w:rsid w:val="00E04815"/>
    <w:rsid w:val="00E04888"/>
    <w:rsid w:val="00E04927"/>
    <w:rsid w:val="00E04948"/>
    <w:rsid w:val="00E04EEE"/>
    <w:rsid w:val="00E05018"/>
    <w:rsid w:val="00E051FD"/>
    <w:rsid w:val="00E052F1"/>
    <w:rsid w:val="00E05334"/>
    <w:rsid w:val="00E055A9"/>
    <w:rsid w:val="00E0564D"/>
    <w:rsid w:val="00E0565A"/>
    <w:rsid w:val="00E059D2"/>
    <w:rsid w:val="00E05A91"/>
    <w:rsid w:val="00E05B10"/>
    <w:rsid w:val="00E05C86"/>
    <w:rsid w:val="00E05E28"/>
    <w:rsid w:val="00E0612E"/>
    <w:rsid w:val="00E0627E"/>
    <w:rsid w:val="00E062B1"/>
    <w:rsid w:val="00E0637A"/>
    <w:rsid w:val="00E0646A"/>
    <w:rsid w:val="00E066C1"/>
    <w:rsid w:val="00E06EEE"/>
    <w:rsid w:val="00E06FD9"/>
    <w:rsid w:val="00E07063"/>
    <w:rsid w:val="00E070AD"/>
    <w:rsid w:val="00E0719B"/>
    <w:rsid w:val="00E0749E"/>
    <w:rsid w:val="00E0783D"/>
    <w:rsid w:val="00E07864"/>
    <w:rsid w:val="00E07C93"/>
    <w:rsid w:val="00E07D00"/>
    <w:rsid w:val="00E07D75"/>
    <w:rsid w:val="00E07D9F"/>
    <w:rsid w:val="00E07E9C"/>
    <w:rsid w:val="00E07F00"/>
    <w:rsid w:val="00E104B6"/>
    <w:rsid w:val="00E1050A"/>
    <w:rsid w:val="00E1070F"/>
    <w:rsid w:val="00E10A10"/>
    <w:rsid w:val="00E10A49"/>
    <w:rsid w:val="00E10ADC"/>
    <w:rsid w:val="00E10BC9"/>
    <w:rsid w:val="00E10E60"/>
    <w:rsid w:val="00E10E81"/>
    <w:rsid w:val="00E1108A"/>
    <w:rsid w:val="00E11183"/>
    <w:rsid w:val="00E113CE"/>
    <w:rsid w:val="00E117F7"/>
    <w:rsid w:val="00E11AD1"/>
    <w:rsid w:val="00E11BA8"/>
    <w:rsid w:val="00E11E1A"/>
    <w:rsid w:val="00E11FB7"/>
    <w:rsid w:val="00E11FE6"/>
    <w:rsid w:val="00E120BC"/>
    <w:rsid w:val="00E122E6"/>
    <w:rsid w:val="00E12421"/>
    <w:rsid w:val="00E125D3"/>
    <w:rsid w:val="00E12643"/>
    <w:rsid w:val="00E12898"/>
    <w:rsid w:val="00E12942"/>
    <w:rsid w:val="00E12C6A"/>
    <w:rsid w:val="00E12E02"/>
    <w:rsid w:val="00E12EA6"/>
    <w:rsid w:val="00E12F1E"/>
    <w:rsid w:val="00E12FD0"/>
    <w:rsid w:val="00E13318"/>
    <w:rsid w:val="00E1338F"/>
    <w:rsid w:val="00E1392C"/>
    <w:rsid w:val="00E13A15"/>
    <w:rsid w:val="00E13A31"/>
    <w:rsid w:val="00E13B6A"/>
    <w:rsid w:val="00E13E0C"/>
    <w:rsid w:val="00E14137"/>
    <w:rsid w:val="00E14207"/>
    <w:rsid w:val="00E14E00"/>
    <w:rsid w:val="00E14F88"/>
    <w:rsid w:val="00E14FFE"/>
    <w:rsid w:val="00E15151"/>
    <w:rsid w:val="00E1529C"/>
    <w:rsid w:val="00E1534A"/>
    <w:rsid w:val="00E154B7"/>
    <w:rsid w:val="00E155CC"/>
    <w:rsid w:val="00E155DB"/>
    <w:rsid w:val="00E15862"/>
    <w:rsid w:val="00E15ABE"/>
    <w:rsid w:val="00E15BB2"/>
    <w:rsid w:val="00E15C5F"/>
    <w:rsid w:val="00E15FB7"/>
    <w:rsid w:val="00E15FFC"/>
    <w:rsid w:val="00E16106"/>
    <w:rsid w:val="00E1651F"/>
    <w:rsid w:val="00E166F1"/>
    <w:rsid w:val="00E16B92"/>
    <w:rsid w:val="00E16E29"/>
    <w:rsid w:val="00E1714E"/>
    <w:rsid w:val="00E171F3"/>
    <w:rsid w:val="00E175E4"/>
    <w:rsid w:val="00E1771B"/>
    <w:rsid w:val="00E1771C"/>
    <w:rsid w:val="00E17828"/>
    <w:rsid w:val="00E17C21"/>
    <w:rsid w:val="00E17CB5"/>
    <w:rsid w:val="00E17D02"/>
    <w:rsid w:val="00E17EA0"/>
    <w:rsid w:val="00E17EDD"/>
    <w:rsid w:val="00E20130"/>
    <w:rsid w:val="00E20276"/>
    <w:rsid w:val="00E20291"/>
    <w:rsid w:val="00E202CB"/>
    <w:rsid w:val="00E20A4D"/>
    <w:rsid w:val="00E20D8B"/>
    <w:rsid w:val="00E20EDC"/>
    <w:rsid w:val="00E218BA"/>
    <w:rsid w:val="00E21AC5"/>
    <w:rsid w:val="00E21B61"/>
    <w:rsid w:val="00E21BCE"/>
    <w:rsid w:val="00E21EB0"/>
    <w:rsid w:val="00E223C8"/>
    <w:rsid w:val="00E22480"/>
    <w:rsid w:val="00E22541"/>
    <w:rsid w:val="00E22672"/>
    <w:rsid w:val="00E22790"/>
    <w:rsid w:val="00E227C8"/>
    <w:rsid w:val="00E22A42"/>
    <w:rsid w:val="00E22DAB"/>
    <w:rsid w:val="00E230E6"/>
    <w:rsid w:val="00E232D9"/>
    <w:rsid w:val="00E2334E"/>
    <w:rsid w:val="00E23570"/>
    <w:rsid w:val="00E23B00"/>
    <w:rsid w:val="00E23B16"/>
    <w:rsid w:val="00E23B1A"/>
    <w:rsid w:val="00E23B7D"/>
    <w:rsid w:val="00E23DCD"/>
    <w:rsid w:val="00E240BE"/>
    <w:rsid w:val="00E243A6"/>
    <w:rsid w:val="00E243AF"/>
    <w:rsid w:val="00E24754"/>
    <w:rsid w:val="00E24A8B"/>
    <w:rsid w:val="00E24CD4"/>
    <w:rsid w:val="00E24E84"/>
    <w:rsid w:val="00E25137"/>
    <w:rsid w:val="00E254DF"/>
    <w:rsid w:val="00E2569A"/>
    <w:rsid w:val="00E25954"/>
    <w:rsid w:val="00E25B72"/>
    <w:rsid w:val="00E25D90"/>
    <w:rsid w:val="00E25FF1"/>
    <w:rsid w:val="00E2619E"/>
    <w:rsid w:val="00E262B9"/>
    <w:rsid w:val="00E2636F"/>
    <w:rsid w:val="00E264DF"/>
    <w:rsid w:val="00E266BD"/>
    <w:rsid w:val="00E266F3"/>
    <w:rsid w:val="00E2679A"/>
    <w:rsid w:val="00E26D0E"/>
    <w:rsid w:val="00E26DE1"/>
    <w:rsid w:val="00E26FB3"/>
    <w:rsid w:val="00E27294"/>
    <w:rsid w:val="00E275A8"/>
    <w:rsid w:val="00E27882"/>
    <w:rsid w:val="00E27A32"/>
    <w:rsid w:val="00E27AAF"/>
    <w:rsid w:val="00E27BC8"/>
    <w:rsid w:val="00E27FF0"/>
    <w:rsid w:val="00E3001B"/>
    <w:rsid w:val="00E304F6"/>
    <w:rsid w:val="00E3095B"/>
    <w:rsid w:val="00E30976"/>
    <w:rsid w:val="00E30E0D"/>
    <w:rsid w:val="00E30EF7"/>
    <w:rsid w:val="00E30F9B"/>
    <w:rsid w:val="00E311FD"/>
    <w:rsid w:val="00E31216"/>
    <w:rsid w:val="00E31615"/>
    <w:rsid w:val="00E31682"/>
    <w:rsid w:val="00E318D2"/>
    <w:rsid w:val="00E31E6E"/>
    <w:rsid w:val="00E31E89"/>
    <w:rsid w:val="00E31EB3"/>
    <w:rsid w:val="00E31FCF"/>
    <w:rsid w:val="00E32187"/>
    <w:rsid w:val="00E3219F"/>
    <w:rsid w:val="00E32263"/>
    <w:rsid w:val="00E32446"/>
    <w:rsid w:val="00E32602"/>
    <w:rsid w:val="00E3275B"/>
    <w:rsid w:val="00E32775"/>
    <w:rsid w:val="00E328B9"/>
    <w:rsid w:val="00E3297A"/>
    <w:rsid w:val="00E32A0D"/>
    <w:rsid w:val="00E32D7C"/>
    <w:rsid w:val="00E331BF"/>
    <w:rsid w:val="00E335BE"/>
    <w:rsid w:val="00E337D3"/>
    <w:rsid w:val="00E33D44"/>
    <w:rsid w:val="00E3412A"/>
    <w:rsid w:val="00E343A6"/>
    <w:rsid w:val="00E34733"/>
    <w:rsid w:val="00E349C0"/>
    <w:rsid w:val="00E34C33"/>
    <w:rsid w:val="00E34D2C"/>
    <w:rsid w:val="00E34D73"/>
    <w:rsid w:val="00E350FA"/>
    <w:rsid w:val="00E3514A"/>
    <w:rsid w:val="00E35205"/>
    <w:rsid w:val="00E3524B"/>
    <w:rsid w:val="00E354FA"/>
    <w:rsid w:val="00E35530"/>
    <w:rsid w:val="00E356FA"/>
    <w:rsid w:val="00E35876"/>
    <w:rsid w:val="00E35C23"/>
    <w:rsid w:val="00E35D61"/>
    <w:rsid w:val="00E364B8"/>
    <w:rsid w:val="00E36516"/>
    <w:rsid w:val="00E36BC8"/>
    <w:rsid w:val="00E36C13"/>
    <w:rsid w:val="00E36E4A"/>
    <w:rsid w:val="00E36FD8"/>
    <w:rsid w:val="00E3710D"/>
    <w:rsid w:val="00E3744E"/>
    <w:rsid w:val="00E374CB"/>
    <w:rsid w:val="00E3750B"/>
    <w:rsid w:val="00E37699"/>
    <w:rsid w:val="00E37848"/>
    <w:rsid w:val="00E379DF"/>
    <w:rsid w:val="00E37B0D"/>
    <w:rsid w:val="00E37B4D"/>
    <w:rsid w:val="00E37B54"/>
    <w:rsid w:val="00E4010C"/>
    <w:rsid w:val="00E4053A"/>
    <w:rsid w:val="00E409E5"/>
    <w:rsid w:val="00E40E03"/>
    <w:rsid w:val="00E40FC8"/>
    <w:rsid w:val="00E41122"/>
    <w:rsid w:val="00E4114C"/>
    <w:rsid w:val="00E41174"/>
    <w:rsid w:val="00E4118F"/>
    <w:rsid w:val="00E41191"/>
    <w:rsid w:val="00E4151F"/>
    <w:rsid w:val="00E41888"/>
    <w:rsid w:val="00E419A5"/>
    <w:rsid w:val="00E41EBD"/>
    <w:rsid w:val="00E41FA4"/>
    <w:rsid w:val="00E420C8"/>
    <w:rsid w:val="00E4226C"/>
    <w:rsid w:val="00E423F5"/>
    <w:rsid w:val="00E424C7"/>
    <w:rsid w:val="00E424F2"/>
    <w:rsid w:val="00E42681"/>
    <w:rsid w:val="00E428BE"/>
    <w:rsid w:val="00E42983"/>
    <w:rsid w:val="00E42992"/>
    <w:rsid w:val="00E42A55"/>
    <w:rsid w:val="00E42CB6"/>
    <w:rsid w:val="00E42F7D"/>
    <w:rsid w:val="00E43C58"/>
    <w:rsid w:val="00E43D15"/>
    <w:rsid w:val="00E43F4A"/>
    <w:rsid w:val="00E44279"/>
    <w:rsid w:val="00E447DB"/>
    <w:rsid w:val="00E44D4F"/>
    <w:rsid w:val="00E44D91"/>
    <w:rsid w:val="00E44E15"/>
    <w:rsid w:val="00E44FFA"/>
    <w:rsid w:val="00E458C7"/>
    <w:rsid w:val="00E45A88"/>
    <w:rsid w:val="00E45C14"/>
    <w:rsid w:val="00E45FF7"/>
    <w:rsid w:val="00E462C9"/>
    <w:rsid w:val="00E463D3"/>
    <w:rsid w:val="00E46864"/>
    <w:rsid w:val="00E468A6"/>
    <w:rsid w:val="00E46AB4"/>
    <w:rsid w:val="00E46DF2"/>
    <w:rsid w:val="00E46FEA"/>
    <w:rsid w:val="00E4708B"/>
    <w:rsid w:val="00E4737F"/>
    <w:rsid w:val="00E473E7"/>
    <w:rsid w:val="00E47517"/>
    <w:rsid w:val="00E476D0"/>
    <w:rsid w:val="00E4786C"/>
    <w:rsid w:val="00E47AAB"/>
    <w:rsid w:val="00E47C96"/>
    <w:rsid w:val="00E505C7"/>
    <w:rsid w:val="00E50609"/>
    <w:rsid w:val="00E50668"/>
    <w:rsid w:val="00E50671"/>
    <w:rsid w:val="00E506C6"/>
    <w:rsid w:val="00E50845"/>
    <w:rsid w:val="00E50A39"/>
    <w:rsid w:val="00E50B30"/>
    <w:rsid w:val="00E50D2C"/>
    <w:rsid w:val="00E50FFE"/>
    <w:rsid w:val="00E5138D"/>
    <w:rsid w:val="00E51439"/>
    <w:rsid w:val="00E51635"/>
    <w:rsid w:val="00E516CA"/>
    <w:rsid w:val="00E517CC"/>
    <w:rsid w:val="00E517D3"/>
    <w:rsid w:val="00E519F7"/>
    <w:rsid w:val="00E51BAC"/>
    <w:rsid w:val="00E51C26"/>
    <w:rsid w:val="00E51CB4"/>
    <w:rsid w:val="00E5223B"/>
    <w:rsid w:val="00E52283"/>
    <w:rsid w:val="00E52475"/>
    <w:rsid w:val="00E52564"/>
    <w:rsid w:val="00E52638"/>
    <w:rsid w:val="00E528A3"/>
    <w:rsid w:val="00E52B1B"/>
    <w:rsid w:val="00E52C5B"/>
    <w:rsid w:val="00E52DE4"/>
    <w:rsid w:val="00E53066"/>
    <w:rsid w:val="00E53080"/>
    <w:rsid w:val="00E53378"/>
    <w:rsid w:val="00E5339B"/>
    <w:rsid w:val="00E53687"/>
    <w:rsid w:val="00E53A64"/>
    <w:rsid w:val="00E53B10"/>
    <w:rsid w:val="00E53B77"/>
    <w:rsid w:val="00E53BAD"/>
    <w:rsid w:val="00E53C15"/>
    <w:rsid w:val="00E53D9E"/>
    <w:rsid w:val="00E53DDD"/>
    <w:rsid w:val="00E54017"/>
    <w:rsid w:val="00E54163"/>
    <w:rsid w:val="00E5432B"/>
    <w:rsid w:val="00E545BA"/>
    <w:rsid w:val="00E5464B"/>
    <w:rsid w:val="00E5492B"/>
    <w:rsid w:val="00E549B6"/>
    <w:rsid w:val="00E549C4"/>
    <w:rsid w:val="00E54C8D"/>
    <w:rsid w:val="00E54E35"/>
    <w:rsid w:val="00E550FA"/>
    <w:rsid w:val="00E55418"/>
    <w:rsid w:val="00E555A5"/>
    <w:rsid w:val="00E556F8"/>
    <w:rsid w:val="00E55769"/>
    <w:rsid w:val="00E558BD"/>
    <w:rsid w:val="00E55BB8"/>
    <w:rsid w:val="00E55C33"/>
    <w:rsid w:val="00E55C8D"/>
    <w:rsid w:val="00E55EF3"/>
    <w:rsid w:val="00E5633E"/>
    <w:rsid w:val="00E56417"/>
    <w:rsid w:val="00E566AB"/>
    <w:rsid w:val="00E566DC"/>
    <w:rsid w:val="00E56763"/>
    <w:rsid w:val="00E5680D"/>
    <w:rsid w:val="00E568E1"/>
    <w:rsid w:val="00E56A1F"/>
    <w:rsid w:val="00E56B26"/>
    <w:rsid w:val="00E56CF5"/>
    <w:rsid w:val="00E56E9A"/>
    <w:rsid w:val="00E56F10"/>
    <w:rsid w:val="00E57027"/>
    <w:rsid w:val="00E57233"/>
    <w:rsid w:val="00E573A9"/>
    <w:rsid w:val="00E573CA"/>
    <w:rsid w:val="00E57551"/>
    <w:rsid w:val="00E57600"/>
    <w:rsid w:val="00E576A2"/>
    <w:rsid w:val="00E57761"/>
    <w:rsid w:val="00E57786"/>
    <w:rsid w:val="00E578FD"/>
    <w:rsid w:val="00E57A51"/>
    <w:rsid w:val="00E57CCA"/>
    <w:rsid w:val="00E57F9B"/>
    <w:rsid w:val="00E6013D"/>
    <w:rsid w:val="00E603DA"/>
    <w:rsid w:val="00E6042B"/>
    <w:rsid w:val="00E604B3"/>
    <w:rsid w:val="00E6055A"/>
    <w:rsid w:val="00E60A0F"/>
    <w:rsid w:val="00E60B5B"/>
    <w:rsid w:val="00E60BAC"/>
    <w:rsid w:val="00E615B5"/>
    <w:rsid w:val="00E61688"/>
    <w:rsid w:val="00E616B3"/>
    <w:rsid w:val="00E61833"/>
    <w:rsid w:val="00E61CB0"/>
    <w:rsid w:val="00E61D55"/>
    <w:rsid w:val="00E61F44"/>
    <w:rsid w:val="00E6203D"/>
    <w:rsid w:val="00E620F5"/>
    <w:rsid w:val="00E62127"/>
    <w:rsid w:val="00E62314"/>
    <w:rsid w:val="00E62323"/>
    <w:rsid w:val="00E623C2"/>
    <w:rsid w:val="00E623FF"/>
    <w:rsid w:val="00E62598"/>
    <w:rsid w:val="00E625B6"/>
    <w:rsid w:val="00E62614"/>
    <w:rsid w:val="00E626DC"/>
    <w:rsid w:val="00E62764"/>
    <w:rsid w:val="00E62ACD"/>
    <w:rsid w:val="00E62BB6"/>
    <w:rsid w:val="00E62CB0"/>
    <w:rsid w:val="00E62E2F"/>
    <w:rsid w:val="00E63060"/>
    <w:rsid w:val="00E630FE"/>
    <w:rsid w:val="00E6325D"/>
    <w:rsid w:val="00E63485"/>
    <w:rsid w:val="00E6348F"/>
    <w:rsid w:val="00E635A6"/>
    <w:rsid w:val="00E636E2"/>
    <w:rsid w:val="00E6393C"/>
    <w:rsid w:val="00E63B7F"/>
    <w:rsid w:val="00E63E48"/>
    <w:rsid w:val="00E63E54"/>
    <w:rsid w:val="00E64635"/>
    <w:rsid w:val="00E6470B"/>
    <w:rsid w:val="00E64887"/>
    <w:rsid w:val="00E64994"/>
    <w:rsid w:val="00E64EC2"/>
    <w:rsid w:val="00E64F1D"/>
    <w:rsid w:val="00E64F77"/>
    <w:rsid w:val="00E6502B"/>
    <w:rsid w:val="00E65080"/>
    <w:rsid w:val="00E65448"/>
    <w:rsid w:val="00E65722"/>
    <w:rsid w:val="00E65727"/>
    <w:rsid w:val="00E6577C"/>
    <w:rsid w:val="00E65B90"/>
    <w:rsid w:val="00E65C7A"/>
    <w:rsid w:val="00E65FDC"/>
    <w:rsid w:val="00E66139"/>
    <w:rsid w:val="00E661D4"/>
    <w:rsid w:val="00E662C4"/>
    <w:rsid w:val="00E663DF"/>
    <w:rsid w:val="00E663E9"/>
    <w:rsid w:val="00E6641D"/>
    <w:rsid w:val="00E666E6"/>
    <w:rsid w:val="00E6694F"/>
    <w:rsid w:val="00E669DB"/>
    <w:rsid w:val="00E67044"/>
    <w:rsid w:val="00E6711D"/>
    <w:rsid w:val="00E67323"/>
    <w:rsid w:val="00E6757F"/>
    <w:rsid w:val="00E6762E"/>
    <w:rsid w:val="00E678B8"/>
    <w:rsid w:val="00E67C2C"/>
    <w:rsid w:val="00E67CB2"/>
    <w:rsid w:val="00E7006B"/>
    <w:rsid w:val="00E701F3"/>
    <w:rsid w:val="00E7020F"/>
    <w:rsid w:val="00E703A1"/>
    <w:rsid w:val="00E709C1"/>
    <w:rsid w:val="00E70A1D"/>
    <w:rsid w:val="00E70AB3"/>
    <w:rsid w:val="00E70B22"/>
    <w:rsid w:val="00E70B61"/>
    <w:rsid w:val="00E70B6C"/>
    <w:rsid w:val="00E70BFF"/>
    <w:rsid w:val="00E70CDE"/>
    <w:rsid w:val="00E70D68"/>
    <w:rsid w:val="00E70E84"/>
    <w:rsid w:val="00E7107D"/>
    <w:rsid w:val="00E710BB"/>
    <w:rsid w:val="00E71151"/>
    <w:rsid w:val="00E71329"/>
    <w:rsid w:val="00E7153F"/>
    <w:rsid w:val="00E7182C"/>
    <w:rsid w:val="00E71849"/>
    <w:rsid w:val="00E71A09"/>
    <w:rsid w:val="00E71A97"/>
    <w:rsid w:val="00E71B0A"/>
    <w:rsid w:val="00E71BF2"/>
    <w:rsid w:val="00E71C45"/>
    <w:rsid w:val="00E720DD"/>
    <w:rsid w:val="00E722A9"/>
    <w:rsid w:val="00E72588"/>
    <w:rsid w:val="00E725B4"/>
    <w:rsid w:val="00E729BE"/>
    <w:rsid w:val="00E729F6"/>
    <w:rsid w:val="00E72ACA"/>
    <w:rsid w:val="00E72ACB"/>
    <w:rsid w:val="00E72C45"/>
    <w:rsid w:val="00E72D8D"/>
    <w:rsid w:val="00E72E1B"/>
    <w:rsid w:val="00E73061"/>
    <w:rsid w:val="00E730DC"/>
    <w:rsid w:val="00E7316E"/>
    <w:rsid w:val="00E732FA"/>
    <w:rsid w:val="00E7342B"/>
    <w:rsid w:val="00E73657"/>
    <w:rsid w:val="00E73936"/>
    <w:rsid w:val="00E739E4"/>
    <w:rsid w:val="00E73A3D"/>
    <w:rsid w:val="00E73CC1"/>
    <w:rsid w:val="00E73E06"/>
    <w:rsid w:val="00E73F0A"/>
    <w:rsid w:val="00E73F54"/>
    <w:rsid w:val="00E74393"/>
    <w:rsid w:val="00E7446D"/>
    <w:rsid w:val="00E745D5"/>
    <w:rsid w:val="00E74643"/>
    <w:rsid w:val="00E7466B"/>
    <w:rsid w:val="00E7497D"/>
    <w:rsid w:val="00E74A39"/>
    <w:rsid w:val="00E74AE3"/>
    <w:rsid w:val="00E74BBC"/>
    <w:rsid w:val="00E74DB5"/>
    <w:rsid w:val="00E7520D"/>
    <w:rsid w:val="00E7540F"/>
    <w:rsid w:val="00E757B3"/>
    <w:rsid w:val="00E7592C"/>
    <w:rsid w:val="00E75CBA"/>
    <w:rsid w:val="00E75F86"/>
    <w:rsid w:val="00E76493"/>
    <w:rsid w:val="00E7654D"/>
    <w:rsid w:val="00E7656F"/>
    <w:rsid w:val="00E76991"/>
    <w:rsid w:val="00E76AE7"/>
    <w:rsid w:val="00E76C86"/>
    <w:rsid w:val="00E76F8A"/>
    <w:rsid w:val="00E77151"/>
    <w:rsid w:val="00E7734F"/>
    <w:rsid w:val="00E7739A"/>
    <w:rsid w:val="00E77491"/>
    <w:rsid w:val="00E77580"/>
    <w:rsid w:val="00E778F9"/>
    <w:rsid w:val="00E778FB"/>
    <w:rsid w:val="00E779F1"/>
    <w:rsid w:val="00E77A41"/>
    <w:rsid w:val="00E77D00"/>
    <w:rsid w:val="00E8046A"/>
    <w:rsid w:val="00E80828"/>
    <w:rsid w:val="00E81191"/>
    <w:rsid w:val="00E812A7"/>
    <w:rsid w:val="00E81680"/>
    <w:rsid w:val="00E817B9"/>
    <w:rsid w:val="00E81982"/>
    <w:rsid w:val="00E81A64"/>
    <w:rsid w:val="00E81D87"/>
    <w:rsid w:val="00E81E67"/>
    <w:rsid w:val="00E82014"/>
    <w:rsid w:val="00E823D6"/>
    <w:rsid w:val="00E82522"/>
    <w:rsid w:val="00E82653"/>
    <w:rsid w:val="00E826BD"/>
    <w:rsid w:val="00E826FF"/>
    <w:rsid w:val="00E82B62"/>
    <w:rsid w:val="00E82EFD"/>
    <w:rsid w:val="00E8303A"/>
    <w:rsid w:val="00E830B1"/>
    <w:rsid w:val="00E832E9"/>
    <w:rsid w:val="00E8351C"/>
    <w:rsid w:val="00E83634"/>
    <w:rsid w:val="00E838D5"/>
    <w:rsid w:val="00E838F3"/>
    <w:rsid w:val="00E83908"/>
    <w:rsid w:val="00E839E8"/>
    <w:rsid w:val="00E83B81"/>
    <w:rsid w:val="00E83EA1"/>
    <w:rsid w:val="00E83F0E"/>
    <w:rsid w:val="00E83F12"/>
    <w:rsid w:val="00E84296"/>
    <w:rsid w:val="00E846BA"/>
    <w:rsid w:val="00E84917"/>
    <w:rsid w:val="00E84A28"/>
    <w:rsid w:val="00E84B8F"/>
    <w:rsid w:val="00E84C22"/>
    <w:rsid w:val="00E84F0B"/>
    <w:rsid w:val="00E8501E"/>
    <w:rsid w:val="00E85218"/>
    <w:rsid w:val="00E8540C"/>
    <w:rsid w:val="00E854B5"/>
    <w:rsid w:val="00E85830"/>
    <w:rsid w:val="00E85884"/>
    <w:rsid w:val="00E858F5"/>
    <w:rsid w:val="00E859F2"/>
    <w:rsid w:val="00E85FAC"/>
    <w:rsid w:val="00E8616C"/>
    <w:rsid w:val="00E86232"/>
    <w:rsid w:val="00E8626D"/>
    <w:rsid w:val="00E8653F"/>
    <w:rsid w:val="00E868C2"/>
    <w:rsid w:val="00E868C7"/>
    <w:rsid w:val="00E869A2"/>
    <w:rsid w:val="00E869CF"/>
    <w:rsid w:val="00E86C91"/>
    <w:rsid w:val="00E871AD"/>
    <w:rsid w:val="00E8747F"/>
    <w:rsid w:val="00E87605"/>
    <w:rsid w:val="00E877BA"/>
    <w:rsid w:val="00E877EB"/>
    <w:rsid w:val="00E87A19"/>
    <w:rsid w:val="00E90016"/>
    <w:rsid w:val="00E9002A"/>
    <w:rsid w:val="00E900E8"/>
    <w:rsid w:val="00E9039D"/>
    <w:rsid w:val="00E90448"/>
    <w:rsid w:val="00E90654"/>
    <w:rsid w:val="00E906D2"/>
    <w:rsid w:val="00E9076A"/>
    <w:rsid w:val="00E90896"/>
    <w:rsid w:val="00E908D6"/>
    <w:rsid w:val="00E90B1A"/>
    <w:rsid w:val="00E90D70"/>
    <w:rsid w:val="00E91053"/>
    <w:rsid w:val="00E916A8"/>
    <w:rsid w:val="00E916F9"/>
    <w:rsid w:val="00E91B53"/>
    <w:rsid w:val="00E91EA9"/>
    <w:rsid w:val="00E91FA8"/>
    <w:rsid w:val="00E91FFC"/>
    <w:rsid w:val="00E922B8"/>
    <w:rsid w:val="00E9234D"/>
    <w:rsid w:val="00E9246D"/>
    <w:rsid w:val="00E924E3"/>
    <w:rsid w:val="00E9284A"/>
    <w:rsid w:val="00E928B6"/>
    <w:rsid w:val="00E92A00"/>
    <w:rsid w:val="00E92BD4"/>
    <w:rsid w:val="00E931B0"/>
    <w:rsid w:val="00E93207"/>
    <w:rsid w:val="00E9350D"/>
    <w:rsid w:val="00E93671"/>
    <w:rsid w:val="00E9386E"/>
    <w:rsid w:val="00E93B36"/>
    <w:rsid w:val="00E93DB6"/>
    <w:rsid w:val="00E93E6B"/>
    <w:rsid w:val="00E93FB5"/>
    <w:rsid w:val="00E94262"/>
    <w:rsid w:val="00E94382"/>
    <w:rsid w:val="00E943C0"/>
    <w:rsid w:val="00E94812"/>
    <w:rsid w:val="00E949AE"/>
    <w:rsid w:val="00E94E59"/>
    <w:rsid w:val="00E94F99"/>
    <w:rsid w:val="00E95081"/>
    <w:rsid w:val="00E95103"/>
    <w:rsid w:val="00E951A0"/>
    <w:rsid w:val="00E95202"/>
    <w:rsid w:val="00E95253"/>
    <w:rsid w:val="00E95357"/>
    <w:rsid w:val="00E953EE"/>
    <w:rsid w:val="00E9553D"/>
    <w:rsid w:val="00E95631"/>
    <w:rsid w:val="00E956EA"/>
    <w:rsid w:val="00E957C1"/>
    <w:rsid w:val="00E95ACC"/>
    <w:rsid w:val="00E95B1C"/>
    <w:rsid w:val="00E95CD8"/>
    <w:rsid w:val="00E96070"/>
    <w:rsid w:val="00E960D2"/>
    <w:rsid w:val="00E961E6"/>
    <w:rsid w:val="00E96405"/>
    <w:rsid w:val="00E964CD"/>
    <w:rsid w:val="00E96739"/>
    <w:rsid w:val="00E968A6"/>
    <w:rsid w:val="00E96957"/>
    <w:rsid w:val="00E96AC3"/>
    <w:rsid w:val="00E96B23"/>
    <w:rsid w:val="00E96D73"/>
    <w:rsid w:val="00E97476"/>
    <w:rsid w:val="00E97566"/>
    <w:rsid w:val="00E97642"/>
    <w:rsid w:val="00E9797A"/>
    <w:rsid w:val="00E979A9"/>
    <w:rsid w:val="00E97B7D"/>
    <w:rsid w:val="00E97F2B"/>
    <w:rsid w:val="00EA01CE"/>
    <w:rsid w:val="00EA03C1"/>
    <w:rsid w:val="00EA0428"/>
    <w:rsid w:val="00EA059F"/>
    <w:rsid w:val="00EA0830"/>
    <w:rsid w:val="00EA096F"/>
    <w:rsid w:val="00EA0A53"/>
    <w:rsid w:val="00EA0AA6"/>
    <w:rsid w:val="00EA0B99"/>
    <w:rsid w:val="00EA0BD7"/>
    <w:rsid w:val="00EA0D82"/>
    <w:rsid w:val="00EA1749"/>
    <w:rsid w:val="00EA1D03"/>
    <w:rsid w:val="00EA1DC0"/>
    <w:rsid w:val="00EA1F2E"/>
    <w:rsid w:val="00EA20E9"/>
    <w:rsid w:val="00EA210B"/>
    <w:rsid w:val="00EA24F9"/>
    <w:rsid w:val="00EA2602"/>
    <w:rsid w:val="00EA2844"/>
    <w:rsid w:val="00EA2AC9"/>
    <w:rsid w:val="00EA2AF3"/>
    <w:rsid w:val="00EA2C54"/>
    <w:rsid w:val="00EA2E49"/>
    <w:rsid w:val="00EA2F69"/>
    <w:rsid w:val="00EA300E"/>
    <w:rsid w:val="00EA3023"/>
    <w:rsid w:val="00EA37D9"/>
    <w:rsid w:val="00EA3913"/>
    <w:rsid w:val="00EA3A58"/>
    <w:rsid w:val="00EA3AA0"/>
    <w:rsid w:val="00EA3DB3"/>
    <w:rsid w:val="00EA3E14"/>
    <w:rsid w:val="00EA3ED1"/>
    <w:rsid w:val="00EA429B"/>
    <w:rsid w:val="00EA42FB"/>
    <w:rsid w:val="00EA4395"/>
    <w:rsid w:val="00EA4415"/>
    <w:rsid w:val="00EA4455"/>
    <w:rsid w:val="00EA44EB"/>
    <w:rsid w:val="00EA4729"/>
    <w:rsid w:val="00EA483B"/>
    <w:rsid w:val="00EA4C29"/>
    <w:rsid w:val="00EA4CCB"/>
    <w:rsid w:val="00EA515E"/>
    <w:rsid w:val="00EA52DB"/>
    <w:rsid w:val="00EA5410"/>
    <w:rsid w:val="00EA5442"/>
    <w:rsid w:val="00EA56E2"/>
    <w:rsid w:val="00EA578A"/>
    <w:rsid w:val="00EA5954"/>
    <w:rsid w:val="00EA5BEA"/>
    <w:rsid w:val="00EA5CC1"/>
    <w:rsid w:val="00EA5D06"/>
    <w:rsid w:val="00EA5E4C"/>
    <w:rsid w:val="00EA6385"/>
    <w:rsid w:val="00EA6440"/>
    <w:rsid w:val="00EA6774"/>
    <w:rsid w:val="00EA67F2"/>
    <w:rsid w:val="00EA69E7"/>
    <w:rsid w:val="00EA6A90"/>
    <w:rsid w:val="00EA6B74"/>
    <w:rsid w:val="00EA6DE9"/>
    <w:rsid w:val="00EA6EBC"/>
    <w:rsid w:val="00EA6FD2"/>
    <w:rsid w:val="00EA7202"/>
    <w:rsid w:val="00EA76BF"/>
    <w:rsid w:val="00EA7737"/>
    <w:rsid w:val="00EA7B34"/>
    <w:rsid w:val="00EA7B79"/>
    <w:rsid w:val="00EA7BC8"/>
    <w:rsid w:val="00EA7CAB"/>
    <w:rsid w:val="00EA7CBA"/>
    <w:rsid w:val="00EB0229"/>
    <w:rsid w:val="00EB040E"/>
    <w:rsid w:val="00EB04ED"/>
    <w:rsid w:val="00EB05F2"/>
    <w:rsid w:val="00EB09E7"/>
    <w:rsid w:val="00EB0AD2"/>
    <w:rsid w:val="00EB0BAF"/>
    <w:rsid w:val="00EB0C3D"/>
    <w:rsid w:val="00EB0F07"/>
    <w:rsid w:val="00EB1285"/>
    <w:rsid w:val="00EB131E"/>
    <w:rsid w:val="00EB162B"/>
    <w:rsid w:val="00EB185A"/>
    <w:rsid w:val="00EB18CF"/>
    <w:rsid w:val="00EB1C50"/>
    <w:rsid w:val="00EB1CC2"/>
    <w:rsid w:val="00EB1D5F"/>
    <w:rsid w:val="00EB1EB7"/>
    <w:rsid w:val="00EB20D0"/>
    <w:rsid w:val="00EB253C"/>
    <w:rsid w:val="00EB2685"/>
    <w:rsid w:val="00EB2A85"/>
    <w:rsid w:val="00EB2A9B"/>
    <w:rsid w:val="00EB2D1D"/>
    <w:rsid w:val="00EB2E69"/>
    <w:rsid w:val="00EB302A"/>
    <w:rsid w:val="00EB3083"/>
    <w:rsid w:val="00EB321D"/>
    <w:rsid w:val="00EB3282"/>
    <w:rsid w:val="00EB38D1"/>
    <w:rsid w:val="00EB3C48"/>
    <w:rsid w:val="00EB3D6F"/>
    <w:rsid w:val="00EB4176"/>
    <w:rsid w:val="00EB4218"/>
    <w:rsid w:val="00EB4257"/>
    <w:rsid w:val="00EB42FF"/>
    <w:rsid w:val="00EB4734"/>
    <w:rsid w:val="00EB473C"/>
    <w:rsid w:val="00EB4778"/>
    <w:rsid w:val="00EB4A12"/>
    <w:rsid w:val="00EB4C33"/>
    <w:rsid w:val="00EB4F15"/>
    <w:rsid w:val="00EB5268"/>
    <w:rsid w:val="00EB5439"/>
    <w:rsid w:val="00EB5CAC"/>
    <w:rsid w:val="00EB5E3C"/>
    <w:rsid w:val="00EB5FA5"/>
    <w:rsid w:val="00EB624F"/>
    <w:rsid w:val="00EB66FE"/>
    <w:rsid w:val="00EB674B"/>
    <w:rsid w:val="00EB70BE"/>
    <w:rsid w:val="00EB70DF"/>
    <w:rsid w:val="00EB7881"/>
    <w:rsid w:val="00EB7CC2"/>
    <w:rsid w:val="00EB7F29"/>
    <w:rsid w:val="00EC0299"/>
    <w:rsid w:val="00EC03DD"/>
    <w:rsid w:val="00EC042A"/>
    <w:rsid w:val="00EC0578"/>
    <w:rsid w:val="00EC059D"/>
    <w:rsid w:val="00EC07A0"/>
    <w:rsid w:val="00EC07B2"/>
    <w:rsid w:val="00EC0844"/>
    <w:rsid w:val="00EC0B56"/>
    <w:rsid w:val="00EC0C0E"/>
    <w:rsid w:val="00EC0EC0"/>
    <w:rsid w:val="00EC1003"/>
    <w:rsid w:val="00EC1017"/>
    <w:rsid w:val="00EC11B3"/>
    <w:rsid w:val="00EC1460"/>
    <w:rsid w:val="00EC1517"/>
    <w:rsid w:val="00EC15DC"/>
    <w:rsid w:val="00EC1611"/>
    <w:rsid w:val="00EC1709"/>
    <w:rsid w:val="00EC1923"/>
    <w:rsid w:val="00EC1A09"/>
    <w:rsid w:val="00EC1ADE"/>
    <w:rsid w:val="00EC1BF0"/>
    <w:rsid w:val="00EC1D96"/>
    <w:rsid w:val="00EC1DE5"/>
    <w:rsid w:val="00EC1F9B"/>
    <w:rsid w:val="00EC2265"/>
    <w:rsid w:val="00EC2405"/>
    <w:rsid w:val="00EC2511"/>
    <w:rsid w:val="00EC2610"/>
    <w:rsid w:val="00EC28E7"/>
    <w:rsid w:val="00EC29EC"/>
    <w:rsid w:val="00EC3155"/>
    <w:rsid w:val="00EC3210"/>
    <w:rsid w:val="00EC32E1"/>
    <w:rsid w:val="00EC333D"/>
    <w:rsid w:val="00EC3455"/>
    <w:rsid w:val="00EC36D0"/>
    <w:rsid w:val="00EC3701"/>
    <w:rsid w:val="00EC3BBD"/>
    <w:rsid w:val="00EC3C76"/>
    <w:rsid w:val="00EC3D32"/>
    <w:rsid w:val="00EC40E3"/>
    <w:rsid w:val="00EC4335"/>
    <w:rsid w:val="00EC4537"/>
    <w:rsid w:val="00EC48B7"/>
    <w:rsid w:val="00EC4B79"/>
    <w:rsid w:val="00EC4DA9"/>
    <w:rsid w:val="00EC4EBD"/>
    <w:rsid w:val="00EC508C"/>
    <w:rsid w:val="00EC553B"/>
    <w:rsid w:val="00EC5588"/>
    <w:rsid w:val="00EC5627"/>
    <w:rsid w:val="00EC56E4"/>
    <w:rsid w:val="00EC588C"/>
    <w:rsid w:val="00EC5D7D"/>
    <w:rsid w:val="00EC6238"/>
    <w:rsid w:val="00EC6420"/>
    <w:rsid w:val="00EC6421"/>
    <w:rsid w:val="00EC677F"/>
    <w:rsid w:val="00EC6831"/>
    <w:rsid w:val="00EC6B2E"/>
    <w:rsid w:val="00EC6D9D"/>
    <w:rsid w:val="00EC7135"/>
    <w:rsid w:val="00EC7435"/>
    <w:rsid w:val="00EC7642"/>
    <w:rsid w:val="00EC77B0"/>
    <w:rsid w:val="00EC7A42"/>
    <w:rsid w:val="00EC7A9C"/>
    <w:rsid w:val="00EC7B71"/>
    <w:rsid w:val="00EC7C2C"/>
    <w:rsid w:val="00ED012E"/>
    <w:rsid w:val="00ED02D5"/>
    <w:rsid w:val="00ED053C"/>
    <w:rsid w:val="00ED0A30"/>
    <w:rsid w:val="00ED0C17"/>
    <w:rsid w:val="00ED0D16"/>
    <w:rsid w:val="00ED0ECB"/>
    <w:rsid w:val="00ED0F64"/>
    <w:rsid w:val="00ED133F"/>
    <w:rsid w:val="00ED1444"/>
    <w:rsid w:val="00ED1520"/>
    <w:rsid w:val="00ED16A3"/>
    <w:rsid w:val="00ED1933"/>
    <w:rsid w:val="00ED1B0A"/>
    <w:rsid w:val="00ED1B36"/>
    <w:rsid w:val="00ED1FAF"/>
    <w:rsid w:val="00ED1FC9"/>
    <w:rsid w:val="00ED2011"/>
    <w:rsid w:val="00ED211B"/>
    <w:rsid w:val="00ED2462"/>
    <w:rsid w:val="00ED2659"/>
    <w:rsid w:val="00ED274E"/>
    <w:rsid w:val="00ED291C"/>
    <w:rsid w:val="00ED2BCC"/>
    <w:rsid w:val="00ED2CD0"/>
    <w:rsid w:val="00ED2F8B"/>
    <w:rsid w:val="00ED31CC"/>
    <w:rsid w:val="00ED31E9"/>
    <w:rsid w:val="00ED34DA"/>
    <w:rsid w:val="00ED3526"/>
    <w:rsid w:val="00ED35B9"/>
    <w:rsid w:val="00ED3801"/>
    <w:rsid w:val="00ED38B7"/>
    <w:rsid w:val="00ED3A76"/>
    <w:rsid w:val="00ED3BBA"/>
    <w:rsid w:val="00ED3E76"/>
    <w:rsid w:val="00ED3EAD"/>
    <w:rsid w:val="00ED4171"/>
    <w:rsid w:val="00ED42F3"/>
    <w:rsid w:val="00ED4311"/>
    <w:rsid w:val="00ED460C"/>
    <w:rsid w:val="00ED4653"/>
    <w:rsid w:val="00ED474C"/>
    <w:rsid w:val="00ED496C"/>
    <w:rsid w:val="00ED4ABE"/>
    <w:rsid w:val="00ED4BD5"/>
    <w:rsid w:val="00ED4CA6"/>
    <w:rsid w:val="00ED4CC0"/>
    <w:rsid w:val="00ED4CF8"/>
    <w:rsid w:val="00ED4E38"/>
    <w:rsid w:val="00ED4EA9"/>
    <w:rsid w:val="00ED51A0"/>
    <w:rsid w:val="00ED55B4"/>
    <w:rsid w:val="00ED58FE"/>
    <w:rsid w:val="00ED590E"/>
    <w:rsid w:val="00ED5D08"/>
    <w:rsid w:val="00ED5ED9"/>
    <w:rsid w:val="00ED6034"/>
    <w:rsid w:val="00ED6066"/>
    <w:rsid w:val="00ED6169"/>
    <w:rsid w:val="00ED62CF"/>
    <w:rsid w:val="00ED656C"/>
    <w:rsid w:val="00ED65AB"/>
    <w:rsid w:val="00ED692E"/>
    <w:rsid w:val="00ED6A39"/>
    <w:rsid w:val="00ED6BAD"/>
    <w:rsid w:val="00ED6BDA"/>
    <w:rsid w:val="00ED6BF2"/>
    <w:rsid w:val="00ED6CE5"/>
    <w:rsid w:val="00ED6DF1"/>
    <w:rsid w:val="00ED6E19"/>
    <w:rsid w:val="00ED72F7"/>
    <w:rsid w:val="00ED7505"/>
    <w:rsid w:val="00ED7575"/>
    <w:rsid w:val="00ED795F"/>
    <w:rsid w:val="00ED7A43"/>
    <w:rsid w:val="00ED7BC5"/>
    <w:rsid w:val="00ED7C73"/>
    <w:rsid w:val="00ED7DE7"/>
    <w:rsid w:val="00ED7E03"/>
    <w:rsid w:val="00ED7E7D"/>
    <w:rsid w:val="00ED7F52"/>
    <w:rsid w:val="00EE027C"/>
    <w:rsid w:val="00EE037B"/>
    <w:rsid w:val="00EE03C0"/>
    <w:rsid w:val="00EE043B"/>
    <w:rsid w:val="00EE07F4"/>
    <w:rsid w:val="00EE0A4C"/>
    <w:rsid w:val="00EE0A89"/>
    <w:rsid w:val="00EE0B9E"/>
    <w:rsid w:val="00EE0DE5"/>
    <w:rsid w:val="00EE0E0C"/>
    <w:rsid w:val="00EE0EF0"/>
    <w:rsid w:val="00EE1125"/>
    <w:rsid w:val="00EE1171"/>
    <w:rsid w:val="00EE14B8"/>
    <w:rsid w:val="00EE15A9"/>
    <w:rsid w:val="00EE1CB3"/>
    <w:rsid w:val="00EE20CC"/>
    <w:rsid w:val="00EE270A"/>
    <w:rsid w:val="00EE2A9A"/>
    <w:rsid w:val="00EE2DC0"/>
    <w:rsid w:val="00EE2DF0"/>
    <w:rsid w:val="00EE2F0C"/>
    <w:rsid w:val="00EE2FEF"/>
    <w:rsid w:val="00EE3071"/>
    <w:rsid w:val="00EE319B"/>
    <w:rsid w:val="00EE31B7"/>
    <w:rsid w:val="00EE31E1"/>
    <w:rsid w:val="00EE3222"/>
    <w:rsid w:val="00EE33E1"/>
    <w:rsid w:val="00EE3478"/>
    <w:rsid w:val="00EE36E2"/>
    <w:rsid w:val="00EE38FA"/>
    <w:rsid w:val="00EE39CE"/>
    <w:rsid w:val="00EE40DB"/>
    <w:rsid w:val="00EE430D"/>
    <w:rsid w:val="00EE44A9"/>
    <w:rsid w:val="00EE458F"/>
    <w:rsid w:val="00EE4682"/>
    <w:rsid w:val="00EE4711"/>
    <w:rsid w:val="00EE476A"/>
    <w:rsid w:val="00EE4B83"/>
    <w:rsid w:val="00EE4C1D"/>
    <w:rsid w:val="00EE4F61"/>
    <w:rsid w:val="00EE4F87"/>
    <w:rsid w:val="00EE50E5"/>
    <w:rsid w:val="00EE50F2"/>
    <w:rsid w:val="00EE516D"/>
    <w:rsid w:val="00EE536F"/>
    <w:rsid w:val="00EE56F3"/>
    <w:rsid w:val="00EE572D"/>
    <w:rsid w:val="00EE58BA"/>
    <w:rsid w:val="00EE59A2"/>
    <w:rsid w:val="00EE59BB"/>
    <w:rsid w:val="00EE5A11"/>
    <w:rsid w:val="00EE5A45"/>
    <w:rsid w:val="00EE6696"/>
    <w:rsid w:val="00EE6968"/>
    <w:rsid w:val="00EE6BD9"/>
    <w:rsid w:val="00EE6C69"/>
    <w:rsid w:val="00EE6E07"/>
    <w:rsid w:val="00EE6E42"/>
    <w:rsid w:val="00EE70CF"/>
    <w:rsid w:val="00EE71D2"/>
    <w:rsid w:val="00EE71EC"/>
    <w:rsid w:val="00EE751B"/>
    <w:rsid w:val="00EE763A"/>
    <w:rsid w:val="00EE768E"/>
    <w:rsid w:val="00EE773D"/>
    <w:rsid w:val="00EE7808"/>
    <w:rsid w:val="00EE78D0"/>
    <w:rsid w:val="00EE7B15"/>
    <w:rsid w:val="00EE7BD8"/>
    <w:rsid w:val="00EE7C06"/>
    <w:rsid w:val="00EE7C68"/>
    <w:rsid w:val="00EE7C7B"/>
    <w:rsid w:val="00EE7C98"/>
    <w:rsid w:val="00EE7D4A"/>
    <w:rsid w:val="00EF0042"/>
    <w:rsid w:val="00EF01CF"/>
    <w:rsid w:val="00EF02A1"/>
    <w:rsid w:val="00EF08E2"/>
    <w:rsid w:val="00EF09A9"/>
    <w:rsid w:val="00EF0A6C"/>
    <w:rsid w:val="00EF0FD6"/>
    <w:rsid w:val="00EF10B8"/>
    <w:rsid w:val="00EF117E"/>
    <w:rsid w:val="00EF11DB"/>
    <w:rsid w:val="00EF1323"/>
    <w:rsid w:val="00EF15F9"/>
    <w:rsid w:val="00EF1B63"/>
    <w:rsid w:val="00EF1D8C"/>
    <w:rsid w:val="00EF1FB1"/>
    <w:rsid w:val="00EF21A0"/>
    <w:rsid w:val="00EF25A3"/>
    <w:rsid w:val="00EF2834"/>
    <w:rsid w:val="00EF2A82"/>
    <w:rsid w:val="00EF2B6F"/>
    <w:rsid w:val="00EF2BFD"/>
    <w:rsid w:val="00EF2C0B"/>
    <w:rsid w:val="00EF2D51"/>
    <w:rsid w:val="00EF3073"/>
    <w:rsid w:val="00EF30CF"/>
    <w:rsid w:val="00EF32B3"/>
    <w:rsid w:val="00EF3432"/>
    <w:rsid w:val="00EF34BD"/>
    <w:rsid w:val="00EF37FA"/>
    <w:rsid w:val="00EF38A0"/>
    <w:rsid w:val="00EF3DAB"/>
    <w:rsid w:val="00EF3E0C"/>
    <w:rsid w:val="00EF3FD7"/>
    <w:rsid w:val="00EF40DD"/>
    <w:rsid w:val="00EF454F"/>
    <w:rsid w:val="00EF46F7"/>
    <w:rsid w:val="00EF4ACE"/>
    <w:rsid w:val="00EF4BAE"/>
    <w:rsid w:val="00EF4CAD"/>
    <w:rsid w:val="00EF528C"/>
    <w:rsid w:val="00EF5294"/>
    <w:rsid w:val="00EF52C6"/>
    <w:rsid w:val="00EF52D4"/>
    <w:rsid w:val="00EF5545"/>
    <w:rsid w:val="00EF5790"/>
    <w:rsid w:val="00EF5795"/>
    <w:rsid w:val="00EF5AF4"/>
    <w:rsid w:val="00EF5B8F"/>
    <w:rsid w:val="00EF5CC9"/>
    <w:rsid w:val="00EF5D6A"/>
    <w:rsid w:val="00EF5D7A"/>
    <w:rsid w:val="00EF5DB3"/>
    <w:rsid w:val="00EF5F5D"/>
    <w:rsid w:val="00EF6195"/>
    <w:rsid w:val="00EF61B0"/>
    <w:rsid w:val="00EF6248"/>
    <w:rsid w:val="00EF6249"/>
    <w:rsid w:val="00EF630E"/>
    <w:rsid w:val="00EF6359"/>
    <w:rsid w:val="00EF6426"/>
    <w:rsid w:val="00EF66E9"/>
    <w:rsid w:val="00EF6891"/>
    <w:rsid w:val="00EF68F9"/>
    <w:rsid w:val="00EF6A37"/>
    <w:rsid w:val="00EF6AC2"/>
    <w:rsid w:val="00EF6B6E"/>
    <w:rsid w:val="00EF6C76"/>
    <w:rsid w:val="00EF6C90"/>
    <w:rsid w:val="00EF6F74"/>
    <w:rsid w:val="00EF7015"/>
    <w:rsid w:val="00EF71CB"/>
    <w:rsid w:val="00EF73D2"/>
    <w:rsid w:val="00EF74DD"/>
    <w:rsid w:val="00EF77D3"/>
    <w:rsid w:val="00EF7A63"/>
    <w:rsid w:val="00EF7C7D"/>
    <w:rsid w:val="00F00113"/>
    <w:rsid w:val="00F00527"/>
    <w:rsid w:val="00F0057D"/>
    <w:rsid w:val="00F005BA"/>
    <w:rsid w:val="00F0083C"/>
    <w:rsid w:val="00F008FF"/>
    <w:rsid w:val="00F00CA9"/>
    <w:rsid w:val="00F00D33"/>
    <w:rsid w:val="00F00F6D"/>
    <w:rsid w:val="00F01025"/>
    <w:rsid w:val="00F012CA"/>
    <w:rsid w:val="00F01468"/>
    <w:rsid w:val="00F01590"/>
    <w:rsid w:val="00F015AC"/>
    <w:rsid w:val="00F01832"/>
    <w:rsid w:val="00F0184A"/>
    <w:rsid w:val="00F01ADD"/>
    <w:rsid w:val="00F01B53"/>
    <w:rsid w:val="00F01C2F"/>
    <w:rsid w:val="00F01DDF"/>
    <w:rsid w:val="00F01E82"/>
    <w:rsid w:val="00F02108"/>
    <w:rsid w:val="00F0216E"/>
    <w:rsid w:val="00F021BE"/>
    <w:rsid w:val="00F02284"/>
    <w:rsid w:val="00F02318"/>
    <w:rsid w:val="00F02431"/>
    <w:rsid w:val="00F024C2"/>
    <w:rsid w:val="00F02512"/>
    <w:rsid w:val="00F02C18"/>
    <w:rsid w:val="00F02C69"/>
    <w:rsid w:val="00F02C7A"/>
    <w:rsid w:val="00F02CBF"/>
    <w:rsid w:val="00F03031"/>
    <w:rsid w:val="00F030BF"/>
    <w:rsid w:val="00F0320D"/>
    <w:rsid w:val="00F0330E"/>
    <w:rsid w:val="00F03401"/>
    <w:rsid w:val="00F03404"/>
    <w:rsid w:val="00F03426"/>
    <w:rsid w:val="00F037E1"/>
    <w:rsid w:val="00F03859"/>
    <w:rsid w:val="00F039CC"/>
    <w:rsid w:val="00F0418A"/>
    <w:rsid w:val="00F04271"/>
    <w:rsid w:val="00F04335"/>
    <w:rsid w:val="00F04805"/>
    <w:rsid w:val="00F04E32"/>
    <w:rsid w:val="00F04E9D"/>
    <w:rsid w:val="00F054A3"/>
    <w:rsid w:val="00F0556C"/>
    <w:rsid w:val="00F05950"/>
    <w:rsid w:val="00F05A56"/>
    <w:rsid w:val="00F05A99"/>
    <w:rsid w:val="00F05BB6"/>
    <w:rsid w:val="00F05CF3"/>
    <w:rsid w:val="00F05E19"/>
    <w:rsid w:val="00F062DC"/>
    <w:rsid w:val="00F0652A"/>
    <w:rsid w:val="00F06972"/>
    <w:rsid w:val="00F069A7"/>
    <w:rsid w:val="00F06AF3"/>
    <w:rsid w:val="00F06BC4"/>
    <w:rsid w:val="00F06F7D"/>
    <w:rsid w:val="00F07078"/>
    <w:rsid w:val="00F07219"/>
    <w:rsid w:val="00F0739A"/>
    <w:rsid w:val="00F0746C"/>
    <w:rsid w:val="00F07543"/>
    <w:rsid w:val="00F075CA"/>
    <w:rsid w:val="00F07624"/>
    <w:rsid w:val="00F07884"/>
    <w:rsid w:val="00F079C6"/>
    <w:rsid w:val="00F07C34"/>
    <w:rsid w:val="00F07F2C"/>
    <w:rsid w:val="00F100AC"/>
    <w:rsid w:val="00F1055F"/>
    <w:rsid w:val="00F10668"/>
    <w:rsid w:val="00F107B6"/>
    <w:rsid w:val="00F10836"/>
    <w:rsid w:val="00F10996"/>
    <w:rsid w:val="00F10C80"/>
    <w:rsid w:val="00F10CA1"/>
    <w:rsid w:val="00F10CF5"/>
    <w:rsid w:val="00F10ED0"/>
    <w:rsid w:val="00F10F16"/>
    <w:rsid w:val="00F10F92"/>
    <w:rsid w:val="00F11145"/>
    <w:rsid w:val="00F11685"/>
    <w:rsid w:val="00F11AA5"/>
    <w:rsid w:val="00F11AB3"/>
    <w:rsid w:val="00F11AF2"/>
    <w:rsid w:val="00F11BED"/>
    <w:rsid w:val="00F11E27"/>
    <w:rsid w:val="00F11E41"/>
    <w:rsid w:val="00F1223F"/>
    <w:rsid w:val="00F12402"/>
    <w:rsid w:val="00F1254D"/>
    <w:rsid w:val="00F12A67"/>
    <w:rsid w:val="00F12B7F"/>
    <w:rsid w:val="00F12BB6"/>
    <w:rsid w:val="00F12D60"/>
    <w:rsid w:val="00F12F70"/>
    <w:rsid w:val="00F131C6"/>
    <w:rsid w:val="00F135CD"/>
    <w:rsid w:val="00F13DAC"/>
    <w:rsid w:val="00F1404B"/>
    <w:rsid w:val="00F14612"/>
    <w:rsid w:val="00F14836"/>
    <w:rsid w:val="00F148F1"/>
    <w:rsid w:val="00F149E8"/>
    <w:rsid w:val="00F14B76"/>
    <w:rsid w:val="00F14C70"/>
    <w:rsid w:val="00F14E97"/>
    <w:rsid w:val="00F1505F"/>
    <w:rsid w:val="00F15668"/>
    <w:rsid w:val="00F15684"/>
    <w:rsid w:val="00F157D4"/>
    <w:rsid w:val="00F15B0E"/>
    <w:rsid w:val="00F15B51"/>
    <w:rsid w:val="00F16017"/>
    <w:rsid w:val="00F1601C"/>
    <w:rsid w:val="00F164F6"/>
    <w:rsid w:val="00F1688C"/>
    <w:rsid w:val="00F169D3"/>
    <w:rsid w:val="00F16ED8"/>
    <w:rsid w:val="00F16F92"/>
    <w:rsid w:val="00F170C3"/>
    <w:rsid w:val="00F1722D"/>
    <w:rsid w:val="00F1724A"/>
    <w:rsid w:val="00F172A4"/>
    <w:rsid w:val="00F175D9"/>
    <w:rsid w:val="00F17688"/>
    <w:rsid w:val="00F17B20"/>
    <w:rsid w:val="00F17C3A"/>
    <w:rsid w:val="00F17F51"/>
    <w:rsid w:val="00F2002F"/>
    <w:rsid w:val="00F200E4"/>
    <w:rsid w:val="00F202A1"/>
    <w:rsid w:val="00F20512"/>
    <w:rsid w:val="00F20683"/>
    <w:rsid w:val="00F20A6B"/>
    <w:rsid w:val="00F20CAF"/>
    <w:rsid w:val="00F20D08"/>
    <w:rsid w:val="00F21101"/>
    <w:rsid w:val="00F211FE"/>
    <w:rsid w:val="00F21379"/>
    <w:rsid w:val="00F21543"/>
    <w:rsid w:val="00F217E4"/>
    <w:rsid w:val="00F219F1"/>
    <w:rsid w:val="00F21DDE"/>
    <w:rsid w:val="00F21F8D"/>
    <w:rsid w:val="00F22050"/>
    <w:rsid w:val="00F22229"/>
    <w:rsid w:val="00F224B4"/>
    <w:rsid w:val="00F2270E"/>
    <w:rsid w:val="00F2271A"/>
    <w:rsid w:val="00F2273C"/>
    <w:rsid w:val="00F22884"/>
    <w:rsid w:val="00F228E1"/>
    <w:rsid w:val="00F22CF3"/>
    <w:rsid w:val="00F22DEA"/>
    <w:rsid w:val="00F22E84"/>
    <w:rsid w:val="00F2316F"/>
    <w:rsid w:val="00F2324C"/>
    <w:rsid w:val="00F232A7"/>
    <w:rsid w:val="00F23831"/>
    <w:rsid w:val="00F23B36"/>
    <w:rsid w:val="00F23C61"/>
    <w:rsid w:val="00F23CBE"/>
    <w:rsid w:val="00F23D30"/>
    <w:rsid w:val="00F23D3B"/>
    <w:rsid w:val="00F23D5C"/>
    <w:rsid w:val="00F23F5A"/>
    <w:rsid w:val="00F23F90"/>
    <w:rsid w:val="00F244E0"/>
    <w:rsid w:val="00F24518"/>
    <w:rsid w:val="00F247BD"/>
    <w:rsid w:val="00F2483D"/>
    <w:rsid w:val="00F24899"/>
    <w:rsid w:val="00F24A08"/>
    <w:rsid w:val="00F24BA8"/>
    <w:rsid w:val="00F24C72"/>
    <w:rsid w:val="00F24E57"/>
    <w:rsid w:val="00F24E61"/>
    <w:rsid w:val="00F24FF5"/>
    <w:rsid w:val="00F25175"/>
    <w:rsid w:val="00F252F8"/>
    <w:rsid w:val="00F255E7"/>
    <w:rsid w:val="00F255FB"/>
    <w:rsid w:val="00F256DD"/>
    <w:rsid w:val="00F258BF"/>
    <w:rsid w:val="00F25968"/>
    <w:rsid w:val="00F25B3E"/>
    <w:rsid w:val="00F25CD6"/>
    <w:rsid w:val="00F25CF5"/>
    <w:rsid w:val="00F25D97"/>
    <w:rsid w:val="00F25F14"/>
    <w:rsid w:val="00F25FD8"/>
    <w:rsid w:val="00F25FE0"/>
    <w:rsid w:val="00F26062"/>
    <w:rsid w:val="00F26250"/>
    <w:rsid w:val="00F26470"/>
    <w:rsid w:val="00F264F2"/>
    <w:rsid w:val="00F267DB"/>
    <w:rsid w:val="00F26963"/>
    <w:rsid w:val="00F26B9B"/>
    <w:rsid w:val="00F26D31"/>
    <w:rsid w:val="00F27100"/>
    <w:rsid w:val="00F272A0"/>
    <w:rsid w:val="00F27507"/>
    <w:rsid w:val="00F2750C"/>
    <w:rsid w:val="00F2754D"/>
    <w:rsid w:val="00F27569"/>
    <w:rsid w:val="00F2778D"/>
    <w:rsid w:val="00F277B8"/>
    <w:rsid w:val="00F277BC"/>
    <w:rsid w:val="00F27946"/>
    <w:rsid w:val="00F2794F"/>
    <w:rsid w:val="00F27CCB"/>
    <w:rsid w:val="00F27E99"/>
    <w:rsid w:val="00F30406"/>
    <w:rsid w:val="00F3044E"/>
    <w:rsid w:val="00F304FE"/>
    <w:rsid w:val="00F3079C"/>
    <w:rsid w:val="00F30893"/>
    <w:rsid w:val="00F30CC1"/>
    <w:rsid w:val="00F30DC1"/>
    <w:rsid w:val="00F30EDD"/>
    <w:rsid w:val="00F31397"/>
    <w:rsid w:val="00F31824"/>
    <w:rsid w:val="00F31BCB"/>
    <w:rsid w:val="00F31BD3"/>
    <w:rsid w:val="00F31CC7"/>
    <w:rsid w:val="00F32708"/>
    <w:rsid w:val="00F327BC"/>
    <w:rsid w:val="00F32984"/>
    <w:rsid w:val="00F32C74"/>
    <w:rsid w:val="00F32C7B"/>
    <w:rsid w:val="00F32E46"/>
    <w:rsid w:val="00F33147"/>
    <w:rsid w:val="00F331AE"/>
    <w:rsid w:val="00F332EE"/>
    <w:rsid w:val="00F33348"/>
    <w:rsid w:val="00F3341A"/>
    <w:rsid w:val="00F33768"/>
    <w:rsid w:val="00F337C4"/>
    <w:rsid w:val="00F338ED"/>
    <w:rsid w:val="00F33AD1"/>
    <w:rsid w:val="00F33B06"/>
    <w:rsid w:val="00F33C0B"/>
    <w:rsid w:val="00F34012"/>
    <w:rsid w:val="00F3442A"/>
    <w:rsid w:val="00F3453F"/>
    <w:rsid w:val="00F34648"/>
    <w:rsid w:val="00F349D2"/>
    <w:rsid w:val="00F34BAC"/>
    <w:rsid w:val="00F34C6D"/>
    <w:rsid w:val="00F34CD9"/>
    <w:rsid w:val="00F34DFB"/>
    <w:rsid w:val="00F3513B"/>
    <w:rsid w:val="00F352CA"/>
    <w:rsid w:val="00F35428"/>
    <w:rsid w:val="00F35581"/>
    <w:rsid w:val="00F3563F"/>
    <w:rsid w:val="00F357A0"/>
    <w:rsid w:val="00F357C4"/>
    <w:rsid w:val="00F359CA"/>
    <w:rsid w:val="00F36243"/>
    <w:rsid w:val="00F3625F"/>
    <w:rsid w:val="00F36493"/>
    <w:rsid w:val="00F36675"/>
    <w:rsid w:val="00F366A6"/>
    <w:rsid w:val="00F3686C"/>
    <w:rsid w:val="00F36AB7"/>
    <w:rsid w:val="00F36B50"/>
    <w:rsid w:val="00F36C3F"/>
    <w:rsid w:val="00F3704B"/>
    <w:rsid w:val="00F370DE"/>
    <w:rsid w:val="00F37102"/>
    <w:rsid w:val="00F3711A"/>
    <w:rsid w:val="00F37143"/>
    <w:rsid w:val="00F3759F"/>
    <w:rsid w:val="00F377D5"/>
    <w:rsid w:val="00F37911"/>
    <w:rsid w:val="00F37994"/>
    <w:rsid w:val="00F37A82"/>
    <w:rsid w:val="00F37A89"/>
    <w:rsid w:val="00F37A97"/>
    <w:rsid w:val="00F37E44"/>
    <w:rsid w:val="00F4009E"/>
    <w:rsid w:val="00F401FE"/>
    <w:rsid w:val="00F40263"/>
    <w:rsid w:val="00F4028C"/>
    <w:rsid w:val="00F40381"/>
    <w:rsid w:val="00F403C2"/>
    <w:rsid w:val="00F404A6"/>
    <w:rsid w:val="00F405B2"/>
    <w:rsid w:val="00F405E5"/>
    <w:rsid w:val="00F4088A"/>
    <w:rsid w:val="00F40D4E"/>
    <w:rsid w:val="00F4116A"/>
    <w:rsid w:val="00F4155B"/>
    <w:rsid w:val="00F41834"/>
    <w:rsid w:val="00F4183A"/>
    <w:rsid w:val="00F41926"/>
    <w:rsid w:val="00F41C28"/>
    <w:rsid w:val="00F4202A"/>
    <w:rsid w:val="00F420A5"/>
    <w:rsid w:val="00F420F4"/>
    <w:rsid w:val="00F42519"/>
    <w:rsid w:val="00F425DE"/>
    <w:rsid w:val="00F42B92"/>
    <w:rsid w:val="00F42C0A"/>
    <w:rsid w:val="00F43012"/>
    <w:rsid w:val="00F43251"/>
    <w:rsid w:val="00F43301"/>
    <w:rsid w:val="00F4333E"/>
    <w:rsid w:val="00F434F1"/>
    <w:rsid w:val="00F43602"/>
    <w:rsid w:val="00F43642"/>
    <w:rsid w:val="00F43656"/>
    <w:rsid w:val="00F43937"/>
    <w:rsid w:val="00F43972"/>
    <w:rsid w:val="00F43F6A"/>
    <w:rsid w:val="00F44122"/>
    <w:rsid w:val="00F441E7"/>
    <w:rsid w:val="00F44320"/>
    <w:rsid w:val="00F443AA"/>
    <w:rsid w:val="00F446EA"/>
    <w:rsid w:val="00F44AD3"/>
    <w:rsid w:val="00F44B9F"/>
    <w:rsid w:val="00F44C46"/>
    <w:rsid w:val="00F44D7D"/>
    <w:rsid w:val="00F44E07"/>
    <w:rsid w:val="00F44F38"/>
    <w:rsid w:val="00F44F8B"/>
    <w:rsid w:val="00F45033"/>
    <w:rsid w:val="00F451A2"/>
    <w:rsid w:val="00F451E9"/>
    <w:rsid w:val="00F4539C"/>
    <w:rsid w:val="00F45475"/>
    <w:rsid w:val="00F454EC"/>
    <w:rsid w:val="00F455A2"/>
    <w:rsid w:val="00F455ED"/>
    <w:rsid w:val="00F45928"/>
    <w:rsid w:val="00F45A4E"/>
    <w:rsid w:val="00F45D5D"/>
    <w:rsid w:val="00F46182"/>
    <w:rsid w:val="00F461CA"/>
    <w:rsid w:val="00F461F5"/>
    <w:rsid w:val="00F4646E"/>
    <w:rsid w:val="00F464C4"/>
    <w:rsid w:val="00F4655D"/>
    <w:rsid w:val="00F466AF"/>
    <w:rsid w:val="00F466B9"/>
    <w:rsid w:val="00F46D19"/>
    <w:rsid w:val="00F46D6B"/>
    <w:rsid w:val="00F46F06"/>
    <w:rsid w:val="00F470AB"/>
    <w:rsid w:val="00F4711A"/>
    <w:rsid w:val="00F4722D"/>
    <w:rsid w:val="00F47776"/>
    <w:rsid w:val="00F47941"/>
    <w:rsid w:val="00F47A08"/>
    <w:rsid w:val="00F47B55"/>
    <w:rsid w:val="00F47CDE"/>
    <w:rsid w:val="00F47DE7"/>
    <w:rsid w:val="00F50308"/>
    <w:rsid w:val="00F5037B"/>
    <w:rsid w:val="00F50583"/>
    <w:rsid w:val="00F50921"/>
    <w:rsid w:val="00F50B93"/>
    <w:rsid w:val="00F50BFE"/>
    <w:rsid w:val="00F50FDC"/>
    <w:rsid w:val="00F511FD"/>
    <w:rsid w:val="00F5124D"/>
    <w:rsid w:val="00F519BB"/>
    <w:rsid w:val="00F51ACF"/>
    <w:rsid w:val="00F51D59"/>
    <w:rsid w:val="00F52236"/>
    <w:rsid w:val="00F522F5"/>
    <w:rsid w:val="00F5244B"/>
    <w:rsid w:val="00F52526"/>
    <w:rsid w:val="00F5276B"/>
    <w:rsid w:val="00F52794"/>
    <w:rsid w:val="00F527C5"/>
    <w:rsid w:val="00F52910"/>
    <w:rsid w:val="00F52BAA"/>
    <w:rsid w:val="00F52DE9"/>
    <w:rsid w:val="00F530A7"/>
    <w:rsid w:val="00F53323"/>
    <w:rsid w:val="00F53354"/>
    <w:rsid w:val="00F53377"/>
    <w:rsid w:val="00F53418"/>
    <w:rsid w:val="00F5361C"/>
    <w:rsid w:val="00F53660"/>
    <w:rsid w:val="00F53991"/>
    <w:rsid w:val="00F53ADF"/>
    <w:rsid w:val="00F53CF0"/>
    <w:rsid w:val="00F53DCE"/>
    <w:rsid w:val="00F53E87"/>
    <w:rsid w:val="00F53F44"/>
    <w:rsid w:val="00F542AC"/>
    <w:rsid w:val="00F544DE"/>
    <w:rsid w:val="00F54696"/>
    <w:rsid w:val="00F548DB"/>
    <w:rsid w:val="00F549EF"/>
    <w:rsid w:val="00F54CEE"/>
    <w:rsid w:val="00F54D76"/>
    <w:rsid w:val="00F54D9F"/>
    <w:rsid w:val="00F54FB5"/>
    <w:rsid w:val="00F54FF1"/>
    <w:rsid w:val="00F55291"/>
    <w:rsid w:val="00F5546B"/>
    <w:rsid w:val="00F555B0"/>
    <w:rsid w:val="00F55810"/>
    <w:rsid w:val="00F55A71"/>
    <w:rsid w:val="00F55AE0"/>
    <w:rsid w:val="00F55AF9"/>
    <w:rsid w:val="00F55CB3"/>
    <w:rsid w:val="00F55DA8"/>
    <w:rsid w:val="00F55E02"/>
    <w:rsid w:val="00F55F5E"/>
    <w:rsid w:val="00F56022"/>
    <w:rsid w:val="00F56118"/>
    <w:rsid w:val="00F56237"/>
    <w:rsid w:val="00F562C8"/>
    <w:rsid w:val="00F56464"/>
    <w:rsid w:val="00F56490"/>
    <w:rsid w:val="00F5667F"/>
    <w:rsid w:val="00F5676A"/>
    <w:rsid w:val="00F567A0"/>
    <w:rsid w:val="00F567CC"/>
    <w:rsid w:val="00F567F1"/>
    <w:rsid w:val="00F571A0"/>
    <w:rsid w:val="00F571EF"/>
    <w:rsid w:val="00F5725E"/>
    <w:rsid w:val="00F572DE"/>
    <w:rsid w:val="00F573A4"/>
    <w:rsid w:val="00F5758F"/>
    <w:rsid w:val="00F57798"/>
    <w:rsid w:val="00F57847"/>
    <w:rsid w:val="00F5796D"/>
    <w:rsid w:val="00F57B47"/>
    <w:rsid w:val="00F57FB8"/>
    <w:rsid w:val="00F60117"/>
    <w:rsid w:val="00F6038B"/>
    <w:rsid w:val="00F6076A"/>
    <w:rsid w:val="00F60889"/>
    <w:rsid w:val="00F608D4"/>
    <w:rsid w:val="00F60BE6"/>
    <w:rsid w:val="00F60FD9"/>
    <w:rsid w:val="00F611AC"/>
    <w:rsid w:val="00F6121A"/>
    <w:rsid w:val="00F6138A"/>
    <w:rsid w:val="00F6158A"/>
    <w:rsid w:val="00F6170D"/>
    <w:rsid w:val="00F618C2"/>
    <w:rsid w:val="00F618EC"/>
    <w:rsid w:val="00F619D4"/>
    <w:rsid w:val="00F61A23"/>
    <w:rsid w:val="00F61C23"/>
    <w:rsid w:val="00F61DBE"/>
    <w:rsid w:val="00F61E70"/>
    <w:rsid w:val="00F61EF0"/>
    <w:rsid w:val="00F61F58"/>
    <w:rsid w:val="00F62428"/>
    <w:rsid w:val="00F624BB"/>
    <w:rsid w:val="00F624D5"/>
    <w:rsid w:val="00F62982"/>
    <w:rsid w:val="00F62AE6"/>
    <w:rsid w:val="00F62CB9"/>
    <w:rsid w:val="00F62DBE"/>
    <w:rsid w:val="00F6301D"/>
    <w:rsid w:val="00F63210"/>
    <w:rsid w:val="00F63226"/>
    <w:rsid w:val="00F634FE"/>
    <w:rsid w:val="00F6373F"/>
    <w:rsid w:val="00F6381E"/>
    <w:rsid w:val="00F638F7"/>
    <w:rsid w:val="00F63BAC"/>
    <w:rsid w:val="00F63C40"/>
    <w:rsid w:val="00F63C9E"/>
    <w:rsid w:val="00F63CA2"/>
    <w:rsid w:val="00F63D74"/>
    <w:rsid w:val="00F63E00"/>
    <w:rsid w:val="00F63E21"/>
    <w:rsid w:val="00F63E47"/>
    <w:rsid w:val="00F64010"/>
    <w:rsid w:val="00F64280"/>
    <w:rsid w:val="00F64371"/>
    <w:rsid w:val="00F6440A"/>
    <w:rsid w:val="00F6442A"/>
    <w:rsid w:val="00F64453"/>
    <w:rsid w:val="00F644D7"/>
    <w:rsid w:val="00F6472D"/>
    <w:rsid w:val="00F647B0"/>
    <w:rsid w:val="00F64A53"/>
    <w:rsid w:val="00F64B42"/>
    <w:rsid w:val="00F64FCE"/>
    <w:rsid w:val="00F6519E"/>
    <w:rsid w:val="00F65200"/>
    <w:rsid w:val="00F6535A"/>
    <w:rsid w:val="00F65403"/>
    <w:rsid w:val="00F657F8"/>
    <w:rsid w:val="00F65D96"/>
    <w:rsid w:val="00F66051"/>
    <w:rsid w:val="00F66139"/>
    <w:rsid w:val="00F661A8"/>
    <w:rsid w:val="00F661D5"/>
    <w:rsid w:val="00F66434"/>
    <w:rsid w:val="00F6658F"/>
    <w:rsid w:val="00F668B3"/>
    <w:rsid w:val="00F6691D"/>
    <w:rsid w:val="00F66B15"/>
    <w:rsid w:val="00F66C9B"/>
    <w:rsid w:val="00F66CA1"/>
    <w:rsid w:val="00F66DBD"/>
    <w:rsid w:val="00F66FFF"/>
    <w:rsid w:val="00F67074"/>
    <w:rsid w:val="00F67351"/>
    <w:rsid w:val="00F673C8"/>
    <w:rsid w:val="00F67637"/>
    <w:rsid w:val="00F6785C"/>
    <w:rsid w:val="00F67900"/>
    <w:rsid w:val="00F679E1"/>
    <w:rsid w:val="00F67A8E"/>
    <w:rsid w:val="00F67DE9"/>
    <w:rsid w:val="00F67E0E"/>
    <w:rsid w:val="00F67F67"/>
    <w:rsid w:val="00F7002F"/>
    <w:rsid w:val="00F700BF"/>
    <w:rsid w:val="00F7015A"/>
    <w:rsid w:val="00F702A3"/>
    <w:rsid w:val="00F70654"/>
    <w:rsid w:val="00F70713"/>
    <w:rsid w:val="00F70A5C"/>
    <w:rsid w:val="00F70B2D"/>
    <w:rsid w:val="00F70BC1"/>
    <w:rsid w:val="00F70C8C"/>
    <w:rsid w:val="00F70CCB"/>
    <w:rsid w:val="00F70DB2"/>
    <w:rsid w:val="00F70F5B"/>
    <w:rsid w:val="00F70F64"/>
    <w:rsid w:val="00F710A8"/>
    <w:rsid w:val="00F71109"/>
    <w:rsid w:val="00F712AE"/>
    <w:rsid w:val="00F71536"/>
    <w:rsid w:val="00F717FE"/>
    <w:rsid w:val="00F719BC"/>
    <w:rsid w:val="00F71B4F"/>
    <w:rsid w:val="00F71BF3"/>
    <w:rsid w:val="00F71C1B"/>
    <w:rsid w:val="00F71C92"/>
    <w:rsid w:val="00F71D11"/>
    <w:rsid w:val="00F71EC3"/>
    <w:rsid w:val="00F71F8C"/>
    <w:rsid w:val="00F71FCC"/>
    <w:rsid w:val="00F7223A"/>
    <w:rsid w:val="00F723F8"/>
    <w:rsid w:val="00F7249D"/>
    <w:rsid w:val="00F724AF"/>
    <w:rsid w:val="00F7286E"/>
    <w:rsid w:val="00F72BBF"/>
    <w:rsid w:val="00F72D03"/>
    <w:rsid w:val="00F73575"/>
    <w:rsid w:val="00F7364A"/>
    <w:rsid w:val="00F736D3"/>
    <w:rsid w:val="00F73A43"/>
    <w:rsid w:val="00F73AD7"/>
    <w:rsid w:val="00F73E0B"/>
    <w:rsid w:val="00F73ED9"/>
    <w:rsid w:val="00F73EFE"/>
    <w:rsid w:val="00F73FE5"/>
    <w:rsid w:val="00F7404F"/>
    <w:rsid w:val="00F74060"/>
    <w:rsid w:val="00F7419C"/>
    <w:rsid w:val="00F741DD"/>
    <w:rsid w:val="00F74276"/>
    <w:rsid w:val="00F74652"/>
    <w:rsid w:val="00F748AC"/>
    <w:rsid w:val="00F748B5"/>
    <w:rsid w:val="00F74A0A"/>
    <w:rsid w:val="00F75148"/>
    <w:rsid w:val="00F756C5"/>
    <w:rsid w:val="00F75D0C"/>
    <w:rsid w:val="00F75D32"/>
    <w:rsid w:val="00F75DC9"/>
    <w:rsid w:val="00F75DFA"/>
    <w:rsid w:val="00F75E2D"/>
    <w:rsid w:val="00F76481"/>
    <w:rsid w:val="00F7658F"/>
    <w:rsid w:val="00F76665"/>
    <w:rsid w:val="00F7669A"/>
    <w:rsid w:val="00F767E2"/>
    <w:rsid w:val="00F76867"/>
    <w:rsid w:val="00F76C6C"/>
    <w:rsid w:val="00F76C74"/>
    <w:rsid w:val="00F76D6C"/>
    <w:rsid w:val="00F76D84"/>
    <w:rsid w:val="00F76DD2"/>
    <w:rsid w:val="00F76FA8"/>
    <w:rsid w:val="00F7702D"/>
    <w:rsid w:val="00F7717F"/>
    <w:rsid w:val="00F772CD"/>
    <w:rsid w:val="00F77624"/>
    <w:rsid w:val="00F77894"/>
    <w:rsid w:val="00F778B0"/>
    <w:rsid w:val="00F77A59"/>
    <w:rsid w:val="00F77B7F"/>
    <w:rsid w:val="00F77B96"/>
    <w:rsid w:val="00F77BF6"/>
    <w:rsid w:val="00F8010A"/>
    <w:rsid w:val="00F802FD"/>
    <w:rsid w:val="00F806BA"/>
    <w:rsid w:val="00F80A74"/>
    <w:rsid w:val="00F80E47"/>
    <w:rsid w:val="00F80E4E"/>
    <w:rsid w:val="00F8104F"/>
    <w:rsid w:val="00F81200"/>
    <w:rsid w:val="00F81280"/>
    <w:rsid w:val="00F81387"/>
    <w:rsid w:val="00F814A3"/>
    <w:rsid w:val="00F8162D"/>
    <w:rsid w:val="00F81839"/>
    <w:rsid w:val="00F818EB"/>
    <w:rsid w:val="00F81911"/>
    <w:rsid w:val="00F819F3"/>
    <w:rsid w:val="00F81AF6"/>
    <w:rsid w:val="00F81C0C"/>
    <w:rsid w:val="00F81D62"/>
    <w:rsid w:val="00F81E1E"/>
    <w:rsid w:val="00F8226E"/>
    <w:rsid w:val="00F8250A"/>
    <w:rsid w:val="00F825ED"/>
    <w:rsid w:val="00F82A76"/>
    <w:rsid w:val="00F82FF1"/>
    <w:rsid w:val="00F83200"/>
    <w:rsid w:val="00F8329B"/>
    <w:rsid w:val="00F832F5"/>
    <w:rsid w:val="00F83522"/>
    <w:rsid w:val="00F836BA"/>
    <w:rsid w:val="00F83795"/>
    <w:rsid w:val="00F83944"/>
    <w:rsid w:val="00F839D4"/>
    <w:rsid w:val="00F83CF3"/>
    <w:rsid w:val="00F8406E"/>
    <w:rsid w:val="00F841D3"/>
    <w:rsid w:val="00F84268"/>
    <w:rsid w:val="00F84381"/>
    <w:rsid w:val="00F8442C"/>
    <w:rsid w:val="00F84865"/>
    <w:rsid w:val="00F84A50"/>
    <w:rsid w:val="00F84C8C"/>
    <w:rsid w:val="00F84D07"/>
    <w:rsid w:val="00F84D7F"/>
    <w:rsid w:val="00F84DB0"/>
    <w:rsid w:val="00F84DF1"/>
    <w:rsid w:val="00F85177"/>
    <w:rsid w:val="00F852AA"/>
    <w:rsid w:val="00F8532E"/>
    <w:rsid w:val="00F8540A"/>
    <w:rsid w:val="00F85432"/>
    <w:rsid w:val="00F85541"/>
    <w:rsid w:val="00F85654"/>
    <w:rsid w:val="00F85660"/>
    <w:rsid w:val="00F8574F"/>
    <w:rsid w:val="00F85874"/>
    <w:rsid w:val="00F85B79"/>
    <w:rsid w:val="00F85CCA"/>
    <w:rsid w:val="00F85E89"/>
    <w:rsid w:val="00F861B6"/>
    <w:rsid w:val="00F863ED"/>
    <w:rsid w:val="00F8685B"/>
    <w:rsid w:val="00F86898"/>
    <w:rsid w:val="00F86AC3"/>
    <w:rsid w:val="00F86B1C"/>
    <w:rsid w:val="00F86D69"/>
    <w:rsid w:val="00F870C2"/>
    <w:rsid w:val="00F871A1"/>
    <w:rsid w:val="00F87209"/>
    <w:rsid w:val="00F87295"/>
    <w:rsid w:val="00F872C9"/>
    <w:rsid w:val="00F87352"/>
    <w:rsid w:val="00F87366"/>
    <w:rsid w:val="00F8753B"/>
    <w:rsid w:val="00F87610"/>
    <w:rsid w:val="00F87625"/>
    <w:rsid w:val="00F877C0"/>
    <w:rsid w:val="00F87984"/>
    <w:rsid w:val="00F87AAF"/>
    <w:rsid w:val="00F87E92"/>
    <w:rsid w:val="00F900B9"/>
    <w:rsid w:val="00F906CD"/>
    <w:rsid w:val="00F90ED2"/>
    <w:rsid w:val="00F9112E"/>
    <w:rsid w:val="00F91192"/>
    <w:rsid w:val="00F911A9"/>
    <w:rsid w:val="00F912AE"/>
    <w:rsid w:val="00F9136D"/>
    <w:rsid w:val="00F914AB"/>
    <w:rsid w:val="00F91516"/>
    <w:rsid w:val="00F9167E"/>
    <w:rsid w:val="00F916A1"/>
    <w:rsid w:val="00F91CAD"/>
    <w:rsid w:val="00F91F7C"/>
    <w:rsid w:val="00F9205B"/>
    <w:rsid w:val="00F92278"/>
    <w:rsid w:val="00F92365"/>
    <w:rsid w:val="00F9247B"/>
    <w:rsid w:val="00F92602"/>
    <w:rsid w:val="00F9278F"/>
    <w:rsid w:val="00F929A7"/>
    <w:rsid w:val="00F92E53"/>
    <w:rsid w:val="00F93017"/>
    <w:rsid w:val="00F9336C"/>
    <w:rsid w:val="00F933D3"/>
    <w:rsid w:val="00F935D2"/>
    <w:rsid w:val="00F93711"/>
    <w:rsid w:val="00F939BA"/>
    <w:rsid w:val="00F93D89"/>
    <w:rsid w:val="00F93E39"/>
    <w:rsid w:val="00F93FE0"/>
    <w:rsid w:val="00F942F4"/>
    <w:rsid w:val="00F9457F"/>
    <w:rsid w:val="00F94705"/>
    <w:rsid w:val="00F94732"/>
    <w:rsid w:val="00F947A3"/>
    <w:rsid w:val="00F9485E"/>
    <w:rsid w:val="00F94964"/>
    <w:rsid w:val="00F9497C"/>
    <w:rsid w:val="00F94AC1"/>
    <w:rsid w:val="00F94D18"/>
    <w:rsid w:val="00F94D3F"/>
    <w:rsid w:val="00F94E71"/>
    <w:rsid w:val="00F9514F"/>
    <w:rsid w:val="00F95336"/>
    <w:rsid w:val="00F9559B"/>
    <w:rsid w:val="00F95605"/>
    <w:rsid w:val="00F95889"/>
    <w:rsid w:val="00F95AF7"/>
    <w:rsid w:val="00F95B59"/>
    <w:rsid w:val="00F95BED"/>
    <w:rsid w:val="00F95C56"/>
    <w:rsid w:val="00F95D9D"/>
    <w:rsid w:val="00F960DA"/>
    <w:rsid w:val="00F9610E"/>
    <w:rsid w:val="00F96569"/>
    <w:rsid w:val="00F965C6"/>
    <w:rsid w:val="00F9670C"/>
    <w:rsid w:val="00F96BF9"/>
    <w:rsid w:val="00F96CC7"/>
    <w:rsid w:val="00F97026"/>
    <w:rsid w:val="00F971B3"/>
    <w:rsid w:val="00F97339"/>
    <w:rsid w:val="00F973BC"/>
    <w:rsid w:val="00F9757B"/>
    <w:rsid w:val="00F978C7"/>
    <w:rsid w:val="00F97923"/>
    <w:rsid w:val="00F97B94"/>
    <w:rsid w:val="00F97C5B"/>
    <w:rsid w:val="00F97DE2"/>
    <w:rsid w:val="00F97FCD"/>
    <w:rsid w:val="00FA00A0"/>
    <w:rsid w:val="00FA00E1"/>
    <w:rsid w:val="00FA022F"/>
    <w:rsid w:val="00FA02D6"/>
    <w:rsid w:val="00FA0503"/>
    <w:rsid w:val="00FA0858"/>
    <w:rsid w:val="00FA0949"/>
    <w:rsid w:val="00FA0967"/>
    <w:rsid w:val="00FA0A50"/>
    <w:rsid w:val="00FA10D7"/>
    <w:rsid w:val="00FA1169"/>
    <w:rsid w:val="00FA1255"/>
    <w:rsid w:val="00FA1404"/>
    <w:rsid w:val="00FA149E"/>
    <w:rsid w:val="00FA1507"/>
    <w:rsid w:val="00FA1525"/>
    <w:rsid w:val="00FA1978"/>
    <w:rsid w:val="00FA1AED"/>
    <w:rsid w:val="00FA2106"/>
    <w:rsid w:val="00FA2184"/>
    <w:rsid w:val="00FA2328"/>
    <w:rsid w:val="00FA23EA"/>
    <w:rsid w:val="00FA2463"/>
    <w:rsid w:val="00FA247F"/>
    <w:rsid w:val="00FA256B"/>
    <w:rsid w:val="00FA29DD"/>
    <w:rsid w:val="00FA2B28"/>
    <w:rsid w:val="00FA2B78"/>
    <w:rsid w:val="00FA2D23"/>
    <w:rsid w:val="00FA2D59"/>
    <w:rsid w:val="00FA2E64"/>
    <w:rsid w:val="00FA2F25"/>
    <w:rsid w:val="00FA3126"/>
    <w:rsid w:val="00FA3167"/>
    <w:rsid w:val="00FA3333"/>
    <w:rsid w:val="00FA3385"/>
    <w:rsid w:val="00FA3407"/>
    <w:rsid w:val="00FA35FD"/>
    <w:rsid w:val="00FA37DC"/>
    <w:rsid w:val="00FA3B1C"/>
    <w:rsid w:val="00FA3BB4"/>
    <w:rsid w:val="00FA3CBD"/>
    <w:rsid w:val="00FA3CD5"/>
    <w:rsid w:val="00FA3CF5"/>
    <w:rsid w:val="00FA3D43"/>
    <w:rsid w:val="00FA3DED"/>
    <w:rsid w:val="00FA42AA"/>
    <w:rsid w:val="00FA4656"/>
    <w:rsid w:val="00FA46B0"/>
    <w:rsid w:val="00FA4C29"/>
    <w:rsid w:val="00FA4CC6"/>
    <w:rsid w:val="00FA4CDB"/>
    <w:rsid w:val="00FA4D14"/>
    <w:rsid w:val="00FA4D2F"/>
    <w:rsid w:val="00FA4E59"/>
    <w:rsid w:val="00FA4EBE"/>
    <w:rsid w:val="00FA4FD3"/>
    <w:rsid w:val="00FA51B2"/>
    <w:rsid w:val="00FA537D"/>
    <w:rsid w:val="00FA5B62"/>
    <w:rsid w:val="00FA5C16"/>
    <w:rsid w:val="00FA5D1D"/>
    <w:rsid w:val="00FA5DA9"/>
    <w:rsid w:val="00FA5E2D"/>
    <w:rsid w:val="00FA5EAE"/>
    <w:rsid w:val="00FA6294"/>
    <w:rsid w:val="00FA65B6"/>
    <w:rsid w:val="00FA6642"/>
    <w:rsid w:val="00FA66C9"/>
    <w:rsid w:val="00FA672B"/>
    <w:rsid w:val="00FA67C4"/>
    <w:rsid w:val="00FA67D4"/>
    <w:rsid w:val="00FA6980"/>
    <w:rsid w:val="00FA6E54"/>
    <w:rsid w:val="00FA6E58"/>
    <w:rsid w:val="00FA6E89"/>
    <w:rsid w:val="00FA6FF0"/>
    <w:rsid w:val="00FA6FF2"/>
    <w:rsid w:val="00FA7297"/>
    <w:rsid w:val="00FA73C9"/>
    <w:rsid w:val="00FA7501"/>
    <w:rsid w:val="00FA753B"/>
    <w:rsid w:val="00FA7792"/>
    <w:rsid w:val="00FA7825"/>
    <w:rsid w:val="00FA7ACB"/>
    <w:rsid w:val="00FB0137"/>
    <w:rsid w:val="00FB0195"/>
    <w:rsid w:val="00FB02C5"/>
    <w:rsid w:val="00FB0681"/>
    <w:rsid w:val="00FB0A4E"/>
    <w:rsid w:val="00FB0D49"/>
    <w:rsid w:val="00FB0E96"/>
    <w:rsid w:val="00FB0F5D"/>
    <w:rsid w:val="00FB112E"/>
    <w:rsid w:val="00FB12F7"/>
    <w:rsid w:val="00FB14BC"/>
    <w:rsid w:val="00FB14D5"/>
    <w:rsid w:val="00FB14DC"/>
    <w:rsid w:val="00FB168E"/>
    <w:rsid w:val="00FB172F"/>
    <w:rsid w:val="00FB185B"/>
    <w:rsid w:val="00FB1BD2"/>
    <w:rsid w:val="00FB1BE2"/>
    <w:rsid w:val="00FB1C5E"/>
    <w:rsid w:val="00FB1DA5"/>
    <w:rsid w:val="00FB1E11"/>
    <w:rsid w:val="00FB2033"/>
    <w:rsid w:val="00FB238C"/>
    <w:rsid w:val="00FB240C"/>
    <w:rsid w:val="00FB24A8"/>
    <w:rsid w:val="00FB2625"/>
    <w:rsid w:val="00FB2786"/>
    <w:rsid w:val="00FB27C4"/>
    <w:rsid w:val="00FB27C8"/>
    <w:rsid w:val="00FB284D"/>
    <w:rsid w:val="00FB286B"/>
    <w:rsid w:val="00FB2B8F"/>
    <w:rsid w:val="00FB2B94"/>
    <w:rsid w:val="00FB2C3D"/>
    <w:rsid w:val="00FB2C43"/>
    <w:rsid w:val="00FB2CBB"/>
    <w:rsid w:val="00FB2D7C"/>
    <w:rsid w:val="00FB32FF"/>
    <w:rsid w:val="00FB3578"/>
    <w:rsid w:val="00FB35B1"/>
    <w:rsid w:val="00FB3650"/>
    <w:rsid w:val="00FB3756"/>
    <w:rsid w:val="00FB382B"/>
    <w:rsid w:val="00FB3B8C"/>
    <w:rsid w:val="00FB409D"/>
    <w:rsid w:val="00FB4106"/>
    <w:rsid w:val="00FB4363"/>
    <w:rsid w:val="00FB4568"/>
    <w:rsid w:val="00FB4669"/>
    <w:rsid w:val="00FB4774"/>
    <w:rsid w:val="00FB4B38"/>
    <w:rsid w:val="00FB4B46"/>
    <w:rsid w:val="00FB4F02"/>
    <w:rsid w:val="00FB4F25"/>
    <w:rsid w:val="00FB505C"/>
    <w:rsid w:val="00FB5226"/>
    <w:rsid w:val="00FB55DD"/>
    <w:rsid w:val="00FB5715"/>
    <w:rsid w:val="00FB5888"/>
    <w:rsid w:val="00FB58A1"/>
    <w:rsid w:val="00FB591F"/>
    <w:rsid w:val="00FB5AA4"/>
    <w:rsid w:val="00FB5C23"/>
    <w:rsid w:val="00FB5EE1"/>
    <w:rsid w:val="00FB5F3B"/>
    <w:rsid w:val="00FB642D"/>
    <w:rsid w:val="00FB67A3"/>
    <w:rsid w:val="00FB6912"/>
    <w:rsid w:val="00FB6AC8"/>
    <w:rsid w:val="00FB6AEB"/>
    <w:rsid w:val="00FB6AF6"/>
    <w:rsid w:val="00FB6BAC"/>
    <w:rsid w:val="00FB6E2C"/>
    <w:rsid w:val="00FB6FE8"/>
    <w:rsid w:val="00FB7135"/>
    <w:rsid w:val="00FB7349"/>
    <w:rsid w:val="00FB737D"/>
    <w:rsid w:val="00FB73E1"/>
    <w:rsid w:val="00FB7570"/>
    <w:rsid w:val="00FB760A"/>
    <w:rsid w:val="00FB774C"/>
    <w:rsid w:val="00FB7756"/>
    <w:rsid w:val="00FB778E"/>
    <w:rsid w:val="00FB7D10"/>
    <w:rsid w:val="00FC0323"/>
    <w:rsid w:val="00FC03F8"/>
    <w:rsid w:val="00FC0969"/>
    <w:rsid w:val="00FC0B20"/>
    <w:rsid w:val="00FC0D92"/>
    <w:rsid w:val="00FC0EE4"/>
    <w:rsid w:val="00FC0FC0"/>
    <w:rsid w:val="00FC1242"/>
    <w:rsid w:val="00FC14A9"/>
    <w:rsid w:val="00FC175B"/>
    <w:rsid w:val="00FC1794"/>
    <w:rsid w:val="00FC1842"/>
    <w:rsid w:val="00FC1947"/>
    <w:rsid w:val="00FC1AF8"/>
    <w:rsid w:val="00FC1D71"/>
    <w:rsid w:val="00FC1EC9"/>
    <w:rsid w:val="00FC1F53"/>
    <w:rsid w:val="00FC267E"/>
    <w:rsid w:val="00FC26DA"/>
    <w:rsid w:val="00FC28B5"/>
    <w:rsid w:val="00FC2C4D"/>
    <w:rsid w:val="00FC31F6"/>
    <w:rsid w:val="00FC3245"/>
    <w:rsid w:val="00FC336B"/>
    <w:rsid w:val="00FC33A8"/>
    <w:rsid w:val="00FC3485"/>
    <w:rsid w:val="00FC349A"/>
    <w:rsid w:val="00FC34D6"/>
    <w:rsid w:val="00FC378F"/>
    <w:rsid w:val="00FC37A2"/>
    <w:rsid w:val="00FC37D2"/>
    <w:rsid w:val="00FC385F"/>
    <w:rsid w:val="00FC3C2F"/>
    <w:rsid w:val="00FC3E03"/>
    <w:rsid w:val="00FC3E40"/>
    <w:rsid w:val="00FC4523"/>
    <w:rsid w:val="00FC48D5"/>
    <w:rsid w:val="00FC48E3"/>
    <w:rsid w:val="00FC49AF"/>
    <w:rsid w:val="00FC49BD"/>
    <w:rsid w:val="00FC49D2"/>
    <w:rsid w:val="00FC4A5A"/>
    <w:rsid w:val="00FC4B3A"/>
    <w:rsid w:val="00FC4C4E"/>
    <w:rsid w:val="00FC540A"/>
    <w:rsid w:val="00FC540F"/>
    <w:rsid w:val="00FC560F"/>
    <w:rsid w:val="00FC5901"/>
    <w:rsid w:val="00FC5907"/>
    <w:rsid w:val="00FC59A7"/>
    <w:rsid w:val="00FC5A69"/>
    <w:rsid w:val="00FC5C49"/>
    <w:rsid w:val="00FC5EB4"/>
    <w:rsid w:val="00FC5EB5"/>
    <w:rsid w:val="00FC5F0F"/>
    <w:rsid w:val="00FC6007"/>
    <w:rsid w:val="00FC608B"/>
    <w:rsid w:val="00FC617C"/>
    <w:rsid w:val="00FC6257"/>
    <w:rsid w:val="00FC6429"/>
    <w:rsid w:val="00FC645E"/>
    <w:rsid w:val="00FC6691"/>
    <w:rsid w:val="00FC67DA"/>
    <w:rsid w:val="00FC688D"/>
    <w:rsid w:val="00FC6C1F"/>
    <w:rsid w:val="00FC6E31"/>
    <w:rsid w:val="00FC711C"/>
    <w:rsid w:val="00FC744F"/>
    <w:rsid w:val="00FC7870"/>
    <w:rsid w:val="00FC78B2"/>
    <w:rsid w:val="00FC7A6C"/>
    <w:rsid w:val="00FC7AFA"/>
    <w:rsid w:val="00FC7CF3"/>
    <w:rsid w:val="00FD0003"/>
    <w:rsid w:val="00FD0173"/>
    <w:rsid w:val="00FD02B1"/>
    <w:rsid w:val="00FD05B5"/>
    <w:rsid w:val="00FD0890"/>
    <w:rsid w:val="00FD0994"/>
    <w:rsid w:val="00FD0C25"/>
    <w:rsid w:val="00FD0C2A"/>
    <w:rsid w:val="00FD0F71"/>
    <w:rsid w:val="00FD0F7A"/>
    <w:rsid w:val="00FD0FA5"/>
    <w:rsid w:val="00FD1046"/>
    <w:rsid w:val="00FD1419"/>
    <w:rsid w:val="00FD162A"/>
    <w:rsid w:val="00FD19F4"/>
    <w:rsid w:val="00FD1AA4"/>
    <w:rsid w:val="00FD1ADD"/>
    <w:rsid w:val="00FD1B2C"/>
    <w:rsid w:val="00FD1CAB"/>
    <w:rsid w:val="00FD1D07"/>
    <w:rsid w:val="00FD1F24"/>
    <w:rsid w:val="00FD2412"/>
    <w:rsid w:val="00FD2957"/>
    <w:rsid w:val="00FD2B6E"/>
    <w:rsid w:val="00FD2CEB"/>
    <w:rsid w:val="00FD306B"/>
    <w:rsid w:val="00FD30F6"/>
    <w:rsid w:val="00FD3165"/>
    <w:rsid w:val="00FD32E8"/>
    <w:rsid w:val="00FD360E"/>
    <w:rsid w:val="00FD36E4"/>
    <w:rsid w:val="00FD3766"/>
    <w:rsid w:val="00FD37A9"/>
    <w:rsid w:val="00FD3982"/>
    <w:rsid w:val="00FD3CE7"/>
    <w:rsid w:val="00FD3E84"/>
    <w:rsid w:val="00FD42C0"/>
    <w:rsid w:val="00FD44F3"/>
    <w:rsid w:val="00FD472B"/>
    <w:rsid w:val="00FD47A2"/>
    <w:rsid w:val="00FD4B55"/>
    <w:rsid w:val="00FD4BE9"/>
    <w:rsid w:val="00FD4BEB"/>
    <w:rsid w:val="00FD4C92"/>
    <w:rsid w:val="00FD4CF5"/>
    <w:rsid w:val="00FD4E38"/>
    <w:rsid w:val="00FD4EFF"/>
    <w:rsid w:val="00FD4F10"/>
    <w:rsid w:val="00FD4F17"/>
    <w:rsid w:val="00FD5198"/>
    <w:rsid w:val="00FD5483"/>
    <w:rsid w:val="00FD54F9"/>
    <w:rsid w:val="00FD5816"/>
    <w:rsid w:val="00FD58AE"/>
    <w:rsid w:val="00FD5A0F"/>
    <w:rsid w:val="00FD5A49"/>
    <w:rsid w:val="00FD5C9D"/>
    <w:rsid w:val="00FD5E1B"/>
    <w:rsid w:val="00FD6075"/>
    <w:rsid w:val="00FD6113"/>
    <w:rsid w:val="00FD6589"/>
    <w:rsid w:val="00FD686B"/>
    <w:rsid w:val="00FD697C"/>
    <w:rsid w:val="00FD6C90"/>
    <w:rsid w:val="00FD6F97"/>
    <w:rsid w:val="00FD7026"/>
    <w:rsid w:val="00FD71A1"/>
    <w:rsid w:val="00FD71E1"/>
    <w:rsid w:val="00FD7206"/>
    <w:rsid w:val="00FD7415"/>
    <w:rsid w:val="00FD74FD"/>
    <w:rsid w:val="00FD7712"/>
    <w:rsid w:val="00FD7C15"/>
    <w:rsid w:val="00FD7E37"/>
    <w:rsid w:val="00FE0224"/>
    <w:rsid w:val="00FE03B2"/>
    <w:rsid w:val="00FE04E4"/>
    <w:rsid w:val="00FE07C9"/>
    <w:rsid w:val="00FE0914"/>
    <w:rsid w:val="00FE0984"/>
    <w:rsid w:val="00FE0A2E"/>
    <w:rsid w:val="00FE0C92"/>
    <w:rsid w:val="00FE0E33"/>
    <w:rsid w:val="00FE1168"/>
    <w:rsid w:val="00FE1223"/>
    <w:rsid w:val="00FE137D"/>
    <w:rsid w:val="00FE145E"/>
    <w:rsid w:val="00FE1478"/>
    <w:rsid w:val="00FE158F"/>
    <w:rsid w:val="00FE17D2"/>
    <w:rsid w:val="00FE1873"/>
    <w:rsid w:val="00FE19D0"/>
    <w:rsid w:val="00FE1AED"/>
    <w:rsid w:val="00FE1B27"/>
    <w:rsid w:val="00FE2526"/>
    <w:rsid w:val="00FE2810"/>
    <w:rsid w:val="00FE2879"/>
    <w:rsid w:val="00FE2AD0"/>
    <w:rsid w:val="00FE2AE4"/>
    <w:rsid w:val="00FE2AF8"/>
    <w:rsid w:val="00FE2D80"/>
    <w:rsid w:val="00FE303B"/>
    <w:rsid w:val="00FE3258"/>
    <w:rsid w:val="00FE3268"/>
    <w:rsid w:val="00FE33EC"/>
    <w:rsid w:val="00FE3721"/>
    <w:rsid w:val="00FE3752"/>
    <w:rsid w:val="00FE3754"/>
    <w:rsid w:val="00FE385C"/>
    <w:rsid w:val="00FE39E3"/>
    <w:rsid w:val="00FE3A00"/>
    <w:rsid w:val="00FE3BBF"/>
    <w:rsid w:val="00FE3EBD"/>
    <w:rsid w:val="00FE3FA4"/>
    <w:rsid w:val="00FE4150"/>
    <w:rsid w:val="00FE42E8"/>
    <w:rsid w:val="00FE4766"/>
    <w:rsid w:val="00FE47D5"/>
    <w:rsid w:val="00FE48B7"/>
    <w:rsid w:val="00FE491D"/>
    <w:rsid w:val="00FE4D07"/>
    <w:rsid w:val="00FE4DB5"/>
    <w:rsid w:val="00FE4E15"/>
    <w:rsid w:val="00FE536A"/>
    <w:rsid w:val="00FE5563"/>
    <w:rsid w:val="00FE58D4"/>
    <w:rsid w:val="00FE5A5C"/>
    <w:rsid w:val="00FE5BA1"/>
    <w:rsid w:val="00FE5C9E"/>
    <w:rsid w:val="00FE5E0F"/>
    <w:rsid w:val="00FE5F8E"/>
    <w:rsid w:val="00FE60DD"/>
    <w:rsid w:val="00FE66AC"/>
    <w:rsid w:val="00FE6759"/>
    <w:rsid w:val="00FE6BD3"/>
    <w:rsid w:val="00FE6FFE"/>
    <w:rsid w:val="00FE7121"/>
    <w:rsid w:val="00FE7195"/>
    <w:rsid w:val="00FE727E"/>
    <w:rsid w:val="00FE75FC"/>
    <w:rsid w:val="00FE77B8"/>
    <w:rsid w:val="00FE78C4"/>
    <w:rsid w:val="00FE790B"/>
    <w:rsid w:val="00FE7944"/>
    <w:rsid w:val="00FE79B6"/>
    <w:rsid w:val="00FE79F9"/>
    <w:rsid w:val="00FE7C9E"/>
    <w:rsid w:val="00FE7EE0"/>
    <w:rsid w:val="00FF011E"/>
    <w:rsid w:val="00FF01FB"/>
    <w:rsid w:val="00FF047B"/>
    <w:rsid w:val="00FF090C"/>
    <w:rsid w:val="00FF09D2"/>
    <w:rsid w:val="00FF0BEF"/>
    <w:rsid w:val="00FF126E"/>
    <w:rsid w:val="00FF12B7"/>
    <w:rsid w:val="00FF133A"/>
    <w:rsid w:val="00FF1B13"/>
    <w:rsid w:val="00FF1CA0"/>
    <w:rsid w:val="00FF1D12"/>
    <w:rsid w:val="00FF1E10"/>
    <w:rsid w:val="00FF2064"/>
    <w:rsid w:val="00FF2100"/>
    <w:rsid w:val="00FF232B"/>
    <w:rsid w:val="00FF24CC"/>
    <w:rsid w:val="00FF2702"/>
    <w:rsid w:val="00FF29F9"/>
    <w:rsid w:val="00FF2D5F"/>
    <w:rsid w:val="00FF2FB1"/>
    <w:rsid w:val="00FF3072"/>
    <w:rsid w:val="00FF36CC"/>
    <w:rsid w:val="00FF3749"/>
    <w:rsid w:val="00FF3BB4"/>
    <w:rsid w:val="00FF3D62"/>
    <w:rsid w:val="00FF41B9"/>
    <w:rsid w:val="00FF41E7"/>
    <w:rsid w:val="00FF4503"/>
    <w:rsid w:val="00FF475B"/>
    <w:rsid w:val="00FF4795"/>
    <w:rsid w:val="00FF4935"/>
    <w:rsid w:val="00FF4B36"/>
    <w:rsid w:val="00FF4C25"/>
    <w:rsid w:val="00FF4EA1"/>
    <w:rsid w:val="00FF4F6A"/>
    <w:rsid w:val="00FF4FA5"/>
    <w:rsid w:val="00FF5124"/>
    <w:rsid w:val="00FF5250"/>
    <w:rsid w:val="00FF548E"/>
    <w:rsid w:val="00FF54A1"/>
    <w:rsid w:val="00FF551A"/>
    <w:rsid w:val="00FF5521"/>
    <w:rsid w:val="00FF55C8"/>
    <w:rsid w:val="00FF5680"/>
    <w:rsid w:val="00FF56D1"/>
    <w:rsid w:val="00FF59E2"/>
    <w:rsid w:val="00FF5BA3"/>
    <w:rsid w:val="00FF5BF2"/>
    <w:rsid w:val="00FF5C1A"/>
    <w:rsid w:val="00FF5DE9"/>
    <w:rsid w:val="00FF5E02"/>
    <w:rsid w:val="00FF601D"/>
    <w:rsid w:val="00FF60C8"/>
    <w:rsid w:val="00FF6158"/>
    <w:rsid w:val="00FF62C4"/>
    <w:rsid w:val="00FF6315"/>
    <w:rsid w:val="00FF64D6"/>
    <w:rsid w:val="00FF64DF"/>
    <w:rsid w:val="00FF64F3"/>
    <w:rsid w:val="00FF669F"/>
    <w:rsid w:val="00FF66EC"/>
    <w:rsid w:val="00FF6809"/>
    <w:rsid w:val="00FF68E4"/>
    <w:rsid w:val="00FF69B4"/>
    <w:rsid w:val="00FF6A34"/>
    <w:rsid w:val="00FF6A59"/>
    <w:rsid w:val="00FF6AE4"/>
    <w:rsid w:val="00FF6B4B"/>
    <w:rsid w:val="00FF6BF4"/>
    <w:rsid w:val="00FF6CE6"/>
    <w:rsid w:val="00FF73BE"/>
    <w:rsid w:val="00FF777C"/>
    <w:rsid w:val="00FF7C3F"/>
    <w:rsid w:val="00FF7CF0"/>
    <w:rsid w:val="0137006B"/>
    <w:rsid w:val="01377060"/>
    <w:rsid w:val="014DE1A7"/>
    <w:rsid w:val="016A1397"/>
    <w:rsid w:val="0188BFE8"/>
    <w:rsid w:val="01A55996"/>
    <w:rsid w:val="01D09DF5"/>
    <w:rsid w:val="01DA5782"/>
    <w:rsid w:val="01F38DB7"/>
    <w:rsid w:val="029C638D"/>
    <w:rsid w:val="02B50D2D"/>
    <w:rsid w:val="02BEC087"/>
    <w:rsid w:val="02F3B629"/>
    <w:rsid w:val="031CDD79"/>
    <w:rsid w:val="03558D6A"/>
    <w:rsid w:val="03815775"/>
    <w:rsid w:val="039077EB"/>
    <w:rsid w:val="0403C4EF"/>
    <w:rsid w:val="040C622B"/>
    <w:rsid w:val="0427C29F"/>
    <w:rsid w:val="043F41A6"/>
    <w:rsid w:val="045A026E"/>
    <w:rsid w:val="04648622"/>
    <w:rsid w:val="046BEDD9"/>
    <w:rsid w:val="0476C04A"/>
    <w:rsid w:val="04866CCD"/>
    <w:rsid w:val="0490E5F0"/>
    <w:rsid w:val="04FAA0EA"/>
    <w:rsid w:val="050CF540"/>
    <w:rsid w:val="0556B604"/>
    <w:rsid w:val="05B6FD55"/>
    <w:rsid w:val="05B89CD2"/>
    <w:rsid w:val="05BD06CD"/>
    <w:rsid w:val="05D62ABB"/>
    <w:rsid w:val="0616C314"/>
    <w:rsid w:val="063FD7F9"/>
    <w:rsid w:val="0649AFAC"/>
    <w:rsid w:val="069E3D8D"/>
    <w:rsid w:val="069F150C"/>
    <w:rsid w:val="071A7FDC"/>
    <w:rsid w:val="076C31DE"/>
    <w:rsid w:val="08BF170C"/>
    <w:rsid w:val="08D75CD3"/>
    <w:rsid w:val="08EA59A7"/>
    <w:rsid w:val="092E2DE1"/>
    <w:rsid w:val="097CA54A"/>
    <w:rsid w:val="098A5FFF"/>
    <w:rsid w:val="09E6589C"/>
    <w:rsid w:val="0A02AD5A"/>
    <w:rsid w:val="0A71F701"/>
    <w:rsid w:val="0AAF772E"/>
    <w:rsid w:val="0B07E49E"/>
    <w:rsid w:val="0B602C97"/>
    <w:rsid w:val="0BC0FD12"/>
    <w:rsid w:val="0BC2B27B"/>
    <w:rsid w:val="0BC7AC39"/>
    <w:rsid w:val="0BC8160E"/>
    <w:rsid w:val="0BD499A7"/>
    <w:rsid w:val="0C3E92FC"/>
    <w:rsid w:val="0C734D36"/>
    <w:rsid w:val="0C7BE8F6"/>
    <w:rsid w:val="0CA4C622"/>
    <w:rsid w:val="0D045C71"/>
    <w:rsid w:val="0D1349B0"/>
    <w:rsid w:val="0D28AD60"/>
    <w:rsid w:val="0D29276D"/>
    <w:rsid w:val="0D51ADAE"/>
    <w:rsid w:val="0D73B18F"/>
    <w:rsid w:val="0D7E40BD"/>
    <w:rsid w:val="0D8EBB61"/>
    <w:rsid w:val="0D95007D"/>
    <w:rsid w:val="0DF6E821"/>
    <w:rsid w:val="0E1867AA"/>
    <w:rsid w:val="0E3D5389"/>
    <w:rsid w:val="0E558189"/>
    <w:rsid w:val="0E777597"/>
    <w:rsid w:val="0E81C448"/>
    <w:rsid w:val="0E9B4437"/>
    <w:rsid w:val="0EBD7692"/>
    <w:rsid w:val="0ECC72EF"/>
    <w:rsid w:val="0EE09DFB"/>
    <w:rsid w:val="0F614ED7"/>
    <w:rsid w:val="0F69CD97"/>
    <w:rsid w:val="0FBF8E91"/>
    <w:rsid w:val="0FD8037E"/>
    <w:rsid w:val="100A12CF"/>
    <w:rsid w:val="102ADE7D"/>
    <w:rsid w:val="1040AAFC"/>
    <w:rsid w:val="106136A9"/>
    <w:rsid w:val="10A16F3E"/>
    <w:rsid w:val="10DD6BBC"/>
    <w:rsid w:val="10E08B30"/>
    <w:rsid w:val="10EFD429"/>
    <w:rsid w:val="112D45A2"/>
    <w:rsid w:val="1162E53A"/>
    <w:rsid w:val="118D019D"/>
    <w:rsid w:val="11A2ADFB"/>
    <w:rsid w:val="11DDFCA7"/>
    <w:rsid w:val="12199E3A"/>
    <w:rsid w:val="121D051B"/>
    <w:rsid w:val="124E19A1"/>
    <w:rsid w:val="128CAAF8"/>
    <w:rsid w:val="128F614E"/>
    <w:rsid w:val="12A031BC"/>
    <w:rsid w:val="12C17AAF"/>
    <w:rsid w:val="1349534E"/>
    <w:rsid w:val="134B8510"/>
    <w:rsid w:val="13687C43"/>
    <w:rsid w:val="1371F531"/>
    <w:rsid w:val="1385D63D"/>
    <w:rsid w:val="13F88D21"/>
    <w:rsid w:val="1402EC8A"/>
    <w:rsid w:val="1432370E"/>
    <w:rsid w:val="146CE0AE"/>
    <w:rsid w:val="14767B5B"/>
    <w:rsid w:val="14C0E9C1"/>
    <w:rsid w:val="14DB70E2"/>
    <w:rsid w:val="14FD6DCC"/>
    <w:rsid w:val="1563529D"/>
    <w:rsid w:val="16B8D841"/>
    <w:rsid w:val="17AC37BC"/>
    <w:rsid w:val="17FA8D69"/>
    <w:rsid w:val="184584EB"/>
    <w:rsid w:val="18918E99"/>
    <w:rsid w:val="189C4812"/>
    <w:rsid w:val="18E3910B"/>
    <w:rsid w:val="18EE4737"/>
    <w:rsid w:val="18FB93BC"/>
    <w:rsid w:val="191F55D1"/>
    <w:rsid w:val="194A3539"/>
    <w:rsid w:val="198950C1"/>
    <w:rsid w:val="199237E9"/>
    <w:rsid w:val="19DE2D91"/>
    <w:rsid w:val="19F611AB"/>
    <w:rsid w:val="19F6BBCC"/>
    <w:rsid w:val="19F6C97B"/>
    <w:rsid w:val="1A3A8F20"/>
    <w:rsid w:val="1A3F4D54"/>
    <w:rsid w:val="1A5FF1AA"/>
    <w:rsid w:val="1ACE9737"/>
    <w:rsid w:val="1B1C27BF"/>
    <w:rsid w:val="1B4200A8"/>
    <w:rsid w:val="1B54581E"/>
    <w:rsid w:val="1B6521EB"/>
    <w:rsid w:val="1B68386E"/>
    <w:rsid w:val="1B85A6B5"/>
    <w:rsid w:val="1B8E7E8F"/>
    <w:rsid w:val="1B983655"/>
    <w:rsid w:val="1BBEE241"/>
    <w:rsid w:val="1CBAAA43"/>
    <w:rsid w:val="1CC94FC5"/>
    <w:rsid w:val="1CD24848"/>
    <w:rsid w:val="1D6912E7"/>
    <w:rsid w:val="1D834C24"/>
    <w:rsid w:val="1DAD2659"/>
    <w:rsid w:val="1DC89CFB"/>
    <w:rsid w:val="1DE3A869"/>
    <w:rsid w:val="1E075953"/>
    <w:rsid w:val="1F490636"/>
    <w:rsid w:val="1F4AEE82"/>
    <w:rsid w:val="1F5A0F5E"/>
    <w:rsid w:val="1F5C5B58"/>
    <w:rsid w:val="1FAA69E7"/>
    <w:rsid w:val="200F85EC"/>
    <w:rsid w:val="201814E0"/>
    <w:rsid w:val="2022AC7C"/>
    <w:rsid w:val="20327FB8"/>
    <w:rsid w:val="20A2A594"/>
    <w:rsid w:val="20C31209"/>
    <w:rsid w:val="20F254F4"/>
    <w:rsid w:val="21837F27"/>
    <w:rsid w:val="21C9D706"/>
    <w:rsid w:val="223316C1"/>
    <w:rsid w:val="22673988"/>
    <w:rsid w:val="227CB0FB"/>
    <w:rsid w:val="22A5725F"/>
    <w:rsid w:val="22CA2899"/>
    <w:rsid w:val="22D30559"/>
    <w:rsid w:val="22F75414"/>
    <w:rsid w:val="22F8788B"/>
    <w:rsid w:val="2315319F"/>
    <w:rsid w:val="232D51A4"/>
    <w:rsid w:val="236A9879"/>
    <w:rsid w:val="239443C1"/>
    <w:rsid w:val="239C9FA2"/>
    <w:rsid w:val="23A0E695"/>
    <w:rsid w:val="23B0801B"/>
    <w:rsid w:val="23CAE7F3"/>
    <w:rsid w:val="2401CF8F"/>
    <w:rsid w:val="243ED1B2"/>
    <w:rsid w:val="24499C78"/>
    <w:rsid w:val="24B112F5"/>
    <w:rsid w:val="24FE9192"/>
    <w:rsid w:val="2518A077"/>
    <w:rsid w:val="251E32A4"/>
    <w:rsid w:val="2530AD47"/>
    <w:rsid w:val="255F8228"/>
    <w:rsid w:val="2574BAE7"/>
    <w:rsid w:val="25A39598"/>
    <w:rsid w:val="25BBB971"/>
    <w:rsid w:val="25C79DBF"/>
    <w:rsid w:val="25CF44D6"/>
    <w:rsid w:val="25DA159B"/>
    <w:rsid w:val="25E035E5"/>
    <w:rsid w:val="2620F63C"/>
    <w:rsid w:val="26DBEE53"/>
    <w:rsid w:val="274A5E73"/>
    <w:rsid w:val="278523F0"/>
    <w:rsid w:val="278E6646"/>
    <w:rsid w:val="279D1723"/>
    <w:rsid w:val="27E2E882"/>
    <w:rsid w:val="285C6B52"/>
    <w:rsid w:val="2876DE36"/>
    <w:rsid w:val="28A5916F"/>
    <w:rsid w:val="28B328EF"/>
    <w:rsid w:val="28E7DC8D"/>
    <w:rsid w:val="28F0AADE"/>
    <w:rsid w:val="297BAD4C"/>
    <w:rsid w:val="29DC1349"/>
    <w:rsid w:val="29EC78A6"/>
    <w:rsid w:val="2A21BF86"/>
    <w:rsid w:val="2A41C739"/>
    <w:rsid w:val="2A61ECDD"/>
    <w:rsid w:val="2A7DA5E3"/>
    <w:rsid w:val="2A836B35"/>
    <w:rsid w:val="2A8AF8A6"/>
    <w:rsid w:val="2A97EBA1"/>
    <w:rsid w:val="2AEB64BA"/>
    <w:rsid w:val="2B0985C8"/>
    <w:rsid w:val="2B4B56D3"/>
    <w:rsid w:val="2B83D679"/>
    <w:rsid w:val="2B857406"/>
    <w:rsid w:val="2B882D3A"/>
    <w:rsid w:val="2BCB782A"/>
    <w:rsid w:val="2BF5A4A4"/>
    <w:rsid w:val="2C0CDF29"/>
    <w:rsid w:val="2C1DA5C3"/>
    <w:rsid w:val="2C238E6E"/>
    <w:rsid w:val="2C36BC92"/>
    <w:rsid w:val="2C417CA0"/>
    <w:rsid w:val="2C58691D"/>
    <w:rsid w:val="2C746EA6"/>
    <w:rsid w:val="2CB67896"/>
    <w:rsid w:val="2CBCDCBE"/>
    <w:rsid w:val="2CD76743"/>
    <w:rsid w:val="2D7B0594"/>
    <w:rsid w:val="2D9777B4"/>
    <w:rsid w:val="2D9DCDE3"/>
    <w:rsid w:val="2DC82211"/>
    <w:rsid w:val="2E054CF1"/>
    <w:rsid w:val="2E0627BD"/>
    <w:rsid w:val="2E7B41E4"/>
    <w:rsid w:val="2EAAEF14"/>
    <w:rsid w:val="2EC8014C"/>
    <w:rsid w:val="2EDDDFF9"/>
    <w:rsid w:val="2EF5C8CC"/>
    <w:rsid w:val="2F0E488A"/>
    <w:rsid w:val="2F129ADF"/>
    <w:rsid w:val="2F1B4020"/>
    <w:rsid w:val="2F307FEA"/>
    <w:rsid w:val="2F5DEB58"/>
    <w:rsid w:val="3022DCE9"/>
    <w:rsid w:val="3031B763"/>
    <w:rsid w:val="304A364A"/>
    <w:rsid w:val="30532F02"/>
    <w:rsid w:val="30CB8DD8"/>
    <w:rsid w:val="30DFCBE6"/>
    <w:rsid w:val="30EAEA3C"/>
    <w:rsid w:val="30F451D4"/>
    <w:rsid w:val="310AA537"/>
    <w:rsid w:val="31187EBA"/>
    <w:rsid w:val="31B21E12"/>
    <w:rsid w:val="31D7AA30"/>
    <w:rsid w:val="32263581"/>
    <w:rsid w:val="32334F8B"/>
    <w:rsid w:val="328FC9EE"/>
    <w:rsid w:val="32CA2556"/>
    <w:rsid w:val="32CAAFFD"/>
    <w:rsid w:val="32DD9C17"/>
    <w:rsid w:val="332B0AB0"/>
    <w:rsid w:val="3339CF95"/>
    <w:rsid w:val="3382F04B"/>
    <w:rsid w:val="338C4A15"/>
    <w:rsid w:val="3394969C"/>
    <w:rsid w:val="33FD4C12"/>
    <w:rsid w:val="3442B41F"/>
    <w:rsid w:val="3474FE4F"/>
    <w:rsid w:val="34EC3CF6"/>
    <w:rsid w:val="34FCDF93"/>
    <w:rsid w:val="35058C8F"/>
    <w:rsid w:val="35091901"/>
    <w:rsid w:val="354084D8"/>
    <w:rsid w:val="354749A2"/>
    <w:rsid w:val="355E6286"/>
    <w:rsid w:val="35F672BF"/>
    <w:rsid w:val="362B9CC9"/>
    <w:rsid w:val="364B480C"/>
    <w:rsid w:val="3666D35D"/>
    <w:rsid w:val="36B3987D"/>
    <w:rsid w:val="36E3F33D"/>
    <w:rsid w:val="370B0BC3"/>
    <w:rsid w:val="372B7395"/>
    <w:rsid w:val="373D338A"/>
    <w:rsid w:val="3756FA12"/>
    <w:rsid w:val="37865CE4"/>
    <w:rsid w:val="378BB46C"/>
    <w:rsid w:val="37923837"/>
    <w:rsid w:val="37A7A24F"/>
    <w:rsid w:val="37AD63FA"/>
    <w:rsid w:val="37BF7FF6"/>
    <w:rsid w:val="37C9EA92"/>
    <w:rsid w:val="37DE327E"/>
    <w:rsid w:val="37F7C52A"/>
    <w:rsid w:val="380ADDF6"/>
    <w:rsid w:val="38493D0A"/>
    <w:rsid w:val="3871DD77"/>
    <w:rsid w:val="3890A525"/>
    <w:rsid w:val="38A05BC2"/>
    <w:rsid w:val="38A0D534"/>
    <w:rsid w:val="38B0825C"/>
    <w:rsid w:val="38D3A0D6"/>
    <w:rsid w:val="3944653A"/>
    <w:rsid w:val="39495014"/>
    <w:rsid w:val="396136C2"/>
    <w:rsid w:val="396FB255"/>
    <w:rsid w:val="3986DEF0"/>
    <w:rsid w:val="39C4A4A8"/>
    <w:rsid w:val="3A076B28"/>
    <w:rsid w:val="3A113933"/>
    <w:rsid w:val="3A1486C2"/>
    <w:rsid w:val="3A1D997F"/>
    <w:rsid w:val="3A43053A"/>
    <w:rsid w:val="3ABC6F35"/>
    <w:rsid w:val="3AC57413"/>
    <w:rsid w:val="3ACC8B2E"/>
    <w:rsid w:val="3AD2B688"/>
    <w:rsid w:val="3B154D6F"/>
    <w:rsid w:val="3B39A41E"/>
    <w:rsid w:val="3BB98DAF"/>
    <w:rsid w:val="3BC3A1AC"/>
    <w:rsid w:val="3BF4F537"/>
    <w:rsid w:val="3C4C64CC"/>
    <w:rsid w:val="3C6AD5CD"/>
    <w:rsid w:val="3C6EE21A"/>
    <w:rsid w:val="3C900BCE"/>
    <w:rsid w:val="3C9D06A1"/>
    <w:rsid w:val="3D5B03BC"/>
    <w:rsid w:val="3D79B6A5"/>
    <w:rsid w:val="3DC4B335"/>
    <w:rsid w:val="3DDDF6E4"/>
    <w:rsid w:val="3E0ED985"/>
    <w:rsid w:val="3E11B6A3"/>
    <w:rsid w:val="3E17C481"/>
    <w:rsid w:val="3E4493BE"/>
    <w:rsid w:val="3E66519D"/>
    <w:rsid w:val="3E6E927A"/>
    <w:rsid w:val="3E6EFC41"/>
    <w:rsid w:val="3E7E36D3"/>
    <w:rsid w:val="3EE77D38"/>
    <w:rsid w:val="3F027CB9"/>
    <w:rsid w:val="3F12A321"/>
    <w:rsid w:val="3F2244AE"/>
    <w:rsid w:val="3F368750"/>
    <w:rsid w:val="3F6369D8"/>
    <w:rsid w:val="3F6743A9"/>
    <w:rsid w:val="3F71DFEB"/>
    <w:rsid w:val="3F997E77"/>
    <w:rsid w:val="3FD71158"/>
    <w:rsid w:val="4021B0EE"/>
    <w:rsid w:val="4034A9D2"/>
    <w:rsid w:val="40721AC6"/>
    <w:rsid w:val="410CD5CE"/>
    <w:rsid w:val="41474741"/>
    <w:rsid w:val="41502AD7"/>
    <w:rsid w:val="416D832C"/>
    <w:rsid w:val="41A686D0"/>
    <w:rsid w:val="41C7DC33"/>
    <w:rsid w:val="4289D1A8"/>
    <w:rsid w:val="42A953CE"/>
    <w:rsid w:val="4306E911"/>
    <w:rsid w:val="4319CEBD"/>
    <w:rsid w:val="432F1067"/>
    <w:rsid w:val="4350B2F5"/>
    <w:rsid w:val="437EC799"/>
    <w:rsid w:val="43BD4BA3"/>
    <w:rsid w:val="43CFA0EC"/>
    <w:rsid w:val="43EAC17A"/>
    <w:rsid w:val="440CC83F"/>
    <w:rsid w:val="4449B98A"/>
    <w:rsid w:val="44F28890"/>
    <w:rsid w:val="454660A9"/>
    <w:rsid w:val="4598B95C"/>
    <w:rsid w:val="45F1D993"/>
    <w:rsid w:val="460AE4EB"/>
    <w:rsid w:val="4663A029"/>
    <w:rsid w:val="4682005C"/>
    <w:rsid w:val="469D956D"/>
    <w:rsid w:val="46ADB1DF"/>
    <w:rsid w:val="46C9EC51"/>
    <w:rsid w:val="46D54EC9"/>
    <w:rsid w:val="46E1FD94"/>
    <w:rsid w:val="46EF7F6C"/>
    <w:rsid w:val="4750E4F3"/>
    <w:rsid w:val="4764EF2F"/>
    <w:rsid w:val="477D546E"/>
    <w:rsid w:val="47924D02"/>
    <w:rsid w:val="47F3287E"/>
    <w:rsid w:val="4800609A"/>
    <w:rsid w:val="486173D0"/>
    <w:rsid w:val="4864C605"/>
    <w:rsid w:val="4883A312"/>
    <w:rsid w:val="4887E6C2"/>
    <w:rsid w:val="48A78FFD"/>
    <w:rsid w:val="48A8927E"/>
    <w:rsid w:val="48A8CD3B"/>
    <w:rsid w:val="492ADE2B"/>
    <w:rsid w:val="49518C33"/>
    <w:rsid w:val="496DDAC3"/>
    <w:rsid w:val="49B9E3F1"/>
    <w:rsid w:val="49C80989"/>
    <w:rsid w:val="49DE8C13"/>
    <w:rsid w:val="4A1839EF"/>
    <w:rsid w:val="4A7976E7"/>
    <w:rsid w:val="4A7D2EB0"/>
    <w:rsid w:val="4A8D99EA"/>
    <w:rsid w:val="4B45B746"/>
    <w:rsid w:val="4B6FC1DF"/>
    <w:rsid w:val="4BA8B843"/>
    <w:rsid w:val="4BAEBDC4"/>
    <w:rsid w:val="4BE6F81A"/>
    <w:rsid w:val="4BEDF035"/>
    <w:rsid w:val="4BF7D36E"/>
    <w:rsid w:val="4C2A8864"/>
    <w:rsid w:val="4C323D4E"/>
    <w:rsid w:val="4C34F6B9"/>
    <w:rsid w:val="4C9013DE"/>
    <w:rsid w:val="4CC297ED"/>
    <w:rsid w:val="4CD08441"/>
    <w:rsid w:val="4D22E3EB"/>
    <w:rsid w:val="4D2AA2B8"/>
    <w:rsid w:val="4D7B1121"/>
    <w:rsid w:val="4D820848"/>
    <w:rsid w:val="4DDE4D4B"/>
    <w:rsid w:val="4DE7110E"/>
    <w:rsid w:val="4E045AC7"/>
    <w:rsid w:val="4E0A543D"/>
    <w:rsid w:val="4E19D72E"/>
    <w:rsid w:val="4E1AD975"/>
    <w:rsid w:val="4E226F40"/>
    <w:rsid w:val="4E235EFE"/>
    <w:rsid w:val="4E6BFC48"/>
    <w:rsid w:val="4E921F7C"/>
    <w:rsid w:val="4E958E49"/>
    <w:rsid w:val="4EA2A16E"/>
    <w:rsid w:val="4EABD4D1"/>
    <w:rsid w:val="4EBCE30E"/>
    <w:rsid w:val="4F10E295"/>
    <w:rsid w:val="4F2AD7FB"/>
    <w:rsid w:val="4F32E586"/>
    <w:rsid w:val="4F52F9E8"/>
    <w:rsid w:val="4F655DAF"/>
    <w:rsid w:val="4F66E4A2"/>
    <w:rsid w:val="4F748937"/>
    <w:rsid w:val="4F74BC57"/>
    <w:rsid w:val="4F78537B"/>
    <w:rsid w:val="4F8F167E"/>
    <w:rsid w:val="4F97A49D"/>
    <w:rsid w:val="4F9C0339"/>
    <w:rsid w:val="4FBBCA7A"/>
    <w:rsid w:val="4FD2775B"/>
    <w:rsid w:val="4FDE3B1E"/>
    <w:rsid w:val="5001509F"/>
    <w:rsid w:val="503CFD15"/>
    <w:rsid w:val="503D20C5"/>
    <w:rsid w:val="504C5F78"/>
    <w:rsid w:val="5068C49A"/>
    <w:rsid w:val="50A71940"/>
    <w:rsid w:val="50B54903"/>
    <w:rsid w:val="50E3EDBC"/>
    <w:rsid w:val="5156DF02"/>
    <w:rsid w:val="518A593B"/>
    <w:rsid w:val="51B31B7A"/>
    <w:rsid w:val="51CFF76E"/>
    <w:rsid w:val="51D72528"/>
    <w:rsid w:val="51D8DD2D"/>
    <w:rsid w:val="5221B42E"/>
    <w:rsid w:val="52252314"/>
    <w:rsid w:val="522E8350"/>
    <w:rsid w:val="52A5CAC9"/>
    <w:rsid w:val="52D627BC"/>
    <w:rsid w:val="52D81F55"/>
    <w:rsid w:val="52F93C68"/>
    <w:rsid w:val="52FC548C"/>
    <w:rsid w:val="534EA877"/>
    <w:rsid w:val="5363BF8A"/>
    <w:rsid w:val="5385240C"/>
    <w:rsid w:val="5399BE5E"/>
    <w:rsid w:val="53D6DE7A"/>
    <w:rsid w:val="5413B4E9"/>
    <w:rsid w:val="54298607"/>
    <w:rsid w:val="54505B8D"/>
    <w:rsid w:val="545D85B5"/>
    <w:rsid w:val="5460F3AB"/>
    <w:rsid w:val="5488301E"/>
    <w:rsid w:val="54892560"/>
    <w:rsid w:val="54AFA1A3"/>
    <w:rsid w:val="54D2F658"/>
    <w:rsid w:val="54DC876F"/>
    <w:rsid w:val="54E06A05"/>
    <w:rsid w:val="54F0CD00"/>
    <w:rsid w:val="54FB7F33"/>
    <w:rsid w:val="5542942A"/>
    <w:rsid w:val="5559A3B2"/>
    <w:rsid w:val="5574C49C"/>
    <w:rsid w:val="55B2BE05"/>
    <w:rsid w:val="562AACD4"/>
    <w:rsid w:val="56388344"/>
    <w:rsid w:val="563F938A"/>
    <w:rsid w:val="564E9EA9"/>
    <w:rsid w:val="5650AAC1"/>
    <w:rsid w:val="565C3DE5"/>
    <w:rsid w:val="567A2F35"/>
    <w:rsid w:val="568BA3E7"/>
    <w:rsid w:val="56B3A24F"/>
    <w:rsid w:val="5703C6FB"/>
    <w:rsid w:val="57628003"/>
    <w:rsid w:val="5780B001"/>
    <w:rsid w:val="57B26051"/>
    <w:rsid w:val="57D3CC4D"/>
    <w:rsid w:val="581BCDA2"/>
    <w:rsid w:val="58358674"/>
    <w:rsid w:val="58364B7B"/>
    <w:rsid w:val="58D5FB1E"/>
    <w:rsid w:val="592081A8"/>
    <w:rsid w:val="59451585"/>
    <w:rsid w:val="59A17205"/>
    <w:rsid w:val="5A249950"/>
    <w:rsid w:val="5A5F5947"/>
    <w:rsid w:val="5A90467A"/>
    <w:rsid w:val="5A952F15"/>
    <w:rsid w:val="5AAF5F96"/>
    <w:rsid w:val="5ABD23A0"/>
    <w:rsid w:val="5AC2B28B"/>
    <w:rsid w:val="5ADD703D"/>
    <w:rsid w:val="5AEA577F"/>
    <w:rsid w:val="5AFADDF5"/>
    <w:rsid w:val="5B0BE761"/>
    <w:rsid w:val="5B299FDD"/>
    <w:rsid w:val="5B2D510B"/>
    <w:rsid w:val="5B341857"/>
    <w:rsid w:val="5B39505C"/>
    <w:rsid w:val="5B491841"/>
    <w:rsid w:val="5B5BC19A"/>
    <w:rsid w:val="5B95A283"/>
    <w:rsid w:val="5BAA8EB3"/>
    <w:rsid w:val="5BCB3B17"/>
    <w:rsid w:val="5BD9BB4D"/>
    <w:rsid w:val="5BF61EBA"/>
    <w:rsid w:val="5C0586EE"/>
    <w:rsid w:val="5C08CCCA"/>
    <w:rsid w:val="5C0A55F3"/>
    <w:rsid w:val="5C19E18C"/>
    <w:rsid w:val="5C2F4AC3"/>
    <w:rsid w:val="5C78DEC3"/>
    <w:rsid w:val="5C9CD272"/>
    <w:rsid w:val="5CA1CF1B"/>
    <w:rsid w:val="5D47CB3D"/>
    <w:rsid w:val="5D908585"/>
    <w:rsid w:val="5D9C126A"/>
    <w:rsid w:val="5D9CAAF4"/>
    <w:rsid w:val="5E1E1A19"/>
    <w:rsid w:val="5E5AA3AD"/>
    <w:rsid w:val="5E969431"/>
    <w:rsid w:val="5EAC696D"/>
    <w:rsid w:val="5EB7A827"/>
    <w:rsid w:val="5EF3B671"/>
    <w:rsid w:val="5F0ACF5C"/>
    <w:rsid w:val="5FAA2071"/>
    <w:rsid w:val="5FDB6C8E"/>
    <w:rsid w:val="603129EF"/>
    <w:rsid w:val="6043DC9A"/>
    <w:rsid w:val="605876AC"/>
    <w:rsid w:val="606BDC94"/>
    <w:rsid w:val="606C9B12"/>
    <w:rsid w:val="60843A4E"/>
    <w:rsid w:val="608A0E14"/>
    <w:rsid w:val="60A057D9"/>
    <w:rsid w:val="60AB9C78"/>
    <w:rsid w:val="60BE77F1"/>
    <w:rsid w:val="60F9D782"/>
    <w:rsid w:val="613E6A46"/>
    <w:rsid w:val="6182C58C"/>
    <w:rsid w:val="6226EC06"/>
    <w:rsid w:val="625763E2"/>
    <w:rsid w:val="628B8FC0"/>
    <w:rsid w:val="62A8A13B"/>
    <w:rsid w:val="630428C7"/>
    <w:rsid w:val="632C47DC"/>
    <w:rsid w:val="6341EC32"/>
    <w:rsid w:val="63AD6B20"/>
    <w:rsid w:val="63B2C190"/>
    <w:rsid w:val="63B89EFE"/>
    <w:rsid w:val="63F8F926"/>
    <w:rsid w:val="646453D3"/>
    <w:rsid w:val="646A82F3"/>
    <w:rsid w:val="6495C52A"/>
    <w:rsid w:val="64A0A8B7"/>
    <w:rsid w:val="64D2780A"/>
    <w:rsid w:val="6512507F"/>
    <w:rsid w:val="653903EE"/>
    <w:rsid w:val="65AE969C"/>
    <w:rsid w:val="65C98372"/>
    <w:rsid w:val="65F69FC4"/>
    <w:rsid w:val="666879B3"/>
    <w:rsid w:val="6699A162"/>
    <w:rsid w:val="66C51E13"/>
    <w:rsid w:val="66E884FA"/>
    <w:rsid w:val="66F063CD"/>
    <w:rsid w:val="66FF981F"/>
    <w:rsid w:val="6722B976"/>
    <w:rsid w:val="6735E4D9"/>
    <w:rsid w:val="673E0BFE"/>
    <w:rsid w:val="67A73548"/>
    <w:rsid w:val="67E390A3"/>
    <w:rsid w:val="68054112"/>
    <w:rsid w:val="68622281"/>
    <w:rsid w:val="68677945"/>
    <w:rsid w:val="686C65CC"/>
    <w:rsid w:val="689F894E"/>
    <w:rsid w:val="68F46711"/>
    <w:rsid w:val="68F8BBA4"/>
    <w:rsid w:val="68FA3CB7"/>
    <w:rsid w:val="69024A05"/>
    <w:rsid w:val="69183ABF"/>
    <w:rsid w:val="69968D1B"/>
    <w:rsid w:val="69A51CA6"/>
    <w:rsid w:val="69FE2D92"/>
    <w:rsid w:val="6A0E984F"/>
    <w:rsid w:val="6A1D73F4"/>
    <w:rsid w:val="6A2AB302"/>
    <w:rsid w:val="6A5E28A8"/>
    <w:rsid w:val="6A5F84B4"/>
    <w:rsid w:val="6A649BDB"/>
    <w:rsid w:val="6A652C9E"/>
    <w:rsid w:val="6A8B5CE3"/>
    <w:rsid w:val="6A8CE638"/>
    <w:rsid w:val="6ABEECB3"/>
    <w:rsid w:val="6AE546D2"/>
    <w:rsid w:val="6AFFA224"/>
    <w:rsid w:val="6B3EEB8C"/>
    <w:rsid w:val="6C65E7D7"/>
    <w:rsid w:val="6D2565FB"/>
    <w:rsid w:val="6D57C4B2"/>
    <w:rsid w:val="6D764D97"/>
    <w:rsid w:val="6D7BEAA9"/>
    <w:rsid w:val="6D8234AC"/>
    <w:rsid w:val="6E0CBB2D"/>
    <w:rsid w:val="6E38A5C4"/>
    <w:rsid w:val="6EC5052B"/>
    <w:rsid w:val="6EFF0C66"/>
    <w:rsid w:val="6F32A9F1"/>
    <w:rsid w:val="6FA35ACE"/>
    <w:rsid w:val="700C06EE"/>
    <w:rsid w:val="7022537A"/>
    <w:rsid w:val="709CD49E"/>
    <w:rsid w:val="70A79FB7"/>
    <w:rsid w:val="70E577C4"/>
    <w:rsid w:val="70EF4AEB"/>
    <w:rsid w:val="711D9B6D"/>
    <w:rsid w:val="71227BD3"/>
    <w:rsid w:val="712F7089"/>
    <w:rsid w:val="7167BD2C"/>
    <w:rsid w:val="7189E4FC"/>
    <w:rsid w:val="71ADCC35"/>
    <w:rsid w:val="71CCE6DE"/>
    <w:rsid w:val="72006130"/>
    <w:rsid w:val="7219869B"/>
    <w:rsid w:val="72766CA3"/>
    <w:rsid w:val="727B527F"/>
    <w:rsid w:val="72AAA827"/>
    <w:rsid w:val="72BFDB81"/>
    <w:rsid w:val="7339B2BF"/>
    <w:rsid w:val="734C944B"/>
    <w:rsid w:val="737CECB6"/>
    <w:rsid w:val="738DFD53"/>
    <w:rsid w:val="73DAF93C"/>
    <w:rsid w:val="7421BC6C"/>
    <w:rsid w:val="74829051"/>
    <w:rsid w:val="74CFF4F9"/>
    <w:rsid w:val="74D36814"/>
    <w:rsid w:val="74EF3CA0"/>
    <w:rsid w:val="750B2AE6"/>
    <w:rsid w:val="75336301"/>
    <w:rsid w:val="75571B2E"/>
    <w:rsid w:val="75AF5B31"/>
    <w:rsid w:val="762F4C88"/>
    <w:rsid w:val="76ACEEB9"/>
    <w:rsid w:val="76C3A447"/>
    <w:rsid w:val="76EC50FC"/>
    <w:rsid w:val="76EF9CF2"/>
    <w:rsid w:val="77192D55"/>
    <w:rsid w:val="77631FD1"/>
    <w:rsid w:val="777CB4D1"/>
    <w:rsid w:val="778830E3"/>
    <w:rsid w:val="778DD01A"/>
    <w:rsid w:val="77D1EE6C"/>
    <w:rsid w:val="77DBF893"/>
    <w:rsid w:val="781C8ED2"/>
    <w:rsid w:val="78362A05"/>
    <w:rsid w:val="786F89AE"/>
    <w:rsid w:val="7885304E"/>
    <w:rsid w:val="789FC1CD"/>
    <w:rsid w:val="78D15C48"/>
    <w:rsid w:val="78F00BCB"/>
    <w:rsid w:val="78FCB0EB"/>
    <w:rsid w:val="794E2EA5"/>
    <w:rsid w:val="7978676E"/>
    <w:rsid w:val="79D274E6"/>
    <w:rsid w:val="79DE986D"/>
    <w:rsid w:val="79E81AAB"/>
    <w:rsid w:val="7A24865E"/>
    <w:rsid w:val="7A5FDFD7"/>
    <w:rsid w:val="7A88584D"/>
    <w:rsid w:val="7AA765DC"/>
    <w:rsid w:val="7ABBCE45"/>
    <w:rsid w:val="7AC08560"/>
    <w:rsid w:val="7ACCA0F5"/>
    <w:rsid w:val="7AD0876B"/>
    <w:rsid w:val="7AE299B5"/>
    <w:rsid w:val="7B1CFC1F"/>
    <w:rsid w:val="7B3586AA"/>
    <w:rsid w:val="7B455EEF"/>
    <w:rsid w:val="7B4D21EE"/>
    <w:rsid w:val="7B726310"/>
    <w:rsid w:val="7B845FC7"/>
    <w:rsid w:val="7B887333"/>
    <w:rsid w:val="7B9EB2AC"/>
    <w:rsid w:val="7BFD26B5"/>
    <w:rsid w:val="7C0593B7"/>
    <w:rsid w:val="7C07199C"/>
    <w:rsid w:val="7C2C04A6"/>
    <w:rsid w:val="7C35FD11"/>
    <w:rsid w:val="7C5162FE"/>
    <w:rsid w:val="7C6FB390"/>
    <w:rsid w:val="7C8A4C7B"/>
    <w:rsid w:val="7CD2A71B"/>
    <w:rsid w:val="7D06D461"/>
    <w:rsid w:val="7D355B30"/>
    <w:rsid w:val="7D8D2251"/>
    <w:rsid w:val="7DBC5A1B"/>
    <w:rsid w:val="7DBEA04E"/>
    <w:rsid w:val="7DED586F"/>
    <w:rsid w:val="7E1B5C7C"/>
    <w:rsid w:val="7E2B422A"/>
    <w:rsid w:val="7E3376C6"/>
    <w:rsid w:val="7E50BF0C"/>
    <w:rsid w:val="7E9F80FA"/>
    <w:rsid w:val="7EC270E9"/>
    <w:rsid w:val="7EED54A1"/>
    <w:rsid w:val="7F1B67EB"/>
    <w:rsid w:val="7F2157C2"/>
    <w:rsid w:val="7F28912F"/>
    <w:rsid w:val="7F4D766D"/>
    <w:rsid w:val="7F88C7FE"/>
    <w:rsid w:val="7FAE6018"/>
    <w:rsid w:val="7FD0437D"/>
    <w:rsid w:val="7FDA5E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00A7"/>
  <w15:chartTrackingRefBased/>
  <w15:docId w15:val="{984F25B2-7B59-4F71-A2FF-8011C0ED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1F"/>
    <w:rPr>
      <w:rFonts w:ascii="Calibri" w:hAnsi="Calibri"/>
      <w:sz w:val="24"/>
    </w:rPr>
  </w:style>
  <w:style w:type="paragraph" w:styleId="Heading1">
    <w:name w:val="heading 1"/>
    <w:basedOn w:val="Normal"/>
    <w:next w:val="Normal"/>
    <w:link w:val="Heading1Char"/>
    <w:uiPriority w:val="9"/>
    <w:qFormat/>
    <w:rsid w:val="00DD38F4"/>
    <w:pPr>
      <w:keepNext/>
      <w:keepLines/>
      <w:numPr>
        <w:numId w:val="20"/>
      </w:numPr>
      <w:spacing w:before="360" w:after="80"/>
      <w:ind w:left="431" w:hanging="431"/>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E83908"/>
    <w:pPr>
      <w:keepNext/>
      <w:keepLines/>
      <w:numPr>
        <w:ilvl w:val="1"/>
        <w:numId w:val="20"/>
      </w:numPr>
      <w:spacing w:before="120" w:after="120" w:line="240" w:lineRule="auto"/>
      <w:ind w:left="862" w:hanging="578"/>
      <w:outlineLvl w:val="1"/>
    </w:pPr>
    <w:rPr>
      <w:rFonts w:eastAsiaTheme="majorEastAsia" w:cs="Calibri"/>
      <w:color w:val="0F4761" w:themeColor="accent1" w:themeShade="BF"/>
      <w:sz w:val="28"/>
      <w:szCs w:val="32"/>
      <w:lang w:val="en-GB"/>
    </w:rPr>
  </w:style>
  <w:style w:type="paragraph" w:styleId="Heading3">
    <w:name w:val="heading 3"/>
    <w:basedOn w:val="Normal"/>
    <w:next w:val="Normal"/>
    <w:link w:val="Heading3Char"/>
    <w:autoRedefine/>
    <w:uiPriority w:val="9"/>
    <w:unhideWhenUsed/>
    <w:qFormat/>
    <w:rsid w:val="00401DAF"/>
    <w:pPr>
      <w:keepNext/>
      <w:keepLines/>
      <w:numPr>
        <w:ilvl w:val="2"/>
        <w:numId w:val="20"/>
      </w:numPr>
      <w:spacing w:before="160" w:after="80"/>
      <w:ind w:left="1117"/>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0D2372"/>
    <w:pPr>
      <w:keepNext/>
      <w:keepLines/>
      <w:numPr>
        <w:ilvl w:val="3"/>
        <w:numId w:val="20"/>
      </w:numPr>
      <w:spacing w:before="120" w:after="120" w:line="256" w:lineRule="auto"/>
      <w:jc w:val="both"/>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F6E95"/>
    <w:pPr>
      <w:numPr>
        <w:ilvl w:val="4"/>
        <w:numId w:val="20"/>
      </w:numPr>
      <w:tabs>
        <w:tab w:val="left" w:pos="720"/>
      </w:tabs>
      <w:spacing w:line="276" w:lineRule="auto"/>
      <w:contextualSpacing/>
      <w:jc w:val="both"/>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64C6F"/>
    <w:pPr>
      <w:keepNext/>
      <w:keepLines/>
      <w:numPr>
        <w:ilvl w:val="5"/>
        <w:numId w:val="2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C6F"/>
    <w:pPr>
      <w:keepNext/>
      <w:keepLines/>
      <w:numPr>
        <w:ilvl w:val="6"/>
        <w:numId w:val="2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C6F"/>
    <w:pPr>
      <w:keepNext/>
      <w:keepLines/>
      <w:numPr>
        <w:ilvl w:val="7"/>
        <w:numId w:val="2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C6F"/>
    <w:pPr>
      <w:keepNext/>
      <w:keepLines/>
      <w:numPr>
        <w:ilvl w:val="8"/>
        <w:numId w:val="2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F4"/>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rsid w:val="00E83908"/>
    <w:rPr>
      <w:rFonts w:ascii="Calibri" w:eastAsiaTheme="majorEastAsia" w:hAnsi="Calibri" w:cs="Calibri"/>
      <w:color w:val="0F4761" w:themeColor="accent1" w:themeShade="BF"/>
      <w:sz w:val="28"/>
      <w:szCs w:val="32"/>
      <w:lang w:val="en-GB"/>
    </w:rPr>
  </w:style>
  <w:style w:type="character" w:customStyle="1" w:styleId="Heading3Char">
    <w:name w:val="Heading 3 Char"/>
    <w:basedOn w:val="DefaultParagraphFont"/>
    <w:link w:val="Heading3"/>
    <w:uiPriority w:val="9"/>
    <w:rsid w:val="00401DAF"/>
    <w:rPr>
      <w:rFonts w:ascii="Calibri" w:eastAsiaTheme="majorEastAsia" w:hAnsi="Calibri" w:cstheme="majorBidi"/>
      <w:b/>
      <w:color w:val="0F4761" w:themeColor="accent1" w:themeShade="BF"/>
      <w:sz w:val="24"/>
      <w:szCs w:val="28"/>
    </w:rPr>
  </w:style>
  <w:style w:type="character" w:customStyle="1" w:styleId="Heading4Char">
    <w:name w:val="Heading 4 Char"/>
    <w:basedOn w:val="DefaultParagraphFont"/>
    <w:link w:val="Heading4"/>
    <w:uiPriority w:val="9"/>
    <w:rsid w:val="000D2372"/>
    <w:rPr>
      <w:rFonts w:ascii="Calibri" w:eastAsiaTheme="majorEastAsia" w:hAnsi="Calibri" w:cstheme="majorBidi"/>
      <w:i/>
      <w:iCs/>
      <w:color w:val="0F4761" w:themeColor="accent1" w:themeShade="BF"/>
      <w:sz w:val="24"/>
    </w:rPr>
  </w:style>
  <w:style w:type="character" w:customStyle="1" w:styleId="Heading5Char">
    <w:name w:val="Heading 5 Char"/>
    <w:basedOn w:val="DefaultParagraphFont"/>
    <w:link w:val="Heading5"/>
    <w:uiPriority w:val="9"/>
    <w:rsid w:val="004F6E95"/>
    <w:rPr>
      <w:rFonts w:ascii="Calibri" w:eastAsiaTheme="majorEastAsia" w:hAnsi="Calibri" w:cstheme="majorBidi"/>
      <w:color w:val="0F4761" w:themeColor="accent1" w:themeShade="BF"/>
      <w:sz w:val="24"/>
    </w:rPr>
  </w:style>
  <w:style w:type="character" w:customStyle="1" w:styleId="Heading6Char">
    <w:name w:val="Heading 6 Char"/>
    <w:basedOn w:val="DefaultParagraphFont"/>
    <w:link w:val="Heading6"/>
    <w:uiPriority w:val="9"/>
    <w:rsid w:val="00864C6F"/>
    <w:rPr>
      <w:rFonts w:ascii="Calibri" w:eastAsiaTheme="majorEastAsia" w:hAnsi="Calibri" w:cstheme="majorBidi"/>
      <w:i/>
      <w:iCs/>
      <w:color w:val="595959" w:themeColor="text1" w:themeTint="A6"/>
      <w:sz w:val="24"/>
    </w:rPr>
  </w:style>
  <w:style w:type="character" w:customStyle="1" w:styleId="Heading7Char">
    <w:name w:val="Heading 7 Char"/>
    <w:basedOn w:val="DefaultParagraphFont"/>
    <w:link w:val="Heading7"/>
    <w:uiPriority w:val="9"/>
    <w:semiHidden/>
    <w:rsid w:val="00864C6F"/>
    <w:rPr>
      <w:rFonts w:ascii="Calibri" w:eastAsiaTheme="majorEastAsia" w:hAnsi="Calibri" w:cstheme="majorBidi"/>
      <w:color w:val="595959" w:themeColor="text1" w:themeTint="A6"/>
      <w:sz w:val="24"/>
    </w:rPr>
  </w:style>
  <w:style w:type="character" w:customStyle="1" w:styleId="Heading8Char">
    <w:name w:val="Heading 8 Char"/>
    <w:basedOn w:val="DefaultParagraphFont"/>
    <w:link w:val="Heading8"/>
    <w:uiPriority w:val="9"/>
    <w:semiHidden/>
    <w:rsid w:val="00864C6F"/>
    <w:rPr>
      <w:rFonts w:ascii="Calibri" w:eastAsiaTheme="majorEastAsia" w:hAnsi="Calibri" w:cstheme="majorBidi"/>
      <w:i/>
      <w:iCs/>
      <w:color w:val="272727" w:themeColor="text1" w:themeTint="D8"/>
      <w:sz w:val="24"/>
    </w:rPr>
  </w:style>
  <w:style w:type="character" w:customStyle="1" w:styleId="Heading9Char">
    <w:name w:val="Heading 9 Char"/>
    <w:basedOn w:val="DefaultParagraphFont"/>
    <w:link w:val="Heading9"/>
    <w:uiPriority w:val="9"/>
    <w:semiHidden/>
    <w:rsid w:val="00864C6F"/>
    <w:rPr>
      <w:rFonts w:ascii="Calibri" w:eastAsiaTheme="majorEastAsia" w:hAnsi="Calibri" w:cstheme="majorBidi"/>
      <w:color w:val="272727" w:themeColor="text1" w:themeTint="D8"/>
      <w:sz w:val="24"/>
    </w:rPr>
  </w:style>
  <w:style w:type="paragraph" w:styleId="Title">
    <w:name w:val="Title"/>
    <w:basedOn w:val="Normal"/>
    <w:next w:val="Normal"/>
    <w:link w:val="TitleChar"/>
    <w:uiPriority w:val="10"/>
    <w:qFormat/>
    <w:rsid w:val="00864C6F"/>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64C6F"/>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864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C6F"/>
    <w:pPr>
      <w:spacing w:before="160"/>
      <w:jc w:val="center"/>
    </w:pPr>
    <w:rPr>
      <w:i/>
      <w:iCs/>
      <w:color w:val="404040" w:themeColor="text1" w:themeTint="BF"/>
    </w:rPr>
  </w:style>
  <w:style w:type="character" w:customStyle="1" w:styleId="QuoteChar">
    <w:name w:val="Quote Char"/>
    <w:basedOn w:val="DefaultParagraphFont"/>
    <w:link w:val="Quote"/>
    <w:uiPriority w:val="29"/>
    <w:rsid w:val="00864C6F"/>
    <w:rPr>
      <w:i/>
      <w:iCs/>
      <w:color w:val="404040" w:themeColor="text1" w:themeTint="BF"/>
    </w:r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b"/>
    <w:basedOn w:val="Normal"/>
    <w:link w:val="ListParagraphChar"/>
    <w:uiPriority w:val="34"/>
    <w:qFormat/>
    <w:rsid w:val="00864C6F"/>
    <w:pPr>
      <w:ind w:left="720"/>
      <w:contextualSpacing/>
    </w:pPr>
  </w:style>
  <w:style w:type="character" w:styleId="IntenseEmphasis">
    <w:name w:val="Intense Emphasis"/>
    <w:basedOn w:val="DefaultParagraphFont"/>
    <w:uiPriority w:val="21"/>
    <w:qFormat/>
    <w:rsid w:val="00864C6F"/>
    <w:rPr>
      <w:i/>
      <w:iCs/>
      <w:color w:val="0F4761" w:themeColor="accent1" w:themeShade="BF"/>
    </w:rPr>
  </w:style>
  <w:style w:type="paragraph" w:styleId="IntenseQuote">
    <w:name w:val="Intense Quote"/>
    <w:basedOn w:val="Normal"/>
    <w:next w:val="Normal"/>
    <w:link w:val="IntenseQuoteChar"/>
    <w:uiPriority w:val="30"/>
    <w:qFormat/>
    <w:rsid w:val="00864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C6F"/>
    <w:rPr>
      <w:i/>
      <w:iCs/>
      <w:color w:val="0F4761" w:themeColor="accent1" w:themeShade="BF"/>
    </w:rPr>
  </w:style>
  <w:style w:type="character" w:styleId="IntenseReference">
    <w:name w:val="Intense Reference"/>
    <w:basedOn w:val="DefaultParagraphFont"/>
    <w:uiPriority w:val="32"/>
    <w:qFormat/>
    <w:rsid w:val="00864C6F"/>
    <w:rPr>
      <w:b/>
      <w:bCs/>
      <w:smallCaps/>
      <w:color w:val="0F4761" w:themeColor="accent1" w:themeShade="BF"/>
      <w:spacing w:val="5"/>
    </w:rPr>
  </w:style>
  <w:style w:type="paragraph" w:styleId="NoSpacing">
    <w:name w:val="No Spacing"/>
    <w:link w:val="NoSpacingChar"/>
    <w:uiPriority w:val="1"/>
    <w:qFormat/>
    <w:rsid w:val="00864C6F"/>
    <w:pPr>
      <w:spacing w:after="0" w:line="240" w:lineRule="auto"/>
    </w:pPr>
    <w:rPr>
      <w:rFonts w:ascii="Calibri" w:hAnsi="Calibri"/>
    </w:rPr>
  </w:style>
  <w:style w:type="character" w:styleId="SubtleEmphasis">
    <w:name w:val="Subtle Emphasis"/>
    <w:basedOn w:val="DefaultParagraphFont"/>
    <w:uiPriority w:val="19"/>
    <w:qFormat/>
    <w:rsid w:val="00864C6F"/>
    <w:rPr>
      <w:rFonts w:ascii="Calibri" w:hAnsi="Calibri"/>
      <w:i/>
      <w:iCs/>
      <w:color w:val="404040" w:themeColor="text1" w:themeTint="BF"/>
    </w:rPr>
  </w:style>
  <w:style w:type="paragraph" w:styleId="TOCHeading">
    <w:name w:val="TOC Heading"/>
    <w:basedOn w:val="Heading1"/>
    <w:next w:val="Normal"/>
    <w:uiPriority w:val="39"/>
    <w:unhideWhenUsed/>
    <w:qFormat/>
    <w:rsid w:val="00864C6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64C6F"/>
    <w:pPr>
      <w:spacing w:after="100"/>
      <w:ind w:left="220"/>
    </w:pPr>
  </w:style>
  <w:style w:type="paragraph" w:styleId="TOC3">
    <w:name w:val="toc 3"/>
    <w:basedOn w:val="Normal"/>
    <w:next w:val="Normal"/>
    <w:autoRedefine/>
    <w:uiPriority w:val="39"/>
    <w:unhideWhenUsed/>
    <w:rsid w:val="00546206"/>
    <w:pPr>
      <w:tabs>
        <w:tab w:val="left" w:pos="1200"/>
        <w:tab w:val="right" w:leader="dot" w:pos="9770"/>
      </w:tabs>
      <w:spacing w:after="100"/>
      <w:ind w:left="440"/>
    </w:pPr>
  </w:style>
  <w:style w:type="character" w:styleId="Hyperlink">
    <w:name w:val="Hyperlink"/>
    <w:basedOn w:val="DefaultParagraphFont"/>
    <w:uiPriority w:val="99"/>
    <w:unhideWhenUsed/>
    <w:rsid w:val="00864C6F"/>
    <w:rPr>
      <w:color w:val="0000FF"/>
      <w:u w:val="single"/>
    </w:rPr>
  </w:style>
  <w:style w:type="paragraph" w:styleId="TOC1">
    <w:name w:val="toc 1"/>
    <w:basedOn w:val="Normal"/>
    <w:next w:val="Normal"/>
    <w:autoRedefine/>
    <w:uiPriority w:val="39"/>
    <w:unhideWhenUsed/>
    <w:rsid w:val="00A77548"/>
    <w:pPr>
      <w:tabs>
        <w:tab w:val="right" w:leader="dot" w:pos="9770"/>
      </w:tabs>
      <w:spacing w:after="100" w:line="256" w:lineRule="auto"/>
      <w:jc w:val="both"/>
    </w:pPr>
    <w:rPr>
      <w:rFonts w:cs="Calibri"/>
      <w:noProof/>
      <w:kern w:val="0"/>
      <w:lang w:val="en-GB"/>
      <w14:ligatures w14:val="none"/>
    </w:rPr>
  </w:style>
  <w:style w:type="paragraph" w:styleId="FootnoteText">
    <w:name w:val="footnote text"/>
    <w:basedOn w:val="Normal"/>
    <w:link w:val="FootnoteTextChar"/>
    <w:uiPriority w:val="99"/>
    <w:unhideWhenUsed/>
    <w:rsid w:val="00BF024D"/>
    <w:pPr>
      <w:spacing w:before="120" w:after="0" w:line="240" w:lineRule="auto"/>
      <w:jc w:val="both"/>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rsid w:val="00BF024D"/>
    <w:rPr>
      <w:sz w:val="20"/>
      <w:szCs w:val="20"/>
      <w:lang w:val="en-US"/>
    </w:rPr>
  </w:style>
  <w:style w:type="character" w:customStyle="1" w:styleId="ListParagraphChar">
    <w:name w:val="List Paragraph Char"/>
    <w:aliases w:val="Recommendation Char,L Char,List Paragraph1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locked/>
    <w:rsid w:val="00BF024D"/>
    <w:rPr>
      <w:rFonts w:ascii="Calibri" w:hAnsi="Calibri"/>
    </w:rPr>
  </w:style>
  <w:style w:type="character" w:styleId="FootnoteReference">
    <w:name w:val="footnote reference"/>
    <w:basedOn w:val="DefaultParagraphFont"/>
    <w:uiPriority w:val="99"/>
    <w:unhideWhenUsed/>
    <w:rsid w:val="00BF024D"/>
    <w:rPr>
      <w:vertAlign w:val="superscript"/>
    </w:rPr>
  </w:style>
  <w:style w:type="table" w:styleId="TableGrid">
    <w:name w:val="Table Grid"/>
    <w:basedOn w:val="TableNormal"/>
    <w:uiPriority w:val="39"/>
    <w:qFormat/>
    <w:rsid w:val="0026468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1EAA"/>
    <w:rPr>
      <w:color w:val="96607D" w:themeColor="followedHyperlink"/>
      <w:u w:val="single"/>
    </w:rPr>
  </w:style>
  <w:style w:type="paragraph" w:customStyle="1" w:styleId="msonormal0">
    <w:name w:val="msonormal"/>
    <w:basedOn w:val="Normal"/>
    <w:uiPriority w:val="99"/>
    <w:rsid w:val="00C61EAA"/>
    <w:pP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styleId="NormalWeb">
    <w:name w:val="Normal (Web)"/>
    <w:basedOn w:val="Normal"/>
    <w:uiPriority w:val="99"/>
    <w:unhideWhenUsed/>
    <w:rsid w:val="00C61EAA"/>
    <w:pP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styleId="TOC4">
    <w:name w:val="toc 4"/>
    <w:basedOn w:val="Normal"/>
    <w:next w:val="Normal"/>
    <w:autoRedefine/>
    <w:uiPriority w:val="39"/>
    <w:unhideWhenUsed/>
    <w:rsid w:val="00C61EAA"/>
    <w:pPr>
      <w:spacing w:after="100" w:line="276" w:lineRule="auto"/>
      <w:ind w:left="720"/>
      <w:jc w:val="both"/>
    </w:pPr>
    <w:rPr>
      <w:rFonts w:asciiTheme="minorHAnsi" w:eastAsiaTheme="minorEastAsia" w:hAnsiTheme="minorHAnsi"/>
      <w:szCs w:val="24"/>
      <w:lang w:eastAsia="en-AU"/>
    </w:rPr>
  </w:style>
  <w:style w:type="paragraph" w:styleId="TOC5">
    <w:name w:val="toc 5"/>
    <w:basedOn w:val="Normal"/>
    <w:next w:val="Normal"/>
    <w:autoRedefine/>
    <w:uiPriority w:val="39"/>
    <w:unhideWhenUsed/>
    <w:rsid w:val="00C61EAA"/>
    <w:pPr>
      <w:spacing w:after="100" w:line="276" w:lineRule="auto"/>
      <w:ind w:left="960"/>
      <w:jc w:val="both"/>
    </w:pPr>
    <w:rPr>
      <w:rFonts w:asciiTheme="minorHAnsi" w:eastAsiaTheme="minorEastAsia" w:hAnsiTheme="minorHAnsi"/>
      <w:szCs w:val="24"/>
      <w:lang w:eastAsia="en-AU"/>
    </w:rPr>
  </w:style>
  <w:style w:type="paragraph" w:styleId="TOC6">
    <w:name w:val="toc 6"/>
    <w:basedOn w:val="Normal"/>
    <w:next w:val="Normal"/>
    <w:autoRedefine/>
    <w:uiPriority w:val="39"/>
    <w:unhideWhenUsed/>
    <w:rsid w:val="00C61EAA"/>
    <w:pPr>
      <w:spacing w:after="100" w:line="276" w:lineRule="auto"/>
      <w:ind w:left="1200"/>
      <w:jc w:val="both"/>
    </w:pPr>
    <w:rPr>
      <w:rFonts w:asciiTheme="minorHAnsi" w:eastAsiaTheme="minorEastAsia" w:hAnsiTheme="minorHAnsi"/>
      <w:szCs w:val="24"/>
      <w:lang w:eastAsia="en-AU"/>
    </w:rPr>
  </w:style>
  <w:style w:type="paragraph" w:styleId="TOC7">
    <w:name w:val="toc 7"/>
    <w:basedOn w:val="Normal"/>
    <w:next w:val="Normal"/>
    <w:autoRedefine/>
    <w:uiPriority w:val="39"/>
    <w:unhideWhenUsed/>
    <w:rsid w:val="00C61EAA"/>
    <w:pPr>
      <w:spacing w:after="100" w:line="276" w:lineRule="auto"/>
      <w:ind w:left="1440"/>
      <w:jc w:val="both"/>
    </w:pPr>
    <w:rPr>
      <w:rFonts w:asciiTheme="minorHAnsi" w:eastAsiaTheme="minorEastAsia" w:hAnsiTheme="minorHAnsi"/>
      <w:szCs w:val="24"/>
      <w:lang w:eastAsia="en-AU"/>
    </w:rPr>
  </w:style>
  <w:style w:type="paragraph" w:styleId="TOC8">
    <w:name w:val="toc 8"/>
    <w:basedOn w:val="Normal"/>
    <w:next w:val="Normal"/>
    <w:autoRedefine/>
    <w:uiPriority w:val="39"/>
    <w:unhideWhenUsed/>
    <w:rsid w:val="00C61EAA"/>
    <w:pPr>
      <w:spacing w:after="100" w:line="276" w:lineRule="auto"/>
      <w:ind w:left="1680"/>
      <w:jc w:val="both"/>
    </w:pPr>
    <w:rPr>
      <w:rFonts w:asciiTheme="minorHAnsi" w:eastAsiaTheme="minorEastAsia" w:hAnsiTheme="minorHAnsi"/>
      <w:szCs w:val="24"/>
      <w:lang w:eastAsia="en-AU"/>
    </w:rPr>
  </w:style>
  <w:style w:type="paragraph" w:styleId="TOC9">
    <w:name w:val="toc 9"/>
    <w:basedOn w:val="Normal"/>
    <w:next w:val="Normal"/>
    <w:autoRedefine/>
    <w:uiPriority w:val="39"/>
    <w:unhideWhenUsed/>
    <w:rsid w:val="00C61EAA"/>
    <w:pPr>
      <w:spacing w:after="100" w:line="276" w:lineRule="auto"/>
      <w:ind w:left="1920"/>
      <w:jc w:val="both"/>
    </w:pPr>
    <w:rPr>
      <w:rFonts w:asciiTheme="minorHAnsi" w:eastAsiaTheme="minorEastAsia" w:hAnsiTheme="minorHAnsi"/>
      <w:szCs w:val="24"/>
      <w:lang w:eastAsia="en-AU"/>
    </w:rPr>
  </w:style>
  <w:style w:type="paragraph" w:styleId="CommentText">
    <w:name w:val="annotation text"/>
    <w:basedOn w:val="Normal"/>
    <w:link w:val="CommentTextChar"/>
    <w:uiPriority w:val="99"/>
    <w:unhideWhenUsed/>
    <w:rsid w:val="00C61EAA"/>
    <w:pPr>
      <w:spacing w:line="240" w:lineRule="auto"/>
      <w:jc w:val="both"/>
    </w:pPr>
    <w:rPr>
      <w:rFonts w:asciiTheme="minorHAnsi" w:hAnsiTheme="minorHAnsi"/>
      <w:kern w:val="0"/>
      <w:sz w:val="20"/>
      <w:szCs w:val="20"/>
      <w:lang w:val="en-GB"/>
      <w14:ligatures w14:val="none"/>
    </w:rPr>
  </w:style>
  <w:style w:type="character" w:customStyle="1" w:styleId="CommentTextChar">
    <w:name w:val="Comment Text Char"/>
    <w:basedOn w:val="DefaultParagraphFont"/>
    <w:link w:val="CommentText"/>
    <w:uiPriority w:val="99"/>
    <w:rsid w:val="00C61EAA"/>
    <w:rPr>
      <w:kern w:val="0"/>
      <w:sz w:val="20"/>
      <w:szCs w:val="20"/>
      <w:lang w:val="en-GB"/>
      <w14:ligatures w14:val="none"/>
    </w:rPr>
  </w:style>
  <w:style w:type="paragraph" w:styleId="Header">
    <w:name w:val="header"/>
    <w:basedOn w:val="Normal"/>
    <w:link w:val="HeaderChar"/>
    <w:uiPriority w:val="99"/>
    <w:unhideWhenUsed/>
    <w:rsid w:val="00C61EAA"/>
    <w:pPr>
      <w:tabs>
        <w:tab w:val="center" w:pos="4680"/>
        <w:tab w:val="right" w:pos="9360"/>
      </w:tabs>
      <w:spacing w:after="0" w:line="240" w:lineRule="auto"/>
      <w:jc w:val="both"/>
    </w:pPr>
    <w:rPr>
      <w:rFonts w:asciiTheme="minorHAnsi" w:hAnsiTheme="minorHAnsi"/>
      <w:kern w:val="0"/>
      <w:lang w:val="en-GB"/>
      <w14:ligatures w14:val="none"/>
    </w:rPr>
  </w:style>
  <w:style w:type="character" w:customStyle="1" w:styleId="HeaderChar">
    <w:name w:val="Header Char"/>
    <w:basedOn w:val="DefaultParagraphFont"/>
    <w:link w:val="Header"/>
    <w:uiPriority w:val="99"/>
    <w:rsid w:val="00C61EAA"/>
    <w:rPr>
      <w:kern w:val="0"/>
      <w:lang w:val="en-GB"/>
      <w14:ligatures w14:val="none"/>
    </w:rPr>
  </w:style>
  <w:style w:type="paragraph" w:styleId="Footer">
    <w:name w:val="footer"/>
    <w:basedOn w:val="Normal"/>
    <w:link w:val="FooterChar"/>
    <w:uiPriority w:val="99"/>
    <w:unhideWhenUsed/>
    <w:rsid w:val="00C61EAA"/>
    <w:pPr>
      <w:tabs>
        <w:tab w:val="center" w:pos="4680"/>
        <w:tab w:val="right" w:pos="9360"/>
      </w:tabs>
      <w:spacing w:after="0" w:line="240" w:lineRule="auto"/>
      <w:jc w:val="both"/>
    </w:pPr>
    <w:rPr>
      <w:rFonts w:asciiTheme="minorHAnsi" w:hAnsiTheme="minorHAnsi"/>
      <w:kern w:val="0"/>
      <w:lang w:val="en-GB"/>
      <w14:ligatures w14:val="none"/>
    </w:rPr>
  </w:style>
  <w:style w:type="character" w:customStyle="1" w:styleId="FooterChar">
    <w:name w:val="Footer Char"/>
    <w:basedOn w:val="DefaultParagraphFont"/>
    <w:link w:val="Footer"/>
    <w:uiPriority w:val="99"/>
    <w:rsid w:val="00C61EAA"/>
    <w:rPr>
      <w:kern w:val="0"/>
      <w:lang w:val="en-GB"/>
      <w14:ligatures w14:val="none"/>
    </w:rPr>
  </w:style>
  <w:style w:type="paragraph" w:styleId="CommentSubject">
    <w:name w:val="annotation subject"/>
    <w:basedOn w:val="CommentText"/>
    <w:next w:val="CommentText"/>
    <w:link w:val="CommentSubjectChar"/>
    <w:uiPriority w:val="99"/>
    <w:semiHidden/>
    <w:unhideWhenUsed/>
    <w:rsid w:val="00C61EAA"/>
    <w:rPr>
      <w:b/>
      <w:bCs/>
    </w:rPr>
  </w:style>
  <w:style w:type="character" w:customStyle="1" w:styleId="CommentSubjectChar">
    <w:name w:val="Comment Subject Char"/>
    <w:basedOn w:val="CommentTextChar"/>
    <w:link w:val="CommentSubject"/>
    <w:uiPriority w:val="99"/>
    <w:semiHidden/>
    <w:rsid w:val="00C61EAA"/>
    <w:rPr>
      <w:b/>
      <w:bCs/>
      <w:kern w:val="0"/>
      <w:sz w:val="20"/>
      <w:szCs w:val="20"/>
      <w:lang w:val="en-GB"/>
      <w14:ligatures w14:val="none"/>
    </w:rPr>
  </w:style>
  <w:style w:type="character" w:customStyle="1" w:styleId="NoSpacingChar">
    <w:name w:val="No Spacing Char"/>
    <w:basedOn w:val="DefaultParagraphFont"/>
    <w:link w:val="NoSpacing"/>
    <w:uiPriority w:val="1"/>
    <w:locked/>
    <w:rsid w:val="00C61EAA"/>
    <w:rPr>
      <w:rFonts w:ascii="Calibri" w:hAnsi="Calibri"/>
    </w:rPr>
  </w:style>
  <w:style w:type="paragraph" w:styleId="Revision">
    <w:name w:val="Revision"/>
    <w:uiPriority w:val="99"/>
    <w:semiHidden/>
    <w:rsid w:val="00C61EAA"/>
    <w:pPr>
      <w:spacing w:after="0" w:line="240" w:lineRule="auto"/>
    </w:pPr>
    <w:rPr>
      <w:kern w:val="0"/>
      <w:lang w:val="en-GB"/>
      <w14:ligatures w14:val="none"/>
    </w:rPr>
  </w:style>
  <w:style w:type="paragraph" w:customStyle="1" w:styleId="paragraph">
    <w:name w:val="paragraph"/>
    <w:basedOn w:val="Normal"/>
    <w:rsid w:val="00C61EAA"/>
    <w:pP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customStyle="1" w:styleId="xl69">
    <w:name w:val="xl69"/>
    <w:basedOn w:val="Normal"/>
    <w:uiPriority w:val="99"/>
    <w:rsid w:val="00C61EAA"/>
    <w:pP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customStyle="1" w:styleId="xl70">
    <w:name w:val="xl70"/>
    <w:basedOn w:val="Normal"/>
    <w:uiPriority w:val="99"/>
    <w:rsid w:val="00C61EAA"/>
    <w:pPr>
      <w:spacing w:before="100" w:beforeAutospacing="1" w:after="100" w:afterAutospacing="1" w:line="240" w:lineRule="auto"/>
      <w:jc w:val="center"/>
    </w:pPr>
    <w:rPr>
      <w:rFonts w:ascii="Times New Roman" w:eastAsia="Times New Roman" w:hAnsi="Times New Roman" w:cs="Times New Roman"/>
      <w:kern w:val="0"/>
      <w:szCs w:val="24"/>
      <w:lang w:eastAsia="en-AU"/>
      <w14:ligatures w14:val="none"/>
    </w:rPr>
  </w:style>
  <w:style w:type="paragraph" w:customStyle="1" w:styleId="xl71">
    <w:name w:val="xl71"/>
    <w:basedOn w:val="Normal"/>
    <w:uiPriority w:val="99"/>
    <w:rsid w:val="00C61EAA"/>
    <w:pP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customStyle="1" w:styleId="xl72">
    <w:name w:val="xl72"/>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Cs w:val="24"/>
      <w:lang w:eastAsia="en-AU"/>
      <w14:ligatures w14:val="none"/>
    </w:rPr>
  </w:style>
  <w:style w:type="paragraph" w:customStyle="1" w:styleId="xl73">
    <w:name w:val="xl73"/>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Cs w:val="24"/>
      <w:lang w:eastAsia="en-AU"/>
      <w14:ligatures w14:val="none"/>
    </w:rPr>
  </w:style>
  <w:style w:type="paragraph" w:customStyle="1" w:styleId="xl74">
    <w:name w:val="xl74"/>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szCs w:val="24"/>
      <w:lang w:eastAsia="en-AU"/>
      <w14:ligatures w14:val="none"/>
    </w:rPr>
  </w:style>
  <w:style w:type="paragraph" w:customStyle="1" w:styleId="xl75">
    <w:name w:val="xl75"/>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customStyle="1" w:styleId="xl76">
    <w:name w:val="xl76"/>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4"/>
      <w:lang w:eastAsia="en-AU"/>
      <w14:ligatures w14:val="none"/>
    </w:rPr>
  </w:style>
  <w:style w:type="paragraph" w:customStyle="1" w:styleId="xl77">
    <w:name w:val="xl77"/>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ptos" w:eastAsia="Times New Roman" w:hAnsi="Aptos" w:cs="Times New Roman"/>
      <w:kern w:val="0"/>
      <w:szCs w:val="24"/>
      <w:lang w:eastAsia="en-AU"/>
      <w14:ligatures w14:val="none"/>
    </w:rPr>
  </w:style>
  <w:style w:type="paragraph" w:customStyle="1" w:styleId="xl78">
    <w:name w:val="xl78"/>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szCs w:val="24"/>
      <w:lang w:eastAsia="en-AU"/>
      <w14:ligatures w14:val="none"/>
    </w:rPr>
  </w:style>
  <w:style w:type="paragraph" w:customStyle="1" w:styleId="xl79">
    <w:name w:val="xl79"/>
    <w:basedOn w:val="Normal"/>
    <w:uiPriority w:val="99"/>
    <w:rsid w:val="00C61EAA"/>
    <w:pPr>
      <w:spacing w:before="100" w:beforeAutospacing="1" w:after="100" w:afterAutospacing="1" w:line="240" w:lineRule="auto"/>
      <w:jc w:val="right"/>
    </w:pPr>
    <w:rPr>
      <w:rFonts w:ascii="Times New Roman" w:eastAsia="Times New Roman" w:hAnsi="Times New Roman" w:cs="Times New Roman"/>
      <w:b/>
      <w:bCs/>
      <w:kern w:val="0"/>
      <w:szCs w:val="24"/>
      <w:lang w:eastAsia="en-AU"/>
      <w14:ligatures w14:val="none"/>
    </w:rPr>
  </w:style>
  <w:style w:type="paragraph" w:customStyle="1" w:styleId="xl80">
    <w:name w:val="xl80"/>
    <w:basedOn w:val="Normal"/>
    <w:uiPriority w:val="99"/>
    <w:rsid w:val="00C61EAA"/>
    <w:pPr>
      <w:spacing w:before="100" w:beforeAutospacing="1" w:after="100" w:afterAutospacing="1" w:line="240" w:lineRule="auto"/>
      <w:jc w:val="center"/>
    </w:pPr>
    <w:rPr>
      <w:rFonts w:ascii="Aptos" w:eastAsia="Times New Roman" w:hAnsi="Aptos" w:cs="Times New Roman"/>
      <w:kern w:val="0"/>
      <w:szCs w:val="24"/>
      <w:lang w:eastAsia="en-AU"/>
      <w14:ligatures w14:val="none"/>
    </w:rPr>
  </w:style>
  <w:style w:type="paragraph" w:customStyle="1" w:styleId="xl81">
    <w:name w:val="xl81"/>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ptos" w:eastAsia="Times New Roman" w:hAnsi="Aptos" w:cs="Times New Roman"/>
      <w:kern w:val="0"/>
      <w:szCs w:val="24"/>
      <w:lang w:eastAsia="en-AU"/>
      <w14:ligatures w14:val="none"/>
    </w:rPr>
  </w:style>
  <w:style w:type="paragraph" w:customStyle="1" w:styleId="xl82">
    <w:name w:val="xl82"/>
    <w:basedOn w:val="Normal"/>
    <w:uiPriority w:val="99"/>
    <w:rsid w:val="00C61E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Cs w:val="24"/>
      <w:lang w:eastAsia="en-AU"/>
      <w14:ligatures w14:val="none"/>
    </w:rPr>
  </w:style>
  <w:style w:type="paragraph" w:customStyle="1" w:styleId="xl83">
    <w:name w:val="xl83"/>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ptos" w:eastAsia="Times New Roman" w:hAnsi="Aptos" w:cs="Times New Roman"/>
      <w:b/>
      <w:bCs/>
      <w:kern w:val="0"/>
      <w:szCs w:val="24"/>
      <w:lang w:eastAsia="en-AU"/>
      <w14:ligatures w14:val="none"/>
    </w:rPr>
  </w:style>
  <w:style w:type="paragraph" w:customStyle="1" w:styleId="xl63">
    <w:name w:val="xl63"/>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64">
    <w:name w:val="xl64"/>
    <w:basedOn w:val="Normal"/>
    <w:uiPriority w:val="99"/>
    <w:rsid w:val="00C61EAA"/>
    <w:pPr>
      <w:spacing w:before="100" w:beforeAutospacing="1" w:after="100" w:afterAutospacing="1" w:line="240" w:lineRule="auto"/>
    </w:pPr>
    <w:rPr>
      <w:rFonts w:eastAsia="Times New Roman" w:cs="Calibri"/>
      <w:kern w:val="0"/>
      <w:szCs w:val="24"/>
      <w:lang w:eastAsia="en-AU"/>
      <w14:ligatures w14:val="none"/>
    </w:rPr>
  </w:style>
  <w:style w:type="paragraph" w:customStyle="1" w:styleId="xl65">
    <w:name w:val="xl65"/>
    <w:basedOn w:val="Normal"/>
    <w:uiPriority w:val="99"/>
    <w:rsid w:val="00C61EAA"/>
    <w:pPr>
      <w:spacing w:before="100" w:beforeAutospacing="1" w:after="100" w:afterAutospacing="1" w:line="240" w:lineRule="auto"/>
      <w:jc w:val="center"/>
    </w:pPr>
    <w:rPr>
      <w:rFonts w:eastAsia="Times New Roman" w:cs="Calibri"/>
      <w:kern w:val="0"/>
      <w:szCs w:val="24"/>
      <w:lang w:eastAsia="en-AU"/>
      <w14:ligatures w14:val="none"/>
    </w:rPr>
  </w:style>
  <w:style w:type="paragraph" w:customStyle="1" w:styleId="xl66">
    <w:name w:val="xl66"/>
    <w:basedOn w:val="Normal"/>
    <w:uiPriority w:val="99"/>
    <w:rsid w:val="00C61E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67">
    <w:name w:val="xl67"/>
    <w:basedOn w:val="Normal"/>
    <w:uiPriority w:val="99"/>
    <w:rsid w:val="00C61EAA"/>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68">
    <w:name w:val="xl68"/>
    <w:basedOn w:val="Normal"/>
    <w:uiPriority w:val="99"/>
    <w:rsid w:val="00C61EAA"/>
    <w:pPr>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84">
    <w:name w:val="xl84"/>
    <w:basedOn w:val="Normal"/>
    <w:uiPriority w:val="99"/>
    <w:rsid w:val="00C61E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85">
    <w:name w:val="xl85"/>
    <w:basedOn w:val="Normal"/>
    <w:uiPriority w:val="99"/>
    <w:rsid w:val="00C61E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86">
    <w:name w:val="xl86"/>
    <w:basedOn w:val="Normal"/>
    <w:uiPriority w:val="99"/>
    <w:rsid w:val="00C61EAA"/>
    <w:pPr>
      <w:pBdr>
        <w:top w:val="single" w:sz="8" w:space="0" w:color="auto"/>
        <w:left w:val="single" w:sz="8" w:space="0" w:color="auto"/>
        <w:right w:val="single" w:sz="4"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87">
    <w:name w:val="xl87"/>
    <w:basedOn w:val="Normal"/>
    <w:uiPriority w:val="99"/>
    <w:rsid w:val="00C61EAA"/>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88">
    <w:name w:val="xl88"/>
    <w:basedOn w:val="Normal"/>
    <w:uiPriority w:val="99"/>
    <w:rsid w:val="00C61EAA"/>
    <w:pPr>
      <w:pBdr>
        <w:top w:val="single" w:sz="4" w:space="0" w:color="auto"/>
        <w:left w:val="single" w:sz="4" w:space="0" w:color="auto"/>
        <w:bottom w:val="single" w:sz="8" w:space="0" w:color="auto"/>
        <w:right w:val="single" w:sz="4" w:space="0" w:color="auto"/>
      </w:pBdr>
      <w:shd w:val="clear" w:color="auto" w:fill="000000"/>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89">
    <w:name w:val="xl89"/>
    <w:basedOn w:val="Normal"/>
    <w:uiPriority w:val="99"/>
    <w:rsid w:val="00C61EAA"/>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90">
    <w:name w:val="xl90"/>
    <w:basedOn w:val="Normal"/>
    <w:uiPriority w:val="99"/>
    <w:rsid w:val="00C61EAA"/>
    <w:pPr>
      <w:pBdr>
        <w:left w:val="single" w:sz="4" w:space="0" w:color="auto"/>
        <w:bottom w:val="single" w:sz="4"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91">
    <w:name w:val="xl91"/>
    <w:basedOn w:val="Normal"/>
    <w:uiPriority w:val="99"/>
    <w:rsid w:val="00C61EAA"/>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92">
    <w:name w:val="xl92"/>
    <w:basedOn w:val="Normal"/>
    <w:uiPriority w:val="99"/>
    <w:rsid w:val="00C61EA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93">
    <w:name w:val="xl93"/>
    <w:basedOn w:val="Normal"/>
    <w:uiPriority w:val="99"/>
    <w:rsid w:val="00C61EAA"/>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cs="Calibri"/>
      <w:kern w:val="0"/>
      <w:sz w:val="18"/>
      <w:szCs w:val="18"/>
      <w:lang w:eastAsia="en-AU"/>
      <w14:ligatures w14:val="none"/>
    </w:rPr>
  </w:style>
  <w:style w:type="paragraph" w:customStyle="1" w:styleId="xl94">
    <w:name w:val="xl94"/>
    <w:basedOn w:val="Normal"/>
    <w:uiPriority w:val="99"/>
    <w:rsid w:val="00C61EAA"/>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kern w:val="0"/>
      <w:szCs w:val="24"/>
      <w:lang w:eastAsia="en-AU"/>
      <w14:ligatures w14:val="none"/>
    </w:rPr>
  </w:style>
  <w:style w:type="paragraph" w:customStyle="1" w:styleId="xl95">
    <w:name w:val="xl95"/>
    <w:basedOn w:val="Normal"/>
    <w:uiPriority w:val="99"/>
    <w:rsid w:val="00C61EAA"/>
    <w:pPr>
      <w:pBdr>
        <w:left w:val="single" w:sz="4" w:space="0" w:color="auto"/>
        <w:bottom w:val="single" w:sz="4" w:space="0" w:color="auto"/>
        <w:right w:val="single" w:sz="4" w:space="0" w:color="auto"/>
      </w:pBdr>
      <w:shd w:val="clear" w:color="auto" w:fill="000000"/>
      <w:spacing w:before="100" w:beforeAutospacing="1" w:after="100" w:afterAutospacing="1" w:line="240" w:lineRule="auto"/>
    </w:pPr>
    <w:rPr>
      <w:rFonts w:eastAsia="Times New Roman" w:cs="Calibri"/>
      <w:kern w:val="0"/>
      <w:szCs w:val="24"/>
      <w:lang w:eastAsia="en-AU"/>
      <w14:ligatures w14:val="none"/>
    </w:rPr>
  </w:style>
  <w:style w:type="paragraph" w:customStyle="1" w:styleId="xl96">
    <w:name w:val="xl96"/>
    <w:basedOn w:val="Normal"/>
    <w:uiPriority w:val="99"/>
    <w:rsid w:val="00C61EAA"/>
    <w:pPr>
      <w:pBdr>
        <w:left w:val="single" w:sz="4" w:space="0" w:color="auto"/>
        <w:bottom w:val="single" w:sz="4" w:space="0" w:color="auto"/>
        <w:right w:val="single" w:sz="8" w:space="0" w:color="auto"/>
      </w:pBdr>
      <w:spacing w:before="100" w:beforeAutospacing="1" w:after="100" w:afterAutospacing="1" w:line="240" w:lineRule="auto"/>
    </w:pPr>
    <w:rPr>
      <w:rFonts w:eastAsia="Times New Roman" w:cs="Calibri"/>
      <w:kern w:val="0"/>
      <w:szCs w:val="24"/>
      <w:lang w:eastAsia="en-AU"/>
      <w14:ligatures w14:val="none"/>
    </w:rPr>
  </w:style>
  <w:style w:type="paragraph" w:customStyle="1" w:styleId="xl97">
    <w:name w:val="xl97"/>
    <w:basedOn w:val="Normal"/>
    <w:uiPriority w:val="99"/>
    <w:rsid w:val="00C61EA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98">
    <w:name w:val="xl98"/>
    <w:basedOn w:val="Normal"/>
    <w:uiPriority w:val="99"/>
    <w:rsid w:val="00C61E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99">
    <w:name w:val="xl99"/>
    <w:basedOn w:val="Normal"/>
    <w:uiPriority w:val="99"/>
    <w:rsid w:val="00C61EA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100">
    <w:name w:val="xl100"/>
    <w:basedOn w:val="Normal"/>
    <w:uiPriority w:val="99"/>
    <w:rsid w:val="00C61EAA"/>
    <w:pPr>
      <w:pBdr>
        <w:top w:val="single" w:sz="8" w:space="0" w:color="auto"/>
        <w:lef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1">
    <w:name w:val="xl101"/>
    <w:basedOn w:val="Normal"/>
    <w:uiPriority w:val="99"/>
    <w:rsid w:val="00C61EAA"/>
    <w:pPr>
      <w:pBdr>
        <w:top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2">
    <w:name w:val="xl102"/>
    <w:basedOn w:val="Normal"/>
    <w:uiPriority w:val="99"/>
    <w:rsid w:val="00C61EAA"/>
    <w:pPr>
      <w:pBdr>
        <w:top w:val="single" w:sz="8" w:space="0" w:color="auto"/>
        <w:righ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3">
    <w:name w:val="xl103"/>
    <w:basedOn w:val="Normal"/>
    <w:uiPriority w:val="99"/>
    <w:rsid w:val="00C61EAA"/>
    <w:pPr>
      <w:pBdr>
        <w:left w:val="single" w:sz="8" w:space="0" w:color="auto"/>
        <w:bottom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4">
    <w:name w:val="xl104"/>
    <w:basedOn w:val="Normal"/>
    <w:uiPriority w:val="99"/>
    <w:rsid w:val="00C61EAA"/>
    <w:pPr>
      <w:pBdr>
        <w:bottom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5">
    <w:name w:val="xl105"/>
    <w:basedOn w:val="Normal"/>
    <w:uiPriority w:val="99"/>
    <w:rsid w:val="00C61EAA"/>
    <w:pPr>
      <w:pBdr>
        <w:bottom w:val="single" w:sz="8" w:space="0" w:color="auto"/>
        <w:righ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06">
    <w:name w:val="xl106"/>
    <w:basedOn w:val="Normal"/>
    <w:uiPriority w:val="99"/>
    <w:rsid w:val="00C61EAA"/>
    <w:pPr>
      <w:pBdr>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107">
    <w:name w:val="xl107"/>
    <w:basedOn w:val="Normal"/>
    <w:uiPriority w:val="99"/>
    <w:rsid w:val="00C61EAA"/>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108">
    <w:name w:val="xl108"/>
    <w:basedOn w:val="Normal"/>
    <w:uiPriority w:val="99"/>
    <w:rsid w:val="00C61EAA"/>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b/>
      <w:bCs/>
      <w:kern w:val="0"/>
      <w:sz w:val="18"/>
      <w:szCs w:val="18"/>
      <w:lang w:eastAsia="en-AU"/>
      <w14:ligatures w14:val="none"/>
    </w:rPr>
  </w:style>
  <w:style w:type="paragraph" w:customStyle="1" w:styleId="xl109">
    <w:name w:val="xl109"/>
    <w:basedOn w:val="Normal"/>
    <w:uiPriority w:val="99"/>
    <w:rsid w:val="00C61EAA"/>
    <w:pPr>
      <w:pBdr>
        <w:left w:val="single" w:sz="4" w:space="0" w:color="auto"/>
        <w:righ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10">
    <w:name w:val="xl110"/>
    <w:basedOn w:val="Normal"/>
    <w:uiPriority w:val="99"/>
    <w:rsid w:val="00C61EAA"/>
    <w:pPr>
      <w:pBdr>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11">
    <w:name w:val="xl111"/>
    <w:basedOn w:val="Normal"/>
    <w:uiPriority w:val="99"/>
    <w:rsid w:val="00C61EAA"/>
    <w:pPr>
      <w:pBdr>
        <w:left w:val="single" w:sz="8" w:space="0" w:color="auto"/>
        <w:right w:val="single" w:sz="4"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paragraph" w:customStyle="1" w:styleId="xl112">
    <w:name w:val="xl112"/>
    <w:basedOn w:val="Normal"/>
    <w:uiPriority w:val="99"/>
    <w:rsid w:val="00C61EAA"/>
    <w:pPr>
      <w:pBdr>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kern w:val="0"/>
      <w:szCs w:val="24"/>
      <w:lang w:eastAsia="en-AU"/>
      <w14:ligatures w14:val="none"/>
    </w:rPr>
  </w:style>
  <w:style w:type="character" w:styleId="CommentReference">
    <w:name w:val="annotation reference"/>
    <w:basedOn w:val="DefaultParagraphFont"/>
    <w:uiPriority w:val="99"/>
    <w:semiHidden/>
    <w:unhideWhenUsed/>
    <w:rsid w:val="00C61EAA"/>
    <w:rPr>
      <w:sz w:val="16"/>
      <w:szCs w:val="16"/>
    </w:rPr>
  </w:style>
  <w:style w:type="character" w:customStyle="1" w:styleId="HeaderChar1">
    <w:name w:val="Header Char1"/>
    <w:basedOn w:val="DefaultParagraphFont"/>
    <w:uiPriority w:val="99"/>
    <w:semiHidden/>
    <w:rsid w:val="00C61EAA"/>
    <w:rPr>
      <w:sz w:val="24"/>
    </w:rPr>
  </w:style>
  <w:style w:type="character" w:customStyle="1" w:styleId="FooterChar1">
    <w:name w:val="Footer Char1"/>
    <w:basedOn w:val="DefaultParagraphFont"/>
    <w:uiPriority w:val="99"/>
    <w:semiHidden/>
    <w:rsid w:val="00C61EAA"/>
    <w:rPr>
      <w:sz w:val="24"/>
    </w:rPr>
  </w:style>
  <w:style w:type="character" w:customStyle="1" w:styleId="normaltextrun">
    <w:name w:val="normaltextrun"/>
    <w:basedOn w:val="DefaultParagraphFont"/>
    <w:rsid w:val="00C61EAA"/>
  </w:style>
  <w:style w:type="character" w:customStyle="1" w:styleId="eop">
    <w:name w:val="eop"/>
    <w:basedOn w:val="DefaultParagraphFont"/>
    <w:rsid w:val="00C61EAA"/>
  </w:style>
  <w:style w:type="character" w:customStyle="1" w:styleId="break-words">
    <w:name w:val="break-words"/>
    <w:basedOn w:val="DefaultParagraphFont"/>
    <w:rsid w:val="00C61EAA"/>
  </w:style>
  <w:style w:type="table" w:styleId="GridTable5Dark-Accent3">
    <w:name w:val="Grid Table 5 Dark Accent 3"/>
    <w:basedOn w:val="TableNormal"/>
    <w:uiPriority w:val="50"/>
    <w:rsid w:val="00C61EAA"/>
    <w:pPr>
      <w:spacing w:after="0" w:line="240" w:lineRule="auto"/>
    </w:pPr>
    <w:rPr>
      <w:lang w:val="en-GB"/>
    </w:rPr>
    <w:tbl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paragraph" w:styleId="EndnoteText">
    <w:name w:val="endnote text"/>
    <w:basedOn w:val="Normal"/>
    <w:link w:val="EndnoteTextChar"/>
    <w:uiPriority w:val="99"/>
    <w:semiHidden/>
    <w:unhideWhenUsed/>
    <w:rsid w:val="005A371B"/>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semiHidden/>
    <w:rsid w:val="005A371B"/>
    <w:rPr>
      <w:rFonts w:ascii="Calibri" w:hAnsi="Calibri"/>
      <w:kern w:val="0"/>
      <w:sz w:val="20"/>
      <w:szCs w:val="20"/>
      <w:lang w:val="en-GB"/>
      <w14:ligatures w14:val="none"/>
    </w:rPr>
  </w:style>
  <w:style w:type="character" w:customStyle="1" w:styleId="SWABulletsChar">
    <w:name w:val="SWA Bullets Char"/>
    <w:basedOn w:val="DefaultParagraphFont"/>
    <w:link w:val="SWABullets"/>
    <w:semiHidden/>
    <w:locked/>
    <w:rsid w:val="005A371B"/>
    <w:rPr>
      <w:rFonts w:ascii="Arial" w:eastAsia="Times New Roman" w:hAnsi="Arial" w:cs="Times New Roman"/>
      <w:kern w:val="0"/>
      <w:sz w:val="20"/>
      <w:szCs w:val="20"/>
      <w:lang w:eastAsia="en-AU"/>
      <w14:ligatures w14:val="none"/>
    </w:rPr>
  </w:style>
  <w:style w:type="paragraph" w:customStyle="1" w:styleId="SWABullets">
    <w:name w:val="SWA Bullets"/>
    <w:basedOn w:val="Normal"/>
    <w:link w:val="SWABulletsChar"/>
    <w:semiHidden/>
    <w:qFormat/>
    <w:locked/>
    <w:rsid w:val="005A371B"/>
    <w:pPr>
      <w:overflowPunct w:val="0"/>
      <w:autoSpaceDE w:val="0"/>
      <w:autoSpaceDN w:val="0"/>
      <w:adjustRightInd w:val="0"/>
      <w:spacing w:after="0" w:line="240" w:lineRule="auto"/>
    </w:pPr>
    <w:rPr>
      <w:rFonts w:ascii="Arial" w:eastAsia="Times New Roman" w:hAnsi="Arial" w:cs="Times New Roman"/>
      <w:kern w:val="0"/>
      <w:sz w:val="20"/>
      <w:szCs w:val="20"/>
      <w:lang w:eastAsia="en-AU"/>
      <w14:ligatures w14:val="none"/>
    </w:rPr>
  </w:style>
  <w:style w:type="paragraph" w:customStyle="1" w:styleId="SWANormal">
    <w:name w:val="SWA Normal"/>
    <w:basedOn w:val="Normal"/>
    <w:uiPriority w:val="99"/>
    <w:semiHidden/>
    <w:qFormat/>
    <w:rsid w:val="005A371B"/>
    <w:pPr>
      <w:spacing w:after="120" w:line="240" w:lineRule="auto"/>
    </w:pPr>
    <w:rPr>
      <w:rFonts w:ascii="Arial" w:eastAsia="Times New Roman" w:hAnsi="Arial" w:cs="Times New Roman"/>
      <w:kern w:val="0"/>
      <w:sz w:val="20"/>
      <w:szCs w:val="24"/>
      <w:lang w:eastAsia="en-AU"/>
      <w14:ligatures w14:val="none"/>
    </w:rPr>
  </w:style>
  <w:style w:type="character" w:styleId="EndnoteReference">
    <w:name w:val="endnote reference"/>
    <w:basedOn w:val="DefaultParagraphFont"/>
    <w:uiPriority w:val="99"/>
    <w:semiHidden/>
    <w:unhideWhenUsed/>
    <w:rsid w:val="005A371B"/>
    <w:rPr>
      <w:vertAlign w:val="superscript"/>
    </w:rPr>
  </w:style>
  <w:style w:type="numbering" w:customStyle="1" w:styleId="Headings">
    <w:name w:val="Headings"/>
    <w:uiPriority w:val="99"/>
    <w:rsid w:val="005A371B"/>
    <w:pPr>
      <w:numPr>
        <w:numId w:val="9"/>
      </w:numPr>
    </w:pPr>
  </w:style>
  <w:style w:type="character" w:styleId="UnresolvedMention">
    <w:name w:val="Unresolved Mention"/>
    <w:basedOn w:val="DefaultParagraphFont"/>
    <w:uiPriority w:val="99"/>
    <w:semiHidden/>
    <w:unhideWhenUsed/>
    <w:rsid w:val="00715A70"/>
    <w:rPr>
      <w:color w:val="605E5C"/>
      <w:shd w:val="clear" w:color="auto" w:fill="E1DFDD"/>
    </w:rPr>
  </w:style>
  <w:style w:type="paragraph" w:styleId="Caption">
    <w:name w:val="caption"/>
    <w:basedOn w:val="Normal"/>
    <w:next w:val="Normal"/>
    <w:uiPriority w:val="35"/>
    <w:semiHidden/>
    <w:unhideWhenUsed/>
    <w:qFormat/>
    <w:rsid w:val="00311CF8"/>
    <w:pPr>
      <w:spacing w:after="200" w:line="240" w:lineRule="auto"/>
      <w:jc w:val="both"/>
    </w:pPr>
    <w:rPr>
      <w:rFonts w:asciiTheme="minorHAnsi" w:hAnsiTheme="minorHAnsi"/>
      <w:i/>
      <w:iCs/>
      <w:color w:val="0E2841" w:themeColor="text2"/>
      <w:kern w:val="0"/>
      <w:sz w:val="18"/>
      <w:szCs w:val="18"/>
      <w:lang w:val="en-GB"/>
      <w14:ligatures w14:val="none"/>
    </w:rPr>
  </w:style>
  <w:style w:type="paragraph" w:customStyle="1" w:styleId="MDPI41tablecaption">
    <w:name w:val="MDPI_4.1_table_caption"/>
    <w:uiPriority w:val="99"/>
    <w:qFormat/>
    <w:rsid w:val="00311CF8"/>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table" w:styleId="TableGridLight">
    <w:name w:val="Grid Table Light"/>
    <w:basedOn w:val="TableNormal"/>
    <w:uiPriority w:val="40"/>
    <w:rsid w:val="00311CF8"/>
    <w:pPr>
      <w:spacing w:after="0" w:line="240" w:lineRule="auto"/>
    </w:pPr>
    <w:rPr>
      <w:rFonts w:ascii="Times New Roman" w:eastAsia="SimSun" w:hAnsi="Times New Roman" w:cs="Times New Roman"/>
      <w:kern w:val="0"/>
      <w:sz w:val="20"/>
      <w:szCs w:val="20"/>
      <w:lang w:val="it-IT" w:eastAsia="it-IT"/>
      <w14:ligatures w14:val="none"/>
    </w:rPr>
    <w:tblPr/>
  </w:style>
  <w:style w:type="table" w:customStyle="1" w:styleId="MDPI41threelinetable">
    <w:name w:val="MDPI_4.1_three_line_table"/>
    <w:basedOn w:val="TableNormal"/>
    <w:uiPriority w:val="99"/>
    <w:rsid w:val="00311CF8"/>
    <w:pPr>
      <w:adjustRightInd w:val="0"/>
      <w:snapToGrid w:val="0"/>
      <w:spacing w:after="0" w:line="240" w:lineRule="auto"/>
      <w:jc w:val="center"/>
    </w:pPr>
    <w:rPr>
      <w:rFonts w:ascii="Palatino Linotype" w:eastAsia="SimSun" w:hAnsi="Palatino Linotype" w:cs="Times New Roman"/>
      <w:color w:val="000000"/>
      <w:kern w:val="0"/>
      <w:sz w:val="20"/>
      <w:szCs w:val="20"/>
      <w:lang w:val="en-US" w:eastAsia="zh-CN"/>
      <w14:ligatures w14:val="none"/>
    </w:rPr>
    <w:tblPr/>
    <w:tblStylePr w:type="firstRow">
      <w:rPr>
        <w:rFonts w:ascii="Palatino Linotype" w:hAnsi="Palatino Linotype" w:hint="default"/>
        <w:b/>
        <w:i w:val="0"/>
        <w:sz w:val="20"/>
        <w:szCs w:val="20"/>
      </w:rPr>
    </w:tblStylePr>
  </w:style>
  <w:style w:type="character" w:styleId="Strong">
    <w:name w:val="Strong"/>
    <w:basedOn w:val="DefaultParagraphFont"/>
    <w:uiPriority w:val="22"/>
    <w:qFormat/>
    <w:rsid w:val="00311CF8"/>
    <w:rPr>
      <w:b/>
      <w:bCs/>
    </w:rPr>
  </w:style>
  <w:style w:type="character" w:styleId="Mention">
    <w:name w:val="Mention"/>
    <w:basedOn w:val="DefaultParagraphFont"/>
    <w:uiPriority w:val="99"/>
    <w:unhideWhenUsed/>
    <w:rsid w:val="00EE6C69"/>
    <w:rPr>
      <w:color w:val="2B579A"/>
      <w:shd w:val="clear" w:color="auto" w:fill="E1DFDD"/>
    </w:rPr>
  </w:style>
  <w:style w:type="paragraph" w:styleId="ListBullet">
    <w:name w:val="List Bullet"/>
    <w:basedOn w:val="Normal"/>
    <w:uiPriority w:val="99"/>
    <w:unhideWhenUsed/>
    <w:rsid w:val="00A80CB1"/>
    <w:pPr>
      <w:numPr>
        <w:numId w:val="59"/>
      </w:numPr>
      <w:tabs>
        <w:tab w:val="clear" w:pos="360"/>
      </w:tabs>
      <w:spacing w:line="278" w:lineRule="auto"/>
      <w:ind w:left="1440"/>
      <w:contextualSpacing/>
    </w:pPr>
    <w:rPr>
      <w:rFonts w:asciiTheme="minorHAnsi" w:eastAsiaTheme="minorEastAsia" w:hAnsiTheme="minorHAnsi"/>
      <w:szCs w:val="24"/>
      <w:lang w:val="en-US" w:eastAsia="zh-CN"/>
    </w:rPr>
  </w:style>
  <w:style w:type="numbering" w:customStyle="1" w:styleId="CUHeading">
    <w:name w:val="CU_Heading"/>
    <w:uiPriority w:val="99"/>
    <w:rsid w:val="00972A6A"/>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457">
      <w:bodyDiv w:val="1"/>
      <w:marLeft w:val="0"/>
      <w:marRight w:val="0"/>
      <w:marTop w:val="0"/>
      <w:marBottom w:val="0"/>
      <w:divBdr>
        <w:top w:val="none" w:sz="0" w:space="0" w:color="auto"/>
        <w:left w:val="none" w:sz="0" w:space="0" w:color="auto"/>
        <w:bottom w:val="none" w:sz="0" w:space="0" w:color="auto"/>
        <w:right w:val="none" w:sz="0" w:space="0" w:color="auto"/>
      </w:divBdr>
    </w:div>
    <w:div w:id="5719765">
      <w:bodyDiv w:val="1"/>
      <w:marLeft w:val="0"/>
      <w:marRight w:val="0"/>
      <w:marTop w:val="0"/>
      <w:marBottom w:val="0"/>
      <w:divBdr>
        <w:top w:val="none" w:sz="0" w:space="0" w:color="auto"/>
        <w:left w:val="none" w:sz="0" w:space="0" w:color="auto"/>
        <w:bottom w:val="none" w:sz="0" w:space="0" w:color="auto"/>
        <w:right w:val="none" w:sz="0" w:space="0" w:color="auto"/>
      </w:divBdr>
    </w:div>
    <w:div w:id="43989142">
      <w:bodyDiv w:val="1"/>
      <w:marLeft w:val="0"/>
      <w:marRight w:val="0"/>
      <w:marTop w:val="0"/>
      <w:marBottom w:val="0"/>
      <w:divBdr>
        <w:top w:val="none" w:sz="0" w:space="0" w:color="auto"/>
        <w:left w:val="none" w:sz="0" w:space="0" w:color="auto"/>
        <w:bottom w:val="none" w:sz="0" w:space="0" w:color="auto"/>
        <w:right w:val="none" w:sz="0" w:space="0" w:color="auto"/>
      </w:divBdr>
    </w:div>
    <w:div w:id="47077891">
      <w:bodyDiv w:val="1"/>
      <w:marLeft w:val="0"/>
      <w:marRight w:val="0"/>
      <w:marTop w:val="0"/>
      <w:marBottom w:val="0"/>
      <w:divBdr>
        <w:top w:val="none" w:sz="0" w:space="0" w:color="auto"/>
        <w:left w:val="none" w:sz="0" w:space="0" w:color="auto"/>
        <w:bottom w:val="none" w:sz="0" w:space="0" w:color="auto"/>
        <w:right w:val="none" w:sz="0" w:space="0" w:color="auto"/>
      </w:divBdr>
    </w:div>
    <w:div w:id="48194196">
      <w:bodyDiv w:val="1"/>
      <w:marLeft w:val="0"/>
      <w:marRight w:val="0"/>
      <w:marTop w:val="0"/>
      <w:marBottom w:val="0"/>
      <w:divBdr>
        <w:top w:val="none" w:sz="0" w:space="0" w:color="auto"/>
        <w:left w:val="none" w:sz="0" w:space="0" w:color="auto"/>
        <w:bottom w:val="none" w:sz="0" w:space="0" w:color="auto"/>
        <w:right w:val="none" w:sz="0" w:space="0" w:color="auto"/>
      </w:divBdr>
      <w:divsChild>
        <w:div w:id="130907266">
          <w:marLeft w:val="0"/>
          <w:marRight w:val="0"/>
          <w:marTop w:val="0"/>
          <w:marBottom w:val="0"/>
          <w:divBdr>
            <w:top w:val="none" w:sz="0" w:space="0" w:color="auto"/>
            <w:left w:val="none" w:sz="0" w:space="0" w:color="auto"/>
            <w:bottom w:val="none" w:sz="0" w:space="0" w:color="auto"/>
            <w:right w:val="none" w:sz="0" w:space="0" w:color="auto"/>
          </w:divBdr>
        </w:div>
        <w:div w:id="384767237">
          <w:marLeft w:val="0"/>
          <w:marRight w:val="0"/>
          <w:marTop w:val="0"/>
          <w:marBottom w:val="0"/>
          <w:divBdr>
            <w:top w:val="none" w:sz="0" w:space="0" w:color="auto"/>
            <w:left w:val="none" w:sz="0" w:space="0" w:color="auto"/>
            <w:bottom w:val="none" w:sz="0" w:space="0" w:color="auto"/>
            <w:right w:val="none" w:sz="0" w:space="0" w:color="auto"/>
          </w:divBdr>
        </w:div>
        <w:div w:id="405956186">
          <w:marLeft w:val="0"/>
          <w:marRight w:val="0"/>
          <w:marTop w:val="0"/>
          <w:marBottom w:val="0"/>
          <w:divBdr>
            <w:top w:val="none" w:sz="0" w:space="0" w:color="auto"/>
            <w:left w:val="none" w:sz="0" w:space="0" w:color="auto"/>
            <w:bottom w:val="none" w:sz="0" w:space="0" w:color="auto"/>
            <w:right w:val="none" w:sz="0" w:space="0" w:color="auto"/>
          </w:divBdr>
        </w:div>
        <w:div w:id="659623222">
          <w:marLeft w:val="0"/>
          <w:marRight w:val="0"/>
          <w:marTop w:val="0"/>
          <w:marBottom w:val="0"/>
          <w:divBdr>
            <w:top w:val="none" w:sz="0" w:space="0" w:color="auto"/>
            <w:left w:val="none" w:sz="0" w:space="0" w:color="auto"/>
            <w:bottom w:val="none" w:sz="0" w:space="0" w:color="auto"/>
            <w:right w:val="none" w:sz="0" w:space="0" w:color="auto"/>
          </w:divBdr>
        </w:div>
        <w:div w:id="697976377">
          <w:marLeft w:val="0"/>
          <w:marRight w:val="0"/>
          <w:marTop w:val="0"/>
          <w:marBottom w:val="0"/>
          <w:divBdr>
            <w:top w:val="none" w:sz="0" w:space="0" w:color="auto"/>
            <w:left w:val="none" w:sz="0" w:space="0" w:color="auto"/>
            <w:bottom w:val="none" w:sz="0" w:space="0" w:color="auto"/>
            <w:right w:val="none" w:sz="0" w:space="0" w:color="auto"/>
          </w:divBdr>
        </w:div>
        <w:div w:id="867454667">
          <w:marLeft w:val="0"/>
          <w:marRight w:val="0"/>
          <w:marTop w:val="0"/>
          <w:marBottom w:val="0"/>
          <w:divBdr>
            <w:top w:val="none" w:sz="0" w:space="0" w:color="auto"/>
            <w:left w:val="none" w:sz="0" w:space="0" w:color="auto"/>
            <w:bottom w:val="none" w:sz="0" w:space="0" w:color="auto"/>
            <w:right w:val="none" w:sz="0" w:space="0" w:color="auto"/>
          </w:divBdr>
        </w:div>
        <w:div w:id="957638749">
          <w:marLeft w:val="0"/>
          <w:marRight w:val="0"/>
          <w:marTop w:val="0"/>
          <w:marBottom w:val="0"/>
          <w:divBdr>
            <w:top w:val="none" w:sz="0" w:space="0" w:color="auto"/>
            <w:left w:val="none" w:sz="0" w:space="0" w:color="auto"/>
            <w:bottom w:val="none" w:sz="0" w:space="0" w:color="auto"/>
            <w:right w:val="none" w:sz="0" w:space="0" w:color="auto"/>
          </w:divBdr>
        </w:div>
        <w:div w:id="1023749708">
          <w:marLeft w:val="0"/>
          <w:marRight w:val="0"/>
          <w:marTop w:val="0"/>
          <w:marBottom w:val="0"/>
          <w:divBdr>
            <w:top w:val="none" w:sz="0" w:space="0" w:color="auto"/>
            <w:left w:val="none" w:sz="0" w:space="0" w:color="auto"/>
            <w:bottom w:val="none" w:sz="0" w:space="0" w:color="auto"/>
            <w:right w:val="none" w:sz="0" w:space="0" w:color="auto"/>
          </w:divBdr>
        </w:div>
        <w:div w:id="1396319124">
          <w:marLeft w:val="0"/>
          <w:marRight w:val="0"/>
          <w:marTop w:val="0"/>
          <w:marBottom w:val="0"/>
          <w:divBdr>
            <w:top w:val="none" w:sz="0" w:space="0" w:color="auto"/>
            <w:left w:val="none" w:sz="0" w:space="0" w:color="auto"/>
            <w:bottom w:val="none" w:sz="0" w:space="0" w:color="auto"/>
            <w:right w:val="none" w:sz="0" w:space="0" w:color="auto"/>
          </w:divBdr>
        </w:div>
        <w:div w:id="1477264773">
          <w:marLeft w:val="0"/>
          <w:marRight w:val="0"/>
          <w:marTop w:val="0"/>
          <w:marBottom w:val="0"/>
          <w:divBdr>
            <w:top w:val="none" w:sz="0" w:space="0" w:color="auto"/>
            <w:left w:val="none" w:sz="0" w:space="0" w:color="auto"/>
            <w:bottom w:val="none" w:sz="0" w:space="0" w:color="auto"/>
            <w:right w:val="none" w:sz="0" w:space="0" w:color="auto"/>
          </w:divBdr>
        </w:div>
        <w:div w:id="1480460633">
          <w:marLeft w:val="0"/>
          <w:marRight w:val="0"/>
          <w:marTop w:val="0"/>
          <w:marBottom w:val="0"/>
          <w:divBdr>
            <w:top w:val="none" w:sz="0" w:space="0" w:color="auto"/>
            <w:left w:val="none" w:sz="0" w:space="0" w:color="auto"/>
            <w:bottom w:val="none" w:sz="0" w:space="0" w:color="auto"/>
            <w:right w:val="none" w:sz="0" w:space="0" w:color="auto"/>
          </w:divBdr>
        </w:div>
        <w:div w:id="1503860616">
          <w:marLeft w:val="0"/>
          <w:marRight w:val="0"/>
          <w:marTop w:val="0"/>
          <w:marBottom w:val="0"/>
          <w:divBdr>
            <w:top w:val="none" w:sz="0" w:space="0" w:color="auto"/>
            <w:left w:val="none" w:sz="0" w:space="0" w:color="auto"/>
            <w:bottom w:val="none" w:sz="0" w:space="0" w:color="auto"/>
            <w:right w:val="none" w:sz="0" w:space="0" w:color="auto"/>
          </w:divBdr>
        </w:div>
        <w:div w:id="1886528844">
          <w:marLeft w:val="0"/>
          <w:marRight w:val="0"/>
          <w:marTop w:val="0"/>
          <w:marBottom w:val="0"/>
          <w:divBdr>
            <w:top w:val="none" w:sz="0" w:space="0" w:color="auto"/>
            <w:left w:val="none" w:sz="0" w:space="0" w:color="auto"/>
            <w:bottom w:val="none" w:sz="0" w:space="0" w:color="auto"/>
            <w:right w:val="none" w:sz="0" w:space="0" w:color="auto"/>
          </w:divBdr>
        </w:div>
      </w:divsChild>
    </w:div>
    <w:div w:id="64305046">
      <w:bodyDiv w:val="1"/>
      <w:marLeft w:val="0"/>
      <w:marRight w:val="0"/>
      <w:marTop w:val="0"/>
      <w:marBottom w:val="0"/>
      <w:divBdr>
        <w:top w:val="none" w:sz="0" w:space="0" w:color="auto"/>
        <w:left w:val="none" w:sz="0" w:space="0" w:color="auto"/>
        <w:bottom w:val="none" w:sz="0" w:space="0" w:color="auto"/>
        <w:right w:val="none" w:sz="0" w:space="0" w:color="auto"/>
      </w:divBdr>
    </w:div>
    <w:div w:id="66660686">
      <w:bodyDiv w:val="1"/>
      <w:marLeft w:val="0"/>
      <w:marRight w:val="0"/>
      <w:marTop w:val="0"/>
      <w:marBottom w:val="0"/>
      <w:divBdr>
        <w:top w:val="none" w:sz="0" w:space="0" w:color="auto"/>
        <w:left w:val="none" w:sz="0" w:space="0" w:color="auto"/>
        <w:bottom w:val="none" w:sz="0" w:space="0" w:color="auto"/>
        <w:right w:val="none" w:sz="0" w:space="0" w:color="auto"/>
      </w:divBdr>
    </w:div>
    <w:div w:id="85271757">
      <w:bodyDiv w:val="1"/>
      <w:marLeft w:val="0"/>
      <w:marRight w:val="0"/>
      <w:marTop w:val="0"/>
      <w:marBottom w:val="0"/>
      <w:divBdr>
        <w:top w:val="none" w:sz="0" w:space="0" w:color="auto"/>
        <w:left w:val="none" w:sz="0" w:space="0" w:color="auto"/>
        <w:bottom w:val="none" w:sz="0" w:space="0" w:color="auto"/>
        <w:right w:val="none" w:sz="0" w:space="0" w:color="auto"/>
      </w:divBdr>
    </w:div>
    <w:div w:id="85419930">
      <w:bodyDiv w:val="1"/>
      <w:marLeft w:val="0"/>
      <w:marRight w:val="0"/>
      <w:marTop w:val="0"/>
      <w:marBottom w:val="0"/>
      <w:divBdr>
        <w:top w:val="none" w:sz="0" w:space="0" w:color="auto"/>
        <w:left w:val="none" w:sz="0" w:space="0" w:color="auto"/>
        <w:bottom w:val="none" w:sz="0" w:space="0" w:color="auto"/>
        <w:right w:val="none" w:sz="0" w:space="0" w:color="auto"/>
      </w:divBdr>
    </w:div>
    <w:div w:id="105514395">
      <w:bodyDiv w:val="1"/>
      <w:marLeft w:val="0"/>
      <w:marRight w:val="0"/>
      <w:marTop w:val="0"/>
      <w:marBottom w:val="0"/>
      <w:divBdr>
        <w:top w:val="none" w:sz="0" w:space="0" w:color="auto"/>
        <w:left w:val="none" w:sz="0" w:space="0" w:color="auto"/>
        <w:bottom w:val="none" w:sz="0" w:space="0" w:color="auto"/>
        <w:right w:val="none" w:sz="0" w:space="0" w:color="auto"/>
      </w:divBdr>
    </w:div>
    <w:div w:id="107625531">
      <w:bodyDiv w:val="1"/>
      <w:marLeft w:val="0"/>
      <w:marRight w:val="0"/>
      <w:marTop w:val="0"/>
      <w:marBottom w:val="0"/>
      <w:divBdr>
        <w:top w:val="none" w:sz="0" w:space="0" w:color="auto"/>
        <w:left w:val="none" w:sz="0" w:space="0" w:color="auto"/>
        <w:bottom w:val="none" w:sz="0" w:space="0" w:color="auto"/>
        <w:right w:val="none" w:sz="0" w:space="0" w:color="auto"/>
      </w:divBdr>
    </w:div>
    <w:div w:id="111675574">
      <w:bodyDiv w:val="1"/>
      <w:marLeft w:val="0"/>
      <w:marRight w:val="0"/>
      <w:marTop w:val="0"/>
      <w:marBottom w:val="0"/>
      <w:divBdr>
        <w:top w:val="none" w:sz="0" w:space="0" w:color="auto"/>
        <w:left w:val="none" w:sz="0" w:space="0" w:color="auto"/>
        <w:bottom w:val="none" w:sz="0" w:space="0" w:color="auto"/>
        <w:right w:val="none" w:sz="0" w:space="0" w:color="auto"/>
      </w:divBdr>
    </w:div>
    <w:div w:id="120996371">
      <w:bodyDiv w:val="1"/>
      <w:marLeft w:val="0"/>
      <w:marRight w:val="0"/>
      <w:marTop w:val="0"/>
      <w:marBottom w:val="0"/>
      <w:divBdr>
        <w:top w:val="none" w:sz="0" w:space="0" w:color="auto"/>
        <w:left w:val="none" w:sz="0" w:space="0" w:color="auto"/>
        <w:bottom w:val="none" w:sz="0" w:space="0" w:color="auto"/>
        <w:right w:val="none" w:sz="0" w:space="0" w:color="auto"/>
      </w:divBdr>
    </w:div>
    <w:div w:id="130754799">
      <w:bodyDiv w:val="1"/>
      <w:marLeft w:val="0"/>
      <w:marRight w:val="0"/>
      <w:marTop w:val="0"/>
      <w:marBottom w:val="0"/>
      <w:divBdr>
        <w:top w:val="none" w:sz="0" w:space="0" w:color="auto"/>
        <w:left w:val="none" w:sz="0" w:space="0" w:color="auto"/>
        <w:bottom w:val="none" w:sz="0" w:space="0" w:color="auto"/>
        <w:right w:val="none" w:sz="0" w:space="0" w:color="auto"/>
      </w:divBdr>
      <w:divsChild>
        <w:div w:id="372004958">
          <w:marLeft w:val="0"/>
          <w:marRight w:val="0"/>
          <w:marTop w:val="0"/>
          <w:marBottom w:val="0"/>
          <w:divBdr>
            <w:top w:val="none" w:sz="0" w:space="0" w:color="auto"/>
            <w:left w:val="none" w:sz="0" w:space="0" w:color="auto"/>
            <w:bottom w:val="none" w:sz="0" w:space="0" w:color="auto"/>
            <w:right w:val="none" w:sz="0" w:space="0" w:color="auto"/>
          </w:divBdr>
        </w:div>
        <w:div w:id="793984455">
          <w:marLeft w:val="0"/>
          <w:marRight w:val="0"/>
          <w:marTop w:val="0"/>
          <w:marBottom w:val="0"/>
          <w:divBdr>
            <w:top w:val="none" w:sz="0" w:space="0" w:color="auto"/>
            <w:left w:val="none" w:sz="0" w:space="0" w:color="auto"/>
            <w:bottom w:val="none" w:sz="0" w:space="0" w:color="auto"/>
            <w:right w:val="none" w:sz="0" w:space="0" w:color="auto"/>
          </w:divBdr>
        </w:div>
        <w:div w:id="1586919319">
          <w:marLeft w:val="0"/>
          <w:marRight w:val="0"/>
          <w:marTop w:val="0"/>
          <w:marBottom w:val="0"/>
          <w:divBdr>
            <w:top w:val="none" w:sz="0" w:space="0" w:color="auto"/>
            <w:left w:val="none" w:sz="0" w:space="0" w:color="auto"/>
            <w:bottom w:val="none" w:sz="0" w:space="0" w:color="auto"/>
            <w:right w:val="none" w:sz="0" w:space="0" w:color="auto"/>
          </w:divBdr>
          <w:divsChild>
            <w:div w:id="1637565213">
              <w:marLeft w:val="0"/>
              <w:marRight w:val="0"/>
              <w:marTop w:val="30"/>
              <w:marBottom w:val="30"/>
              <w:divBdr>
                <w:top w:val="none" w:sz="0" w:space="0" w:color="auto"/>
                <w:left w:val="none" w:sz="0" w:space="0" w:color="auto"/>
                <w:bottom w:val="none" w:sz="0" w:space="0" w:color="auto"/>
                <w:right w:val="none" w:sz="0" w:space="0" w:color="auto"/>
              </w:divBdr>
              <w:divsChild>
                <w:div w:id="5597990">
                  <w:marLeft w:val="0"/>
                  <w:marRight w:val="0"/>
                  <w:marTop w:val="0"/>
                  <w:marBottom w:val="0"/>
                  <w:divBdr>
                    <w:top w:val="none" w:sz="0" w:space="0" w:color="auto"/>
                    <w:left w:val="none" w:sz="0" w:space="0" w:color="auto"/>
                    <w:bottom w:val="none" w:sz="0" w:space="0" w:color="auto"/>
                    <w:right w:val="none" w:sz="0" w:space="0" w:color="auto"/>
                  </w:divBdr>
                  <w:divsChild>
                    <w:div w:id="451097210">
                      <w:marLeft w:val="0"/>
                      <w:marRight w:val="0"/>
                      <w:marTop w:val="0"/>
                      <w:marBottom w:val="0"/>
                      <w:divBdr>
                        <w:top w:val="none" w:sz="0" w:space="0" w:color="auto"/>
                        <w:left w:val="none" w:sz="0" w:space="0" w:color="auto"/>
                        <w:bottom w:val="none" w:sz="0" w:space="0" w:color="auto"/>
                        <w:right w:val="none" w:sz="0" w:space="0" w:color="auto"/>
                      </w:divBdr>
                    </w:div>
                    <w:div w:id="680280305">
                      <w:marLeft w:val="0"/>
                      <w:marRight w:val="0"/>
                      <w:marTop w:val="0"/>
                      <w:marBottom w:val="0"/>
                      <w:divBdr>
                        <w:top w:val="none" w:sz="0" w:space="0" w:color="auto"/>
                        <w:left w:val="none" w:sz="0" w:space="0" w:color="auto"/>
                        <w:bottom w:val="none" w:sz="0" w:space="0" w:color="auto"/>
                        <w:right w:val="none" w:sz="0" w:space="0" w:color="auto"/>
                      </w:divBdr>
                    </w:div>
                    <w:div w:id="1204366076">
                      <w:marLeft w:val="0"/>
                      <w:marRight w:val="0"/>
                      <w:marTop w:val="0"/>
                      <w:marBottom w:val="0"/>
                      <w:divBdr>
                        <w:top w:val="none" w:sz="0" w:space="0" w:color="auto"/>
                        <w:left w:val="none" w:sz="0" w:space="0" w:color="auto"/>
                        <w:bottom w:val="none" w:sz="0" w:space="0" w:color="auto"/>
                        <w:right w:val="none" w:sz="0" w:space="0" w:color="auto"/>
                      </w:divBdr>
                    </w:div>
                    <w:div w:id="1732734605">
                      <w:marLeft w:val="0"/>
                      <w:marRight w:val="0"/>
                      <w:marTop w:val="0"/>
                      <w:marBottom w:val="0"/>
                      <w:divBdr>
                        <w:top w:val="none" w:sz="0" w:space="0" w:color="auto"/>
                        <w:left w:val="none" w:sz="0" w:space="0" w:color="auto"/>
                        <w:bottom w:val="none" w:sz="0" w:space="0" w:color="auto"/>
                        <w:right w:val="none" w:sz="0" w:space="0" w:color="auto"/>
                      </w:divBdr>
                    </w:div>
                    <w:div w:id="2019767054">
                      <w:marLeft w:val="0"/>
                      <w:marRight w:val="0"/>
                      <w:marTop w:val="0"/>
                      <w:marBottom w:val="0"/>
                      <w:divBdr>
                        <w:top w:val="none" w:sz="0" w:space="0" w:color="auto"/>
                        <w:left w:val="none" w:sz="0" w:space="0" w:color="auto"/>
                        <w:bottom w:val="none" w:sz="0" w:space="0" w:color="auto"/>
                        <w:right w:val="none" w:sz="0" w:space="0" w:color="auto"/>
                      </w:divBdr>
                    </w:div>
                  </w:divsChild>
                </w:div>
                <w:div w:id="51511414">
                  <w:marLeft w:val="0"/>
                  <w:marRight w:val="0"/>
                  <w:marTop w:val="0"/>
                  <w:marBottom w:val="0"/>
                  <w:divBdr>
                    <w:top w:val="none" w:sz="0" w:space="0" w:color="auto"/>
                    <w:left w:val="none" w:sz="0" w:space="0" w:color="auto"/>
                    <w:bottom w:val="none" w:sz="0" w:space="0" w:color="auto"/>
                    <w:right w:val="none" w:sz="0" w:space="0" w:color="auto"/>
                  </w:divBdr>
                  <w:divsChild>
                    <w:div w:id="927233970">
                      <w:marLeft w:val="0"/>
                      <w:marRight w:val="0"/>
                      <w:marTop w:val="0"/>
                      <w:marBottom w:val="0"/>
                      <w:divBdr>
                        <w:top w:val="none" w:sz="0" w:space="0" w:color="auto"/>
                        <w:left w:val="none" w:sz="0" w:space="0" w:color="auto"/>
                        <w:bottom w:val="none" w:sz="0" w:space="0" w:color="auto"/>
                        <w:right w:val="none" w:sz="0" w:space="0" w:color="auto"/>
                      </w:divBdr>
                    </w:div>
                  </w:divsChild>
                </w:div>
                <w:div w:id="146481839">
                  <w:marLeft w:val="0"/>
                  <w:marRight w:val="0"/>
                  <w:marTop w:val="0"/>
                  <w:marBottom w:val="0"/>
                  <w:divBdr>
                    <w:top w:val="none" w:sz="0" w:space="0" w:color="auto"/>
                    <w:left w:val="none" w:sz="0" w:space="0" w:color="auto"/>
                    <w:bottom w:val="none" w:sz="0" w:space="0" w:color="auto"/>
                    <w:right w:val="none" w:sz="0" w:space="0" w:color="auto"/>
                  </w:divBdr>
                  <w:divsChild>
                    <w:div w:id="927273942">
                      <w:marLeft w:val="0"/>
                      <w:marRight w:val="0"/>
                      <w:marTop w:val="0"/>
                      <w:marBottom w:val="0"/>
                      <w:divBdr>
                        <w:top w:val="none" w:sz="0" w:space="0" w:color="auto"/>
                        <w:left w:val="none" w:sz="0" w:space="0" w:color="auto"/>
                        <w:bottom w:val="none" w:sz="0" w:space="0" w:color="auto"/>
                        <w:right w:val="none" w:sz="0" w:space="0" w:color="auto"/>
                      </w:divBdr>
                    </w:div>
                  </w:divsChild>
                </w:div>
                <w:div w:id="304821827">
                  <w:marLeft w:val="0"/>
                  <w:marRight w:val="0"/>
                  <w:marTop w:val="0"/>
                  <w:marBottom w:val="0"/>
                  <w:divBdr>
                    <w:top w:val="none" w:sz="0" w:space="0" w:color="auto"/>
                    <w:left w:val="none" w:sz="0" w:space="0" w:color="auto"/>
                    <w:bottom w:val="none" w:sz="0" w:space="0" w:color="auto"/>
                    <w:right w:val="none" w:sz="0" w:space="0" w:color="auto"/>
                  </w:divBdr>
                  <w:divsChild>
                    <w:div w:id="634604189">
                      <w:marLeft w:val="0"/>
                      <w:marRight w:val="0"/>
                      <w:marTop w:val="0"/>
                      <w:marBottom w:val="0"/>
                      <w:divBdr>
                        <w:top w:val="none" w:sz="0" w:space="0" w:color="auto"/>
                        <w:left w:val="none" w:sz="0" w:space="0" w:color="auto"/>
                        <w:bottom w:val="none" w:sz="0" w:space="0" w:color="auto"/>
                        <w:right w:val="none" w:sz="0" w:space="0" w:color="auto"/>
                      </w:divBdr>
                    </w:div>
                    <w:div w:id="1390113667">
                      <w:marLeft w:val="0"/>
                      <w:marRight w:val="0"/>
                      <w:marTop w:val="0"/>
                      <w:marBottom w:val="0"/>
                      <w:divBdr>
                        <w:top w:val="none" w:sz="0" w:space="0" w:color="auto"/>
                        <w:left w:val="none" w:sz="0" w:space="0" w:color="auto"/>
                        <w:bottom w:val="none" w:sz="0" w:space="0" w:color="auto"/>
                        <w:right w:val="none" w:sz="0" w:space="0" w:color="auto"/>
                      </w:divBdr>
                    </w:div>
                    <w:div w:id="1695768551">
                      <w:marLeft w:val="0"/>
                      <w:marRight w:val="0"/>
                      <w:marTop w:val="0"/>
                      <w:marBottom w:val="0"/>
                      <w:divBdr>
                        <w:top w:val="none" w:sz="0" w:space="0" w:color="auto"/>
                        <w:left w:val="none" w:sz="0" w:space="0" w:color="auto"/>
                        <w:bottom w:val="none" w:sz="0" w:space="0" w:color="auto"/>
                        <w:right w:val="none" w:sz="0" w:space="0" w:color="auto"/>
                      </w:divBdr>
                    </w:div>
                  </w:divsChild>
                </w:div>
                <w:div w:id="393967575">
                  <w:marLeft w:val="0"/>
                  <w:marRight w:val="0"/>
                  <w:marTop w:val="0"/>
                  <w:marBottom w:val="0"/>
                  <w:divBdr>
                    <w:top w:val="none" w:sz="0" w:space="0" w:color="auto"/>
                    <w:left w:val="none" w:sz="0" w:space="0" w:color="auto"/>
                    <w:bottom w:val="none" w:sz="0" w:space="0" w:color="auto"/>
                    <w:right w:val="none" w:sz="0" w:space="0" w:color="auto"/>
                  </w:divBdr>
                  <w:divsChild>
                    <w:div w:id="1036811537">
                      <w:marLeft w:val="0"/>
                      <w:marRight w:val="0"/>
                      <w:marTop w:val="0"/>
                      <w:marBottom w:val="0"/>
                      <w:divBdr>
                        <w:top w:val="none" w:sz="0" w:space="0" w:color="auto"/>
                        <w:left w:val="none" w:sz="0" w:space="0" w:color="auto"/>
                        <w:bottom w:val="none" w:sz="0" w:space="0" w:color="auto"/>
                        <w:right w:val="none" w:sz="0" w:space="0" w:color="auto"/>
                      </w:divBdr>
                    </w:div>
                  </w:divsChild>
                </w:div>
                <w:div w:id="565069946">
                  <w:marLeft w:val="0"/>
                  <w:marRight w:val="0"/>
                  <w:marTop w:val="0"/>
                  <w:marBottom w:val="0"/>
                  <w:divBdr>
                    <w:top w:val="none" w:sz="0" w:space="0" w:color="auto"/>
                    <w:left w:val="none" w:sz="0" w:space="0" w:color="auto"/>
                    <w:bottom w:val="none" w:sz="0" w:space="0" w:color="auto"/>
                    <w:right w:val="none" w:sz="0" w:space="0" w:color="auto"/>
                  </w:divBdr>
                  <w:divsChild>
                    <w:div w:id="1423646329">
                      <w:marLeft w:val="0"/>
                      <w:marRight w:val="0"/>
                      <w:marTop w:val="0"/>
                      <w:marBottom w:val="0"/>
                      <w:divBdr>
                        <w:top w:val="none" w:sz="0" w:space="0" w:color="auto"/>
                        <w:left w:val="none" w:sz="0" w:space="0" w:color="auto"/>
                        <w:bottom w:val="none" w:sz="0" w:space="0" w:color="auto"/>
                        <w:right w:val="none" w:sz="0" w:space="0" w:color="auto"/>
                      </w:divBdr>
                    </w:div>
                  </w:divsChild>
                </w:div>
                <w:div w:id="706638884">
                  <w:marLeft w:val="0"/>
                  <w:marRight w:val="0"/>
                  <w:marTop w:val="0"/>
                  <w:marBottom w:val="0"/>
                  <w:divBdr>
                    <w:top w:val="none" w:sz="0" w:space="0" w:color="auto"/>
                    <w:left w:val="none" w:sz="0" w:space="0" w:color="auto"/>
                    <w:bottom w:val="none" w:sz="0" w:space="0" w:color="auto"/>
                    <w:right w:val="none" w:sz="0" w:space="0" w:color="auto"/>
                  </w:divBdr>
                  <w:divsChild>
                    <w:div w:id="548493377">
                      <w:marLeft w:val="0"/>
                      <w:marRight w:val="0"/>
                      <w:marTop w:val="0"/>
                      <w:marBottom w:val="0"/>
                      <w:divBdr>
                        <w:top w:val="none" w:sz="0" w:space="0" w:color="auto"/>
                        <w:left w:val="none" w:sz="0" w:space="0" w:color="auto"/>
                        <w:bottom w:val="none" w:sz="0" w:space="0" w:color="auto"/>
                        <w:right w:val="none" w:sz="0" w:space="0" w:color="auto"/>
                      </w:divBdr>
                    </w:div>
                    <w:div w:id="901252272">
                      <w:marLeft w:val="0"/>
                      <w:marRight w:val="0"/>
                      <w:marTop w:val="0"/>
                      <w:marBottom w:val="0"/>
                      <w:divBdr>
                        <w:top w:val="none" w:sz="0" w:space="0" w:color="auto"/>
                        <w:left w:val="none" w:sz="0" w:space="0" w:color="auto"/>
                        <w:bottom w:val="none" w:sz="0" w:space="0" w:color="auto"/>
                        <w:right w:val="none" w:sz="0" w:space="0" w:color="auto"/>
                      </w:divBdr>
                    </w:div>
                    <w:div w:id="1115711111">
                      <w:marLeft w:val="0"/>
                      <w:marRight w:val="0"/>
                      <w:marTop w:val="0"/>
                      <w:marBottom w:val="0"/>
                      <w:divBdr>
                        <w:top w:val="none" w:sz="0" w:space="0" w:color="auto"/>
                        <w:left w:val="none" w:sz="0" w:space="0" w:color="auto"/>
                        <w:bottom w:val="none" w:sz="0" w:space="0" w:color="auto"/>
                        <w:right w:val="none" w:sz="0" w:space="0" w:color="auto"/>
                      </w:divBdr>
                    </w:div>
                    <w:div w:id="1259412473">
                      <w:marLeft w:val="0"/>
                      <w:marRight w:val="0"/>
                      <w:marTop w:val="0"/>
                      <w:marBottom w:val="0"/>
                      <w:divBdr>
                        <w:top w:val="none" w:sz="0" w:space="0" w:color="auto"/>
                        <w:left w:val="none" w:sz="0" w:space="0" w:color="auto"/>
                        <w:bottom w:val="none" w:sz="0" w:space="0" w:color="auto"/>
                        <w:right w:val="none" w:sz="0" w:space="0" w:color="auto"/>
                      </w:divBdr>
                    </w:div>
                    <w:div w:id="1285038386">
                      <w:marLeft w:val="0"/>
                      <w:marRight w:val="0"/>
                      <w:marTop w:val="0"/>
                      <w:marBottom w:val="0"/>
                      <w:divBdr>
                        <w:top w:val="none" w:sz="0" w:space="0" w:color="auto"/>
                        <w:left w:val="none" w:sz="0" w:space="0" w:color="auto"/>
                        <w:bottom w:val="none" w:sz="0" w:space="0" w:color="auto"/>
                        <w:right w:val="none" w:sz="0" w:space="0" w:color="auto"/>
                      </w:divBdr>
                    </w:div>
                    <w:div w:id="2055957523">
                      <w:marLeft w:val="0"/>
                      <w:marRight w:val="0"/>
                      <w:marTop w:val="0"/>
                      <w:marBottom w:val="0"/>
                      <w:divBdr>
                        <w:top w:val="none" w:sz="0" w:space="0" w:color="auto"/>
                        <w:left w:val="none" w:sz="0" w:space="0" w:color="auto"/>
                        <w:bottom w:val="none" w:sz="0" w:space="0" w:color="auto"/>
                        <w:right w:val="none" w:sz="0" w:space="0" w:color="auto"/>
                      </w:divBdr>
                    </w:div>
                    <w:div w:id="2115709799">
                      <w:marLeft w:val="0"/>
                      <w:marRight w:val="0"/>
                      <w:marTop w:val="0"/>
                      <w:marBottom w:val="0"/>
                      <w:divBdr>
                        <w:top w:val="none" w:sz="0" w:space="0" w:color="auto"/>
                        <w:left w:val="none" w:sz="0" w:space="0" w:color="auto"/>
                        <w:bottom w:val="none" w:sz="0" w:space="0" w:color="auto"/>
                        <w:right w:val="none" w:sz="0" w:space="0" w:color="auto"/>
                      </w:divBdr>
                    </w:div>
                  </w:divsChild>
                </w:div>
                <w:div w:id="722288250">
                  <w:marLeft w:val="0"/>
                  <w:marRight w:val="0"/>
                  <w:marTop w:val="0"/>
                  <w:marBottom w:val="0"/>
                  <w:divBdr>
                    <w:top w:val="none" w:sz="0" w:space="0" w:color="auto"/>
                    <w:left w:val="none" w:sz="0" w:space="0" w:color="auto"/>
                    <w:bottom w:val="none" w:sz="0" w:space="0" w:color="auto"/>
                    <w:right w:val="none" w:sz="0" w:space="0" w:color="auto"/>
                  </w:divBdr>
                  <w:divsChild>
                    <w:div w:id="771783359">
                      <w:marLeft w:val="0"/>
                      <w:marRight w:val="0"/>
                      <w:marTop w:val="0"/>
                      <w:marBottom w:val="0"/>
                      <w:divBdr>
                        <w:top w:val="none" w:sz="0" w:space="0" w:color="auto"/>
                        <w:left w:val="none" w:sz="0" w:space="0" w:color="auto"/>
                        <w:bottom w:val="none" w:sz="0" w:space="0" w:color="auto"/>
                        <w:right w:val="none" w:sz="0" w:space="0" w:color="auto"/>
                      </w:divBdr>
                    </w:div>
                  </w:divsChild>
                </w:div>
                <w:div w:id="787552860">
                  <w:marLeft w:val="0"/>
                  <w:marRight w:val="0"/>
                  <w:marTop w:val="0"/>
                  <w:marBottom w:val="0"/>
                  <w:divBdr>
                    <w:top w:val="none" w:sz="0" w:space="0" w:color="auto"/>
                    <w:left w:val="none" w:sz="0" w:space="0" w:color="auto"/>
                    <w:bottom w:val="none" w:sz="0" w:space="0" w:color="auto"/>
                    <w:right w:val="none" w:sz="0" w:space="0" w:color="auto"/>
                  </w:divBdr>
                  <w:divsChild>
                    <w:div w:id="190537944">
                      <w:marLeft w:val="0"/>
                      <w:marRight w:val="0"/>
                      <w:marTop w:val="0"/>
                      <w:marBottom w:val="0"/>
                      <w:divBdr>
                        <w:top w:val="none" w:sz="0" w:space="0" w:color="auto"/>
                        <w:left w:val="none" w:sz="0" w:space="0" w:color="auto"/>
                        <w:bottom w:val="none" w:sz="0" w:space="0" w:color="auto"/>
                        <w:right w:val="none" w:sz="0" w:space="0" w:color="auto"/>
                      </w:divBdr>
                    </w:div>
                    <w:div w:id="243495348">
                      <w:marLeft w:val="0"/>
                      <w:marRight w:val="0"/>
                      <w:marTop w:val="0"/>
                      <w:marBottom w:val="0"/>
                      <w:divBdr>
                        <w:top w:val="none" w:sz="0" w:space="0" w:color="auto"/>
                        <w:left w:val="none" w:sz="0" w:space="0" w:color="auto"/>
                        <w:bottom w:val="none" w:sz="0" w:space="0" w:color="auto"/>
                        <w:right w:val="none" w:sz="0" w:space="0" w:color="auto"/>
                      </w:divBdr>
                    </w:div>
                    <w:div w:id="299189106">
                      <w:marLeft w:val="0"/>
                      <w:marRight w:val="0"/>
                      <w:marTop w:val="0"/>
                      <w:marBottom w:val="0"/>
                      <w:divBdr>
                        <w:top w:val="none" w:sz="0" w:space="0" w:color="auto"/>
                        <w:left w:val="none" w:sz="0" w:space="0" w:color="auto"/>
                        <w:bottom w:val="none" w:sz="0" w:space="0" w:color="auto"/>
                        <w:right w:val="none" w:sz="0" w:space="0" w:color="auto"/>
                      </w:divBdr>
                    </w:div>
                    <w:div w:id="379982902">
                      <w:marLeft w:val="0"/>
                      <w:marRight w:val="0"/>
                      <w:marTop w:val="0"/>
                      <w:marBottom w:val="0"/>
                      <w:divBdr>
                        <w:top w:val="none" w:sz="0" w:space="0" w:color="auto"/>
                        <w:left w:val="none" w:sz="0" w:space="0" w:color="auto"/>
                        <w:bottom w:val="none" w:sz="0" w:space="0" w:color="auto"/>
                        <w:right w:val="none" w:sz="0" w:space="0" w:color="auto"/>
                      </w:divBdr>
                    </w:div>
                    <w:div w:id="384766951">
                      <w:marLeft w:val="0"/>
                      <w:marRight w:val="0"/>
                      <w:marTop w:val="0"/>
                      <w:marBottom w:val="0"/>
                      <w:divBdr>
                        <w:top w:val="none" w:sz="0" w:space="0" w:color="auto"/>
                        <w:left w:val="none" w:sz="0" w:space="0" w:color="auto"/>
                        <w:bottom w:val="none" w:sz="0" w:space="0" w:color="auto"/>
                        <w:right w:val="none" w:sz="0" w:space="0" w:color="auto"/>
                      </w:divBdr>
                    </w:div>
                    <w:div w:id="453600743">
                      <w:marLeft w:val="0"/>
                      <w:marRight w:val="0"/>
                      <w:marTop w:val="0"/>
                      <w:marBottom w:val="0"/>
                      <w:divBdr>
                        <w:top w:val="none" w:sz="0" w:space="0" w:color="auto"/>
                        <w:left w:val="none" w:sz="0" w:space="0" w:color="auto"/>
                        <w:bottom w:val="none" w:sz="0" w:space="0" w:color="auto"/>
                        <w:right w:val="none" w:sz="0" w:space="0" w:color="auto"/>
                      </w:divBdr>
                    </w:div>
                    <w:div w:id="1071200319">
                      <w:marLeft w:val="0"/>
                      <w:marRight w:val="0"/>
                      <w:marTop w:val="0"/>
                      <w:marBottom w:val="0"/>
                      <w:divBdr>
                        <w:top w:val="none" w:sz="0" w:space="0" w:color="auto"/>
                        <w:left w:val="none" w:sz="0" w:space="0" w:color="auto"/>
                        <w:bottom w:val="none" w:sz="0" w:space="0" w:color="auto"/>
                        <w:right w:val="none" w:sz="0" w:space="0" w:color="auto"/>
                      </w:divBdr>
                    </w:div>
                    <w:div w:id="1143039901">
                      <w:marLeft w:val="0"/>
                      <w:marRight w:val="0"/>
                      <w:marTop w:val="0"/>
                      <w:marBottom w:val="0"/>
                      <w:divBdr>
                        <w:top w:val="none" w:sz="0" w:space="0" w:color="auto"/>
                        <w:left w:val="none" w:sz="0" w:space="0" w:color="auto"/>
                        <w:bottom w:val="none" w:sz="0" w:space="0" w:color="auto"/>
                        <w:right w:val="none" w:sz="0" w:space="0" w:color="auto"/>
                      </w:divBdr>
                    </w:div>
                    <w:div w:id="1173492646">
                      <w:marLeft w:val="0"/>
                      <w:marRight w:val="0"/>
                      <w:marTop w:val="0"/>
                      <w:marBottom w:val="0"/>
                      <w:divBdr>
                        <w:top w:val="none" w:sz="0" w:space="0" w:color="auto"/>
                        <w:left w:val="none" w:sz="0" w:space="0" w:color="auto"/>
                        <w:bottom w:val="none" w:sz="0" w:space="0" w:color="auto"/>
                        <w:right w:val="none" w:sz="0" w:space="0" w:color="auto"/>
                      </w:divBdr>
                    </w:div>
                    <w:div w:id="1346831078">
                      <w:marLeft w:val="0"/>
                      <w:marRight w:val="0"/>
                      <w:marTop w:val="0"/>
                      <w:marBottom w:val="0"/>
                      <w:divBdr>
                        <w:top w:val="none" w:sz="0" w:space="0" w:color="auto"/>
                        <w:left w:val="none" w:sz="0" w:space="0" w:color="auto"/>
                        <w:bottom w:val="none" w:sz="0" w:space="0" w:color="auto"/>
                        <w:right w:val="none" w:sz="0" w:space="0" w:color="auto"/>
                      </w:divBdr>
                    </w:div>
                    <w:div w:id="1377701340">
                      <w:marLeft w:val="0"/>
                      <w:marRight w:val="0"/>
                      <w:marTop w:val="0"/>
                      <w:marBottom w:val="0"/>
                      <w:divBdr>
                        <w:top w:val="none" w:sz="0" w:space="0" w:color="auto"/>
                        <w:left w:val="none" w:sz="0" w:space="0" w:color="auto"/>
                        <w:bottom w:val="none" w:sz="0" w:space="0" w:color="auto"/>
                        <w:right w:val="none" w:sz="0" w:space="0" w:color="auto"/>
                      </w:divBdr>
                    </w:div>
                    <w:div w:id="1482649968">
                      <w:marLeft w:val="0"/>
                      <w:marRight w:val="0"/>
                      <w:marTop w:val="0"/>
                      <w:marBottom w:val="0"/>
                      <w:divBdr>
                        <w:top w:val="none" w:sz="0" w:space="0" w:color="auto"/>
                        <w:left w:val="none" w:sz="0" w:space="0" w:color="auto"/>
                        <w:bottom w:val="none" w:sz="0" w:space="0" w:color="auto"/>
                        <w:right w:val="none" w:sz="0" w:space="0" w:color="auto"/>
                      </w:divBdr>
                    </w:div>
                    <w:div w:id="1493373516">
                      <w:marLeft w:val="0"/>
                      <w:marRight w:val="0"/>
                      <w:marTop w:val="0"/>
                      <w:marBottom w:val="0"/>
                      <w:divBdr>
                        <w:top w:val="none" w:sz="0" w:space="0" w:color="auto"/>
                        <w:left w:val="none" w:sz="0" w:space="0" w:color="auto"/>
                        <w:bottom w:val="none" w:sz="0" w:space="0" w:color="auto"/>
                        <w:right w:val="none" w:sz="0" w:space="0" w:color="auto"/>
                      </w:divBdr>
                    </w:div>
                    <w:div w:id="1710033181">
                      <w:marLeft w:val="0"/>
                      <w:marRight w:val="0"/>
                      <w:marTop w:val="0"/>
                      <w:marBottom w:val="0"/>
                      <w:divBdr>
                        <w:top w:val="none" w:sz="0" w:space="0" w:color="auto"/>
                        <w:left w:val="none" w:sz="0" w:space="0" w:color="auto"/>
                        <w:bottom w:val="none" w:sz="0" w:space="0" w:color="auto"/>
                        <w:right w:val="none" w:sz="0" w:space="0" w:color="auto"/>
                      </w:divBdr>
                    </w:div>
                    <w:div w:id="1876652682">
                      <w:marLeft w:val="0"/>
                      <w:marRight w:val="0"/>
                      <w:marTop w:val="0"/>
                      <w:marBottom w:val="0"/>
                      <w:divBdr>
                        <w:top w:val="none" w:sz="0" w:space="0" w:color="auto"/>
                        <w:left w:val="none" w:sz="0" w:space="0" w:color="auto"/>
                        <w:bottom w:val="none" w:sz="0" w:space="0" w:color="auto"/>
                        <w:right w:val="none" w:sz="0" w:space="0" w:color="auto"/>
                      </w:divBdr>
                    </w:div>
                    <w:div w:id="1889031330">
                      <w:marLeft w:val="0"/>
                      <w:marRight w:val="0"/>
                      <w:marTop w:val="0"/>
                      <w:marBottom w:val="0"/>
                      <w:divBdr>
                        <w:top w:val="none" w:sz="0" w:space="0" w:color="auto"/>
                        <w:left w:val="none" w:sz="0" w:space="0" w:color="auto"/>
                        <w:bottom w:val="none" w:sz="0" w:space="0" w:color="auto"/>
                        <w:right w:val="none" w:sz="0" w:space="0" w:color="auto"/>
                      </w:divBdr>
                    </w:div>
                    <w:div w:id="1903563254">
                      <w:marLeft w:val="0"/>
                      <w:marRight w:val="0"/>
                      <w:marTop w:val="0"/>
                      <w:marBottom w:val="0"/>
                      <w:divBdr>
                        <w:top w:val="none" w:sz="0" w:space="0" w:color="auto"/>
                        <w:left w:val="none" w:sz="0" w:space="0" w:color="auto"/>
                        <w:bottom w:val="none" w:sz="0" w:space="0" w:color="auto"/>
                        <w:right w:val="none" w:sz="0" w:space="0" w:color="auto"/>
                      </w:divBdr>
                    </w:div>
                    <w:div w:id="1940790753">
                      <w:marLeft w:val="0"/>
                      <w:marRight w:val="0"/>
                      <w:marTop w:val="0"/>
                      <w:marBottom w:val="0"/>
                      <w:divBdr>
                        <w:top w:val="none" w:sz="0" w:space="0" w:color="auto"/>
                        <w:left w:val="none" w:sz="0" w:space="0" w:color="auto"/>
                        <w:bottom w:val="none" w:sz="0" w:space="0" w:color="auto"/>
                        <w:right w:val="none" w:sz="0" w:space="0" w:color="auto"/>
                      </w:divBdr>
                    </w:div>
                  </w:divsChild>
                </w:div>
                <w:div w:id="1027222809">
                  <w:marLeft w:val="0"/>
                  <w:marRight w:val="0"/>
                  <w:marTop w:val="0"/>
                  <w:marBottom w:val="0"/>
                  <w:divBdr>
                    <w:top w:val="none" w:sz="0" w:space="0" w:color="auto"/>
                    <w:left w:val="none" w:sz="0" w:space="0" w:color="auto"/>
                    <w:bottom w:val="none" w:sz="0" w:space="0" w:color="auto"/>
                    <w:right w:val="none" w:sz="0" w:space="0" w:color="auto"/>
                  </w:divBdr>
                  <w:divsChild>
                    <w:div w:id="732893026">
                      <w:marLeft w:val="0"/>
                      <w:marRight w:val="0"/>
                      <w:marTop w:val="0"/>
                      <w:marBottom w:val="0"/>
                      <w:divBdr>
                        <w:top w:val="none" w:sz="0" w:space="0" w:color="auto"/>
                        <w:left w:val="none" w:sz="0" w:space="0" w:color="auto"/>
                        <w:bottom w:val="none" w:sz="0" w:space="0" w:color="auto"/>
                        <w:right w:val="none" w:sz="0" w:space="0" w:color="auto"/>
                      </w:divBdr>
                    </w:div>
                  </w:divsChild>
                </w:div>
                <w:div w:id="1108617491">
                  <w:marLeft w:val="0"/>
                  <w:marRight w:val="0"/>
                  <w:marTop w:val="0"/>
                  <w:marBottom w:val="0"/>
                  <w:divBdr>
                    <w:top w:val="none" w:sz="0" w:space="0" w:color="auto"/>
                    <w:left w:val="none" w:sz="0" w:space="0" w:color="auto"/>
                    <w:bottom w:val="none" w:sz="0" w:space="0" w:color="auto"/>
                    <w:right w:val="none" w:sz="0" w:space="0" w:color="auto"/>
                  </w:divBdr>
                  <w:divsChild>
                    <w:div w:id="310257069">
                      <w:marLeft w:val="0"/>
                      <w:marRight w:val="0"/>
                      <w:marTop w:val="0"/>
                      <w:marBottom w:val="0"/>
                      <w:divBdr>
                        <w:top w:val="none" w:sz="0" w:space="0" w:color="auto"/>
                        <w:left w:val="none" w:sz="0" w:space="0" w:color="auto"/>
                        <w:bottom w:val="none" w:sz="0" w:space="0" w:color="auto"/>
                        <w:right w:val="none" w:sz="0" w:space="0" w:color="auto"/>
                      </w:divBdr>
                    </w:div>
                    <w:div w:id="546378893">
                      <w:marLeft w:val="0"/>
                      <w:marRight w:val="0"/>
                      <w:marTop w:val="0"/>
                      <w:marBottom w:val="0"/>
                      <w:divBdr>
                        <w:top w:val="none" w:sz="0" w:space="0" w:color="auto"/>
                        <w:left w:val="none" w:sz="0" w:space="0" w:color="auto"/>
                        <w:bottom w:val="none" w:sz="0" w:space="0" w:color="auto"/>
                        <w:right w:val="none" w:sz="0" w:space="0" w:color="auto"/>
                      </w:divBdr>
                    </w:div>
                    <w:div w:id="1637562680">
                      <w:marLeft w:val="0"/>
                      <w:marRight w:val="0"/>
                      <w:marTop w:val="0"/>
                      <w:marBottom w:val="0"/>
                      <w:divBdr>
                        <w:top w:val="none" w:sz="0" w:space="0" w:color="auto"/>
                        <w:left w:val="none" w:sz="0" w:space="0" w:color="auto"/>
                        <w:bottom w:val="none" w:sz="0" w:space="0" w:color="auto"/>
                        <w:right w:val="none" w:sz="0" w:space="0" w:color="auto"/>
                      </w:divBdr>
                    </w:div>
                    <w:div w:id="1692028460">
                      <w:marLeft w:val="0"/>
                      <w:marRight w:val="0"/>
                      <w:marTop w:val="0"/>
                      <w:marBottom w:val="0"/>
                      <w:divBdr>
                        <w:top w:val="none" w:sz="0" w:space="0" w:color="auto"/>
                        <w:left w:val="none" w:sz="0" w:space="0" w:color="auto"/>
                        <w:bottom w:val="none" w:sz="0" w:space="0" w:color="auto"/>
                        <w:right w:val="none" w:sz="0" w:space="0" w:color="auto"/>
                      </w:divBdr>
                    </w:div>
                    <w:div w:id="1832401555">
                      <w:marLeft w:val="0"/>
                      <w:marRight w:val="0"/>
                      <w:marTop w:val="0"/>
                      <w:marBottom w:val="0"/>
                      <w:divBdr>
                        <w:top w:val="none" w:sz="0" w:space="0" w:color="auto"/>
                        <w:left w:val="none" w:sz="0" w:space="0" w:color="auto"/>
                        <w:bottom w:val="none" w:sz="0" w:space="0" w:color="auto"/>
                        <w:right w:val="none" w:sz="0" w:space="0" w:color="auto"/>
                      </w:divBdr>
                    </w:div>
                  </w:divsChild>
                </w:div>
                <w:div w:id="1160997322">
                  <w:marLeft w:val="0"/>
                  <w:marRight w:val="0"/>
                  <w:marTop w:val="0"/>
                  <w:marBottom w:val="0"/>
                  <w:divBdr>
                    <w:top w:val="none" w:sz="0" w:space="0" w:color="auto"/>
                    <w:left w:val="none" w:sz="0" w:space="0" w:color="auto"/>
                    <w:bottom w:val="none" w:sz="0" w:space="0" w:color="auto"/>
                    <w:right w:val="none" w:sz="0" w:space="0" w:color="auto"/>
                  </w:divBdr>
                  <w:divsChild>
                    <w:div w:id="650057678">
                      <w:marLeft w:val="0"/>
                      <w:marRight w:val="0"/>
                      <w:marTop w:val="0"/>
                      <w:marBottom w:val="0"/>
                      <w:divBdr>
                        <w:top w:val="none" w:sz="0" w:space="0" w:color="auto"/>
                        <w:left w:val="none" w:sz="0" w:space="0" w:color="auto"/>
                        <w:bottom w:val="none" w:sz="0" w:space="0" w:color="auto"/>
                        <w:right w:val="none" w:sz="0" w:space="0" w:color="auto"/>
                      </w:divBdr>
                    </w:div>
                    <w:div w:id="970861867">
                      <w:marLeft w:val="0"/>
                      <w:marRight w:val="0"/>
                      <w:marTop w:val="0"/>
                      <w:marBottom w:val="0"/>
                      <w:divBdr>
                        <w:top w:val="none" w:sz="0" w:space="0" w:color="auto"/>
                        <w:left w:val="none" w:sz="0" w:space="0" w:color="auto"/>
                        <w:bottom w:val="none" w:sz="0" w:space="0" w:color="auto"/>
                        <w:right w:val="none" w:sz="0" w:space="0" w:color="auto"/>
                      </w:divBdr>
                    </w:div>
                    <w:div w:id="1848324481">
                      <w:marLeft w:val="0"/>
                      <w:marRight w:val="0"/>
                      <w:marTop w:val="0"/>
                      <w:marBottom w:val="0"/>
                      <w:divBdr>
                        <w:top w:val="none" w:sz="0" w:space="0" w:color="auto"/>
                        <w:left w:val="none" w:sz="0" w:space="0" w:color="auto"/>
                        <w:bottom w:val="none" w:sz="0" w:space="0" w:color="auto"/>
                        <w:right w:val="none" w:sz="0" w:space="0" w:color="auto"/>
                      </w:divBdr>
                    </w:div>
                  </w:divsChild>
                </w:div>
                <w:div w:id="1179739093">
                  <w:marLeft w:val="0"/>
                  <w:marRight w:val="0"/>
                  <w:marTop w:val="0"/>
                  <w:marBottom w:val="0"/>
                  <w:divBdr>
                    <w:top w:val="none" w:sz="0" w:space="0" w:color="auto"/>
                    <w:left w:val="none" w:sz="0" w:space="0" w:color="auto"/>
                    <w:bottom w:val="none" w:sz="0" w:space="0" w:color="auto"/>
                    <w:right w:val="none" w:sz="0" w:space="0" w:color="auto"/>
                  </w:divBdr>
                  <w:divsChild>
                    <w:div w:id="1971520724">
                      <w:marLeft w:val="0"/>
                      <w:marRight w:val="0"/>
                      <w:marTop w:val="0"/>
                      <w:marBottom w:val="0"/>
                      <w:divBdr>
                        <w:top w:val="none" w:sz="0" w:space="0" w:color="auto"/>
                        <w:left w:val="none" w:sz="0" w:space="0" w:color="auto"/>
                        <w:bottom w:val="none" w:sz="0" w:space="0" w:color="auto"/>
                        <w:right w:val="none" w:sz="0" w:space="0" w:color="auto"/>
                      </w:divBdr>
                    </w:div>
                  </w:divsChild>
                </w:div>
                <w:div w:id="1221285334">
                  <w:marLeft w:val="0"/>
                  <w:marRight w:val="0"/>
                  <w:marTop w:val="0"/>
                  <w:marBottom w:val="0"/>
                  <w:divBdr>
                    <w:top w:val="none" w:sz="0" w:space="0" w:color="auto"/>
                    <w:left w:val="none" w:sz="0" w:space="0" w:color="auto"/>
                    <w:bottom w:val="none" w:sz="0" w:space="0" w:color="auto"/>
                    <w:right w:val="none" w:sz="0" w:space="0" w:color="auto"/>
                  </w:divBdr>
                  <w:divsChild>
                    <w:div w:id="122189609">
                      <w:marLeft w:val="0"/>
                      <w:marRight w:val="0"/>
                      <w:marTop w:val="0"/>
                      <w:marBottom w:val="0"/>
                      <w:divBdr>
                        <w:top w:val="none" w:sz="0" w:space="0" w:color="auto"/>
                        <w:left w:val="none" w:sz="0" w:space="0" w:color="auto"/>
                        <w:bottom w:val="none" w:sz="0" w:space="0" w:color="auto"/>
                        <w:right w:val="none" w:sz="0" w:space="0" w:color="auto"/>
                      </w:divBdr>
                    </w:div>
                    <w:div w:id="131674886">
                      <w:marLeft w:val="0"/>
                      <w:marRight w:val="0"/>
                      <w:marTop w:val="0"/>
                      <w:marBottom w:val="0"/>
                      <w:divBdr>
                        <w:top w:val="none" w:sz="0" w:space="0" w:color="auto"/>
                        <w:left w:val="none" w:sz="0" w:space="0" w:color="auto"/>
                        <w:bottom w:val="none" w:sz="0" w:space="0" w:color="auto"/>
                        <w:right w:val="none" w:sz="0" w:space="0" w:color="auto"/>
                      </w:divBdr>
                    </w:div>
                    <w:div w:id="208877289">
                      <w:marLeft w:val="0"/>
                      <w:marRight w:val="0"/>
                      <w:marTop w:val="0"/>
                      <w:marBottom w:val="0"/>
                      <w:divBdr>
                        <w:top w:val="none" w:sz="0" w:space="0" w:color="auto"/>
                        <w:left w:val="none" w:sz="0" w:space="0" w:color="auto"/>
                        <w:bottom w:val="none" w:sz="0" w:space="0" w:color="auto"/>
                        <w:right w:val="none" w:sz="0" w:space="0" w:color="auto"/>
                      </w:divBdr>
                    </w:div>
                    <w:div w:id="267079885">
                      <w:marLeft w:val="0"/>
                      <w:marRight w:val="0"/>
                      <w:marTop w:val="0"/>
                      <w:marBottom w:val="0"/>
                      <w:divBdr>
                        <w:top w:val="none" w:sz="0" w:space="0" w:color="auto"/>
                        <w:left w:val="none" w:sz="0" w:space="0" w:color="auto"/>
                        <w:bottom w:val="none" w:sz="0" w:space="0" w:color="auto"/>
                        <w:right w:val="none" w:sz="0" w:space="0" w:color="auto"/>
                      </w:divBdr>
                    </w:div>
                    <w:div w:id="301430444">
                      <w:marLeft w:val="0"/>
                      <w:marRight w:val="0"/>
                      <w:marTop w:val="0"/>
                      <w:marBottom w:val="0"/>
                      <w:divBdr>
                        <w:top w:val="none" w:sz="0" w:space="0" w:color="auto"/>
                        <w:left w:val="none" w:sz="0" w:space="0" w:color="auto"/>
                        <w:bottom w:val="none" w:sz="0" w:space="0" w:color="auto"/>
                        <w:right w:val="none" w:sz="0" w:space="0" w:color="auto"/>
                      </w:divBdr>
                    </w:div>
                    <w:div w:id="456921989">
                      <w:marLeft w:val="0"/>
                      <w:marRight w:val="0"/>
                      <w:marTop w:val="0"/>
                      <w:marBottom w:val="0"/>
                      <w:divBdr>
                        <w:top w:val="none" w:sz="0" w:space="0" w:color="auto"/>
                        <w:left w:val="none" w:sz="0" w:space="0" w:color="auto"/>
                        <w:bottom w:val="none" w:sz="0" w:space="0" w:color="auto"/>
                        <w:right w:val="none" w:sz="0" w:space="0" w:color="auto"/>
                      </w:divBdr>
                    </w:div>
                    <w:div w:id="602810893">
                      <w:marLeft w:val="0"/>
                      <w:marRight w:val="0"/>
                      <w:marTop w:val="0"/>
                      <w:marBottom w:val="0"/>
                      <w:divBdr>
                        <w:top w:val="none" w:sz="0" w:space="0" w:color="auto"/>
                        <w:left w:val="none" w:sz="0" w:space="0" w:color="auto"/>
                        <w:bottom w:val="none" w:sz="0" w:space="0" w:color="auto"/>
                        <w:right w:val="none" w:sz="0" w:space="0" w:color="auto"/>
                      </w:divBdr>
                    </w:div>
                    <w:div w:id="751393131">
                      <w:marLeft w:val="0"/>
                      <w:marRight w:val="0"/>
                      <w:marTop w:val="0"/>
                      <w:marBottom w:val="0"/>
                      <w:divBdr>
                        <w:top w:val="none" w:sz="0" w:space="0" w:color="auto"/>
                        <w:left w:val="none" w:sz="0" w:space="0" w:color="auto"/>
                        <w:bottom w:val="none" w:sz="0" w:space="0" w:color="auto"/>
                        <w:right w:val="none" w:sz="0" w:space="0" w:color="auto"/>
                      </w:divBdr>
                    </w:div>
                    <w:div w:id="989947988">
                      <w:marLeft w:val="0"/>
                      <w:marRight w:val="0"/>
                      <w:marTop w:val="0"/>
                      <w:marBottom w:val="0"/>
                      <w:divBdr>
                        <w:top w:val="none" w:sz="0" w:space="0" w:color="auto"/>
                        <w:left w:val="none" w:sz="0" w:space="0" w:color="auto"/>
                        <w:bottom w:val="none" w:sz="0" w:space="0" w:color="auto"/>
                        <w:right w:val="none" w:sz="0" w:space="0" w:color="auto"/>
                      </w:divBdr>
                    </w:div>
                    <w:div w:id="997613426">
                      <w:marLeft w:val="0"/>
                      <w:marRight w:val="0"/>
                      <w:marTop w:val="0"/>
                      <w:marBottom w:val="0"/>
                      <w:divBdr>
                        <w:top w:val="none" w:sz="0" w:space="0" w:color="auto"/>
                        <w:left w:val="none" w:sz="0" w:space="0" w:color="auto"/>
                        <w:bottom w:val="none" w:sz="0" w:space="0" w:color="auto"/>
                        <w:right w:val="none" w:sz="0" w:space="0" w:color="auto"/>
                      </w:divBdr>
                    </w:div>
                    <w:div w:id="1260678125">
                      <w:marLeft w:val="0"/>
                      <w:marRight w:val="0"/>
                      <w:marTop w:val="0"/>
                      <w:marBottom w:val="0"/>
                      <w:divBdr>
                        <w:top w:val="none" w:sz="0" w:space="0" w:color="auto"/>
                        <w:left w:val="none" w:sz="0" w:space="0" w:color="auto"/>
                        <w:bottom w:val="none" w:sz="0" w:space="0" w:color="auto"/>
                        <w:right w:val="none" w:sz="0" w:space="0" w:color="auto"/>
                      </w:divBdr>
                    </w:div>
                    <w:div w:id="1528519164">
                      <w:marLeft w:val="0"/>
                      <w:marRight w:val="0"/>
                      <w:marTop w:val="0"/>
                      <w:marBottom w:val="0"/>
                      <w:divBdr>
                        <w:top w:val="none" w:sz="0" w:space="0" w:color="auto"/>
                        <w:left w:val="none" w:sz="0" w:space="0" w:color="auto"/>
                        <w:bottom w:val="none" w:sz="0" w:space="0" w:color="auto"/>
                        <w:right w:val="none" w:sz="0" w:space="0" w:color="auto"/>
                      </w:divBdr>
                    </w:div>
                    <w:div w:id="1642348502">
                      <w:marLeft w:val="0"/>
                      <w:marRight w:val="0"/>
                      <w:marTop w:val="0"/>
                      <w:marBottom w:val="0"/>
                      <w:divBdr>
                        <w:top w:val="none" w:sz="0" w:space="0" w:color="auto"/>
                        <w:left w:val="none" w:sz="0" w:space="0" w:color="auto"/>
                        <w:bottom w:val="none" w:sz="0" w:space="0" w:color="auto"/>
                        <w:right w:val="none" w:sz="0" w:space="0" w:color="auto"/>
                      </w:divBdr>
                    </w:div>
                    <w:div w:id="1696350231">
                      <w:marLeft w:val="0"/>
                      <w:marRight w:val="0"/>
                      <w:marTop w:val="0"/>
                      <w:marBottom w:val="0"/>
                      <w:divBdr>
                        <w:top w:val="none" w:sz="0" w:space="0" w:color="auto"/>
                        <w:left w:val="none" w:sz="0" w:space="0" w:color="auto"/>
                        <w:bottom w:val="none" w:sz="0" w:space="0" w:color="auto"/>
                        <w:right w:val="none" w:sz="0" w:space="0" w:color="auto"/>
                      </w:divBdr>
                    </w:div>
                  </w:divsChild>
                </w:div>
                <w:div w:id="1348943740">
                  <w:marLeft w:val="0"/>
                  <w:marRight w:val="0"/>
                  <w:marTop w:val="0"/>
                  <w:marBottom w:val="0"/>
                  <w:divBdr>
                    <w:top w:val="none" w:sz="0" w:space="0" w:color="auto"/>
                    <w:left w:val="none" w:sz="0" w:space="0" w:color="auto"/>
                    <w:bottom w:val="none" w:sz="0" w:space="0" w:color="auto"/>
                    <w:right w:val="none" w:sz="0" w:space="0" w:color="auto"/>
                  </w:divBdr>
                  <w:divsChild>
                    <w:div w:id="1160459199">
                      <w:marLeft w:val="0"/>
                      <w:marRight w:val="0"/>
                      <w:marTop w:val="0"/>
                      <w:marBottom w:val="0"/>
                      <w:divBdr>
                        <w:top w:val="none" w:sz="0" w:space="0" w:color="auto"/>
                        <w:left w:val="none" w:sz="0" w:space="0" w:color="auto"/>
                        <w:bottom w:val="none" w:sz="0" w:space="0" w:color="auto"/>
                        <w:right w:val="none" w:sz="0" w:space="0" w:color="auto"/>
                      </w:divBdr>
                    </w:div>
                  </w:divsChild>
                </w:div>
                <w:div w:id="1367023470">
                  <w:marLeft w:val="0"/>
                  <w:marRight w:val="0"/>
                  <w:marTop w:val="0"/>
                  <w:marBottom w:val="0"/>
                  <w:divBdr>
                    <w:top w:val="none" w:sz="0" w:space="0" w:color="auto"/>
                    <w:left w:val="none" w:sz="0" w:space="0" w:color="auto"/>
                    <w:bottom w:val="none" w:sz="0" w:space="0" w:color="auto"/>
                    <w:right w:val="none" w:sz="0" w:space="0" w:color="auto"/>
                  </w:divBdr>
                  <w:divsChild>
                    <w:div w:id="37583696">
                      <w:marLeft w:val="0"/>
                      <w:marRight w:val="0"/>
                      <w:marTop w:val="0"/>
                      <w:marBottom w:val="0"/>
                      <w:divBdr>
                        <w:top w:val="none" w:sz="0" w:space="0" w:color="auto"/>
                        <w:left w:val="none" w:sz="0" w:space="0" w:color="auto"/>
                        <w:bottom w:val="none" w:sz="0" w:space="0" w:color="auto"/>
                        <w:right w:val="none" w:sz="0" w:space="0" w:color="auto"/>
                      </w:divBdr>
                    </w:div>
                  </w:divsChild>
                </w:div>
                <w:div w:id="1399134952">
                  <w:marLeft w:val="0"/>
                  <w:marRight w:val="0"/>
                  <w:marTop w:val="0"/>
                  <w:marBottom w:val="0"/>
                  <w:divBdr>
                    <w:top w:val="none" w:sz="0" w:space="0" w:color="auto"/>
                    <w:left w:val="none" w:sz="0" w:space="0" w:color="auto"/>
                    <w:bottom w:val="none" w:sz="0" w:space="0" w:color="auto"/>
                    <w:right w:val="none" w:sz="0" w:space="0" w:color="auto"/>
                  </w:divBdr>
                  <w:divsChild>
                    <w:div w:id="583879240">
                      <w:marLeft w:val="0"/>
                      <w:marRight w:val="0"/>
                      <w:marTop w:val="0"/>
                      <w:marBottom w:val="0"/>
                      <w:divBdr>
                        <w:top w:val="none" w:sz="0" w:space="0" w:color="auto"/>
                        <w:left w:val="none" w:sz="0" w:space="0" w:color="auto"/>
                        <w:bottom w:val="none" w:sz="0" w:space="0" w:color="auto"/>
                        <w:right w:val="none" w:sz="0" w:space="0" w:color="auto"/>
                      </w:divBdr>
                    </w:div>
                  </w:divsChild>
                </w:div>
                <w:div w:id="1407729831">
                  <w:marLeft w:val="0"/>
                  <w:marRight w:val="0"/>
                  <w:marTop w:val="0"/>
                  <w:marBottom w:val="0"/>
                  <w:divBdr>
                    <w:top w:val="none" w:sz="0" w:space="0" w:color="auto"/>
                    <w:left w:val="none" w:sz="0" w:space="0" w:color="auto"/>
                    <w:bottom w:val="none" w:sz="0" w:space="0" w:color="auto"/>
                    <w:right w:val="none" w:sz="0" w:space="0" w:color="auto"/>
                  </w:divBdr>
                  <w:divsChild>
                    <w:div w:id="602372840">
                      <w:marLeft w:val="0"/>
                      <w:marRight w:val="0"/>
                      <w:marTop w:val="0"/>
                      <w:marBottom w:val="0"/>
                      <w:divBdr>
                        <w:top w:val="none" w:sz="0" w:space="0" w:color="auto"/>
                        <w:left w:val="none" w:sz="0" w:space="0" w:color="auto"/>
                        <w:bottom w:val="none" w:sz="0" w:space="0" w:color="auto"/>
                        <w:right w:val="none" w:sz="0" w:space="0" w:color="auto"/>
                      </w:divBdr>
                    </w:div>
                  </w:divsChild>
                </w:div>
                <w:div w:id="1445684947">
                  <w:marLeft w:val="0"/>
                  <w:marRight w:val="0"/>
                  <w:marTop w:val="0"/>
                  <w:marBottom w:val="0"/>
                  <w:divBdr>
                    <w:top w:val="none" w:sz="0" w:space="0" w:color="auto"/>
                    <w:left w:val="none" w:sz="0" w:space="0" w:color="auto"/>
                    <w:bottom w:val="none" w:sz="0" w:space="0" w:color="auto"/>
                    <w:right w:val="none" w:sz="0" w:space="0" w:color="auto"/>
                  </w:divBdr>
                  <w:divsChild>
                    <w:div w:id="1199202877">
                      <w:marLeft w:val="0"/>
                      <w:marRight w:val="0"/>
                      <w:marTop w:val="0"/>
                      <w:marBottom w:val="0"/>
                      <w:divBdr>
                        <w:top w:val="none" w:sz="0" w:space="0" w:color="auto"/>
                        <w:left w:val="none" w:sz="0" w:space="0" w:color="auto"/>
                        <w:bottom w:val="none" w:sz="0" w:space="0" w:color="auto"/>
                        <w:right w:val="none" w:sz="0" w:space="0" w:color="auto"/>
                      </w:divBdr>
                    </w:div>
                  </w:divsChild>
                </w:div>
                <w:div w:id="1520388333">
                  <w:marLeft w:val="0"/>
                  <w:marRight w:val="0"/>
                  <w:marTop w:val="0"/>
                  <w:marBottom w:val="0"/>
                  <w:divBdr>
                    <w:top w:val="none" w:sz="0" w:space="0" w:color="auto"/>
                    <w:left w:val="none" w:sz="0" w:space="0" w:color="auto"/>
                    <w:bottom w:val="none" w:sz="0" w:space="0" w:color="auto"/>
                    <w:right w:val="none" w:sz="0" w:space="0" w:color="auto"/>
                  </w:divBdr>
                  <w:divsChild>
                    <w:div w:id="2024434444">
                      <w:marLeft w:val="0"/>
                      <w:marRight w:val="0"/>
                      <w:marTop w:val="0"/>
                      <w:marBottom w:val="0"/>
                      <w:divBdr>
                        <w:top w:val="none" w:sz="0" w:space="0" w:color="auto"/>
                        <w:left w:val="none" w:sz="0" w:space="0" w:color="auto"/>
                        <w:bottom w:val="none" w:sz="0" w:space="0" w:color="auto"/>
                        <w:right w:val="none" w:sz="0" w:space="0" w:color="auto"/>
                      </w:divBdr>
                    </w:div>
                  </w:divsChild>
                </w:div>
                <w:div w:id="1540514090">
                  <w:marLeft w:val="0"/>
                  <w:marRight w:val="0"/>
                  <w:marTop w:val="0"/>
                  <w:marBottom w:val="0"/>
                  <w:divBdr>
                    <w:top w:val="none" w:sz="0" w:space="0" w:color="auto"/>
                    <w:left w:val="none" w:sz="0" w:space="0" w:color="auto"/>
                    <w:bottom w:val="none" w:sz="0" w:space="0" w:color="auto"/>
                    <w:right w:val="none" w:sz="0" w:space="0" w:color="auto"/>
                  </w:divBdr>
                  <w:divsChild>
                    <w:div w:id="84348596">
                      <w:marLeft w:val="0"/>
                      <w:marRight w:val="0"/>
                      <w:marTop w:val="0"/>
                      <w:marBottom w:val="0"/>
                      <w:divBdr>
                        <w:top w:val="none" w:sz="0" w:space="0" w:color="auto"/>
                        <w:left w:val="none" w:sz="0" w:space="0" w:color="auto"/>
                        <w:bottom w:val="none" w:sz="0" w:space="0" w:color="auto"/>
                        <w:right w:val="none" w:sz="0" w:space="0" w:color="auto"/>
                      </w:divBdr>
                    </w:div>
                    <w:div w:id="314842608">
                      <w:marLeft w:val="0"/>
                      <w:marRight w:val="0"/>
                      <w:marTop w:val="0"/>
                      <w:marBottom w:val="0"/>
                      <w:divBdr>
                        <w:top w:val="none" w:sz="0" w:space="0" w:color="auto"/>
                        <w:left w:val="none" w:sz="0" w:space="0" w:color="auto"/>
                        <w:bottom w:val="none" w:sz="0" w:space="0" w:color="auto"/>
                        <w:right w:val="none" w:sz="0" w:space="0" w:color="auto"/>
                      </w:divBdr>
                    </w:div>
                    <w:div w:id="434374195">
                      <w:marLeft w:val="0"/>
                      <w:marRight w:val="0"/>
                      <w:marTop w:val="0"/>
                      <w:marBottom w:val="0"/>
                      <w:divBdr>
                        <w:top w:val="none" w:sz="0" w:space="0" w:color="auto"/>
                        <w:left w:val="none" w:sz="0" w:space="0" w:color="auto"/>
                        <w:bottom w:val="none" w:sz="0" w:space="0" w:color="auto"/>
                        <w:right w:val="none" w:sz="0" w:space="0" w:color="auto"/>
                      </w:divBdr>
                    </w:div>
                    <w:div w:id="519508715">
                      <w:marLeft w:val="0"/>
                      <w:marRight w:val="0"/>
                      <w:marTop w:val="0"/>
                      <w:marBottom w:val="0"/>
                      <w:divBdr>
                        <w:top w:val="none" w:sz="0" w:space="0" w:color="auto"/>
                        <w:left w:val="none" w:sz="0" w:space="0" w:color="auto"/>
                        <w:bottom w:val="none" w:sz="0" w:space="0" w:color="auto"/>
                        <w:right w:val="none" w:sz="0" w:space="0" w:color="auto"/>
                      </w:divBdr>
                    </w:div>
                    <w:div w:id="676268764">
                      <w:marLeft w:val="0"/>
                      <w:marRight w:val="0"/>
                      <w:marTop w:val="0"/>
                      <w:marBottom w:val="0"/>
                      <w:divBdr>
                        <w:top w:val="none" w:sz="0" w:space="0" w:color="auto"/>
                        <w:left w:val="none" w:sz="0" w:space="0" w:color="auto"/>
                        <w:bottom w:val="none" w:sz="0" w:space="0" w:color="auto"/>
                        <w:right w:val="none" w:sz="0" w:space="0" w:color="auto"/>
                      </w:divBdr>
                    </w:div>
                    <w:div w:id="1279919477">
                      <w:marLeft w:val="0"/>
                      <w:marRight w:val="0"/>
                      <w:marTop w:val="0"/>
                      <w:marBottom w:val="0"/>
                      <w:divBdr>
                        <w:top w:val="none" w:sz="0" w:space="0" w:color="auto"/>
                        <w:left w:val="none" w:sz="0" w:space="0" w:color="auto"/>
                        <w:bottom w:val="none" w:sz="0" w:space="0" w:color="auto"/>
                        <w:right w:val="none" w:sz="0" w:space="0" w:color="auto"/>
                      </w:divBdr>
                    </w:div>
                    <w:div w:id="1824733139">
                      <w:marLeft w:val="0"/>
                      <w:marRight w:val="0"/>
                      <w:marTop w:val="0"/>
                      <w:marBottom w:val="0"/>
                      <w:divBdr>
                        <w:top w:val="none" w:sz="0" w:space="0" w:color="auto"/>
                        <w:left w:val="none" w:sz="0" w:space="0" w:color="auto"/>
                        <w:bottom w:val="none" w:sz="0" w:space="0" w:color="auto"/>
                        <w:right w:val="none" w:sz="0" w:space="0" w:color="auto"/>
                      </w:divBdr>
                    </w:div>
                  </w:divsChild>
                </w:div>
                <w:div w:id="1814171748">
                  <w:marLeft w:val="0"/>
                  <w:marRight w:val="0"/>
                  <w:marTop w:val="0"/>
                  <w:marBottom w:val="0"/>
                  <w:divBdr>
                    <w:top w:val="none" w:sz="0" w:space="0" w:color="auto"/>
                    <w:left w:val="none" w:sz="0" w:space="0" w:color="auto"/>
                    <w:bottom w:val="none" w:sz="0" w:space="0" w:color="auto"/>
                    <w:right w:val="none" w:sz="0" w:space="0" w:color="auto"/>
                  </w:divBdr>
                  <w:divsChild>
                    <w:div w:id="182867923">
                      <w:marLeft w:val="0"/>
                      <w:marRight w:val="0"/>
                      <w:marTop w:val="0"/>
                      <w:marBottom w:val="0"/>
                      <w:divBdr>
                        <w:top w:val="none" w:sz="0" w:space="0" w:color="auto"/>
                        <w:left w:val="none" w:sz="0" w:space="0" w:color="auto"/>
                        <w:bottom w:val="none" w:sz="0" w:space="0" w:color="auto"/>
                        <w:right w:val="none" w:sz="0" w:space="0" w:color="auto"/>
                      </w:divBdr>
                    </w:div>
                  </w:divsChild>
                </w:div>
                <w:div w:id="1874226760">
                  <w:marLeft w:val="0"/>
                  <w:marRight w:val="0"/>
                  <w:marTop w:val="0"/>
                  <w:marBottom w:val="0"/>
                  <w:divBdr>
                    <w:top w:val="none" w:sz="0" w:space="0" w:color="auto"/>
                    <w:left w:val="none" w:sz="0" w:space="0" w:color="auto"/>
                    <w:bottom w:val="none" w:sz="0" w:space="0" w:color="auto"/>
                    <w:right w:val="none" w:sz="0" w:space="0" w:color="auto"/>
                  </w:divBdr>
                  <w:divsChild>
                    <w:div w:id="2369128">
                      <w:marLeft w:val="0"/>
                      <w:marRight w:val="0"/>
                      <w:marTop w:val="0"/>
                      <w:marBottom w:val="0"/>
                      <w:divBdr>
                        <w:top w:val="none" w:sz="0" w:space="0" w:color="auto"/>
                        <w:left w:val="none" w:sz="0" w:space="0" w:color="auto"/>
                        <w:bottom w:val="none" w:sz="0" w:space="0" w:color="auto"/>
                        <w:right w:val="none" w:sz="0" w:space="0" w:color="auto"/>
                      </w:divBdr>
                    </w:div>
                    <w:div w:id="505826382">
                      <w:marLeft w:val="0"/>
                      <w:marRight w:val="0"/>
                      <w:marTop w:val="0"/>
                      <w:marBottom w:val="0"/>
                      <w:divBdr>
                        <w:top w:val="none" w:sz="0" w:space="0" w:color="auto"/>
                        <w:left w:val="none" w:sz="0" w:space="0" w:color="auto"/>
                        <w:bottom w:val="none" w:sz="0" w:space="0" w:color="auto"/>
                        <w:right w:val="none" w:sz="0" w:space="0" w:color="auto"/>
                      </w:divBdr>
                    </w:div>
                    <w:div w:id="875430726">
                      <w:marLeft w:val="0"/>
                      <w:marRight w:val="0"/>
                      <w:marTop w:val="0"/>
                      <w:marBottom w:val="0"/>
                      <w:divBdr>
                        <w:top w:val="none" w:sz="0" w:space="0" w:color="auto"/>
                        <w:left w:val="none" w:sz="0" w:space="0" w:color="auto"/>
                        <w:bottom w:val="none" w:sz="0" w:space="0" w:color="auto"/>
                        <w:right w:val="none" w:sz="0" w:space="0" w:color="auto"/>
                      </w:divBdr>
                    </w:div>
                    <w:div w:id="1455906223">
                      <w:marLeft w:val="0"/>
                      <w:marRight w:val="0"/>
                      <w:marTop w:val="0"/>
                      <w:marBottom w:val="0"/>
                      <w:divBdr>
                        <w:top w:val="none" w:sz="0" w:space="0" w:color="auto"/>
                        <w:left w:val="none" w:sz="0" w:space="0" w:color="auto"/>
                        <w:bottom w:val="none" w:sz="0" w:space="0" w:color="auto"/>
                        <w:right w:val="none" w:sz="0" w:space="0" w:color="auto"/>
                      </w:divBdr>
                    </w:div>
                    <w:div w:id="1547328855">
                      <w:marLeft w:val="0"/>
                      <w:marRight w:val="0"/>
                      <w:marTop w:val="0"/>
                      <w:marBottom w:val="0"/>
                      <w:divBdr>
                        <w:top w:val="none" w:sz="0" w:space="0" w:color="auto"/>
                        <w:left w:val="none" w:sz="0" w:space="0" w:color="auto"/>
                        <w:bottom w:val="none" w:sz="0" w:space="0" w:color="auto"/>
                        <w:right w:val="none" w:sz="0" w:space="0" w:color="auto"/>
                      </w:divBdr>
                    </w:div>
                    <w:div w:id="1890143400">
                      <w:marLeft w:val="0"/>
                      <w:marRight w:val="0"/>
                      <w:marTop w:val="0"/>
                      <w:marBottom w:val="0"/>
                      <w:divBdr>
                        <w:top w:val="none" w:sz="0" w:space="0" w:color="auto"/>
                        <w:left w:val="none" w:sz="0" w:space="0" w:color="auto"/>
                        <w:bottom w:val="none" w:sz="0" w:space="0" w:color="auto"/>
                        <w:right w:val="none" w:sz="0" w:space="0" w:color="auto"/>
                      </w:divBdr>
                    </w:div>
                  </w:divsChild>
                </w:div>
                <w:div w:id="1891721203">
                  <w:marLeft w:val="0"/>
                  <w:marRight w:val="0"/>
                  <w:marTop w:val="0"/>
                  <w:marBottom w:val="0"/>
                  <w:divBdr>
                    <w:top w:val="none" w:sz="0" w:space="0" w:color="auto"/>
                    <w:left w:val="none" w:sz="0" w:space="0" w:color="auto"/>
                    <w:bottom w:val="none" w:sz="0" w:space="0" w:color="auto"/>
                    <w:right w:val="none" w:sz="0" w:space="0" w:color="auto"/>
                  </w:divBdr>
                  <w:divsChild>
                    <w:div w:id="394008681">
                      <w:marLeft w:val="0"/>
                      <w:marRight w:val="0"/>
                      <w:marTop w:val="0"/>
                      <w:marBottom w:val="0"/>
                      <w:divBdr>
                        <w:top w:val="none" w:sz="0" w:space="0" w:color="auto"/>
                        <w:left w:val="none" w:sz="0" w:space="0" w:color="auto"/>
                        <w:bottom w:val="none" w:sz="0" w:space="0" w:color="auto"/>
                        <w:right w:val="none" w:sz="0" w:space="0" w:color="auto"/>
                      </w:divBdr>
                    </w:div>
                    <w:div w:id="923762046">
                      <w:marLeft w:val="0"/>
                      <w:marRight w:val="0"/>
                      <w:marTop w:val="0"/>
                      <w:marBottom w:val="0"/>
                      <w:divBdr>
                        <w:top w:val="none" w:sz="0" w:space="0" w:color="auto"/>
                        <w:left w:val="none" w:sz="0" w:space="0" w:color="auto"/>
                        <w:bottom w:val="none" w:sz="0" w:space="0" w:color="auto"/>
                        <w:right w:val="none" w:sz="0" w:space="0" w:color="auto"/>
                      </w:divBdr>
                    </w:div>
                    <w:div w:id="1079525764">
                      <w:marLeft w:val="0"/>
                      <w:marRight w:val="0"/>
                      <w:marTop w:val="0"/>
                      <w:marBottom w:val="0"/>
                      <w:divBdr>
                        <w:top w:val="none" w:sz="0" w:space="0" w:color="auto"/>
                        <w:left w:val="none" w:sz="0" w:space="0" w:color="auto"/>
                        <w:bottom w:val="none" w:sz="0" w:space="0" w:color="auto"/>
                        <w:right w:val="none" w:sz="0" w:space="0" w:color="auto"/>
                      </w:divBdr>
                    </w:div>
                    <w:div w:id="1452824690">
                      <w:marLeft w:val="0"/>
                      <w:marRight w:val="0"/>
                      <w:marTop w:val="0"/>
                      <w:marBottom w:val="0"/>
                      <w:divBdr>
                        <w:top w:val="none" w:sz="0" w:space="0" w:color="auto"/>
                        <w:left w:val="none" w:sz="0" w:space="0" w:color="auto"/>
                        <w:bottom w:val="none" w:sz="0" w:space="0" w:color="auto"/>
                        <w:right w:val="none" w:sz="0" w:space="0" w:color="auto"/>
                      </w:divBdr>
                    </w:div>
                    <w:div w:id="1817716691">
                      <w:marLeft w:val="0"/>
                      <w:marRight w:val="0"/>
                      <w:marTop w:val="0"/>
                      <w:marBottom w:val="0"/>
                      <w:divBdr>
                        <w:top w:val="none" w:sz="0" w:space="0" w:color="auto"/>
                        <w:left w:val="none" w:sz="0" w:space="0" w:color="auto"/>
                        <w:bottom w:val="none" w:sz="0" w:space="0" w:color="auto"/>
                        <w:right w:val="none" w:sz="0" w:space="0" w:color="auto"/>
                      </w:divBdr>
                    </w:div>
                    <w:div w:id="1865947239">
                      <w:marLeft w:val="0"/>
                      <w:marRight w:val="0"/>
                      <w:marTop w:val="0"/>
                      <w:marBottom w:val="0"/>
                      <w:divBdr>
                        <w:top w:val="none" w:sz="0" w:space="0" w:color="auto"/>
                        <w:left w:val="none" w:sz="0" w:space="0" w:color="auto"/>
                        <w:bottom w:val="none" w:sz="0" w:space="0" w:color="auto"/>
                        <w:right w:val="none" w:sz="0" w:space="0" w:color="auto"/>
                      </w:divBdr>
                    </w:div>
                    <w:div w:id="2001344096">
                      <w:marLeft w:val="0"/>
                      <w:marRight w:val="0"/>
                      <w:marTop w:val="0"/>
                      <w:marBottom w:val="0"/>
                      <w:divBdr>
                        <w:top w:val="none" w:sz="0" w:space="0" w:color="auto"/>
                        <w:left w:val="none" w:sz="0" w:space="0" w:color="auto"/>
                        <w:bottom w:val="none" w:sz="0" w:space="0" w:color="auto"/>
                        <w:right w:val="none" w:sz="0" w:space="0" w:color="auto"/>
                      </w:divBdr>
                    </w:div>
                    <w:div w:id="2077124832">
                      <w:marLeft w:val="0"/>
                      <w:marRight w:val="0"/>
                      <w:marTop w:val="0"/>
                      <w:marBottom w:val="0"/>
                      <w:divBdr>
                        <w:top w:val="none" w:sz="0" w:space="0" w:color="auto"/>
                        <w:left w:val="none" w:sz="0" w:space="0" w:color="auto"/>
                        <w:bottom w:val="none" w:sz="0" w:space="0" w:color="auto"/>
                        <w:right w:val="none" w:sz="0" w:space="0" w:color="auto"/>
                      </w:divBdr>
                    </w:div>
                  </w:divsChild>
                </w:div>
                <w:div w:id="1913083375">
                  <w:marLeft w:val="0"/>
                  <w:marRight w:val="0"/>
                  <w:marTop w:val="0"/>
                  <w:marBottom w:val="0"/>
                  <w:divBdr>
                    <w:top w:val="none" w:sz="0" w:space="0" w:color="auto"/>
                    <w:left w:val="none" w:sz="0" w:space="0" w:color="auto"/>
                    <w:bottom w:val="none" w:sz="0" w:space="0" w:color="auto"/>
                    <w:right w:val="none" w:sz="0" w:space="0" w:color="auto"/>
                  </w:divBdr>
                  <w:divsChild>
                    <w:div w:id="287931147">
                      <w:marLeft w:val="0"/>
                      <w:marRight w:val="0"/>
                      <w:marTop w:val="0"/>
                      <w:marBottom w:val="0"/>
                      <w:divBdr>
                        <w:top w:val="none" w:sz="0" w:space="0" w:color="auto"/>
                        <w:left w:val="none" w:sz="0" w:space="0" w:color="auto"/>
                        <w:bottom w:val="none" w:sz="0" w:space="0" w:color="auto"/>
                        <w:right w:val="none" w:sz="0" w:space="0" w:color="auto"/>
                      </w:divBdr>
                    </w:div>
                    <w:div w:id="341516783">
                      <w:marLeft w:val="0"/>
                      <w:marRight w:val="0"/>
                      <w:marTop w:val="0"/>
                      <w:marBottom w:val="0"/>
                      <w:divBdr>
                        <w:top w:val="none" w:sz="0" w:space="0" w:color="auto"/>
                        <w:left w:val="none" w:sz="0" w:space="0" w:color="auto"/>
                        <w:bottom w:val="none" w:sz="0" w:space="0" w:color="auto"/>
                        <w:right w:val="none" w:sz="0" w:space="0" w:color="auto"/>
                      </w:divBdr>
                    </w:div>
                    <w:div w:id="361059061">
                      <w:marLeft w:val="0"/>
                      <w:marRight w:val="0"/>
                      <w:marTop w:val="0"/>
                      <w:marBottom w:val="0"/>
                      <w:divBdr>
                        <w:top w:val="none" w:sz="0" w:space="0" w:color="auto"/>
                        <w:left w:val="none" w:sz="0" w:space="0" w:color="auto"/>
                        <w:bottom w:val="none" w:sz="0" w:space="0" w:color="auto"/>
                        <w:right w:val="none" w:sz="0" w:space="0" w:color="auto"/>
                      </w:divBdr>
                    </w:div>
                    <w:div w:id="754980579">
                      <w:marLeft w:val="0"/>
                      <w:marRight w:val="0"/>
                      <w:marTop w:val="0"/>
                      <w:marBottom w:val="0"/>
                      <w:divBdr>
                        <w:top w:val="none" w:sz="0" w:space="0" w:color="auto"/>
                        <w:left w:val="none" w:sz="0" w:space="0" w:color="auto"/>
                        <w:bottom w:val="none" w:sz="0" w:space="0" w:color="auto"/>
                        <w:right w:val="none" w:sz="0" w:space="0" w:color="auto"/>
                      </w:divBdr>
                    </w:div>
                    <w:div w:id="996692308">
                      <w:marLeft w:val="0"/>
                      <w:marRight w:val="0"/>
                      <w:marTop w:val="0"/>
                      <w:marBottom w:val="0"/>
                      <w:divBdr>
                        <w:top w:val="none" w:sz="0" w:space="0" w:color="auto"/>
                        <w:left w:val="none" w:sz="0" w:space="0" w:color="auto"/>
                        <w:bottom w:val="none" w:sz="0" w:space="0" w:color="auto"/>
                        <w:right w:val="none" w:sz="0" w:space="0" w:color="auto"/>
                      </w:divBdr>
                    </w:div>
                    <w:div w:id="1657487499">
                      <w:marLeft w:val="0"/>
                      <w:marRight w:val="0"/>
                      <w:marTop w:val="0"/>
                      <w:marBottom w:val="0"/>
                      <w:divBdr>
                        <w:top w:val="none" w:sz="0" w:space="0" w:color="auto"/>
                        <w:left w:val="none" w:sz="0" w:space="0" w:color="auto"/>
                        <w:bottom w:val="none" w:sz="0" w:space="0" w:color="auto"/>
                        <w:right w:val="none" w:sz="0" w:space="0" w:color="auto"/>
                      </w:divBdr>
                    </w:div>
                  </w:divsChild>
                </w:div>
                <w:div w:id="1981685952">
                  <w:marLeft w:val="0"/>
                  <w:marRight w:val="0"/>
                  <w:marTop w:val="0"/>
                  <w:marBottom w:val="0"/>
                  <w:divBdr>
                    <w:top w:val="none" w:sz="0" w:space="0" w:color="auto"/>
                    <w:left w:val="none" w:sz="0" w:space="0" w:color="auto"/>
                    <w:bottom w:val="none" w:sz="0" w:space="0" w:color="auto"/>
                    <w:right w:val="none" w:sz="0" w:space="0" w:color="auto"/>
                  </w:divBdr>
                  <w:divsChild>
                    <w:div w:id="393236693">
                      <w:marLeft w:val="0"/>
                      <w:marRight w:val="0"/>
                      <w:marTop w:val="0"/>
                      <w:marBottom w:val="0"/>
                      <w:divBdr>
                        <w:top w:val="none" w:sz="0" w:space="0" w:color="auto"/>
                        <w:left w:val="none" w:sz="0" w:space="0" w:color="auto"/>
                        <w:bottom w:val="none" w:sz="0" w:space="0" w:color="auto"/>
                        <w:right w:val="none" w:sz="0" w:space="0" w:color="auto"/>
                      </w:divBdr>
                    </w:div>
                    <w:div w:id="545604896">
                      <w:marLeft w:val="0"/>
                      <w:marRight w:val="0"/>
                      <w:marTop w:val="0"/>
                      <w:marBottom w:val="0"/>
                      <w:divBdr>
                        <w:top w:val="none" w:sz="0" w:space="0" w:color="auto"/>
                        <w:left w:val="none" w:sz="0" w:space="0" w:color="auto"/>
                        <w:bottom w:val="none" w:sz="0" w:space="0" w:color="auto"/>
                        <w:right w:val="none" w:sz="0" w:space="0" w:color="auto"/>
                      </w:divBdr>
                    </w:div>
                    <w:div w:id="915868118">
                      <w:marLeft w:val="0"/>
                      <w:marRight w:val="0"/>
                      <w:marTop w:val="0"/>
                      <w:marBottom w:val="0"/>
                      <w:divBdr>
                        <w:top w:val="none" w:sz="0" w:space="0" w:color="auto"/>
                        <w:left w:val="none" w:sz="0" w:space="0" w:color="auto"/>
                        <w:bottom w:val="none" w:sz="0" w:space="0" w:color="auto"/>
                        <w:right w:val="none" w:sz="0" w:space="0" w:color="auto"/>
                      </w:divBdr>
                    </w:div>
                    <w:div w:id="917523200">
                      <w:marLeft w:val="0"/>
                      <w:marRight w:val="0"/>
                      <w:marTop w:val="0"/>
                      <w:marBottom w:val="0"/>
                      <w:divBdr>
                        <w:top w:val="none" w:sz="0" w:space="0" w:color="auto"/>
                        <w:left w:val="none" w:sz="0" w:space="0" w:color="auto"/>
                        <w:bottom w:val="none" w:sz="0" w:space="0" w:color="auto"/>
                        <w:right w:val="none" w:sz="0" w:space="0" w:color="auto"/>
                      </w:divBdr>
                    </w:div>
                    <w:div w:id="946428986">
                      <w:marLeft w:val="0"/>
                      <w:marRight w:val="0"/>
                      <w:marTop w:val="0"/>
                      <w:marBottom w:val="0"/>
                      <w:divBdr>
                        <w:top w:val="none" w:sz="0" w:space="0" w:color="auto"/>
                        <w:left w:val="none" w:sz="0" w:space="0" w:color="auto"/>
                        <w:bottom w:val="none" w:sz="0" w:space="0" w:color="auto"/>
                        <w:right w:val="none" w:sz="0" w:space="0" w:color="auto"/>
                      </w:divBdr>
                    </w:div>
                    <w:div w:id="1253128322">
                      <w:marLeft w:val="0"/>
                      <w:marRight w:val="0"/>
                      <w:marTop w:val="0"/>
                      <w:marBottom w:val="0"/>
                      <w:divBdr>
                        <w:top w:val="none" w:sz="0" w:space="0" w:color="auto"/>
                        <w:left w:val="none" w:sz="0" w:space="0" w:color="auto"/>
                        <w:bottom w:val="none" w:sz="0" w:space="0" w:color="auto"/>
                        <w:right w:val="none" w:sz="0" w:space="0" w:color="auto"/>
                      </w:divBdr>
                    </w:div>
                    <w:div w:id="1307279101">
                      <w:marLeft w:val="0"/>
                      <w:marRight w:val="0"/>
                      <w:marTop w:val="0"/>
                      <w:marBottom w:val="0"/>
                      <w:divBdr>
                        <w:top w:val="none" w:sz="0" w:space="0" w:color="auto"/>
                        <w:left w:val="none" w:sz="0" w:space="0" w:color="auto"/>
                        <w:bottom w:val="none" w:sz="0" w:space="0" w:color="auto"/>
                        <w:right w:val="none" w:sz="0" w:space="0" w:color="auto"/>
                      </w:divBdr>
                    </w:div>
                    <w:div w:id="1464497649">
                      <w:marLeft w:val="0"/>
                      <w:marRight w:val="0"/>
                      <w:marTop w:val="0"/>
                      <w:marBottom w:val="0"/>
                      <w:divBdr>
                        <w:top w:val="none" w:sz="0" w:space="0" w:color="auto"/>
                        <w:left w:val="none" w:sz="0" w:space="0" w:color="auto"/>
                        <w:bottom w:val="none" w:sz="0" w:space="0" w:color="auto"/>
                        <w:right w:val="none" w:sz="0" w:space="0" w:color="auto"/>
                      </w:divBdr>
                    </w:div>
                    <w:div w:id="1762025160">
                      <w:marLeft w:val="0"/>
                      <w:marRight w:val="0"/>
                      <w:marTop w:val="0"/>
                      <w:marBottom w:val="0"/>
                      <w:divBdr>
                        <w:top w:val="none" w:sz="0" w:space="0" w:color="auto"/>
                        <w:left w:val="none" w:sz="0" w:space="0" w:color="auto"/>
                        <w:bottom w:val="none" w:sz="0" w:space="0" w:color="auto"/>
                        <w:right w:val="none" w:sz="0" w:space="0" w:color="auto"/>
                      </w:divBdr>
                    </w:div>
                    <w:div w:id="1796098787">
                      <w:marLeft w:val="0"/>
                      <w:marRight w:val="0"/>
                      <w:marTop w:val="0"/>
                      <w:marBottom w:val="0"/>
                      <w:divBdr>
                        <w:top w:val="none" w:sz="0" w:space="0" w:color="auto"/>
                        <w:left w:val="none" w:sz="0" w:space="0" w:color="auto"/>
                        <w:bottom w:val="none" w:sz="0" w:space="0" w:color="auto"/>
                        <w:right w:val="none" w:sz="0" w:space="0" w:color="auto"/>
                      </w:divBdr>
                    </w:div>
                    <w:div w:id="1892111175">
                      <w:marLeft w:val="0"/>
                      <w:marRight w:val="0"/>
                      <w:marTop w:val="0"/>
                      <w:marBottom w:val="0"/>
                      <w:divBdr>
                        <w:top w:val="none" w:sz="0" w:space="0" w:color="auto"/>
                        <w:left w:val="none" w:sz="0" w:space="0" w:color="auto"/>
                        <w:bottom w:val="none" w:sz="0" w:space="0" w:color="auto"/>
                        <w:right w:val="none" w:sz="0" w:space="0" w:color="auto"/>
                      </w:divBdr>
                    </w:div>
                  </w:divsChild>
                </w:div>
                <w:div w:id="1989940643">
                  <w:marLeft w:val="0"/>
                  <w:marRight w:val="0"/>
                  <w:marTop w:val="0"/>
                  <w:marBottom w:val="0"/>
                  <w:divBdr>
                    <w:top w:val="none" w:sz="0" w:space="0" w:color="auto"/>
                    <w:left w:val="none" w:sz="0" w:space="0" w:color="auto"/>
                    <w:bottom w:val="none" w:sz="0" w:space="0" w:color="auto"/>
                    <w:right w:val="none" w:sz="0" w:space="0" w:color="auto"/>
                  </w:divBdr>
                  <w:divsChild>
                    <w:div w:id="1040982398">
                      <w:marLeft w:val="0"/>
                      <w:marRight w:val="0"/>
                      <w:marTop w:val="0"/>
                      <w:marBottom w:val="0"/>
                      <w:divBdr>
                        <w:top w:val="none" w:sz="0" w:space="0" w:color="auto"/>
                        <w:left w:val="none" w:sz="0" w:space="0" w:color="auto"/>
                        <w:bottom w:val="none" w:sz="0" w:space="0" w:color="auto"/>
                        <w:right w:val="none" w:sz="0" w:space="0" w:color="auto"/>
                      </w:divBdr>
                    </w:div>
                  </w:divsChild>
                </w:div>
                <w:div w:id="1996372039">
                  <w:marLeft w:val="0"/>
                  <w:marRight w:val="0"/>
                  <w:marTop w:val="0"/>
                  <w:marBottom w:val="0"/>
                  <w:divBdr>
                    <w:top w:val="none" w:sz="0" w:space="0" w:color="auto"/>
                    <w:left w:val="none" w:sz="0" w:space="0" w:color="auto"/>
                    <w:bottom w:val="none" w:sz="0" w:space="0" w:color="auto"/>
                    <w:right w:val="none" w:sz="0" w:space="0" w:color="auto"/>
                  </w:divBdr>
                  <w:divsChild>
                    <w:div w:id="1432699782">
                      <w:marLeft w:val="0"/>
                      <w:marRight w:val="0"/>
                      <w:marTop w:val="0"/>
                      <w:marBottom w:val="0"/>
                      <w:divBdr>
                        <w:top w:val="none" w:sz="0" w:space="0" w:color="auto"/>
                        <w:left w:val="none" w:sz="0" w:space="0" w:color="auto"/>
                        <w:bottom w:val="none" w:sz="0" w:space="0" w:color="auto"/>
                        <w:right w:val="none" w:sz="0" w:space="0" w:color="auto"/>
                      </w:divBdr>
                    </w:div>
                  </w:divsChild>
                </w:div>
                <w:div w:id="2118980722">
                  <w:marLeft w:val="0"/>
                  <w:marRight w:val="0"/>
                  <w:marTop w:val="0"/>
                  <w:marBottom w:val="0"/>
                  <w:divBdr>
                    <w:top w:val="none" w:sz="0" w:space="0" w:color="auto"/>
                    <w:left w:val="none" w:sz="0" w:space="0" w:color="auto"/>
                    <w:bottom w:val="none" w:sz="0" w:space="0" w:color="auto"/>
                    <w:right w:val="none" w:sz="0" w:space="0" w:color="auto"/>
                  </w:divBdr>
                  <w:divsChild>
                    <w:div w:id="1263226075">
                      <w:marLeft w:val="0"/>
                      <w:marRight w:val="0"/>
                      <w:marTop w:val="0"/>
                      <w:marBottom w:val="0"/>
                      <w:divBdr>
                        <w:top w:val="none" w:sz="0" w:space="0" w:color="auto"/>
                        <w:left w:val="none" w:sz="0" w:space="0" w:color="auto"/>
                        <w:bottom w:val="none" w:sz="0" w:space="0" w:color="auto"/>
                        <w:right w:val="none" w:sz="0" w:space="0" w:color="auto"/>
                      </w:divBdr>
                    </w:div>
                  </w:divsChild>
                </w:div>
                <w:div w:id="2142646474">
                  <w:marLeft w:val="0"/>
                  <w:marRight w:val="0"/>
                  <w:marTop w:val="0"/>
                  <w:marBottom w:val="0"/>
                  <w:divBdr>
                    <w:top w:val="none" w:sz="0" w:space="0" w:color="auto"/>
                    <w:left w:val="none" w:sz="0" w:space="0" w:color="auto"/>
                    <w:bottom w:val="none" w:sz="0" w:space="0" w:color="auto"/>
                    <w:right w:val="none" w:sz="0" w:space="0" w:color="auto"/>
                  </w:divBdr>
                  <w:divsChild>
                    <w:div w:id="1377704320">
                      <w:marLeft w:val="0"/>
                      <w:marRight w:val="0"/>
                      <w:marTop w:val="0"/>
                      <w:marBottom w:val="0"/>
                      <w:divBdr>
                        <w:top w:val="none" w:sz="0" w:space="0" w:color="auto"/>
                        <w:left w:val="none" w:sz="0" w:space="0" w:color="auto"/>
                        <w:bottom w:val="none" w:sz="0" w:space="0" w:color="auto"/>
                        <w:right w:val="none" w:sz="0" w:space="0" w:color="auto"/>
                      </w:divBdr>
                    </w:div>
                    <w:div w:id="1473642789">
                      <w:marLeft w:val="0"/>
                      <w:marRight w:val="0"/>
                      <w:marTop w:val="0"/>
                      <w:marBottom w:val="0"/>
                      <w:divBdr>
                        <w:top w:val="none" w:sz="0" w:space="0" w:color="auto"/>
                        <w:left w:val="none" w:sz="0" w:space="0" w:color="auto"/>
                        <w:bottom w:val="none" w:sz="0" w:space="0" w:color="auto"/>
                        <w:right w:val="none" w:sz="0" w:space="0" w:color="auto"/>
                      </w:divBdr>
                    </w:div>
                    <w:div w:id="21374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09">
          <w:marLeft w:val="0"/>
          <w:marRight w:val="0"/>
          <w:marTop w:val="0"/>
          <w:marBottom w:val="0"/>
          <w:divBdr>
            <w:top w:val="none" w:sz="0" w:space="0" w:color="auto"/>
            <w:left w:val="none" w:sz="0" w:space="0" w:color="auto"/>
            <w:bottom w:val="none" w:sz="0" w:space="0" w:color="auto"/>
            <w:right w:val="none" w:sz="0" w:space="0" w:color="auto"/>
          </w:divBdr>
        </w:div>
      </w:divsChild>
    </w:div>
    <w:div w:id="189808303">
      <w:bodyDiv w:val="1"/>
      <w:marLeft w:val="0"/>
      <w:marRight w:val="0"/>
      <w:marTop w:val="0"/>
      <w:marBottom w:val="0"/>
      <w:divBdr>
        <w:top w:val="none" w:sz="0" w:space="0" w:color="auto"/>
        <w:left w:val="none" w:sz="0" w:space="0" w:color="auto"/>
        <w:bottom w:val="none" w:sz="0" w:space="0" w:color="auto"/>
        <w:right w:val="none" w:sz="0" w:space="0" w:color="auto"/>
      </w:divBdr>
      <w:divsChild>
        <w:div w:id="577836104">
          <w:marLeft w:val="0"/>
          <w:marRight w:val="0"/>
          <w:marTop w:val="0"/>
          <w:marBottom w:val="0"/>
          <w:divBdr>
            <w:top w:val="none" w:sz="0" w:space="0" w:color="auto"/>
            <w:left w:val="none" w:sz="0" w:space="0" w:color="auto"/>
            <w:bottom w:val="none" w:sz="0" w:space="0" w:color="auto"/>
            <w:right w:val="none" w:sz="0" w:space="0" w:color="auto"/>
          </w:divBdr>
        </w:div>
      </w:divsChild>
    </w:div>
    <w:div w:id="190412857">
      <w:bodyDiv w:val="1"/>
      <w:marLeft w:val="0"/>
      <w:marRight w:val="0"/>
      <w:marTop w:val="0"/>
      <w:marBottom w:val="0"/>
      <w:divBdr>
        <w:top w:val="none" w:sz="0" w:space="0" w:color="auto"/>
        <w:left w:val="none" w:sz="0" w:space="0" w:color="auto"/>
        <w:bottom w:val="none" w:sz="0" w:space="0" w:color="auto"/>
        <w:right w:val="none" w:sz="0" w:space="0" w:color="auto"/>
      </w:divBdr>
      <w:divsChild>
        <w:div w:id="5252103">
          <w:marLeft w:val="0"/>
          <w:marRight w:val="0"/>
          <w:marTop w:val="0"/>
          <w:marBottom w:val="0"/>
          <w:divBdr>
            <w:top w:val="none" w:sz="0" w:space="0" w:color="auto"/>
            <w:left w:val="none" w:sz="0" w:space="0" w:color="auto"/>
            <w:bottom w:val="none" w:sz="0" w:space="0" w:color="auto"/>
            <w:right w:val="none" w:sz="0" w:space="0" w:color="auto"/>
          </w:divBdr>
        </w:div>
        <w:div w:id="435558035">
          <w:marLeft w:val="0"/>
          <w:marRight w:val="0"/>
          <w:marTop w:val="0"/>
          <w:marBottom w:val="0"/>
          <w:divBdr>
            <w:top w:val="none" w:sz="0" w:space="0" w:color="auto"/>
            <w:left w:val="none" w:sz="0" w:space="0" w:color="auto"/>
            <w:bottom w:val="none" w:sz="0" w:space="0" w:color="auto"/>
            <w:right w:val="none" w:sz="0" w:space="0" w:color="auto"/>
          </w:divBdr>
        </w:div>
        <w:div w:id="448474810">
          <w:marLeft w:val="0"/>
          <w:marRight w:val="0"/>
          <w:marTop w:val="0"/>
          <w:marBottom w:val="0"/>
          <w:divBdr>
            <w:top w:val="none" w:sz="0" w:space="0" w:color="auto"/>
            <w:left w:val="none" w:sz="0" w:space="0" w:color="auto"/>
            <w:bottom w:val="none" w:sz="0" w:space="0" w:color="auto"/>
            <w:right w:val="none" w:sz="0" w:space="0" w:color="auto"/>
          </w:divBdr>
        </w:div>
        <w:div w:id="668412827">
          <w:marLeft w:val="0"/>
          <w:marRight w:val="0"/>
          <w:marTop w:val="0"/>
          <w:marBottom w:val="0"/>
          <w:divBdr>
            <w:top w:val="none" w:sz="0" w:space="0" w:color="auto"/>
            <w:left w:val="none" w:sz="0" w:space="0" w:color="auto"/>
            <w:bottom w:val="none" w:sz="0" w:space="0" w:color="auto"/>
            <w:right w:val="none" w:sz="0" w:space="0" w:color="auto"/>
          </w:divBdr>
        </w:div>
        <w:div w:id="719793306">
          <w:marLeft w:val="0"/>
          <w:marRight w:val="0"/>
          <w:marTop w:val="0"/>
          <w:marBottom w:val="0"/>
          <w:divBdr>
            <w:top w:val="none" w:sz="0" w:space="0" w:color="auto"/>
            <w:left w:val="none" w:sz="0" w:space="0" w:color="auto"/>
            <w:bottom w:val="none" w:sz="0" w:space="0" w:color="auto"/>
            <w:right w:val="none" w:sz="0" w:space="0" w:color="auto"/>
          </w:divBdr>
        </w:div>
        <w:div w:id="872232410">
          <w:marLeft w:val="0"/>
          <w:marRight w:val="0"/>
          <w:marTop w:val="0"/>
          <w:marBottom w:val="0"/>
          <w:divBdr>
            <w:top w:val="none" w:sz="0" w:space="0" w:color="auto"/>
            <w:left w:val="none" w:sz="0" w:space="0" w:color="auto"/>
            <w:bottom w:val="none" w:sz="0" w:space="0" w:color="auto"/>
            <w:right w:val="none" w:sz="0" w:space="0" w:color="auto"/>
          </w:divBdr>
        </w:div>
        <w:div w:id="878275993">
          <w:marLeft w:val="0"/>
          <w:marRight w:val="0"/>
          <w:marTop w:val="0"/>
          <w:marBottom w:val="0"/>
          <w:divBdr>
            <w:top w:val="none" w:sz="0" w:space="0" w:color="auto"/>
            <w:left w:val="none" w:sz="0" w:space="0" w:color="auto"/>
            <w:bottom w:val="none" w:sz="0" w:space="0" w:color="auto"/>
            <w:right w:val="none" w:sz="0" w:space="0" w:color="auto"/>
          </w:divBdr>
        </w:div>
        <w:div w:id="1176192002">
          <w:marLeft w:val="0"/>
          <w:marRight w:val="0"/>
          <w:marTop w:val="0"/>
          <w:marBottom w:val="0"/>
          <w:divBdr>
            <w:top w:val="none" w:sz="0" w:space="0" w:color="auto"/>
            <w:left w:val="none" w:sz="0" w:space="0" w:color="auto"/>
            <w:bottom w:val="none" w:sz="0" w:space="0" w:color="auto"/>
            <w:right w:val="none" w:sz="0" w:space="0" w:color="auto"/>
          </w:divBdr>
        </w:div>
        <w:div w:id="1389763477">
          <w:marLeft w:val="0"/>
          <w:marRight w:val="0"/>
          <w:marTop w:val="0"/>
          <w:marBottom w:val="0"/>
          <w:divBdr>
            <w:top w:val="none" w:sz="0" w:space="0" w:color="auto"/>
            <w:left w:val="none" w:sz="0" w:space="0" w:color="auto"/>
            <w:bottom w:val="none" w:sz="0" w:space="0" w:color="auto"/>
            <w:right w:val="none" w:sz="0" w:space="0" w:color="auto"/>
          </w:divBdr>
        </w:div>
        <w:div w:id="1870951090">
          <w:marLeft w:val="0"/>
          <w:marRight w:val="0"/>
          <w:marTop w:val="0"/>
          <w:marBottom w:val="0"/>
          <w:divBdr>
            <w:top w:val="none" w:sz="0" w:space="0" w:color="auto"/>
            <w:left w:val="none" w:sz="0" w:space="0" w:color="auto"/>
            <w:bottom w:val="none" w:sz="0" w:space="0" w:color="auto"/>
            <w:right w:val="none" w:sz="0" w:space="0" w:color="auto"/>
          </w:divBdr>
        </w:div>
        <w:div w:id="2044549660">
          <w:marLeft w:val="0"/>
          <w:marRight w:val="0"/>
          <w:marTop w:val="0"/>
          <w:marBottom w:val="0"/>
          <w:divBdr>
            <w:top w:val="none" w:sz="0" w:space="0" w:color="auto"/>
            <w:left w:val="none" w:sz="0" w:space="0" w:color="auto"/>
            <w:bottom w:val="none" w:sz="0" w:space="0" w:color="auto"/>
            <w:right w:val="none" w:sz="0" w:space="0" w:color="auto"/>
          </w:divBdr>
        </w:div>
      </w:divsChild>
    </w:div>
    <w:div w:id="230846940">
      <w:bodyDiv w:val="1"/>
      <w:marLeft w:val="0"/>
      <w:marRight w:val="0"/>
      <w:marTop w:val="0"/>
      <w:marBottom w:val="0"/>
      <w:divBdr>
        <w:top w:val="none" w:sz="0" w:space="0" w:color="auto"/>
        <w:left w:val="none" w:sz="0" w:space="0" w:color="auto"/>
        <w:bottom w:val="none" w:sz="0" w:space="0" w:color="auto"/>
        <w:right w:val="none" w:sz="0" w:space="0" w:color="auto"/>
      </w:divBdr>
      <w:divsChild>
        <w:div w:id="100347363">
          <w:marLeft w:val="0"/>
          <w:marRight w:val="0"/>
          <w:marTop w:val="0"/>
          <w:marBottom w:val="0"/>
          <w:divBdr>
            <w:top w:val="none" w:sz="0" w:space="0" w:color="auto"/>
            <w:left w:val="none" w:sz="0" w:space="0" w:color="auto"/>
            <w:bottom w:val="none" w:sz="0" w:space="0" w:color="auto"/>
            <w:right w:val="none" w:sz="0" w:space="0" w:color="auto"/>
          </w:divBdr>
        </w:div>
        <w:div w:id="261230469">
          <w:marLeft w:val="0"/>
          <w:marRight w:val="0"/>
          <w:marTop w:val="0"/>
          <w:marBottom w:val="0"/>
          <w:divBdr>
            <w:top w:val="none" w:sz="0" w:space="0" w:color="auto"/>
            <w:left w:val="none" w:sz="0" w:space="0" w:color="auto"/>
            <w:bottom w:val="none" w:sz="0" w:space="0" w:color="auto"/>
            <w:right w:val="none" w:sz="0" w:space="0" w:color="auto"/>
          </w:divBdr>
        </w:div>
        <w:div w:id="800422006">
          <w:marLeft w:val="0"/>
          <w:marRight w:val="0"/>
          <w:marTop w:val="0"/>
          <w:marBottom w:val="0"/>
          <w:divBdr>
            <w:top w:val="none" w:sz="0" w:space="0" w:color="auto"/>
            <w:left w:val="none" w:sz="0" w:space="0" w:color="auto"/>
            <w:bottom w:val="none" w:sz="0" w:space="0" w:color="auto"/>
            <w:right w:val="none" w:sz="0" w:space="0" w:color="auto"/>
          </w:divBdr>
        </w:div>
        <w:div w:id="927613503">
          <w:marLeft w:val="0"/>
          <w:marRight w:val="0"/>
          <w:marTop w:val="0"/>
          <w:marBottom w:val="0"/>
          <w:divBdr>
            <w:top w:val="none" w:sz="0" w:space="0" w:color="auto"/>
            <w:left w:val="none" w:sz="0" w:space="0" w:color="auto"/>
            <w:bottom w:val="none" w:sz="0" w:space="0" w:color="auto"/>
            <w:right w:val="none" w:sz="0" w:space="0" w:color="auto"/>
          </w:divBdr>
        </w:div>
        <w:div w:id="931207131">
          <w:marLeft w:val="0"/>
          <w:marRight w:val="0"/>
          <w:marTop w:val="0"/>
          <w:marBottom w:val="0"/>
          <w:divBdr>
            <w:top w:val="none" w:sz="0" w:space="0" w:color="auto"/>
            <w:left w:val="none" w:sz="0" w:space="0" w:color="auto"/>
            <w:bottom w:val="none" w:sz="0" w:space="0" w:color="auto"/>
            <w:right w:val="none" w:sz="0" w:space="0" w:color="auto"/>
          </w:divBdr>
        </w:div>
        <w:div w:id="1179002977">
          <w:marLeft w:val="0"/>
          <w:marRight w:val="0"/>
          <w:marTop w:val="0"/>
          <w:marBottom w:val="0"/>
          <w:divBdr>
            <w:top w:val="none" w:sz="0" w:space="0" w:color="auto"/>
            <w:left w:val="none" w:sz="0" w:space="0" w:color="auto"/>
            <w:bottom w:val="none" w:sz="0" w:space="0" w:color="auto"/>
            <w:right w:val="none" w:sz="0" w:space="0" w:color="auto"/>
          </w:divBdr>
        </w:div>
        <w:div w:id="1676033690">
          <w:marLeft w:val="0"/>
          <w:marRight w:val="0"/>
          <w:marTop w:val="0"/>
          <w:marBottom w:val="0"/>
          <w:divBdr>
            <w:top w:val="none" w:sz="0" w:space="0" w:color="auto"/>
            <w:left w:val="none" w:sz="0" w:space="0" w:color="auto"/>
            <w:bottom w:val="none" w:sz="0" w:space="0" w:color="auto"/>
            <w:right w:val="none" w:sz="0" w:space="0" w:color="auto"/>
          </w:divBdr>
        </w:div>
        <w:div w:id="1685865070">
          <w:marLeft w:val="0"/>
          <w:marRight w:val="0"/>
          <w:marTop w:val="0"/>
          <w:marBottom w:val="0"/>
          <w:divBdr>
            <w:top w:val="none" w:sz="0" w:space="0" w:color="auto"/>
            <w:left w:val="none" w:sz="0" w:space="0" w:color="auto"/>
            <w:bottom w:val="none" w:sz="0" w:space="0" w:color="auto"/>
            <w:right w:val="none" w:sz="0" w:space="0" w:color="auto"/>
          </w:divBdr>
        </w:div>
        <w:div w:id="2082943388">
          <w:marLeft w:val="0"/>
          <w:marRight w:val="0"/>
          <w:marTop w:val="0"/>
          <w:marBottom w:val="0"/>
          <w:divBdr>
            <w:top w:val="none" w:sz="0" w:space="0" w:color="auto"/>
            <w:left w:val="none" w:sz="0" w:space="0" w:color="auto"/>
            <w:bottom w:val="none" w:sz="0" w:space="0" w:color="auto"/>
            <w:right w:val="none" w:sz="0" w:space="0" w:color="auto"/>
          </w:divBdr>
        </w:div>
        <w:div w:id="2107725978">
          <w:marLeft w:val="0"/>
          <w:marRight w:val="0"/>
          <w:marTop w:val="0"/>
          <w:marBottom w:val="0"/>
          <w:divBdr>
            <w:top w:val="none" w:sz="0" w:space="0" w:color="auto"/>
            <w:left w:val="none" w:sz="0" w:space="0" w:color="auto"/>
            <w:bottom w:val="none" w:sz="0" w:space="0" w:color="auto"/>
            <w:right w:val="none" w:sz="0" w:space="0" w:color="auto"/>
          </w:divBdr>
        </w:div>
        <w:div w:id="2116099498">
          <w:marLeft w:val="0"/>
          <w:marRight w:val="0"/>
          <w:marTop w:val="0"/>
          <w:marBottom w:val="0"/>
          <w:divBdr>
            <w:top w:val="none" w:sz="0" w:space="0" w:color="auto"/>
            <w:left w:val="none" w:sz="0" w:space="0" w:color="auto"/>
            <w:bottom w:val="none" w:sz="0" w:space="0" w:color="auto"/>
            <w:right w:val="none" w:sz="0" w:space="0" w:color="auto"/>
          </w:divBdr>
        </w:div>
      </w:divsChild>
    </w:div>
    <w:div w:id="234824836">
      <w:bodyDiv w:val="1"/>
      <w:marLeft w:val="0"/>
      <w:marRight w:val="0"/>
      <w:marTop w:val="0"/>
      <w:marBottom w:val="0"/>
      <w:divBdr>
        <w:top w:val="none" w:sz="0" w:space="0" w:color="auto"/>
        <w:left w:val="none" w:sz="0" w:space="0" w:color="auto"/>
        <w:bottom w:val="none" w:sz="0" w:space="0" w:color="auto"/>
        <w:right w:val="none" w:sz="0" w:space="0" w:color="auto"/>
      </w:divBdr>
      <w:divsChild>
        <w:div w:id="705759727">
          <w:marLeft w:val="0"/>
          <w:marRight w:val="0"/>
          <w:marTop w:val="0"/>
          <w:marBottom w:val="0"/>
          <w:divBdr>
            <w:top w:val="none" w:sz="0" w:space="0" w:color="auto"/>
            <w:left w:val="none" w:sz="0" w:space="0" w:color="auto"/>
            <w:bottom w:val="none" w:sz="0" w:space="0" w:color="auto"/>
            <w:right w:val="none" w:sz="0" w:space="0" w:color="auto"/>
          </w:divBdr>
        </w:div>
      </w:divsChild>
    </w:div>
    <w:div w:id="253320158">
      <w:bodyDiv w:val="1"/>
      <w:marLeft w:val="0"/>
      <w:marRight w:val="0"/>
      <w:marTop w:val="0"/>
      <w:marBottom w:val="0"/>
      <w:divBdr>
        <w:top w:val="none" w:sz="0" w:space="0" w:color="auto"/>
        <w:left w:val="none" w:sz="0" w:space="0" w:color="auto"/>
        <w:bottom w:val="none" w:sz="0" w:space="0" w:color="auto"/>
        <w:right w:val="none" w:sz="0" w:space="0" w:color="auto"/>
      </w:divBdr>
      <w:divsChild>
        <w:div w:id="220678707">
          <w:marLeft w:val="0"/>
          <w:marRight w:val="0"/>
          <w:marTop w:val="0"/>
          <w:marBottom w:val="0"/>
          <w:divBdr>
            <w:top w:val="none" w:sz="0" w:space="0" w:color="auto"/>
            <w:left w:val="none" w:sz="0" w:space="0" w:color="auto"/>
            <w:bottom w:val="none" w:sz="0" w:space="0" w:color="auto"/>
            <w:right w:val="none" w:sz="0" w:space="0" w:color="auto"/>
          </w:divBdr>
        </w:div>
        <w:div w:id="250161562">
          <w:marLeft w:val="0"/>
          <w:marRight w:val="0"/>
          <w:marTop w:val="0"/>
          <w:marBottom w:val="0"/>
          <w:divBdr>
            <w:top w:val="none" w:sz="0" w:space="0" w:color="auto"/>
            <w:left w:val="none" w:sz="0" w:space="0" w:color="auto"/>
            <w:bottom w:val="none" w:sz="0" w:space="0" w:color="auto"/>
            <w:right w:val="none" w:sz="0" w:space="0" w:color="auto"/>
          </w:divBdr>
        </w:div>
        <w:div w:id="526018198">
          <w:marLeft w:val="0"/>
          <w:marRight w:val="0"/>
          <w:marTop w:val="0"/>
          <w:marBottom w:val="0"/>
          <w:divBdr>
            <w:top w:val="none" w:sz="0" w:space="0" w:color="auto"/>
            <w:left w:val="none" w:sz="0" w:space="0" w:color="auto"/>
            <w:bottom w:val="none" w:sz="0" w:space="0" w:color="auto"/>
            <w:right w:val="none" w:sz="0" w:space="0" w:color="auto"/>
          </w:divBdr>
        </w:div>
        <w:div w:id="547647300">
          <w:marLeft w:val="0"/>
          <w:marRight w:val="0"/>
          <w:marTop w:val="0"/>
          <w:marBottom w:val="0"/>
          <w:divBdr>
            <w:top w:val="none" w:sz="0" w:space="0" w:color="auto"/>
            <w:left w:val="none" w:sz="0" w:space="0" w:color="auto"/>
            <w:bottom w:val="none" w:sz="0" w:space="0" w:color="auto"/>
            <w:right w:val="none" w:sz="0" w:space="0" w:color="auto"/>
          </w:divBdr>
        </w:div>
        <w:div w:id="587809797">
          <w:marLeft w:val="0"/>
          <w:marRight w:val="0"/>
          <w:marTop w:val="0"/>
          <w:marBottom w:val="0"/>
          <w:divBdr>
            <w:top w:val="none" w:sz="0" w:space="0" w:color="auto"/>
            <w:left w:val="none" w:sz="0" w:space="0" w:color="auto"/>
            <w:bottom w:val="none" w:sz="0" w:space="0" w:color="auto"/>
            <w:right w:val="none" w:sz="0" w:space="0" w:color="auto"/>
          </w:divBdr>
        </w:div>
        <w:div w:id="784497593">
          <w:marLeft w:val="0"/>
          <w:marRight w:val="0"/>
          <w:marTop w:val="0"/>
          <w:marBottom w:val="0"/>
          <w:divBdr>
            <w:top w:val="none" w:sz="0" w:space="0" w:color="auto"/>
            <w:left w:val="none" w:sz="0" w:space="0" w:color="auto"/>
            <w:bottom w:val="none" w:sz="0" w:space="0" w:color="auto"/>
            <w:right w:val="none" w:sz="0" w:space="0" w:color="auto"/>
          </w:divBdr>
        </w:div>
        <w:div w:id="971593102">
          <w:marLeft w:val="0"/>
          <w:marRight w:val="0"/>
          <w:marTop w:val="0"/>
          <w:marBottom w:val="0"/>
          <w:divBdr>
            <w:top w:val="none" w:sz="0" w:space="0" w:color="auto"/>
            <w:left w:val="none" w:sz="0" w:space="0" w:color="auto"/>
            <w:bottom w:val="none" w:sz="0" w:space="0" w:color="auto"/>
            <w:right w:val="none" w:sz="0" w:space="0" w:color="auto"/>
          </w:divBdr>
        </w:div>
        <w:div w:id="1077172405">
          <w:marLeft w:val="0"/>
          <w:marRight w:val="0"/>
          <w:marTop w:val="0"/>
          <w:marBottom w:val="0"/>
          <w:divBdr>
            <w:top w:val="none" w:sz="0" w:space="0" w:color="auto"/>
            <w:left w:val="none" w:sz="0" w:space="0" w:color="auto"/>
            <w:bottom w:val="none" w:sz="0" w:space="0" w:color="auto"/>
            <w:right w:val="none" w:sz="0" w:space="0" w:color="auto"/>
          </w:divBdr>
        </w:div>
        <w:div w:id="1145849949">
          <w:marLeft w:val="0"/>
          <w:marRight w:val="0"/>
          <w:marTop w:val="0"/>
          <w:marBottom w:val="0"/>
          <w:divBdr>
            <w:top w:val="none" w:sz="0" w:space="0" w:color="auto"/>
            <w:left w:val="none" w:sz="0" w:space="0" w:color="auto"/>
            <w:bottom w:val="none" w:sz="0" w:space="0" w:color="auto"/>
            <w:right w:val="none" w:sz="0" w:space="0" w:color="auto"/>
          </w:divBdr>
        </w:div>
        <w:div w:id="1190800888">
          <w:marLeft w:val="0"/>
          <w:marRight w:val="0"/>
          <w:marTop w:val="0"/>
          <w:marBottom w:val="0"/>
          <w:divBdr>
            <w:top w:val="none" w:sz="0" w:space="0" w:color="auto"/>
            <w:left w:val="none" w:sz="0" w:space="0" w:color="auto"/>
            <w:bottom w:val="none" w:sz="0" w:space="0" w:color="auto"/>
            <w:right w:val="none" w:sz="0" w:space="0" w:color="auto"/>
          </w:divBdr>
        </w:div>
        <w:div w:id="1240865681">
          <w:marLeft w:val="0"/>
          <w:marRight w:val="0"/>
          <w:marTop w:val="0"/>
          <w:marBottom w:val="0"/>
          <w:divBdr>
            <w:top w:val="none" w:sz="0" w:space="0" w:color="auto"/>
            <w:left w:val="none" w:sz="0" w:space="0" w:color="auto"/>
            <w:bottom w:val="none" w:sz="0" w:space="0" w:color="auto"/>
            <w:right w:val="none" w:sz="0" w:space="0" w:color="auto"/>
          </w:divBdr>
        </w:div>
      </w:divsChild>
    </w:div>
    <w:div w:id="257567223">
      <w:bodyDiv w:val="1"/>
      <w:marLeft w:val="0"/>
      <w:marRight w:val="0"/>
      <w:marTop w:val="0"/>
      <w:marBottom w:val="0"/>
      <w:divBdr>
        <w:top w:val="none" w:sz="0" w:space="0" w:color="auto"/>
        <w:left w:val="none" w:sz="0" w:space="0" w:color="auto"/>
        <w:bottom w:val="none" w:sz="0" w:space="0" w:color="auto"/>
        <w:right w:val="none" w:sz="0" w:space="0" w:color="auto"/>
      </w:divBdr>
    </w:div>
    <w:div w:id="305087576">
      <w:bodyDiv w:val="1"/>
      <w:marLeft w:val="0"/>
      <w:marRight w:val="0"/>
      <w:marTop w:val="0"/>
      <w:marBottom w:val="0"/>
      <w:divBdr>
        <w:top w:val="none" w:sz="0" w:space="0" w:color="auto"/>
        <w:left w:val="none" w:sz="0" w:space="0" w:color="auto"/>
        <w:bottom w:val="none" w:sz="0" w:space="0" w:color="auto"/>
        <w:right w:val="none" w:sz="0" w:space="0" w:color="auto"/>
      </w:divBdr>
      <w:divsChild>
        <w:div w:id="371852691">
          <w:blockQuote w:val="1"/>
          <w:marLeft w:val="400"/>
          <w:marRight w:val="0"/>
          <w:marTop w:val="160"/>
          <w:marBottom w:val="200"/>
          <w:divBdr>
            <w:top w:val="none" w:sz="0" w:space="0" w:color="auto"/>
            <w:left w:val="none" w:sz="0" w:space="0" w:color="auto"/>
            <w:bottom w:val="none" w:sz="0" w:space="0" w:color="auto"/>
            <w:right w:val="none" w:sz="0" w:space="0" w:color="auto"/>
          </w:divBdr>
        </w:div>
        <w:div w:id="64848213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6857933">
              <w:marLeft w:val="0"/>
              <w:marRight w:val="0"/>
              <w:marTop w:val="0"/>
              <w:marBottom w:val="0"/>
              <w:divBdr>
                <w:top w:val="none" w:sz="0" w:space="0" w:color="auto"/>
                <w:left w:val="none" w:sz="0" w:space="0" w:color="auto"/>
                <w:bottom w:val="none" w:sz="0" w:space="0" w:color="auto"/>
                <w:right w:val="none" w:sz="0" w:space="0" w:color="auto"/>
              </w:divBdr>
              <w:divsChild>
                <w:div w:id="15985646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5060614">
              <w:marLeft w:val="0"/>
              <w:marRight w:val="0"/>
              <w:marTop w:val="0"/>
              <w:marBottom w:val="0"/>
              <w:divBdr>
                <w:top w:val="none" w:sz="0" w:space="0" w:color="auto"/>
                <w:left w:val="none" w:sz="0" w:space="0" w:color="auto"/>
                <w:bottom w:val="none" w:sz="0" w:space="0" w:color="auto"/>
                <w:right w:val="none" w:sz="0" w:space="0" w:color="auto"/>
              </w:divBdr>
              <w:divsChild>
                <w:div w:id="9286626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80832897">
              <w:marLeft w:val="0"/>
              <w:marRight w:val="0"/>
              <w:marTop w:val="0"/>
              <w:marBottom w:val="0"/>
              <w:divBdr>
                <w:top w:val="none" w:sz="0" w:space="0" w:color="auto"/>
                <w:left w:val="none" w:sz="0" w:space="0" w:color="auto"/>
                <w:bottom w:val="none" w:sz="0" w:space="0" w:color="auto"/>
                <w:right w:val="none" w:sz="0" w:space="0" w:color="auto"/>
              </w:divBdr>
              <w:divsChild>
                <w:div w:id="305710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27346450">
              <w:marLeft w:val="0"/>
              <w:marRight w:val="0"/>
              <w:marTop w:val="0"/>
              <w:marBottom w:val="0"/>
              <w:divBdr>
                <w:top w:val="none" w:sz="0" w:space="0" w:color="auto"/>
                <w:left w:val="none" w:sz="0" w:space="0" w:color="auto"/>
                <w:bottom w:val="none" w:sz="0" w:space="0" w:color="auto"/>
                <w:right w:val="none" w:sz="0" w:space="0" w:color="auto"/>
              </w:divBdr>
              <w:divsChild>
                <w:div w:id="18290503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341663198">
      <w:bodyDiv w:val="1"/>
      <w:marLeft w:val="0"/>
      <w:marRight w:val="0"/>
      <w:marTop w:val="0"/>
      <w:marBottom w:val="0"/>
      <w:divBdr>
        <w:top w:val="none" w:sz="0" w:space="0" w:color="auto"/>
        <w:left w:val="none" w:sz="0" w:space="0" w:color="auto"/>
        <w:bottom w:val="none" w:sz="0" w:space="0" w:color="auto"/>
        <w:right w:val="none" w:sz="0" w:space="0" w:color="auto"/>
      </w:divBdr>
    </w:div>
    <w:div w:id="346254750">
      <w:bodyDiv w:val="1"/>
      <w:marLeft w:val="0"/>
      <w:marRight w:val="0"/>
      <w:marTop w:val="0"/>
      <w:marBottom w:val="0"/>
      <w:divBdr>
        <w:top w:val="none" w:sz="0" w:space="0" w:color="auto"/>
        <w:left w:val="none" w:sz="0" w:space="0" w:color="auto"/>
        <w:bottom w:val="none" w:sz="0" w:space="0" w:color="auto"/>
        <w:right w:val="none" w:sz="0" w:space="0" w:color="auto"/>
      </w:divBdr>
    </w:div>
    <w:div w:id="410927038">
      <w:bodyDiv w:val="1"/>
      <w:marLeft w:val="0"/>
      <w:marRight w:val="0"/>
      <w:marTop w:val="0"/>
      <w:marBottom w:val="0"/>
      <w:divBdr>
        <w:top w:val="none" w:sz="0" w:space="0" w:color="auto"/>
        <w:left w:val="none" w:sz="0" w:space="0" w:color="auto"/>
        <w:bottom w:val="none" w:sz="0" w:space="0" w:color="auto"/>
        <w:right w:val="none" w:sz="0" w:space="0" w:color="auto"/>
      </w:divBdr>
    </w:div>
    <w:div w:id="426121179">
      <w:bodyDiv w:val="1"/>
      <w:marLeft w:val="0"/>
      <w:marRight w:val="0"/>
      <w:marTop w:val="0"/>
      <w:marBottom w:val="0"/>
      <w:divBdr>
        <w:top w:val="none" w:sz="0" w:space="0" w:color="auto"/>
        <w:left w:val="none" w:sz="0" w:space="0" w:color="auto"/>
        <w:bottom w:val="none" w:sz="0" w:space="0" w:color="auto"/>
        <w:right w:val="none" w:sz="0" w:space="0" w:color="auto"/>
      </w:divBdr>
    </w:div>
    <w:div w:id="436951577">
      <w:bodyDiv w:val="1"/>
      <w:marLeft w:val="0"/>
      <w:marRight w:val="0"/>
      <w:marTop w:val="0"/>
      <w:marBottom w:val="0"/>
      <w:divBdr>
        <w:top w:val="none" w:sz="0" w:space="0" w:color="auto"/>
        <w:left w:val="none" w:sz="0" w:space="0" w:color="auto"/>
        <w:bottom w:val="none" w:sz="0" w:space="0" w:color="auto"/>
        <w:right w:val="none" w:sz="0" w:space="0" w:color="auto"/>
      </w:divBdr>
      <w:divsChild>
        <w:div w:id="159276040">
          <w:marLeft w:val="0"/>
          <w:marRight w:val="0"/>
          <w:marTop w:val="0"/>
          <w:marBottom w:val="0"/>
          <w:divBdr>
            <w:top w:val="none" w:sz="0" w:space="0" w:color="auto"/>
            <w:left w:val="none" w:sz="0" w:space="0" w:color="auto"/>
            <w:bottom w:val="none" w:sz="0" w:space="0" w:color="auto"/>
            <w:right w:val="none" w:sz="0" w:space="0" w:color="auto"/>
          </w:divBdr>
        </w:div>
        <w:div w:id="434715382">
          <w:marLeft w:val="0"/>
          <w:marRight w:val="0"/>
          <w:marTop w:val="0"/>
          <w:marBottom w:val="0"/>
          <w:divBdr>
            <w:top w:val="none" w:sz="0" w:space="0" w:color="auto"/>
            <w:left w:val="none" w:sz="0" w:space="0" w:color="auto"/>
            <w:bottom w:val="none" w:sz="0" w:space="0" w:color="auto"/>
            <w:right w:val="none" w:sz="0" w:space="0" w:color="auto"/>
          </w:divBdr>
        </w:div>
        <w:div w:id="482357145">
          <w:marLeft w:val="0"/>
          <w:marRight w:val="0"/>
          <w:marTop w:val="0"/>
          <w:marBottom w:val="0"/>
          <w:divBdr>
            <w:top w:val="none" w:sz="0" w:space="0" w:color="auto"/>
            <w:left w:val="none" w:sz="0" w:space="0" w:color="auto"/>
            <w:bottom w:val="none" w:sz="0" w:space="0" w:color="auto"/>
            <w:right w:val="none" w:sz="0" w:space="0" w:color="auto"/>
          </w:divBdr>
        </w:div>
        <w:div w:id="487356925">
          <w:marLeft w:val="0"/>
          <w:marRight w:val="0"/>
          <w:marTop w:val="0"/>
          <w:marBottom w:val="0"/>
          <w:divBdr>
            <w:top w:val="none" w:sz="0" w:space="0" w:color="auto"/>
            <w:left w:val="none" w:sz="0" w:space="0" w:color="auto"/>
            <w:bottom w:val="none" w:sz="0" w:space="0" w:color="auto"/>
            <w:right w:val="none" w:sz="0" w:space="0" w:color="auto"/>
          </w:divBdr>
        </w:div>
        <w:div w:id="583153136">
          <w:marLeft w:val="0"/>
          <w:marRight w:val="0"/>
          <w:marTop w:val="0"/>
          <w:marBottom w:val="0"/>
          <w:divBdr>
            <w:top w:val="none" w:sz="0" w:space="0" w:color="auto"/>
            <w:left w:val="none" w:sz="0" w:space="0" w:color="auto"/>
            <w:bottom w:val="none" w:sz="0" w:space="0" w:color="auto"/>
            <w:right w:val="none" w:sz="0" w:space="0" w:color="auto"/>
          </w:divBdr>
        </w:div>
        <w:div w:id="859972001">
          <w:marLeft w:val="0"/>
          <w:marRight w:val="0"/>
          <w:marTop w:val="0"/>
          <w:marBottom w:val="0"/>
          <w:divBdr>
            <w:top w:val="none" w:sz="0" w:space="0" w:color="auto"/>
            <w:left w:val="none" w:sz="0" w:space="0" w:color="auto"/>
            <w:bottom w:val="none" w:sz="0" w:space="0" w:color="auto"/>
            <w:right w:val="none" w:sz="0" w:space="0" w:color="auto"/>
          </w:divBdr>
        </w:div>
        <w:div w:id="876746542">
          <w:marLeft w:val="0"/>
          <w:marRight w:val="0"/>
          <w:marTop w:val="0"/>
          <w:marBottom w:val="0"/>
          <w:divBdr>
            <w:top w:val="none" w:sz="0" w:space="0" w:color="auto"/>
            <w:left w:val="none" w:sz="0" w:space="0" w:color="auto"/>
            <w:bottom w:val="none" w:sz="0" w:space="0" w:color="auto"/>
            <w:right w:val="none" w:sz="0" w:space="0" w:color="auto"/>
          </w:divBdr>
        </w:div>
        <w:div w:id="888491628">
          <w:marLeft w:val="0"/>
          <w:marRight w:val="0"/>
          <w:marTop w:val="0"/>
          <w:marBottom w:val="0"/>
          <w:divBdr>
            <w:top w:val="none" w:sz="0" w:space="0" w:color="auto"/>
            <w:left w:val="none" w:sz="0" w:space="0" w:color="auto"/>
            <w:bottom w:val="none" w:sz="0" w:space="0" w:color="auto"/>
            <w:right w:val="none" w:sz="0" w:space="0" w:color="auto"/>
          </w:divBdr>
        </w:div>
        <w:div w:id="1267612386">
          <w:marLeft w:val="0"/>
          <w:marRight w:val="0"/>
          <w:marTop w:val="0"/>
          <w:marBottom w:val="0"/>
          <w:divBdr>
            <w:top w:val="none" w:sz="0" w:space="0" w:color="auto"/>
            <w:left w:val="none" w:sz="0" w:space="0" w:color="auto"/>
            <w:bottom w:val="none" w:sz="0" w:space="0" w:color="auto"/>
            <w:right w:val="none" w:sz="0" w:space="0" w:color="auto"/>
          </w:divBdr>
        </w:div>
        <w:div w:id="1447965097">
          <w:marLeft w:val="0"/>
          <w:marRight w:val="0"/>
          <w:marTop w:val="0"/>
          <w:marBottom w:val="0"/>
          <w:divBdr>
            <w:top w:val="none" w:sz="0" w:space="0" w:color="auto"/>
            <w:left w:val="none" w:sz="0" w:space="0" w:color="auto"/>
            <w:bottom w:val="none" w:sz="0" w:space="0" w:color="auto"/>
            <w:right w:val="none" w:sz="0" w:space="0" w:color="auto"/>
          </w:divBdr>
        </w:div>
        <w:div w:id="1657874306">
          <w:marLeft w:val="0"/>
          <w:marRight w:val="0"/>
          <w:marTop w:val="0"/>
          <w:marBottom w:val="0"/>
          <w:divBdr>
            <w:top w:val="none" w:sz="0" w:space="0" w:color="auto"/>
            <w:left w:val="none" w:sz="0" w:space="0" w:color="auto"/>
            <w:bottom w:val="none" w:sz="0" w:space="0" w:color="auto"/>
            <w:right w:val="none" w:sz="0" w:space="0" w:color="auto"/>
          </w:divBdr>
        </w:div>
      </w:divsChild>
    </w:div>
    <w:div w:id="440225319">
      <w:bodyDiv w:val="1"/>
      <w:marLeft w:val="0"/>
      <w:marRight w:val="0"/>
      <w:marTop w:val="0"/>
      <w:marBottom w:val="0"/>
      <w:divBdr>
        <w:top w:val="none" w:sz="0" w:space="0" w:color="auto"/>
        <w:left w:val="none" w:sz="0" w:space="0" w:color="auto"/>
        <w:bottom w:val="none" w:sz="0" w:space="0" w:color="auto"/>
        <w:right w:val="none" w:sz="0" w:space="0" w:color="auto"/>
      </w:divBdr>
      <w:divsChild>
        <w:div w:id="331219766">
          <w:marLeft w:val="0"/>
          <w:marRight w:val="0"/>
          <w:marTop w:val="0"/>
          <w:marBottom w:val="0"/>
          <w:divBdr>
            <w:top w:val="none" w:sz="0" w:space="0" w:color="auto"/>
            <w:left w:val="none" w:sz="0" w:space="0" w:color="auto"/>
            <w:bottom w:val="none" w:sz="0" w:space="0" w:color="auto"/>
            <w:right w:val="none" w:sz="0" w:space="0" w:color="auto"/>
          </w:divBdr>
        </w:div>
        <w:div w:id="551045337">
          <w:marLeft w:val="0"/>
          <w:marRight w:val="0"/>
          <w:marTop w:val="0"/>
          <w:marBottom w:val="0"/>
          <w:divBdr>
            <w:top w:val="none" w:sz="0" w:space="0" w:color="auto"/>
            <w:left w:val="none" w:sz="0" w:space="0" w:color="auto"/>
            <w:bottom w:val="none" w:sz="0" w:space="0" w:color="auto"/>
            <w:right w:val="none" w:sz="0" w:space="0" w:color="auto"/>
          </w:divBdr>
        </w:div>
        <w:div w:id="615259153">
          <w:marLeft w:val="0"/>
          <w:marRight w:val="0"/>
          <w:marTop w:val="0"/>
          <w:marBottom w:val="0"/>
          <w:divBdr>
            <w:top w:val="none" w:sz="0" w:space="0" w:color="auto"/>
            <w:left w:val="none" w:sz="0" w:space="0" w:color="auto"/>
            <w:bottom w:val="none" w:sz="0" w:space="0" w:color="auto"/>
            <w:right w:val="none" w:sz="0" w:space="0" w:color="auto"/>
          </w:divBdr>
        </w:div>
        <w:div w:id="741876385">
          <w:marLeft w:val="0"/>
          <w:marRight w:val="0"/>
          <w:marTop w:val="0"/>
          <w:marBottom w:val="0"/>
          <w:divBdr>
            <w:top w:val="none" w:sz="0" w:space="0" w:color="auto"/>
            <w:left w:val="none" w:sz="0" w:space="0" w:color="auto"/>
            <w:bottom w:val="none" w:sz="0" w:space="0" w:color="auto"/>
            <w:right w:val="none" w:sz="0" w:space="0" w:color="auto"/>
          </w:divBdr>
        </w:div>
        <w:div w:id="935092066">
          <w:marLeft w:val="0"/>
          <w:marRight w:val="0"/>
          <w:marTop w:val="0"/>
          <w:marBottom w:val="0"/>
          <w:divBdr>
            <w:top w:val="none" w:sz="0" w:space="0" w:color="auto"/>
            <w:left w:val="none" w:sz="0" w:space="0" w:color="auto"/>
            <w:bottom w:val="none" w:sz="0" w:space="0" w:color="auto"/>
            <w:right w:val="none" w:sz="0" w:space="0" w:color="auto"/>
          </w:divBdr>
        </w:div>
        <w:div w:id="978846353">
          <w:marLeft w:val="0"/>
          <w:marRight w:val="0"/>
          <w:marTop w:val="0"/>
          <w:marBottom w:val="0"/>
          <w:divBdr>
            <w:top w:val="none" w:sz="0" w:space="0" w:color="auto"/>
            <w:left w:val="none" w:sz="0" w:space="0" w:color="auto"/>
            <w:bottom w:val="none" w:sz="0" w:space="0" w:color="auto"/>
            <w:right w:val="none" w:sz="0" w:space="0" w:color="auto"/>
          </w:divBdr>
        </w:div>
        <w:div w:id="1051465442">
          <w:marLeft w:val="0"/>
          <w:marRight w:val="0"/>
          <w:marTop w:val="0"/>
          <w:marBottom w:val="0"/>
          <w:divBdr>
            <w:top w:val="none" w:sz="0" w:space="0" w:color="auto"/>
            <w:left w:val="none" w:sz="0" w:space="0" w:color="auto"/>
            <w:bottom w:val="none" w:sz="0" w:space="0" w:color="auto"/>
            <w:right w:val="none" w:sz="0" w:space="0" w:color="auto"/>
          </w:divBdr>
        </w:div>
        <w:div w:id="1165121980">
          <w:marLeft w:val="0"/>
          <w:marRight w:val="0"/>
          <w:marTop w:val="0"/>
          <w:marBottom w:val="0"/>
          <w:divBdr>
            <w:top w:val="none" w:sz="0" w:space="0" w:color="auto"/>
            <w:left w:val="none" w:sz="0" w:space="0" w:color="auto"/>
            <w:bottom w:val="none" w:sz="0" w:space="0" w:color="auto"/>
            <w:right w:val="none" w:sz="0" w:space="0" w:color="auto"/>
          </w:divBdr>
        </w:div>
        <w:div w:id="1374574542">
          <w:marLeft w:val="0"/>
          <w:marRight w:val="0"/>
          <w:marTop w:val="0"/>
          <w:marBottom w:val="0"/>
          <w:divBdr>
            <w:top w:val="none" w:sz="0" w:space="0" w:color="auto"/>
            <w:left w:val="none" w:sz="0" w:space="0" w:color="auto"/>
            <w:bottom w:val="none" w:sz="0" w:space="0" w:color="auto"/>
            <w:right w:val="none" w:sz="0" w:space="0" w:color="auto"/>
          </w:divBdr>
        </w:div>
        <w:div w:id="1550070915">
          <w:marLeft w:val="0"/>
          <w:marRight w:val="0"/>
          <w:marTop w:val="0"/>
          <w:marBottom w:val="0"/>
          <w:divBdr>
            <w:top w:val="none" w:sz="0" w:space="0" w:color="auto"/>
            <w:left w:val="none" w:sz="0" w:space="0" w:color="auto"/>
            <w:bottom w:val="none" w:sz="0" w:space="0" w:color="auto"/>
            <w:right w:val="none" w:sz="0" w:space="0" w:color="auto"/>
          </w:divBdr>
        </w:div>
        <w:div w:id="1779836781">
          <w:marLeft w:val="0"/>
          <w:marRight w:val="0"/>
          <w:marTop w:val="0"/>
          <w:marBottom w:val="0"/>
          <w:divBdr>
            <w:top w:val="none" w:sz="0" w:space="0" w:color="auto"/>
            <w:left w:val="none" w:sz="0" w:space="0" w:color="auto"/>
            <w:bottom w:val="none" w:sz="0" w:space="0" w:color="auto"/>
            <w:right w:val="none" w:sz="0" w:space="0" w:color="auto"/>
          </w:divBdr>
        </w:div>
      </w:divsChild>
    </w:div>
    <w:div w:id="444082632">
      <w:bodyDiv w:val="1"/>
      <w:marLeft w:val="0"/>
      <w:marRight w:val="0"/>
      <w:marTop w:val="0"/>
      <w:marBottom w:val="0"/>
      <w:divBdr>
        <w:top w:val="none" w:sz="0" w:space="0" w:color="auto"/>
        <w:left w:val="none" w:sz="0" w:space="0" w:color="auto"/>
        <w:bottom w:val="none" w:sz="0" w:space="0" w:color="auto"/>
        <w:right w:val="none" w:sz="0" w:space="0" w:color="auto"/>
      </w:divBdr>
    </w:div>
    <w:div w:id="457377672">
      <w:bodyDiv w:val="1"/>
      <w:marLeft w:val="0"/>
      <w:marRight w:val="0"/>
      <w:marTop w:val="0"/>
      <w:marBottom w:val="0"/>
      <w:divBdr>
        <w:top w:val="none" w:sz="0" w:space="0" w:color="auto"/>
        <w:left w:val="none" w:sz="0" w:space="0" w:color="auto"/>
        <w:bottom w:val="none" w:sz="0" w:space="0" w:color="auto"/>
        <w:right w:val="none" w:sz="0" w:space="0" w:color="auto"/>
      </w:divBdr>
    </w:div>
    <w:div w:id="474028692">
      <w:bodyDiv w:val="1"/>
      <w:marLeft w:val="0"/>
      <w:marRight w:val="0"/>
      <w:marTop w:val="0"/>
      <w:marBottom w:val="0"/>
      <w:divBdr>
        <w:top w:val="none" w:sz="0" w:space="0" w:color="auto"/>
        <w:left w:val="none" w:sz="0" w:space="0" w:color="auto"/>
        <w:bottom w:val="none" w:sz="0" w:space="0" w:color="auto"/>
        <w:right w:val="none" w:sz="0" w:space="0" w:color="auto"/>
      </w:divBdr>
      <w:divsChild>
        <w:div w:id="3478586">
          <w:marLeft w:val="0"/>
          <w:marRight w:val="0"/>
          <w:marTop w:val="0"/>
          <w:marBottom w:val="0"/>
          <w:divBdr>
            <w:top w:val="none" w:sz="0" w:space="0" w:color="auto"/>
            <w:left w:val="none" w:sz="0" w:space="0" w:color="auto"/>
            <w:bottom w:val="none" w:sz="0" w:space="0" w:color="auto"/>
            <w:right w:val="none" w:sz="0" w:space="0" w:color="auto"/>
          </w:divBdr>
        </w:div>
        <w:div w:id="75641299">
          <w:marLeft w:val="0"/>
          <w:marRight w:val="0"/>
          <w:marTop w:val="0"/>
          <w:marBottom w:val="0"/>
          <w:divBdr>
            <w:top w:val="none" w:sz="0" w:space="0" w:color="auto"/>
            <w:left w:val="none" w:sz="0" w:space="0" w:color="auto"/>
            <w:bottom w:val="none" w:sz="0" w:space="0" w:color="auto"/>
            <w:right w:val="none" w:sz="0" w:space="0" w:color="auto"/>
          </w:divBdr>
        </w:div>
        <w:div w:id="172231269">
          <w:marLeft w:val="0"/>
          <w:marRight w:val="0"/>
          <w:marTop w:val="0"/>
          <w:marBottom w:val="0"/>
          <w:divBdr>
            <w:top w:val="none" w:sz="0" w:space="0" w:color="auto"/>
            <w:left w:val="none" w:sz="0" w:space="0" w:color="auto"/>
            <w:bottom w:val="none" w:sz="0" w:space="0" w:color="auto"/>
            <w:right w:val="none" w:sz="0" w:space="0" w:color="auto"/>
          </w:divBdr>
        </w:div>
        <w:div w:id="223178710">
          <w:marLeft w:val="0"/>
          <w:marRight w:val="0"/>
          <w:marTop w:val="0"/>
          <w:marBottom w:val="0"/>
          <w:divBdr>
            <w:top w:val="none" w:sz="0" w:space="0" w:color="auto"/>
            <w:left w:val="none" w:sz="0" w:space="0" w:color="auto"/>
            <w:bottom w:val="none" w:sz="0" w:space="0" w:color="auto"/>
            <w:right w:val="none" w:sz="0" w:space="0" w:color="auto"/>
          </w:divBdr>
        </w:div>
        <w:div w:id="234894954">
          <w:marLeft w:val="0"/>
          <w:marRight w:val="0"/>
          <w:marTop w:val="0"/>
          <w:marBottom w:val="0"/>
          <w:divBdr>
            <w:top w:val="none" w:sz="0" w:space="0" w:color="auto"/>
            <w:left w:val="none" w:sz="0" w:space="0" w:color="auto"/>
            <w:bottom w:val="none" w:sz="0" w:space="0" w:color="auto"/>
            <w:right w:val="none" w:sz="0" w:space="0" w:color="auto"/>
          </w:divBdr>
        </w:div>
        <w:div w:id="260571488">
          <w:marLeft w:val="0"/>
          <w:marRight w:val="0"/>
          <w:marTop w:val="0"/>
          <w:marBottom w:val="0"/>
          <w:divBdr>
            <w:top w:val="none" w:sz="0" w:space="0" w:color="auto"/>
            <w:left w:val="none" w:sz="0" w:space="0" w:color="auto"/>
            <w:bottom w:val="none" w:sz="0" w:space="0" w:color="auto"/>
            <w:right w:val="none" w:sz="0" w:space="0" w:color="auto"/>
          </w:divBdr>
        </w:div>
        <w:div w:id="321009689">
          <w:marLeft w:val="0"/>
          <w:marRight w:val="0"/>
          <w:marTop w:val="0"/>
          <w:marBottom w:val="0"/>
          <w:divBdr>
            <w:top w:val="none" w:sz="0" w:space="0" w:color="auto"/>
            <w:left w:val="none" w:sz="0" w:space="0" w:color="auto"/>
            <w:bottom w:val="none" w:sz="0" w:space="0" w:color="auto"/>
            <w:right w:val="none" w:sz="0" w:space="0" w:color="auto"/>
          </w:divBdr>
        </w:div>
        <w:div w:id="472139791">
          <w:marLeft w:val="0"/>
          <w:marRight w:val="0"/>
          <w:marTop w:val="0"/>
          <w:marBottom w:val="0"/>
          <w:divBdr>
            <w:top w:val="none" w:sz="0" w:space="0" w:color="auto"/>
            <w:left w:val="none" w:sz="0" w:space="0" w:color="auto"/>
            <w:bottom w:val="none" w:sz="0" w:space="0" w:color="auto"/>
            <w:right w:val="none" w:sz="0" w:space="0" w:color="auto"/>
          </w:divBdr>
        </w:div>
        <w:div w:id="546988325">
          <w:marLeft w:val="0"/>
          <w:marRight w:val="0"/>
          <w:marTop w:val="0"/>
          <w:marBottom w:val="0"/>
          <w:divBdr>
            <w:top w:val="none" w:sz="0" w:space="0" w:color="auto"/>
            <w:left w:val="none" w:sz="0" w:space="0" w:color="auto"/>
            <w:bottom w:val="none" w:sz="0" w:space="0" w:color="auto"/>
            <w:right w:val="none" w:sz="0" w:space="0" w:color="auto"/>
          </w:divBdr>
        </w:div>
        <w:div w:id="754668940">
          <w:marLeft w:val="0"/>
          <w:marRight w:val="0"/>
          <w:marTop w:val="0"/>
          <w:marBottom w:val="0"/>
          <w:divBdr>
            <w:top w:val="none" w:sz="0" w:space="0" w:color="auto"/>
            <w:left w:val="none" w:sz="0" w:space="0" w:color="auto"/>
            <w:bottom w:val="none" w:sz="0" w:space="0" w:color="auto"/>
            <w:right w:val="none" w:sz="0" w:space="0" w:color="auto"/>
          </w:divBdr>
        </w:div>
        <w:div w:id="1112237784">
          <w:marLeft w:val="0"/>
          <w:marRight w:val="0"/>
          <w:marTop w:val="0"/>
          <w:marBottom w:val="0"/>
          <w:divBdr>
            <w:top w:val="none" w:sz="0" w:space="0" w:color="auto"/>
            <w:left w:val="none" w:sz="0" w:space="0" w:color="auto"/>
            <w:bottom w:val="none" w:sz="0" w:space="0" w:color="auto"/>
            <w:right w:val="none" w:sz="0" w:space="0" w:color="auto"/>
          </w:divBdr>
        </w:div>
        <w:div w:id="1132748980">
          <w:marLeft w:val="0"/>
          <w:marRight w:val="0"/>
          <w:marTop w:val="0"/>
          <w:marBottom w:val="0"/>
          <w:divBdr>
            <w:top w:val="none" w:sz="0" w:space="0" w:color="auto"/>
            <w:left w:val="none" w:sz="0" w:space="0" w:color="auto"/>
            <w:bottom w:val="none" w:sz="0" w:space="0" w:color="auto"/>
            <w:right w:val="none" w:sz="0" w:space="0" w:color="auto"/>
          </w:divBdr>
        </w:div>
        <w:div w:id="1184587029">
          <w:marLeft w:val="0"/>
          <w:marRight w:val="0"/>
          <w:marTop w:val="0"/>
          <w:marBottom w:val="0"/>
          <w:divBdr>
            <w:top w:val="none" w:sz="0" w:space="0" w:color="auto"/>
            <w:left w:val="none" w:sz="0" w:space="0" w:color="auto"/>
            <w:bottom w:val="none" w:sz="0" w:space="0" w:color="auto"/>
            <w:right w:val="none" w:sz="0" w:space="0" w:color="auto"/>
          </w:divBdr>
        </w:div>
        <w:div w:id="1305162131">
          <w:marLeft w:val="0"/>
          <w:marRight w:val="0"/>
          <w:marTop w:val="0"/>
          <w:marBottom w:val="0"/>
          <w:divBdr>
            <w:top w:val="none" w:sz="0" w:space="0" w:color="auto"/>
            <w:left w:val="none" w:sz="0" w:space="0" w:color="auto"/>
            <w:bottom w:val="none" w:sz="0" w:space="0" w:color="auto"/>
            <w:right w:val="none" w:sz="0" w:space="0" w:color="auto"/>
          </w:divBdr>
        </w:div>
        <w:div w:id="1353798946">
          <w:marLeft w:val="0"/>
          <w:marRight w:val="0"/>
          <w:marTop w:val="0"/>
          <w:marBottom w:val="0"/>
          <w:divBdr>
            <w:top w:val="none" w:sz="0" w:space="0" w:color="auto"/>
            <w:left w:val="none" w:sz="0" w:space="0" w:color="auto"/>
            <w:bottom w:val="none" w:sz="0" w:space="0" w:color="auto"/>
            <w:right w:val="none" w:sz="0" w:space="0" w:color="auto"/>
          </w:divBdr>
        </w:div>
        <w:div w:id="1773427302">
          <w:marLeft w:val="0"/>
          <w:marRight w:val="0"/>
          <w:marTop w:val="0"/>
          <w:marBottom w:val="0"/>
          <w:divBdr>
            <w:top w:val="none" w:sz="0" w:space="0" w:color="auto"/>
            <w:left w:val="none" w:sz="0" w:space="0" w:color="auto"/>
            <w:bottom w:val="none" w:sz="0" w:space="0" w:color="auto"/>
            <w:right w:val="none" w:sz="0" w:space="0" w:color="auto"/>
          </w:divBdr>
        </w:div>
        <w:div w:id="2007896824">
          <w:marLeft w:val="0"/>
          <w:marRight w:val="0"/>
          <w:marTop w:val="0"/>
          <w:marBottom w:val="0"/>
          <w:divBdr>
            <w:top w:val="none" w:sz="0" w:space="0" w:color="auto"/>
            <w:left w:val="none" w:sz="0" w:space="0" w:color="auto"/>
            <w:bottom w:val="none" w:sz="0" w:space="0" w:color="auto"/>
            <w:right w:val="none" w:sz="0" w:space="0" w:color="auto"/>
          </w:divBdr>
        </w:div>
        <w:div w:id="2076928152">
          <w:marLeft w:val="0"/>
          <w:marRight w:val="0"/>
          <w:marTop w:val="0"/>
          <w:marBottom w:val="0"/>
          <w:divBdr>
            <w:top w:val="none" w:sz="0" w:space="0" w:color="auto"/>
            <w:left w:val="none" w:sz="0" w:space="0" w:color="auto"/>
            <w:bottom w:val="none" w:sz="0" w:space="0" w:color="auto"/>
            <w:right w:val="none" w:sz="0" w:space="0" w:color="auto"/>
          </w:divBdr>
        </w:div>
        <w:div w:id="2106074718">
          <w:marLeft w:val="0"/>
          <w:marRight w:val="0"/>
          <w:marTop w:val="0"/>
          <w:marBottom w:val="0"/>
          <w:divBdr>
            <w:top w:val="none" w:sz="0" w:space="0" w:color="auto"/>
            <w:left w:val="none" w:sz="0" w:space="0" w:color="auto"/>
            <w:bottom w:val="none" w:sz="0" w:space="0" w:color="auto"/>
            <w:right w:val="none" w:sz="0" w:space="0" w:color="auto"/>
          </w:divBdr>
        </w:div>
      </w:divsChild>
    </w:div>
    <w:div w:id="492179591">
      <w:bodyDiv w:val="1"/>
      <w:marLeft w:val="0"/>
      <w:marRight w:val="0"/>
      <w:marTop w:val="0"/>
      <w:marBottom w:val="0"/>
      <w:divBdr>
        <w:top w:val="none" w:sz="0" w:space="0" w:color="auto"/>
        <w:left w:val="none" w:sz="0" w:space="0" w:color="auto"/>
        <w:bottom w:val="none" w:sz="0" w:space="0" w:color="auto"/>
        <w:right w:val="none" w:sz="0" w:space="0" w:color="auto"/>
      </w:divBdr>
      <w:divsChild>
        <w:div w:id="1664433327">
          <w:marLeft w:val="0"/>
          <w:marRight w:val="0"/>
          <w:marTop w:val="0"/>
          <w:marBottom w:val="0"/>
          <w:divBdr>
            <w:top w:val="none" w:sz="0" w:space="0" w:color="auto"/>
            <w:left w:val="none" w:sz="0" w:space="0" w:color="auto"/>
            <w:bottom w:val="none" w:sz="0" w:space="0" w:color="auto"/>
            <w:right w:val="none" w:sz="0" w:space="0" w:color="auto"/>
          </w:divBdr>
        </w:div>
      </w:divsChild>
    </w:div>
    <w:div w:id="508523017">
      <w:bodyDiv w:val="1"/>
      <w:marLeft w:val="0"/>
      <w:marRight w:val="0"/>
      <w:marTop w:val="0"/>
      <w:marBottom w:val="0"/>
      <w:divBdr>
        <w:top w:val="none" w:sz="0" w:space="0" w:color="auto"/>
        <w:left w:val="none" w:sz="0" w:space="0" w:color="auto"/>
        <w:bottom w:val="none" w:sz="0" w:space="0" w:color="auto"/>
        <w:right w:val="none" w:sz="0" w:space="0" w:color="auto"/>
      </w:divBdr>
      <w:divsChild>
        <w:div w:id="88963">
          <w:marLeft w:val="0"/>
          <w:marRight w:val="0"/>
          <w:marTop w:val="0"/>
          <w:marBottom w:val="0"/>
          <w:divBdr>
            <w:top w:val="none" w:sz="0" w:space="0" w:color="auto"/>
            <w:left w:val="none" w:sz="0" w:space="0" w:color="auto"/>
            <w:bottom w:val="none" w:sz="0" w:space="0" w:color="auto"/>
            <w:right w:val="none" w:sz="0" w:space="0" w:color="auto"/>
          </w:divBdr>
        </w:div>
        <w:div w:id="132187368">
          <w:marLeft w:val="0"/>
          <w:marRight w:val="0"/>
          <w:marTop w:val="0"/>
          <w:marBottom w:val="0"/>
          <w:divBdr>
            <w:top w:val="none" w:sz="0" w:space="0" w:color="auto"/>
            <w:left w:val="none" w:sz="0" w:space="0" w:color="auto"/>
            <w:bottom w:val="none" w:sz="0" w:space="0" w:color="auto"/>
            <w:right w:val="none" w:sz="0" w:space="0" w:color="auto"/>
          </w:divBdr>
        </w:div>
        <w:div w:id="171385925">
          <w:marLeft w:val="0"/>
          <w:marRight w:val="0"/>
          <w:marTop w:val="0"/>
          <w:marBottom w:val="0"/>
          <w:divBdr>
            <w:top w:val="none" w:sz="0" w:space="0" w:color="auto"/>
            <w:left w:val="none" w:sz="0" w:space="0" w:color="auto"/>
            <w:bottom w:val="none" w:sz="0" w:space="0" w:color="auto"/>
            <w:right w:val="none" w:sz="0" w:space="0" w:color="auto"/>
          </w:divBdr>
        </w:div>
        <w:div w:id="567230814">
          <w:marLeft w:val="0"/>
          <w:marRight w:val="0"/>
          <w:marTop w:val="0"/>
          <w:marBottom w:val="0"/>
          <w:divBdr>
            <w:top w:val="none" w:sz="0" w:space="0" w:color="auto"/>
            <w:left w:val="none" w:sz="0" w:space="0" w:color="auto"/>
            <w:bottom w:val="none" w:sz="0" w:space="0" w:color="auto"/>
            <w:right w:val="none" w:sz="0" w:space="0" w:color="auto"/>
          </w:divBdr>
        </w:div>
        <w:div w:id="809324267">
          <w:marLeft w:val="0"/>
          <w:marRight w:val="0"/>
          <w:marTop w:val="0"/>
          <w:marBottom w:val="0"/>
          <w:divBdr>
            <w:top w:val="none" w:sz="0" w:space="0" w:color="auto"/>
            <w:left w:val="none" w:sz="0" w:space="0" w:color="auto"/>
            <w:bottom w:val="none" w:sz="0" w:space="0" w:color="auto"/>
            <w:right w:val="none" w:sz="0" w:space="0" w:color="auto"/>
          </w:divBdr>
        </w:div>
        <w:div w:id="920607183">
          <w:marLeft w:val="0"/>
          <w:marRight w:val="0"/>
          <w:marTop w:val="0"/>
          <w:marBottom w:val="0"/>
          <w:divBdr>
            <w:top w:val="none" w:sz="0" w:space="0" w:color="auto"/>
            <w:left w:val="none" w:sz="0" w:space="0" w:color="auto"/>
            <w:bottom w:val="none" w:sz="0" w:space="0" w:color="auto"/>
            <w:right w:val="none" w:sz="0" w:space="0" w:color="auto"/>
          </w:divBdr>
        </w:div>
        <w:div w:id="1010135058">
          <w:marLeft w:val="0"/>
          <w:marRight w:val="0"/>
          <w:marTop w:val="0"/>
          <w:marBottom w:val="0"/>
          <w:divBdr>
            <w:top w:val="none" w:sz="0" w:space="0" w:color="auto"/>
            <w:left w:val="none" w:sz="0" w:space="0" w:color="auto"/>
            <w:bottom w:val="none" w:sz="0" w:space="0" w:color="auto"/>
            <w:right w:val="none" w:sz="0" w:space="0" w:color="auto"/>
          </w:divBdr>
        </w:div>
        <w:div w:id="1137063153">
          <w:marLeft w:val="0"/>
          <w:marRight w:val="0"/>
          <w:marTop w:val="0"/>
          <w:marBottom w:val="0"/>
          <w:divBdr>
            <w:top w:val="none" w:sz="0" w:space="0" w:color="auto"/>
            <w:left w:val="none" w:sz="0" w:space="0" w:color="auto"/>
            <w:bottom w:val="none" w:sz="0" w:space="0" w:color="auto"/>
            <w:right w:val="none" w:sz="0" w:space="0" w:color="auto"/>
          </w:divBdr>
        </w:div>
        <w:div w:id="1186215337">
          <w:marLeft w:val="0"/>
          <w:marRight w:val="0"/>
          <w:marTop w:val="0"/>
          <w:marBottom w:val="0"/>
          <w:divBdr>
            <w:top w:val="none" w:sz="0" w:space="0" w:color="auto"/>
            <w:left w:val="none" w:sz="0" w:space="0" w:color="auto"/>
            <w:bottom w:val="none" w:sz="0" w:space="0" w:color="auto"/>
            <w:right w:val="none" w:sz="0" w:space="0" w:color="auto"/>
          </w:divBdr>
        </w:div>
      </w:divsChild>
    </w:div>
    <w:div w:id="516500227">
      <w:bodyDiv w:val="1"/>
      <w:marLeft w:val="0"/>
      <w:marRight w:val="0"/>
      <w:marTop w:val="0"/>
      <w:marBottom w:val="0"/>
      <w:divBdr>
        <w:top w:val="none" w:sz="0" w:space="0" w:color="auto"/>
        <w:left w:val="none" w:sz="0" w:space="0" w:color="auto"/>
        <w:bottom w:val="none" w:sz="0" w:space="0" w:color="auto"/>
        <w:right w:val="none" w:sz="0" w:space="0" w:color="auto"/>
      </w:divBdr>
    </w:div>
    <w:div w:id="526606669">
      <w:bodyDiv w:val="1"/>
      <w:marLeft w:val="0"/>
      <w:marRight w:val="0"/>
      <w:marTop w:val="0"/>
      <w:marBottom w:val="0"/>
      <w:divBdr>
        <w:top w:val="none" w:sz="0" w:space="0" w:color="auto"/>
        <w:left w:val="none" w:sz="0" w:space="0" w:color="auto"/>
        <w:bottom w:val="none" w:sz="0" w:space="0" w:color="auto"/>
        <w:right w:val="none" w:sz="0" w:space="0" w:color="auto"/>
      </w:divBdr>
    </w:div>
    <w:div w:id="532306010">
      <w:bodyDiv w:val="1"/>
      <w:marLeft w:val="0"/>
      <w:marRight w:val="0"/>
      <w:marTop w:val="0"/>
      <w:marBottom w:val="0"/>
      <w:divBdr>
        <w:top w:val="none" w:sz="0" w:space="0" w:color="auto"/>
        <w:left w:val="none" w:sz="0" w:space="0" w:color="auto"/>
        <w:bottom w:val="none" w:sz="0" w:space="0" w:color="auto"/>
        <w:right w:val="none" w:sz="0" w:space="0" w:color="auto"/>
      </w:divBdr>
    </w:div>
    <w:div w:id="538324720">
      <w:bodyDiv w:val="1"/>
      <w:marLeft w:val="0"/>
      <w:marRight w:val="0"/>
      <w:marTop w:val="0"/>
      <w:marBottom w:val="0"/>
      <w:divBdr>
        <w:top w:val="none" w:sz="0" w:space="0" w:color="auto"/>
        <w:left w:val="none" w:sz="0" w:space="0" w:color="auto"/>
        <w:bottom w:val="none" w:sz="0" w:space="0" w:color="auto"/>
        <w:right w:val="none" w:sz="0" w:space="0" w:color="auto"/>
      </w:divBdr>
    </w:div>
    <w:div w:id="558904784">
      <w:bodyDiv w:val="1"/>
      <w:marLeft w:val="0"/>
      <w:marRight w:val="0"/>
      <w:marTop w:val="0"/>
      <w:marBottom w:val="0"/>
      <w:divBdr>
        <w:top w:val="none" w:sz="0" w:space="0" w:color="auto"/>
        <w:left w:val="none" w:sz="0" w:space="0" w:color="auto"/>
        <w:bottom w:val="none" w:sz="0" w:space="0" w:color="auto"/>
        <w:right w:val="none" w:sz="0" w:space="0" w:color="auto"/>
      </w:divBdr>
    </w:div>
    <w:div w:id="570232835">
      <w:bodyDiv w:val="1"/>
      <w:marLeft w:val="0"/>
      <w:marRight w:val="0"/>
      <w:marTop w:val="0"/>
      <w:marBottom w:val="0"/>
      <w:divBdr>
        <w:top w:val="none" w:sz="0" w:space="0" w:color="auto"/>
        <w:left w:val="none" w:sz="0" w:space="0" w:color="auto"/>
        <w:bottom w:val="none" w:sz="0" w:space="0" w:color="auto"/>
        <w:right w:val="none" w:sz="0" w:space="0" w:color="auto"/>
      </w:divBdr>
    </w:div>
    <w:div w:id="578176782">
      <w:bodyDiv w:val="1"/>
      <w:marLeft w:val="0"/>
      <w:marRight w:val="0"/>
      <w:marTop w:val="0"/>
      <w:marBottom w:val="0"/>
      <w:divBdr>
        <w:top w:val="none" w:sz="0" w:space="0" w:color="auto"/>
        <w:left w:val="none" w:sz="0" w:space="0" w:color="auto"/>
        <w:bottom w:val="none" w:sz="0" w:space="0" w:color="auto"/>
        <w:right w:val="none" w:sz="0" w:space="0" w:color="auto"/>
      </w:divBdr>
      <w:divsChild>
        <w:div w:id="802236615">
          <w:marLeft w:val="0"/>
          <w:marRight w:val="0"/>
          <w:marTop w:val="0"/>
          <w:marBottom w:val="240"/>
          <w:divBdr>
            <w:top w:val="none" w:sz="0" w:space="0" w:color="auto"/>
            <w:left w:val="none" w:sz="0" w:space="0" w:color="auto"/>
            <w:bottom w:val="none" w:sz="0" w:space="0" w:color="auto"/>
            <w:right w:val="none" w:sz="0" w:space="0" w:color="auto"/>
          </w:divBdr>
        </w:div>
        <w:div w:id="1617519510">
          <w:marLeft w:val="0"/>
          <w:marRight w:val="0"/>
          <w:marTop w:val="0"/>
          <w:marBottom w:val="240"/>
          <w:divBdr>
            <w:top w:val="none" w:sz="0" w:space="0" w:color="auto"/>
            <w:left w:val="none" w:sz="0" w:space="0" w:color="auto"/>
            <w:bottom w:val="none" w:sz="0" w:space="0" w:color="auto"/>
            <w:right w:val="none" w:sz="0" w:space="0" w:color="auto"/>
          </w:divBdr>
        </w:div>
        <w:div w:id="1651402842">
          <w:marLeft w:val="0"/>
          <w:marRight w:val="0"/>
          <w:marTop w:val="0"/>
          <w:marBottom w:val="240"/>
          <w:divBdr>
            <w:top w:val="none" w:sz="0" w:space="0" w:color="auto"/>
            <w:left w:val="none" w:sz="0" w:space="0" w:color="auto"/>
            <w:bottom w:val="none" w:sz="0" w:space="0" w:color="auto"/>
            <w:right w:val="none" w:sz="0" w:space="0" w:color="auto"/>
          </w:divBdr>
        </w:div>
      </w:divsChild>
    </w:div>
    <w:div w:id="587082782">
      <w:bodyDiv w:val="1"/>
      <w:marLeft w:val="0"/>
      <w:marRight w:val="0"/>
      <w:marTop w:val="0"/>
      <w:marBottom w:val="0"/>
      <w:divBdr>
        <w:top w:val="none" w:sz="0" w:space="0" w:color="auto"/>
        <w:left w:val="none" w:sz="0" w:space="0" w:color="auto"/>
        <w:bottom w:val="none" w:sz="0" w:space="0" w:color="auto"/>
        <w:right w:val="none" w:sz="0" w:space="0" w:color="auto"/>
      </w:divBdr>
      <w:divsChild>
        <w:div w:id="160899772">
          <w:marLeft w:val="0"/>
          <w:marRight w:val="0"/>
          <w:marTop w:val="0"/>
          <w:marBottom w:val="0"/>
          <w:divBdr>
            <w:top w:val="none" w:sz="0" w:space="0" w:color="auto"/>
            <w:left w:val="none" w:sz="0" w:space="0" w:color="auto"/>
            <w:bottom w:val="none" w:sz="0" w:space="0" w:color="auto"/>
            <w:right w:val="none" w:sz="0" w:space="0" w:color="auto"/>
          </w:divBdr>
        </w:div>
        <w:div w:id="266162737">
          <w:marLeft w:val="0"/>
          <w:marRight w:val="0"/>
          <w:marTop w:val="0"/>
          <w:marBottom w:val="0"/>
          <w:divBdr>
            <w:top w:val="none" w:sz="0" w:space="0" w:color="auto"/>
            <w:left w:val="none" w:sz="0" w:space="0" w:color="auto"/>
            <w:bottom w:val="none" w:sz="0" w:space="0" w:color="auto"/>
            <w:right w:val="none" w:sz="0" w:space="0" w:color="auto"/>
          </w:divBdr>
        </w:div>
        <w:div w:id="391126055">
          <w:marLeft w:val="0"/>
          <w:marRight w:val="0"/>
          <w:marTop w:val="0"/>
          <w:marBottom w:val="0"/>
          <w:divBdr>
            <w:top w:val="none" w:sz="0" w:space="0" w:color="auto"/>
            <w:left w:val="none" w:sz="0" w:space="0" w:color="auto"/>
            <w:bottom w:val="none" w:sz="0" w:space="0" w:color="auto"/>
            <w:right w:val="none" w:sz="0" w:space="0" w:color="auto"/>
          </w:divBdr>
        </w:div>
        <w:div w:id="428431244">
          <w:marLeft w:val="0"/>
          <w:marRight w:val="0"/>
          <w:marTop w:val="0"/>
          <w:marBottom w:val="0"/>
          <w:divBdr>
            <w:top w:val="none" w:sz="0" w:space="0" w:color="auto"/>
            <w:left w:val="none" w:sz="0" w:space="0" w:color="auto"/>
            <w:bottom w:val="none" w:sz="0" w:space="0" w:color="auto"/>
            <w:right w:val="none" w:sz="0" w:space="0" w:color="auto"/>
          </w:divBdr>
        </w:div>
        <w:div w:id="638337432">
          <w:marLeft w:val="0"/>
          <w:marRight w:val="0"/>
          <w:marTop w:val="0"/>
          <w:marBottom w:val="0"/>
          <w:divBdr>
            <w:top w:val="none" w:sz="0" w:space="0" w:color="auto"/>
            <w:left w:val="none" w:sz="0" w:space="0" w:color="auto"/>
            <w:bottom w:val="none" w:sz="0" w:space="0" w:color="auto"/>
            <w:right w:val="none" w:sz="0" w:space="0" w:color="auto"/>
          </w:divBdr>
        </w:div>
        <w:div w:id="933243192">
          <w:marLeft w:val="0"/>
          <w:marRight w:val="0"/>
          <w:marTop w:val="0"/>
          <w:marBottom w:val="0"/>
          <w:divBdr>
            <w:top w:val="none" w:sz="0" w:space="0" w:color="auto"/>
            <w:left w:val="none" w:sz="0" w:space="0" w:color="auto"/>
            <w:bottom w:val="none" w:sz="0" w:space="0" w:color="auto"/>
            <w:right w:val="none" w:sz="0" w:space="0" w:color="auto"/>
          </w:divBdr>
        </w:div>
        <w:div w:id="1025136823">
          <w:marLeft w:val="0"/>
          <w:marRight w:val="0"/>
          <w:marTop w:val="0"/>
          <w:marBottom w:val="0"/>
          <w:divBdr>
            <w:top w:val="none" w:sz="0" w:space="0" w:color="auto"/>
            <w:left w:val="none" w:sz="0" w:space="0" w:color="auto"/>
            <w:bottom w:val="none" w:sz="0" w:space="0" w:color="auto"/>
            <w:right w:val="none" w:sz="0" w:space="0" w:color="auto"/>
          </w:divBdr>
        </w:div>
        <w:div w:id="1305618937">
          <w:marLeft w:val="0"/>
          <w:marRight w:val="0"/>
          <w:marTop w:val="0"/>
          <w:marBottom w:val="0"/>
          <w:divBdr>
            <w:top w:val="none" w:sz="0" w:space="0" w:color="auto"/>
            <w:left w:val="none" w:sz="0" w:space="0" w:color="auto"/>
            <w:bottom w:val="none" w:sz="0" w:space="0" w:color="auto"/>
            <w:right w:val="none" w:sz="0" w:space="0" w:color="auto"/>
          </w:divBdr>
        </w:div>
        <w:div w:id="1306593388">
          <w:marLeft w:val="0"/>
          <w:marRight w:val="0"/>
          <w:marTop w:val="0"/>
          <w:marBottom w:val="0"/>
          <w:divBdr>
            <w:top w:val="none" w:sz="0" w:space="0" w:color="auto"/>
            <w:left w:val="none" w:sz="0" w:space="0" w:color="auto"/>
            <w:bottom w:val="none" w:sz="0" w:space="0" w:color="auto"/>
            <w:right w:val="none" w:sz="0" w:space="0" w:color="auto"/>
          </w:divBdr>
        </w:div>
      </w:divsChild>
    </w:div>
    <w:div w:id="611207119">
      <w:bodyDiv w:val="1"/>
      <w:marLeft w:val="0"/>
      <w:marRight w:val="0"/>
      <w:marTop w:val="0"/>
      <w:marBottom w:val="0"/>
      <w:divBdr>
        <w:top w:val="none" w:sz="0" w:space="0" w:color="auto"/>
        <w:left w:val="none" w:sz="0" w:space="0" w:color="auto"/>
        <w:bottom w:val="none" w:sz="0" w:space="0" w:color="auto"/>
        <w:right w:val="none" w:sz="0" w:space="0" w:color="auto"/>
      </w:divBdr>
    </w:div>
    <w:div w:id="619455063">
      <w:bodyDiv w:val="1"/>
      <w:marLeft w:val="0"/>
      <w:marRight w:val="0"/>
      <w:marTop w:val="0"/>
      <w:marBottom w:val="0"/>
      <w:divBdr>
        <w:top w:val="none" w:sz="0" w:space="0" w:color="auto"/>
        <w:left w:val="none" w:sz="0" w:space="0" w:color="auto"/>
        <w:bottom w:val="none" w:sz="0" w:space="0" w:color="auto"/>
        <w:right w:val="none" w:sz="0" w:space="0" w:color="auto"/>
      </w:divBdr>
    </w:div>
    <w:div w:id="626661749">
      <w:bodyDiv w:val="1"/>
      <w:marLeft w:val="0"/>
      <w:marRight w:val="0"/>
      <w:marTop w:val="0"/>
      <w:marBottom w:val="0"/>
      <w:divBdr>
        <w:top w:val="none" w:sz="0" w:space="0" w:color="auto"/>
        <w:left w:val="none" w:sz="0" w:space="0" w:color="auto"/>
        <w:bottom w:val="none" w:sz="0" w:space="0" w:color="auto"/>
        <w:right w:val="none" w:sz="0" w:space="0" w:color="auto"/>
      </w:divBdr>
      <w:divsChild>
        <w:div w:id="2019774614">
          <w:marLeft w:val="0"/>
          <w:marRight w:val="0"/>
          <w:marTop w:val="0"/>
          <w:marBottom w:val="0"/>
          <w:divBdr>
            <w:top w:val="none" w:sz="0" w:space="0" w:color="auto"/>
            <w:left w:val="none" w:sz="0" w:space="0" w:color="auto"/>
            <w:bottom w:val="none" w:sz="0" w:space="0" w:color="auto"/>
            <w:right w:val="none" w:sz="0" w:space="0" w:color="auto"/>
          </w:divBdr>
        </w:div>
      </w:divsChild>
    </w:div>
    <w:div w:id="656761431">
      <w:bodyDiv w:val="1"/>
      <w:marLeft w:val="0"/>
      <w:marRight w:val="0"/>
      <w:marTop w:val="0"/>
      <w:marBottom w:val="0"/>
      <w:divBdr>
        <w:top w:val="none" w:sz="0" w:space="0" w:color="auto"/>
        <w:left w:val="none" w:sz="0" w:space="0" w:color="auto"/>
        <w:bottom w:val="none" w:sz="0" w:space="0" w:color="auto"/>
        <w:right w:val="none" w:sz="0" w:space="0" w:color="auto"/>
      </w:divBdr>
      <w:divsChild>
        <w:div w:id="1615480851">
          <w:marLeft w:val="0"/>
          <w:marRight w:val="0"/>
          <w:marTop w:val="0"/>
          <w:marBottom w:val="0"/>
          <w:divBdr>
            <w:top w:val="none" w:sz="0" w:space="0" w:color="auto"/>
            <w:left w:val="none" w:sz="0" w:space="0" w:color="auto"/>
            <w:bottom w:val="none" w:sz="0" w:space="0" w:color="auto"/>
            <w:right w:val="none" w:sz="0" w:space="0" w:color="auto"/>
          </w:divBdr>
        </w:div>
      </w:divsChild>
    </w:div>
    <w:div w:id="673532101">
      <w:bodyDiv w:val="1"/>
      <w:marLeft w:val="0"/>
      <w:marRight w:val="0"/>
      <w:marTop w:val="0"/>
      <w:marBottom w:val="0"/>
      <w:divBdr>
        <w:top w:val="none" w:sz="0" w:space="0" w:color="auto"/>
        <w:left w:val="none" w:sz="0" w:space="0" w:color="auto"/>
        <w:bottom w:val="none" w:sz="0" w:space="0" w:color="auto"/>
        <w:right w:val="none" w:sz="0" w:space="0" w:color="auto"/>
      </w:divBdr>
    </w:div>
    <w:div w:id="680744408">
      <w:bodyDiv w:val="1"/>
      <w:marLeft w:val="0"/>
      <w:marRight w:val="0"/>
      <w:marTop w:val="0"/>
      <w:marBottom w:val="0"/>
      <w:divBdr>
        <w:top w:val="none" w:sz="0" w:space="0" w:color="auto"/>
        <w:left w:val="none" w:sz="0" w:space="0" w:color="auto"/>
        <w:bottom w:val="none" w:sz="0" w:space="0" w:color="auto"/>
        <w:right w:val="none" w:sz="0" w:space="0" w:color="auto"/>
      </w:divBdr>
    </w:div>
    <w:div w:id="687952387">
      <w:bodyDiv w:val="1"/>
      <w:marLeft w:val="0"/>
      <w:marRight w:val="0"/>
      <w:marTop w:val="0"/>
      <w:marBottom w:val="0"/>
      <w:divBdr>
        <w:top w:val="none" w:sz="0" w:space="0" w:color="auto"/>
        <w:left w:val="none" w:sz="0" w:space="0" w:color="auto"/>
        <w:bottom w:val="none" w:sz="0" w:space="0" w:color="auto"/>
        <w:right w:val="none" w:sz="0" w:space="0" w:color="auto"/>
      </w:divBdr>
    </w:div>
    <w:div w:id="747964405">
      <w:bodyDiv w:val="1"/>
      <w:marLeft w:val="0"/>
      <w:marRight w:val="0"/>
      <w:marTop w:val="0"/>
      <w:marBottom w:val="0"/>
      <w:divBdr>
        <w:top w:val="none" w:sz="0" w:space="0" w:color="auto"/>
        <w:left w:val="none" w:sz="0" w:space="0" w:color="auto"/>
        <w:bottom w:val="none" w:sz="0" w:space="0" w:color="auto"/>
        <w:right w:val="none" w:sz="0" w:space="0" w:color="auto"/>
      </w:divBdr>
    </w:div>
    <w:div w:id="758210087">
      <w:bodyDiv w:val="1"/>
      <w:marLeft w:val="0"/>
      <w:marRight w:val="0"/>
      <w:marTop w:val="0"/>
      <w:marBottom w:val="0"/>
      <w:divBdr>
        <w:top w:val="none" w:sz="0" w:space="0" w:color="auto"/>
        <w:left w:val="none" w:sz="0" w:space="0" w:color="auto"/>
        <w:bottom w:val="none" w:sz="0" w:space="0" w:color="auto"/>
        <w:right w:val="none" w:sz="0" w:space="0" w:color="auto"/>
      </w:divBdr>
    </w:div>
    <w:div w:id="767701514">
      <w:bodyDiv w:val="1"/>
      <w:marLeft w:val="0"/>
      <w:marRight w:val="0"/>
      <w:marTop w:val="0"/>
      <w:marBottom w:val="0"/>
      <w:divBdr>
        <w:top w:val="none" w:sz="0" w:space="0" w:color="auto"/>
        <w:left w:val="none" w:sz="0" w:space="0" w:color="auto"/>
        <w:bottom w:val="none" w:sz="0" w:space="0" w:color="auto"/>
        <w:right w:val="none" w:sz="0" w:space="0" w:color="auto"/>
      </w:divBdr>
      <w:divsChild>
        <w:div w:id="153837635">
          <w:marLeft w:val="0"/>
          <w:marRight w:val="0"/>
          <w:marTop w:val="0"/>
          <w:marBottom w:val="0"/>
          <w:divBdr>
            <w:top w:val="none" w:sz="0" w:space="0" w:color="auto"/>
            <w:left w:val="none" w:sz="0" w:space="0" w:color="auto"/>
            <w:bottom w:val="none" w:sz="0" w:space="0" w:color="auto"/>
            <w:right w:val="none" w:sz="0" w:space="0" w:color="auto"/>
          </w:divBdr>
        </w:div>
        <w:div w:id="479274810">
          <w:marLeft w:val="0"/>
          <w:marRight w:val="0"/>
          <w:marTop w:val="0"/>
          <w:marBottom w:val="0"/>
          <w:divBdr>
            <w:top w:val="none" w:sz="0" w:space="0" w:color="auto"/>
            <w:left w:val="none" w:sz="0" w:space="0" w:color="auto"/>
            <w:bottom w:val="none" w:sz="0" w:space="0" w:color="auto"/>
            <w:right w:val="none" w:sz="0" w:space="0" w:color="auto"/>
          </w:divBdr>
        </w:div>
        <w:div w:id="710541583">
          <w:marLeft w:val="0"/>
          <w:marRight w:val="0"/>
          <w:marTop w:val="0"/>
          <w:marBottom w:val="0"/>
          <w:divBdr>
            <w:top w:val="none" w:sz="0" w:space="0" w:color="auto"/>
            <w:left w:val="none" w:sz="0" w:space="0" w:color="auto"/>
            <w:bottom w:val="none" w:sz="0" w:space="0" w:color="auto"/>
            <w:right w:val="none" w:sz="0" w:space="0" w:color="auto"/>
          </w:divBdr>
          <w:divsChild>
            <w:div w:id="21403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4684">
      <w:bodyDiv w:val="1"/>
      <w:marLeft w:val="0"/>
      <w:marRight w:val="0"/>
      <w:marTop w:val="0"/>
      <w:marBottom w:val="0"/>
      <w:divBdr>
        <w:top w:val="none" w:sz="0" w:space="0" w:color="auto"/>
        <w:left w:val="none" w:sz="0" w:space="0" w:color="auto"/>
        <w:bottom w:val="none" w:sz="0" w:space="0" w:color="auto"/>
        <w:right w:val="none" w:sz="0" w:space="0" w:color="auto"/>
      </w:divBdr>
    </w:div>
    <w:div w:id="820123885">
      <w:bodyDiv w:val="1"/>
      <w:marLeft w:val="0"/>
      <w:marRight w:val="0"/>
      <w:marTop w:val="0"/>
      <w:marBottom w:val="0"/>
      <w:divBdr>
        <w:top w:val="none" w:sz="0" w:space="0" w:color="auto"/>
        <w:left w:val="none" w:sz="0" w:space="0" w:color="auto"/>
        <w:bottom w:val="none" w:sz="0" w:space="0" w:color="auto"/>
        <w:right w:val="none" w:sz="0" w:space="0" w:color="auto"/>
      </w:divBdr>
    </w:div>
    <w:div w:id="829128667">
      <w:bodyDiv w:val="1"/>
      <w:marLeft w:val="0"/>
      <w:marRight w:val="0"/>
      <w:marTop w:val="0"/>
      <w:marBottom w:val="0"/>
      <w:divBdr>
        <w:top w:val="none" w:sz="0" w:space="0" w:color="auto"/>
        <w:left w:val="none" w:sz="0" w:space="0" w:color="auto"/>
        <w:bottom w:val="none" w:sz="0" w:space="0" w:color="auto"/>
        <w:right w:val="none" w:sz="0" w:space="0" w:color="auto"/>
      </w:divBdr>
      <w:divsChild>
        <w:div w:id="1378894747">
          <w:marLeft w:val="0"/>
          <w:marRight w:val="0"/>
          <w:marTop w:val="0"/>
          <w:marBottom w:val="0"/>
          <w:divBdr>
            <w:top w:val="none" w:sz="0" w:space="0" w:color="auto"/>
            <w:left w:val="none" w:sz="0" w:space="0" w:color="auto"/>
            <w:bottom w:val="none" w:sz="0" w:space="0" w:color="auto"/>
            <w:right w:val="none" w:sz="0" w:space="0" w:color="auto"/>
          </w:divBdr>
        </w:div>
      </w:divsChild>
    </w:div>
    <w:div w:id="854728614">
      <w:bodyDiv w:val="1"/>
      <w:marLeft w:val="0"/>
      <w:marRight w:val="0"/>
      <w:marTop w:val="0"/>
      <w:marBottom w:val="0"/>
      <w:divBdr>
        <w:top w:val="none" w:sz="0" w:space="0" w:color="auto"/>
        <w:left w:val="none" w:sz="0" w:space="0" w:color="auto"/>
        <w:bottom w:val="none" w:sz="0" w:space="0" w:color="auto"/>
        <w:right w:val="none" w:sz="0" w:space="0" w:color="auto"/>
      </w:divBdr>
    </w:div>
    <w:div w:id="892618678">
      <w:bodyDiv w:val="1"/>
      <w:marLeft w:val="0"/>
      <w:marRight w:val="0"/>
      <w:marTop w:val="0"/>
      <w:marBottom w:val="0"/>
      <w:divBdr>
        <w:top w:val="none" w:sz="0" w:space="0" w:color="auto"/>
        <w:left w:val="none" w:sz="0" w:space="0" w:color="auto"/>
        <w:bottom w:val="none" w:sz="0" w:space="0" w:color="auto"/>
        <w:right w:val="none" w:sz="0" w:space="0" w:color="auto"/>
      </w:divBdr>
    </w:div>
    <w:div w:id="915748988">
      <w:bodyDiv w:val="1"/>
      <w:marLeft w:val="0"/>
      <w:marRight w:val="0"/>
      <w:marTop w:val="0"/>
      <w:marBottom w:val="0"/>
      <w:divBdr>
        <w:top w:val="none" w:sz="0" w:space="0" w:color="auto"/>
        <w:left w:val="none" w:sz="0" w:space="0" w:color="auto"/>
        <w:bottom w:val="none" w:sz="0" w:space="0" w:color="auto"/>
        <w:right w:val="none" w:sz="0" w:space="0" w:color="auto"/>
      </w:divBdr>
    </w:div>
    <w:div w:id="938177593">
      <w:bodyDiv w:val="1"/>
      <w:marLeft w:val="0"/>
      <w:marRight w:val="0"/>
      <w:marTop w:val="0"/>
      <w:marBottom w:val="0"/>
      <w:divBdr>
        <w:top w:val="none" w:sz="0" w:space="0" w:color="auto"/>
        <w:left w:val="none" w:sz="0" w:space="0" w:color="auto"/>
        <w:bottom w:val="none" w:sz="0" w:space="0" w:color="auto"/>
        <w:right w:val="none" w:sz="0" w:space="0" w:color="auto"/>
      </w:divBdr>
    </w:div>
    <w:div w:id="972753634">
      <w:bodyDiv w:val="1"/>
      <w:marLeft w:val="0"/>
      <w:marRight w:val="0"/>
      <w:marTop w:val="0"/>
      <w:marBottom w:val="0"/>
      <w:divBdr>
        <w:top w:val="none" w:sz="0" w:space="0" w:color="auto"/>
        <w:left w:val="none" w:sz="0" w:space="0" w:color="auto"/>
        <w:bottom w:val="none" w:sz="0" w:space="0" w:color="auto"/>
        <w:right w:val="none" w:sz="0" w:space="0" w:color="auto"/>
      </w:divBdr>
    </w:div>
    <w:div w:id="1005479516">
      <w:bodyDiv w:val="1"/>
      <w:marLeft w:val="0"/>
      <w:marRight w:val="0"/>
      <w:marTop w:val="0"/>
      <w:marBottom w:val="0"/>
      <w:divBdr>
        <w:top w:val="none" w:sz="0" w:space="0" w:color="auto"/>
        <w:left w:val="none" w:sz="0" w:space="0" w:color="auto"/>
        <w:bottom w:val="none" w:sz="0" w:space="0" w:color="auto"/>
        <w:right w:val="none" w:sz="0" w:space="0" w:color="auto"/>
      </w:divBdr>
    </w:div>
    <w:div w:id="1034884178">
      <w:bodyDiv w:val="1"/>
      <w:marLeft w:val="0"/>
      <w:marRight w:val="0"/>
      <w:marTop w:val="0"/>
      <w:marBottom w:val="0"/>
      <w:divBdr>
        <w:top w:val="none" w:sz="0" w:space="0" w:color="auto"/>
        <w:left w:val="none" w:sz="0" w:space="0" w:color="auto"/>
        <w:bottom w:val="none" w:sz="0" w:space="0" w:color="auto"/>
        <w:right w:val="none" w:sz="0" w:space="0" w:color="auto"/>
      </w:divBdr>
      <w:divsChild>
        <w:div w:id="342896221">
          <w:marLeft w:val="0"/>
          <w:marRight w:val="0"/>
          <w:marTop w:val="0"/>
          <w:marBottom w:val="0"/>
          <w:divBdr>
            <w:top w:val="none" w:sz="0" w:space="0" w:color="auto"/>
            <w:left w:val="none" w:sz="0" w:space="0" w:color="auto"/>
            <w:bottom w:val="none" w:sz="0" w:space="0" w:color="auto"/>
            <w:right w:val="none" w:sz="0" w:space="0" w:color="auto"/>
          </w:divBdr>
        </w:div>
      </w:divsChild>
    </w:div>
    <w:div w:id="1041176031">
      <w:bodyDiv w:val="1"/>
      <w:marLeft w:val="0"/>
      <w:marRight w:val="0"/>
      <w:marTop w:val="0"/>
      <w:marBottom w:val="0"/>
      <w:divBdr>
        <w:top w:val="none" w:sz="0" w:space="0" w:color="auto"/>
        <w:left w:val="none" w:sz="0" w:space="0" w:color="auto"/>
        <w:bottom w:val="none" w:sz="0" w:space="0" w:color="auto"/>
        <w:right w:val="none" w:sz="0" w:space="0" w:color="auto"/>
      </w:divBdr>
    </w:div>
    <w:div w:id="1044019951">
      <w:bodyDiv w:val="1"/>
      <w:marLeft w:val="0"/>
      <w:marRight w:val="0"/>
      <w:marTop w:val="0"/>
      <w:marBottom w:val="0"/>
      <w:divBdr>
        <w:top w:val="none" w:sz="0" w:space="0" w:color="auto"/>
        <w:left w:val="none" w:sz="0" w:space="0" w:color="auto"/>
        <w:bottom w:val="none" w:sz="0" w:space="0" w:color="auto"/>
        <w:right w:val="none" w:sz="0" w:space="0" w:color="auto"/>
      </w:divBdr>
    </w:div>
    <w:div w:id="1062607021">
      <w:bodyDiv w:val="1"/>
      <w:marLeft w:val="0"/>
      <w:marRight w:val="0"/>
      <w:marTop w:val="0"/>
      <w:marBottom w:val="0"/>
      <w:divBdr>
        <w:top w:val="none" w:sz="0" w:space="0" w:color="auto"/>
        <w:left w:val="none" w:sz="0" w:space="0" w:color="auto"/>
        <w:bottom w:val="none" w:sz="0" w:space="0" w:color="auto"/>
        <w:right w:val="none" w:sz="0" w:space="0" w:color="auto"/>
      </w:divBdr>
      <w:divsChild>
        <w:div w:id="315957592">
          <w:marLeft w:val="0"/>
          <w:marRight w:val="0"/>
          <w:marTop w:val="0"/>
          <w:marBottom w:val="0"/>
          <w:divBdr>
            <w:top w:val="none" w:sz="0" w:space="0" w:color="auto"/>
            <w:left w:val="none" w:sz="0" w:space="0" w:color="auto"/>
            <w:bottom w:val="none" w:sz="0" w:space="0" w:color="auto"/>
            <w:right w:val="none" w:sz="0" w:space="0" w:color="auto"/>
          </w:divBdr>
        </w:div>
        <w:div w:id="429547703">
          <w:marLeft w:val="0"/>
          <w:marRight w:val="0"/>
          <w:marTop w:val="0"/>
          <w:marBottom w:val="0"/>
          <w:divBdr>
            <w:top w:val="none" w:sz="0" w:space="0" w:color="auto"/>
            <w:left w:val="none" w:sz="0" w:space="0" w:color="auto"/>
            <w:bottom w:val="none" w:sz="0" w:space="0" w:color="auto"/>
            <w:right w:val="none" w:sz="0" w:space="0" w:color="auto"/>
          </w:divBdr>
        </w:div>
        <w:div w:id="463811273">
          <w:marLeft w:val="0"/>
          <w:marRight w:val="0"/>
          <w:marTop w:val="0"/>
          <w:marBottom w:val="0"/>
          <w:divBdr>
            <w:top w:val="none" w:sz="0" w:space="0" w:color="auto"/>
            <w:left w:val="none" w:sz="0" w:space="0" w:color="auto"/>
            <w:bottom w:val="none" w:sz="0" w:space="0" w:color="auto"/>
            <w:right w:val="none" w:sz="0" w:space="0" w:color="auto"/>
          </w:divBdr>
        </w:div>
        <w:div w:id="740180395">
          <w:marLeft w:val="0"/>
          <w:marRight w:val="0"/>
          <w:marTop w:val="0"/>
          <w:marBottom w:val="0"/>
          <w:divBdr>
            <w:top w:val="none" w:sz="0" w:space="0" w:color="auto"/>
            <w:left w:val="none" w:sz="0" w:space="0" w:color="auto"/>
            <w:bottom w:val="none" w:sz="0" w:space="0" w:color="auto"/>
            <w:right w:val="none" w:sz="0" w:space="0" w:color="auto"/>
          </w:divBdr>
        </w:div>
        <w:div w:id="798574932">
          <w:marLeft w:val="0"/>
          <w:marRight w:val="0"/>
          <w:marTop w:val="0"/>
          <w:marBottom w:val="0"/>
          <w:divBdr>
            <w:top w:val="none" w:sz="0" w:space="0" w:color="auto"/>
            <w:left w:val="none" w:sz="0" w:space="0" w:color="auto"/>
            <w:bottom w:val="none" w:sz="0" w:space="0" w:color="auto"/>
            <w:right w:val="none" w:sz="0" w:space="0" w:color="auto"/>
          </w:divBdr>
        </w:div>
        <w:div w:id="878401463">
          <w:marLeft w:val="0"/>
          <w:marRight w:val="0"/>
          <w:marTop w:val="0"/>
          <w:marBottom w:val="0"/>
          <w:divBdr>
            <w:top w:val="none" w:sz="0" w:space="0" w:color="auto"/>
            <w:left w:val="none" w:sz="0" w:space="0" w:color="auto"/>
            <w:bottom w:val="none" w:sz="0" w:space="0" w:color="auto"/>
            <w:right w:val="none" w:sz="0" w:space="0" w:color="auto"/>
          </w:divBdr>
        </w:div>
        <w:div w:id="918518013">
          <w:marLeft w:val="0"/>
          <w:marRight w:val="0"/>
          <w:marTop w:val="0"/>
          <w:marBottom w:val="0"/>
          <w:divBdr>
            <w:top w:val="none" w:sz="0" w:space="0" w:color="auto"/>
            <w:left w:val="none" w:sz="0" w:space="0" w:color="auto"/>
            <w:bottom w:val="none" w:sz="0" w:space="0" w:color="auto"/>
            <w:right w:val="none" w:sz="0" w:space="0" w:color="auto"/>
          </w:divBdr>
        </w:div>
        <w:div w:id="1219245169">
          <w:marLeft w:val="0"/>
          <w:marRight w:val="0"/>
          <w:marTop w:val="0"/>
          <w:marBottom w:val="0"/>
          <w:divBdr>
            <w:top w:val="none" w:sz="0" w:space="0" w:color="auto"/>
            <w:left w:val="none" w:sz="0" w:space="0" w:color="auto"/>
            <w:bottom w:val="none" w:sz="0" w:space="0" w:color="auto"/>
            <w:right w:val="none" w:sz="0" w:space="0" w:color="auto"/>
          </w:divBdr>
        </w:div>
        <w:div w:id="1347517150">
          <w:marLeft w:val="0"/>
          <w:marRight w:val="0"/>
          <w:marTop w:val="0"/>
          <w:marBottom w:val="0"/>
          <w:divBdr>
            <w:top w:val="none" w:sz="0" w:space="0" w:color="auto"/>
            <w:left w:val="none" w:sz="0" w:space="0" w:color="auto"/>
            <w:bottom w:val="none" w:sz="0" w:space="0" w:color="auto"/>
            <w:right w:val="none" w:sz="0" w:space="0" w:color="auto"/>
          </w:divBdr>
        </w:div>
        <w:div w:id="1511876098">
          <w:marLeft w:val="0"/>
          <w:marRight w:val="0"/>
          <w:marTop w:val="0"/>
          <w:marBottom w:val="0"/>
          <w:divBdr>
            <w:top w:val="none" w:sz="0" w:space="0" w:color="auto"/>
            <w:left w:val="none" w:sz="0" w:space="0" w:color="auto"/>
            <w:bottom w:val="none" w:sz="0" w:space="0" w:color="auto"/>
            <w:right w:val="none" w:sz="0" w:space="0" w:color="auto"/>
          </w:divBdr>
        </w:div>
        <w:div w:id="1516774143">
          <w:marLeft w:val="0"/>
          <w:marRight w:val="0"/>
          <w:marTop w:val="0"/>
          <w:marBottom w:val="0"/>
          <w:divBdr>
            <w:top w:val="none" w:sz="0" w:space="0" w:color="auto"/>
            <w:left w:val="none" w:sz="0" w:space="0" w:color="auto"/>
            <w:bottom w:val="none" w:sz="0" w:space="0" w:color="auto"/>
            <w:right w:val="none" w:sz="0" w:space="0" w:color="auto"/>
          </w:divBdr>
        </w:div>
      </w:divsChild>
    </w:div>
    <w:div w:id="1066343117">
      <w:bodyDiv w:val="1"/>
      <w:marLeft w:val="0"/>
      <w:marRight w:val="0"/>
      <w:marTop w:val="0"/>
      <w:marBottom w:val="0"/>
      <w:divBdr>
        <w:top w:val="none" w:sz="0" w:space="0" w:color="auto"/>
        <w:left w:val="none" w:sz="0" w:space="0" w:color="auto"/>
        <w:bottom w:val="none" w:sz="0" w:space="0" w:color="auto"/>
        <w:right w:val="none" w:sz="0" w:space="0" w:color="auto"/>
      </w:divBdr>
    </w:div>
    <w:div w:id="1079062715">
      <w:bodyDiv w:val="1"/>
      <w:marLeft w:val="0"/>
      <w:marRight w:val="0"/>
      <w:marTop w:val="0"/>
      <w:marBottom w:val="0"/>
      <w:divBdr>
        <w:top w:val="none" w:sz="0" w:space="0" w:color="auto"/>
        <w:left w:val="none" w:sz="0" w:space="0" w:color="auto"/>
        <w:bottom w:val="none" w:sz="0" w:space="0" w:color="auto"/>
        <w:right w:val="none" w:sz="0" w:space="0" w:color="auto"/>
      </w:divBdr>
    </w:div>
    <w:div w:id="1099519714">
      <w:bodyDiv w:val="1"/>
      <w:marLeft w:val="0"/>
      <w:marRight w:val="0"/>
      <w:marTop w:val="0"/>
      <w:marBottom w:val="0"/>
      <w:divBdr>
        <w:top w:val="none" w:sz="0" w:space="0" w:color="auto"/>
        <w:left w:val="none" w:sz="0" w:space="0" w:color="auto"/>
        <w:bottom w:val="none" w:sz="0" w:space="0" w:color="auto"/>
        <w:right w:val="none" w:sz="0" w:space="0" w:color="auto"/>
      </w:divBdr>
    </w:div>
    <w:div w:id="1101612189">
      <w:bodyDiv w:val="1"/>
      <w:marLeft w:val="0"/>
      <w:marRight w:val="0"/>
      <w:marTop w:val="0"/>
      <w:marBottom w:val="0"/>
      <w:divBdr>
        <w:top w:val="none" w:sz="0" w:space="0" w:color="auto"/>
        <w:left w:val="none" w:sz="0" w:space="0" w:color="auto"/>
        <w:bottom w:val="none" w:sz="0" w:space="0" w:color="auto"/>
        <w:right w:val="none" w:sz="0" w:space="0" w:color="auto"/>
      </w:divBdr>
    </w:div>
    <w:div w:id="1110468340">
      <w:bodyDiv w:val="1"/>
      <w:marLeft w:val="0"/>
      <w:marRight w:val="0"/>
      <w:marTop w:val="0"/>
      <w:marBottom w:val="0"/>
      <w:divBdr>
        <w:top w:val="none" w:sz="0" w:space="0" w:color="auto"/>
        <w:left w:val="none" w:sz="0" w:space="0" w:color="auto"/>
        <w:bottom w:val="none" w:sz="0" w:space="0" w:color="auto"/>
        <w:right w:val="none" w:sz="0" w:space="0" w:color="auto"/>
      </w:divBdr>
    </w:div>
    <w:div w:id="1122267651">
      <w:bodyDiv w:val="1"/>
      <w:marLeft w:val="0"/>
      <w:marRight w:val="0"/>
      <w:marTop w:val="0"/>
      <w:marBottom w:val="0"/>
      <w:divBdr>
        <w:top w:val="none" w:sz="0" w:space="0" w:color="auto"/>
        <w:left w:val="none" w:sz="0" w:space="0" w:color="auto"/>
        <w:bottom w:val="none" w:sz="0" w:space="0" w:color="auto"/>
        <w:right w:val="none" w:sz="0" w:space="0" w:color="auto"/>
      </w:divBdr>
    </w:div>
    <w:div w:id="1124621220">
      <w:bodyDiv w:val="1"/>
      <w:marLeft w:val="0"/>
      <w:marRight w:val="0"/>
      <w:marTop w:val="0"/>
      <w:marBottom w:val="0"/>
      <w:divBdr>
        <w:top w:val="none" w:sz="0" w:space="0" w:color="auto"/>
        <w:left w:val="none" w:sz="0" w:space="0" w:color="auto"/>
        <w:bottom w:val="none" w:sz="0" w:space="0" w:color="auto"/>
        <w:right w:val="none" w:sz="0" w:space="0" w:color="auto"/>
      </w:divBdr>
    </w:div>
    <w:div w:id="1137643649">
      <w:bodyDiv w:val="1"/>
      <w:marLeft w:val="0"/>
      <w:marRight w:val="0"/>
      <w:marTop w:val="0"/>
      <w:marBottom w:val="0"/>
      <w:divBdr>
        <w:top w:val="none" w:sz="0" w:space="0" w:color="auto"/>
        <w:left w:val="none" w:sz="0" w:space="0" w:color="auto"/>
        <w:bottom w:val="none" w:sz="0" w:space="0" w:color="auto"/>
        <w:right w:val="none" w:sz="0" w:space="0" w:color="auto"/>
      </w:divBdr>
    </w:div>
    <w:div w:id="1183124989">
      <w:bodyDiv w:val="1"/>
      <w:marLeft w:val="0"/>
      <w:marRight w:val="0"/>
      <w:marTop w:val="0"/>
      <w:marBottom w:val="0"/>
      <w:divBdr>
        <w:top w:val="none" w:sz="0" w:space="0" w:color="auto"/>
        <w:left w:val="none" w:sz="0" w:space="0" w:color="auto"/>
        <w:bottom w:val="none" w:sz="0" w:space="0" w:color="auto"/>
        <w:right w:val="none" w:sz="0" w:space="0" w:color="auto"/>
      </w:divBdr>
    </w:div>
    <w:div w:id="1183517828">
      <w:bodyDiv w:val="1"/>
      <w:marLeft w:val="0"/>
      <w:marRight w:val="0"/>
      <w:marTop w:val="0"/>
      <w:marBottom w:val="0"/>
      <w:divBdr>
        <w:top w:val="none" w:sz="0" w:space="0" w:color="auto"/>
        <w:left w:val="none" w:sz="0" w:space="0" w:color="auto"/>
        <w:bottom w:val="none" w:sz="0" w:space="0" w:color="auto"/>
        <w:right w:val="none" w:sz="0" w:space="0" w:color="auto"/>
      </w:divBdr>
    </w:div>
    <w:div w:id="1196385594">
      <w:bodyDiv w:val="1"/>
      <w:marLeft w:val="0"/>
      <w:marRight w:val="0"/>
      <w:marTop w:val="0"/>
      <w:marBottom w:val="0"/>
      <w:divBdr>
        <w:top w:val="none" w:sz="0" w:space="0" w:color="auto"/>
        <w:left w:val="none" w:sz="0" w:space="0" w:color="auto"/>
        <w:bottom w:val="none" w:sz="0" w:space="0" w:color="auto"/>
        <w:right w:val="none" w:sz="0" w:space="0" w:color="auto"/>
      </w:divBdr>
    </w:div>
    <w:div w:id="1210536006">
      <w:bodyDiv w:val="1"/>
      <w:marLeft w:val="0"/>
      <w:marRight w:val="0"/>
      <w:marTop w:val="0"/>
      <w:marBottom w:val="0"/>
      <w:divBdr>
        <w:top w:val="none" w:sz="0" w:space="0" w:color="auto"/>
        <w:left w:val="none" w:sz="0" w:space="0" w:color="auto"/>
        <w:bottom w:val="none" w:sz="0" w:space="0" w:color="auto"/>
        <w:right w:val="none" w:sz="0" w:space="0" w:color="auto"/>
      </w:divBdr>
    </w:div>
    <w:div w:id="1212034080">
      <w:bodyDiv w:val="1"/>
      <w:marLeft w:val="0"/>
      <w:marRight w:val="0"/>
      <w:marTop w:val="0"/>
      <w:marBottom w:val="0"/>
      <w:divBdr>
        <w:top w:val="none" w:sz="0" w:space="0" w:color="auto"/>
        <w:left w:val="none" w:sz="0" w:space="0" w:color="auto"/>
        <w:bottom w:val="none" w:sz="0" w:space="0" w:color="auto"/>
        <w:right w:val="none" w:sz="0" w:space="0" w:color="auto"/>
      </w:divBdr>
    </w:div>
    <w:div w:id="1221480329">
      <w:bodyDiv w:val="1"/>
      <w:marLeft w:val="0"/>
      <w:marRight w:val="0"/>
      <w:marTop w:val="0"/>
      <w:marBottom w:val="0"/>
      <w:divBdr>
        <w:top w:val="none" w:sz="0" w:space="0" w:color="auto"/>
        <w:left w:val="none" w:sz="0" w:space="0" w:color="auto"/>
        <w:bottom w:val="none" w:sz="0" w:space="0" w:color="auto"/>
        <w:right w:val="none" w:sz="0" w:space="0" w:color="auto"/>
      </w:divBdr>
      <w:divsChild>
        <w:div w:id="433331961">
          <w:marLeft w:val="0"/>
          <w:marRight w:val="0"/>
          <w:marTop w:val="0"/>
          <w:marBottom w:val="0"/>
          <w:divBdr>
            <w:top w:val="none" w:sz="0" w:space="0" w:color="auto"/>
            <w:left w:val="none" w:sz="0" w:space="0" w:color="auto"/>
            <w:bottom w:val="none" w:sz="0" w:space="0" w:color="auto"/>
            <w:right w:val="none" w:sz="0" w:space="0" w:color="auto"/>
          </w:divBdr>
        </w:div>
        <w:div w:id="877203899">
          <w:marLeft w:val="0"/>
          <w:marRight w:val="0"/>
          <w:marTop w:val="0"/>
          <w:marBottom w:val="0"/>
          <w:divBdr>
            <w:top w:val="none" w:sz="0" w:space="0" w:color="auto"/>
            <w:left w:val="none" w:sz="0" w:space="0" w:color="auto"/>
            <w:bottom w:val="none" w:sz="0" w:space="0" w:color="auto"/>
            <w:right w:val="none" w:sz="0" w:space="0" w:color="auto"/>
          </w:divBdr>
        </w:div>
        <w:div w:id="1120688841">
          <w:marLeft w:val="0"/>
          <w:marRight w:val="0"/>
          <w:marTop w:val="0"/>
          <w:marBottom w:val="0"/>
          <w:divBdr>
            <w:top w:val="none" w:sz="0" w:space="0" w:color="auto"/>
            <w:left w:val="none" w:sz="0" w:space="0" w:color="auto"/>
            <w:bottom w:val="none" w:sz="0" w:space="0" w:color="auto"/>
            <w:right w:val="none" w:sz="0" w:space="0" w:color="auto"/>
          </w:divBdr>
        </w:div>
        <w:div w:id="1297180020">
          <w:marLeft w:val="0"/>
          <w:marRight w:val="0"/>
          <w:marTop w:val="0"/>
          <w:marBottom w:val="0"/>
          <w:divBdr>
            <w:top w:val="none" w:sz="0" w:space="0" w:color="auto"/>
            <w:left w:val="none" w:sz="0" w:space="0" w:color="auto"/>
            <w:bottom w:val="none" w:sz="0" w:space="0" w:color="auto"/>
            <w:right w:val="none" w:sz="0" w:space="0" w:color="auto"/>
          </w:divBdr>
        </w:div>
        <w:div w:id="1355692815">
          <w:marLeft w:val="0"/>
          <w:marRight w:val="0"/>
          <w:marTop w:val="0"/>
          <w:marBottom w:val="0"/>
          <w:divBdr>
            <w:top w:val="none" w:sz="0" w:space="0" w:color="auto"/>
            <w:left w:val="none" w:sz="0" w:space="0" w:color="auto"/>
            <w:bottom w:val="none" w:sz="0" w:space="0" w:color="auto"/>
            <w:right w:val="none" w:sz="0" w:space="0" w:color="auto"/>
          </w:divBdr>
        </w:div>
        <w:div w:id="2080055670">
          <w:marLeft w:val="0"/>
          <w:marRight w:val="0"/>
          <w:marTop w:val="0"/>
          <w:marBottom w:val="0"/>
          <w:divBdr>
            <w:top w:val="none" w:sz="0" w:space="0" w:color="auto"/>
            <w:left w:val="none" w:sz="0" w:space="0" w:color="auto"/>
            <w:bottom w:val="none" w:sz="0" w:space="0" w:color="auto"/>
            <w:right w:val="none" w:sz="0" w:space="0" w:color="auto"/>
          </w:divBdr>
        </w:div>
      </w:divsChild>
    </w:div>
    <w:div w:id="1227691108">
      <w:bodyDiv w:val="1"/>
      <w:marLeft w:val="0"/>
      <w:marRight w:val="0"/>
      <w:marTop w:val="0"/>
      <w:marBottom w:val="0"/>
      <w:divBdr>
        <w:top w:val="none" w:sz="0" w:space="0" w:color="auto"/>
        <w:left w:val="none" w:sz="0" w:space="0" w:color="auto"/>
        <w:bottom w:val="none" w:sz="0" w:space="0" w:color="auto"/>
        <w:right w:val="none" w:sz="0" w:space="0" w:color="auto"/>
      </w:divBdr>
    </w:div>
    <w:div w:id="1232539479">
      <w:bodyDiv w:val="1"/>
      <w:marLeft w:val="0"/>
      <w:marRight w:val="0"/>
      <w:marTop w:val="0"/>
      <w:marBottom w:val="0"/>
      <w:divBdr>
        <w:top w:val="none" w:sz="0" w:space="0" w:color="auto"/>
        <w:left w:val="none" w:sz="0" w:space="0" w:color="auto"/>
        <w:bottom w:val="none" w:sz="0" w:space="0" w:color="auto"/>
        <w:right w:val="none" w:sz="0" w:space="0" w:color="auto"/>
      </w:divBdr>
    </w:div>
    <w:div w:id="1234580315">
      <w:bodyDiv w:val="1"/>
      <w:marLeft w:val="0"/>
      <w:marRight w:val="0"/>
      <w:marTop w:val="0"/>
      <w:marBottom w:val="0"/>
      <w:divBdr>
        <w:top w:val="none" w:sz="0" w:space="0" w:color="auto"/>
        <w:left w:val="none" w:sz="0" w:space="0" w:color="auto"/>
        <w:bottom w:val="none" w:sz="0" w:space="0" w:color="auto"/>
        <w:right w:val="none" w:sz="0" w:space="0" w:color="auto"/>
      </w:divBdr>
    </w:div>
    <w:div w:id="1253932715">
      <w:bodyDiv w:val="1"/>
      <w:marLeft w:val="0"/>
      <w:marRight w:val="0"/>
      <w:marTop w:val="0"/>
      <w:marBottom w:val="0"/>
      <w:divBdr>
        <w:top w:val="none" w:sz="0" w:space="0" w:color="auto"/>
        <w:left w:val="none" w:sz="0" w:space="0" w:color="auto"/>
        <w:bottom w:val="none" w:sz="0" w:space="0" w:color="auto"/>
        <w:right w:val="none" w:sz="0" w:space="0" w:color="auto"/>
      </w:divBdr>
      <w:divsChild>
        <w:div w:id="771243781">
          <w:marLeft w:val="0"/>
          <w:marRight w:val="0"/>
          <w:marTop w:val="0"/>
          <w:marBottom w:val="0"/>
          <w:divBdr>
            <w:top w:val="none" w:sz="0" w:space="0" w:color="auto"/>
            <w:left w:val="none" w:sz="0" w:space="0" w:color="auto"/>
            <w:bottom w:val="none" w:sz="0" w:space="0" w:color="auto"/>
            <w:right w:val="none" w:sz="0" w:space="0" w:color="auto"/>
          </w:divBdr>
        </w:div>
        <w:div w:id="1038892772">
          <w:marLeft w:val="0"/>
          <w:marRight w:val="0"/>
          <w:marTop w:val="0"/>
          <w:marBottom w:val="0"/>
          <w:divBdr>
            <w:top w:val="none" w:sz="0" w:space="0" w:color="auto"/>
            <w:left w:val="none" w:sz="0" w:space="0" w:color="auto"/>
            <w:bottom w:val="none" w:sz="0" w:space="0" w:color="auto"/>
            <w:right w:val="none" w:sz="0" w:space="0" w:color="auto"/>
          </w:divBdr>
        </w:div>
        <w:div w:id="2023317726">
          <w:marLeft w:val="0"/>
          <w:marRight w:val="0"/>
          <w:marTop w:val="0"/>
          <w:marBottom w:val="0"/>
          <w:divBdr>
            <w:top w:val="none" w:sz="0" w:space="0" w:color="auto"/>
            <w:left w:val="none" w:sz="0" w:space="0" w:color="auto"/>
            <w:bottom w:val="none" w:sz="0" w:space="0" w:color="auto"/>
            <w:right w:val="none" w:sz="0" w:space="0" w:color="auto"/>
          </w:divBdr>
          <w:divsChild>
            <w:div w:id="15235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1953">
      <w:bodyDiv w:val="1"/>
      <w:marLeft w:val="0"/>
      <w:marRight w:val="0"/>
      <w:marTop w:val="0"/>
      <w:marBottom w:val="0"/>
      <w:divBdr>
        <w:top w:val="none" w:sz="0" w:space="0" w:color="auto"/>
        <w:left w:val="none" w:sz="0" w:space="0" w:color="auto"/>
        <w:bottom w:val="none" w:sz="0" w:space="0" w:color="auto"/>
        <w:right w:val="none" w:sz="0" w:space="0" w:color="auto"/>
      </w:divBdr>
    </w:div>
    <w:div w:id="1290815659">
      <w:bodyDiv w:val="1"/>
      <w:marLeft w:val="0"/>
      <w:marRight w:val="0"/>
      <w:marTop w:val="0"/>
      <w:marBottom w:val="0"/>
      <w:divBdr>
        <w:top w:val="none" w:sz="0" w:space="0" w:color="auto"/>
        <w:left w:val="none" w:sz="0" w:space="0" w:color="auto"/>
        <w:bottom w:val="none" w:sz="0" w:space="0" w:color="auto"/>
        <w:right w:val="none" w:sz="0" w:space="0" w:color="auto"/>
      </w:divBdr>
      <w:divsChild>
        <w:div w:id="129246386">
          <w:marLeft w:val="0"/>
          <w:marRight w:val="0"/>
          <w:marTop w:val="0"/>
          <w:marBottom w:val="0"/>
          <w:divBdr>
            <w:top w:val="none" w:sz="0" w:space="0" w:color="auto"/>
            <w:left w:val="none" w:sz="0" w:space="0" w:color="auto"/>
            <w:bottom w:val="none" w:sz="0" w:space="0" w:color="auto"/>
            <w:right w:val="none" w:sz="0" w:space="0" w:color="auto"/>
          </w:divBdr>
        </w:div>
      </w:divsChild>
    </w:div>
    <w:div w:id="1298219186">
      <w:bodyDiv w:val="1"/>
      <w:marLeft w:val="0"/>
      <w:marRight w:val="0"/>
      <w:marTop w:val="0"/>
      <w:marBottom w:val="0"/>
      <w:divBdr>
        <w:top w:val="none" w:sz="0" w:space="0" w:color="auto"/>
        <w:left w:val="none" w:sz="0" w:space="0" w:color="auto"/>
        <w:bottom w:val="none" w:sz="0" w:space="0" w:color="auto"/>
        <w:right w:val="none" w:sz="0" w:space="0" w:color="auto"/>
      </w:divBdr>
      <w:divsChild>
        <w:div w:id="241724899">
          <w:blockQuote w:val="1"/>
          <w:marLeft w:val="600"/>
          <w:marRight w:val="0"/>
          <w:marTop w:val="120"/>
          <w:marBottom w:val="120"/>
          <w:divBdr>
            <w:top w:val="none" w:sz="0" w:space="0" w:color="auto"/>
            <w:left w:val="none" w:sz="0" w:space="0" w:color="auto"/>
            <w:bottom w:val="none" w:sz="0" w:space="0" w:color="auto"/>
            <w:right w:val="none" w:sz="0" w:space="0" w:color="auto"/>
          </w:divBdr>
        </w:div>
        <w:div w:id="14688624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08783602">
      <w:bodyDiv w:val="1"/>
      <w:marLeft w:val="0"/>
      <w:marRight w:val="0"/>
      <w:marTop w:val="0"/>
      <w:marBottom w:val="0"/>
      <w:divBdr>
        <w:top w:val="none" w:sz="0" w:space="0" w:color="auto"/>
        <w:left w:val="none" w:sz="0" w:space="0" w:color="auto"/>
        <w:bottom w:val="none" w:sz="0" w:space="0" w:color="auto"/>
        <w:right w:val="none" w:sz="0" w:space="0" w:color="auto"/>
      </w:divBdr>
    </w:div>
    <w:div w:id="1334524567">
      <w:bodyDiv w:val="1"/>
      <w:marLeft w:val="0"/>
      <w:marRight w:val="0"/>
      <w:marTop w:val="0"/>
      <w:marBottom w:val="0"/>
      <w:divBdr>
        <w:top w:val="none" w:sz="0" w:space="0" w:color="auto"/>
        <w:left w:val="none" w:sz="0" w:space="0" w:color="auto"/>
        <w:bottom w:val="none" w:sz="0" w:space="0" w:color="auto"/>
        <w:right w:val="none" w:sz="0" w:space="0" w:color="auto"/>
      </w:divBdr>
    </w:div>
    <w:div w:id="1405644024">
      <w:bodyDiv w:val="1"/>
      <w:marLeft w:val="0"/>
      <w:marRight w:val="0"/>
      <w:marTop w:val="0"/>
      <w:marBottom w:val="0"/>
      <w:divBdr>
        <w:top w:val="none" w:sz="0" w:space="0" w:color="auto"/>
        <w:left w:val="none" w:sz="0" w:space="0" w:color="auto"/>
        <w:bottom w:val="none" w:sz="0" w:space="0" w:color="auto"/>
        <w:right w:val="none" w:sz="0" w:space="0" w:color="auto"/>
      </w:divBdr>
    </w:div>
    <w:div w:id="1422025897">
      <w:bodyDiv w:val="1"/>
      <w:marLeft w:val="0"/>
      <w:marRight w:val="0"/>
      <w:marTop w:val="0"/>
      <w:marBottom w:val="0"/>
      <w:divBdr>
        <w:top w:val="none" w:sz="0" w:space="0" w:color="auto"/>
        <w:left w:val="none" w:sz="0" w:space="0" w:color="auto"/>
        <w:bottom w:val="none" w:sz="0" w:space="0" w:color="auto"/>
        <w:right w:val="none" w:sz="0" w:space="0" w:color="auto"/>
      </w:divBdr>
      <w:divsChild>
        <w:div w:id="87773094">
          <w:marLeft w:val="0"/>
          <w:marRight w:val="0"/>
          <w:marTop w:val="0"/>
          <w:marBottom w:val="0"/>
          <w:divBdr>
            <w:top w:val="none" w:sz="0" w:space="0" w:color="auto"/>
            <w:left w:val="none" w:sz="0" w:space="0" w:color="auto"/>
            <w:bottom w:val="none" w:sz="0" w:space="0" w:color="auto"/>
            <w:right w:val="none" w:sz="0" w:space="0" w:color="auto"/>
          </w:divBdr>
        </w:div>
        <w:div w:id="288443140">
          <w:marLeft w:val="0"/>
          <w:marRight w:val="0"/>
          <w:marTop w:val="0"/>
          <w:marBottom w:val="0"/>
          <w:divBdr>
            <w:top w:val="none" w:sz="0" w:space="0" w:color="auto"/>
            <w:left w:val="none" w:sz="0" w:space="0" w:color="auto"/>
            <w:bottom w:val="none" w:sz="0" w:space="0" w:color="auto"/>
            <w:right w:val="none" w:sz="0" w:space="0" w:color="auto"/>
          </w:divBdr>
        </w:div>
        <w:div w:id="335574249">
          <w:marLeft w:val="0"/>
          <w:marRight w:val="0"/>
          <w:marTop w:val="0"/>
          <w:marBottom w:val="0"/>
          <w:divBdr>
            <w:top w:val="none" w:sz="0" w:space="0" w:color="auto"/>
            <w:left w:val="none" w:sz="0" w:space="0" w:color="auto"/>
            <w:bottom w:val="none" w:sz="0" w:space="0" w:color="auto"/>
            <w:right w:val="none" w:sz="0" w:space="0" w:color="auto"/>
          </w:divBdr>
        </w:div>
        <w:div w:id="570043681">
          <w:marLeft w:val="0"/>
          <w:marRight w:val="0"/>
          <w:marTop w:val="0"/>
          <w:marBottom w:val="0"/>
          <w:divBdr>
            <w:top w:val="none" w:sz="0" w:space="0" w:color="auto"/>
            <w:left w:val="none" w:sz="0" w:space="0" w:color="auto"/>
            <w:bottom w:val="none" w:sz="0" w:space="0" w:color="auto"/>
            <w:right w:val="none" w:sz="0" w:space="0" w:color="auto"/>
          </w:divBdr>
        </w:div>
        <w:div w:id="696540748">
          <w:marLeft w:val="0"/>
          <w:marRight w:val="0"/>
          <w:marTop w:val="0"/>
          <w:marBottom w:val="0"/>
          <w:divBdr>
            <w:top w:val="none" w:sz="0" w:space="0" w:color="auto"/>
            <w:left w:val="none" w:sz="0" w:space="0" w:color="auto"/>
            <w:bottom w:val="none" w:sz="0" w:space="0" w:color="auto"/>
            <w:right w:val="none" w:sz="0" w:space="0" w:color="auto"/>
          </w:divBdr>
        </w:div>
        <w:div w:id="771440336">
          <w:marLeft w:val="0"/>
          <w:marRight w:val="0"/>
          <w:marTop w:val="0"/>
          <w:marBottom w:val="0"/>
          <w:divBdr>
            <w:top w:val="none" w:sz="0" w:space="0" w:color="auto"/>
            <w:left w:val="none" w:sz="0" w:space="0" w:color="auto"/>
            <w:bottom w:val="none" w:sz="0" w:space="0" w:color="auto"/>
            <w:right w:val="none" w:sz="0" w:space="0" w:color="auto"/>
          </w:divBdr>
        </w:div>
        <w:div w:id="937955619">
          <w:marLeft w:val="0"/>
          <w:marRight w:val="0"/>
          <w:marTop w:val="0"/>
          <w:marBottom w:val="0"/>
          <w:divBdr>
            <w:top w:val="none" w:sz="0" w:space="0" w:color="auto"/>
            <w:left w:val="none" w:sz="0" w:space="0" w:color="auto"/>
            <w:bottom w:val="none" w:sz="0" w:space="0" w:color="auto"/>
            <w:right w:val="none" w:sz="0" w:space="0" w:color="auto"/>
          </w:divBdr>
        </w:div>
        <w:div w:id="1733118695">
          <w:marLeft w:val="0"/>
          <w:marRight w:val="0"/>
          <w:marTop w:val="0"/>
          <w:marBottom w:val="0"/>
          <w:divBdr>
            <w:top w:val="none" w:sz="0" w:space="0" w:color="auto"/>
            <w:left w:val="none" w:sz="0" w:space="0" w:color="auto"/>
            <w:bottom w:val="none" w:sz="0" w:space="0" w:color="auto"/>
            <w:right w:val="none" w:sz="0" w:space="0" w:color="auto"/>
          </w:divBdr>
        </w:div>
        <w:div w:id="1763212926">
          <w:marLeft w:val="0"/>
          <w:marRight w:val="0"/>
          <w:marTop w:val="0"/>
          <w:marBottom w:val="0"/>
          <w:divBdr>
            <w:top w:val="none" w:sz="0" w:space="0" w:color="auto"/>
            <w:left w:val="none" w:sz="0" w:space="0" w:color="auto"/>
            <w:bottom w:val="none" w:sz="0" w:space="0" w:color="auto"/>
            <w:right w:val="none" w:sz="0" w:space="0" w:color="auto"/>
          </w:divBdr>
        </w:div>
        <w:div w:id="1899778658">
          <w:marLeft w:val="0"/>
          <w:marRight w:val="0"/>
          <w:marTop w:val="0"/>
          <w:marBottom w:val="0"/>
          <w:divBdr>
            <w:top w:val="none" w:sz="0" w:space="0" w:color="auto"/>
            <w:left w:val="none" w:sz="0" w:space="0" w:color="auto"/>
            <w:bottom w:val="none" w:sz="0" w:space="0" w:color="auto"/>
            <w:right w:val="none" w:sz="0" w:space="0" w:color="auto"/>
          </w:divBdr>
        </w:div>
        <w:div w:id="2021621645">
          <w:marLeft w:val="0"/>
          <w:marRight w:val="0"/>
          <w:marTop w:val="0"/>
          <w:marBottom w:val="0"/>
          <w:divBdr>
            <w:top w:val="none" w:sz="0" w:space="0" w:color="auto"/>
            <w:left w:val="none" w:sz="0" w:space="0" w:color="auto"/>
            <w:bottom w:val="none" w:sz="0" w:space="0" w:color="auto"/>
            <w:right w:val="none" w:sz="0" w:space="0" w:color="auto"/>
          </w:divBdr>
        </w:div>
      </w:divsChild>
    </w:div>
    <w:div w:id="1424178519">
      <w:bodyDiv w:val="1"/>
      <w:marLeft w:val="0"/>
      <w:marRight w:val="0"/>
      <w:marTop w:val="0"/>
      <w:marBottom w:val="0"/>
      <w:divBdr>
        <w:top w:val="none" w:sz="0" w:space="0" w:color="auto"/>
        <w:left w:val="none" w:sz="0" w:space="0" w:color="auto"/>
        <w:bottom w:val="none" w:sz="0" w:space="0" w:color="auto"/>
        <w:right w:val="none" w:sz="0" w:space="0" w:color="auto"/>
      </w:divBdr>
      <w:divsChild>
        <w:div w:id="1420983207">
          <w:blockQuote w:val="1"/>
          <w:marLeft w:val="400"/>
          <w:marRight w:val="0"/>
          <w:marTop w:val="160"/>
          <w:marBottom w:val="200"/>
          <w:divBdr>
            <w:top w:val="none" w:sz="0" w:space="0" w:color="auto"/>
            <w:left w:val="none" w:sz="0" w:space="0" w:color="auto"/>
            <w:bottom w:val="none" w:sz="0" w:space="0" w:color="auto"/>
            <w:right w:val="none" w:sz="0" w:space="0" w:color="auto"/>
          </w:divBdr>
        </w:div>
        <w:div w:id="186994965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67847648">
              <w:marLeft w:val="0"/>
              <w:marRight w:val="0"/>
              <w:marTop w:val="0"/>
              <w:marBottom w:val="0"/>
              <w:divBdr>
                <w:top w:val="none" w:sz="0" w:space="0" w:color="auto"/>
                <w:left w:val="none" w:sz="0" w:space="0" w:color="auto"/>
                <w:bottom w:val="none" w:sz="0" w:space="0" w:color="auto"/>
                <w:right w:val="none" w:sz="0" w:space="0" w:color="auto"/>
              </w:divBdr>
              <w:divsChild>
                <w:div w:id="1739982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26647481">
              <w:marLeft w:val="0"/>
              <w:marRight w:val="0"/>
              <w:marTop w:val="0"/>
              <w:marBottom w:val="0"/>
              <w:divBdr>
                <w:top w:val="none" w:sz="0" w:space="0" w:color="auto"/>
                <w:left w:val="none" w:sz="0" w:space="0" w:color="auto"/>
                <w:bottom w:val="none" w:sz="0" w:space="0" w:color="auto"/>
                <w:right w:val="none" w:sz="0" w:space="0" w:color="auto"/>
              </w:divBdr>
              <w:divsChild>
                <w:div w:id="7711231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0116129">
              <w:marLeft w:val="0"/>
              <w:marRight w:val="0"/>
              <w:marTop w:val="0"/>
              <w:marBottom w:val="0"/>
              <w:divBdr>
                <w:top w:val="none" w:sz="0" w:space="0" w:color="auto"/>
                <w:left w:val="none" w:sz="0" w:space="0" w:color="auto"/>
                <w:bottom w:val="none" w:sz="0" w:space="0" w:color="auto"/>
                <w:right w:val="none" w:sz="0" w:space="0" w:color="auto"/>
              </w:divBdr>
              <w:divsChild>
                <w:div w:id="17690401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5804576">
              <w:marLeft w:val="0"/>
              <w:marRight w:val="0"/>
              <w:marTop w:val="0"/>
              <w:marBottom w:val="0"/>
              <w:divBdr>
                <w:top w:val="none" w:sz="0" w:space="0" w:color="auto"/>
                <w:left w:val="none" w:sz="0" w:space="0" w:color="auto"/>
                <w:bottom w:val="none" w:sz="0" w:space="0" w:color="auto"/>
                <w:right w:val="none" w:sz="0" w:space="0" w:color="auto"/>
              </w:divBdr>
              <w:divsChild>
                <w:div w:id="5243709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433210196">
      <w:bodyDiv w:val="1"/>
      <w:marLeft w:val="0"/>
      <w:marRight w:val="0"/>
      <w:marTop w:val="0"/>
      <w:marBottom w:val="0"/>
      <w:divBdr>
        <w:top w:val="none" w:sz="0" w:space="0" w:color="auto"/>
        <w:left w:val="none" w:sz="0" w:space="0" w:color="auto"/>
        <w:bottom w:val="none" w:sz="0" w:space="0" w:color="auto"/>
        <w:right w:val="none" w:sz="0" w:space="0" w:color="auto"/>
      </w:divBdr>
      <w:divsChild>
        <w:div w:id="862322904">
          <w:marLeft w:val="0"/>
          <w:marRight w:val="0"/>
          <w:marTop w:val="0"/>
          <w:marBottom w:val="0"/>
          <w:divBdr>
            <w:top w:val="none" w:sz="0" w:space="0" w:color="auto"/>
            <w:left w:val="none" w:sz="0" w:space="0" w:color="auto"/>
            <w:bottom w:val="none" w:sz="0" w:space="0" w:color="auto"/>
            <w:right w:val="none" w:sz="0" w:space="0" w:color="auto"/>
          </w:divBdr>
        </w:div>
        <w:div w:id="1411006170">
          <w:marLeft w:val="0"/>
          <w:marRight w:val="0"/>
          <w:marTop w:val="0"/>
          <w:marBottom w:val="0"/>
          <w:divBdr>
            <w:top w:val="none" w:sz="0" w:space="0" w:color="auto"/>
            <w:left w:val="none" w:sz="0" w:space="0" w:color="auto"/>
            <w:bottom w:val="none" w:sz="0" w:space="0" w:color="auto"/>
            <w:right w:val="none" w:sz="0" w:space="0" w:color="auto"/>
          </w:divBdr>
        </w:div>
        <w:div w:id="1506090001">
          <w:marLeft w:val="0"/>
          <w:marRight w:val="0"/>
          <w:marTop w:val="0"/>
          <w:marBottom w:val="0"/>
          <w:divBdr>
            <w:top w:val="none" w:sz="0" w:space="0" w:color="auto"/>
            <w:left w:val="none" w:sz="0" w:space="0" w:color="auto"/>
            <w:bottom w:val="none" w:sz="0" w:space="0" w:color="auto"/>
            <w:right w:val="none" w:sz="0" w:space="0" w:color="auto"/>
          </w:divBdr>
        </w:div>
      </w:divsChild>
    </w:div>
    <w:div w:id="1465736678">
      <w:bodyDiv w:val="1"/>
      <w:marLeft w:val="0"/>
      <w:marRight w:val="0"/>
      <w:marTop w:val="0"/>
      <w:marBottom w:val="0"/>
      <w:divBdr>
        <w:top w:val="none" w:sz="0" w:space="0" w:color="auto"/>
        <w:left w:val="none" w:sz="0" w:space="0" w:color="auto"/>
        <w:bottom w:val="none" w:sz="0" w:space="0" w:color="auto"/>
        <w:right w:val="none" w:sz="0" w:space="0" w:color="auto"/>
      </w:divBdr>
    </w:div>
    <w:div w:id="1477455908">
      <w:bodyDiv w:val="1"/>
      <w:marLeft w:val="0"/>
      <w:marRight w:val="0"/>
      <w:marTop w:val="0"/>
      <w:marBottom w:val="0"/>
      <w:divBdr>
        <w:top w:val="none" w:sz="0" w:space="0" w:color="auto"/>
        <w:left w:val="none" w:sz="0" w:space="0" w:color="auto"/>
        <w:bottom w:val="none" w:sz="0" w:space="0" w:color="auto"/>
        <w:right w:val="none" w:sz="0" w:space="0" w:color="auto"/>
      </w:divBdr>
      <w:divsChild>
        <w:div w:id="75179189">
          <w:marLeft w:val="0"/>
          <w:marRight w:val="0"/>
          <w:marTop w:val="0"/>
          <w:marBottom w:val="0"/>
          <w:divBdr>
            <w:top w:val="none" w:sz="0" w:space="0" w:color="auto"/>
            <w:left w:val="none" w:sz="0" w:space="0" w:color="auto"/>
            <w:bottom w:val="none" w:sz="0" w:space="0" w:color="auto"/>
            <w:right w:val="none" w:sz="0" w:space="0" w:color="auto"/>
          </w:divBdr>
        </w:div>
      </w:divsChild>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sChild>
        <w:div w:id="2105109954">
          <w:marLeft w:val="0"/>
          <w:marRight w:val="0"/>
          <w:marTop w:val="0"/>
          <w:marBottom w:val="0"/>
          <w:divBdr>
            <w:top w:val="none" w:sz="0" w:space="0" w:color="auto"/>
            <w:left w:val="none" w:sz="0" w:space="0" w:color="auto"/>
            <w:bottom w:val="none" w:sz="0" w:space="0" w:color="auto"/>
            <w:right w:val="none" w:sz="0" w:space="0" w:color="auto"/>
          </w:divBdr>
        </w:div>
      </w:divsChild>
    </w:div>
    <w:div w:id="1480489082">
      <w:bodyDiv w:val="1"/>
      <w:marLeft w:val="0"/>
      <w:marRight w:val="0"/>
      <w:marTop w:val="0"/>
      <w:marBottom w:val="0"/>
      <w:divBdr>
        <w:top w:val="none" w:sz="0" w:space="0" w:color="auto"/>
        <w:left w:val="none" w:sz="0" w:space="0" w:color="auto"/>
        <w:bottom w:val="none" w:sz="0" w:space="0" w:color="auto"/>
        <w:right w:val="none" w:sz="0" w:space="0" w:color="auto"/>
      </w:divBdr>
      <w:divsChild>
        <w:div w:id="72896977">
          <w:blockQuote w:val="1"/>
          <w:marLeft w:val="0"/>
          <w:marRight w:val="0"/>
          <w:marTop w:val="120"/>
          <w:marBottom w:val="120"/>
          <w:divBdr>
            <w:top w:val="none" w:sz="0" w:space="0" w:color="auto"/>
            <w:left w:val="none" w:sz="0" w:space="0" w:color="auto"/>
            <w:bottom w:val="none" w:sz="0" w:space="0" w:color="auto"/>
            <w:right w:val="none" w:sz="0" w:space="0" w:color="auto"/>
          </w:divBdr>
        </w:div>
        <w:div w:id="176587583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481775630">
      <w:bodyDiv w:val="1"/>
      <w:marLeft w:val="0"/>
      <w:marRight w:val="0"/>
      <w:marTop w:val="0"/>
      <w:marBottom w:val="0"/>
      <w:divBdr>
        <w:top w:val="none" w:sz="0" w:space="0" w:color="auto"/>
        <w:left w:val="none" w:sz="0" w:space="0" w:color="auto"/>
        <w:bottom w:val="none" w:sz="0" w:space="0" w:color="auto"/>
        <w:right w:val="none" w:sz="0" w:space="0" w:color="auto"/>
      </w:divBdr>
    </w:div>
    <w:div w:id="1490370387">
      <w:bodyDiv w:val="1"/>
      <w:marLeft w:val="0"/>
      <w:marRight w:val="0"/>
      <w:marTop w:val="0"/>
      <w:marBottom w:val="0"/>
      <w:divBdr>
        <w:top w:val="none" w:sz="0" w:space="0" w:color="auto"/>
        <w:left w:val="none" w:sz="0" w:space="0" w:color="auto"/>
        <w:bottom w:val="none" w:sz="0" w:space="0" w:color="auto"/>
        <w:right w:val="none" w:sz="0" w:space="0" w:color="auto"/>
      </w:divBdr>
    </w:div>
    <w:div w:id="1490708016">
      <w:bodyDiv w:val="1"/>
      <w:marLeft w:val="0"/>
      <w:marRight w:val="0"/>
      <w:marTop w:val="0"/>
      <w:marBottom w:val="0"/>
      <w:divBdr>
        <w:top w:val="none" w:sz="0" w:space="0" w:color="auto"/>
        <w:left w:val="none" w:sz="0" w:space="0" w:color="auto"/>
        <w:bottom w:val="none" w:sz="0" w:space="0" w:color="auto"/>
        <w:right w:val="none" w:sz="0" w:space="0" w:color="auto"/>
      </w:divBdr>
      <w:divsChild>
        <w:div w:id="1116874984">
          <w:marLeft w:val="0"/>
          <w:marRight w:val="0"/>
          <w:marTop w:val="0"/>
          <w:marBottom w:val="0"/>
          <w:divBdr>
            <w:top w:val="none" w:sz="0" w:space="0" w:color="auto"/>
            <w:left w:val="none" w:sz="0" w:space="0" w:color="auto"/>
            <w:bottom w:val="none" w:sz="0" w:space="0" w:color="auto"/>
            <w:right w:val="none" w:sz="0" w:space="0" w:color="auto"/>
          </w:divBdr>
        </w:div>
      </w:divsChild>
    </w:div>
    <w:div w:id="1505776637">
      <w:bodyDiv w:val="1"/>
      <w:marLeft w:val="0"/>
      <w:marRight w:val="0"/>
      <w:marTop w:val="0"/>
      <w:marBottom w:val="0"/>
      <w:divBdr>
        <w:top w:val="none" w:sz="0" w:space="0" w:color="auto"/>
        <w:left w:val="none" w:sz="0" w:space="0" w:color="auto"/>
        <w:bottom w:val="none" w:sz="0" w:space="0" w:color="auto"/>
        <w:right w:val="none" w:sz="0" w:space="0" w:color="auto"/>
      </w:divBdr>
      <w:divsChild>
        <w:div w:id="588150267">
          <w:marLeft w:val="0"/>
          <w:marRight w:val="0"/>
          <w:marTop w:val="0"/>
          <w:marBottom w:val="0"/>
          <w:divBdr>
            <w:top w:val="none" w:sz="0" w:space="0" w:color="auto"/>
            <w:left w:val="none" w:sz="0" w:space="0" w:color="auto"/>
            <w:bottom w:val="none" w:sz="0" w:space="0" w:color="auto"/>
            <w:right w:val="none" w:sz="0" w:space="0" w:color="auto"/>
          </w:divBdr>
        </w:div>
        <w:div w:id="1676877397">
          <w:marLeft w:val="0"/>
          <w:marRight w:val="0"/>
          <w:marTop w:val="0"/>
          <w:marBottom w:val="0"/>
          <w:divBdr>
            <w:top w:val="none" w:sz="0" w:space="0" w:color="auto"/>
            <w:left w:val="none" w:sz="0" w:space="0" w:color="auto"/>
            <w:bottom w:val="none" w:sz="0" w:space="0" w:color="auto"/>
            <w:right w:val="none" w:sz="0" w:space="0" w:color="auto"/>
          </w:divBdr>
        </w:div>
      </w:divsChild>
    </w:div>
    <w:div w:id="1524706556">
      <w:bodyDiv w:val="1"/>
      <w:marLeft w:val="0"/>
      <w:marRight w:val="0"/>
      <w:marTop w:val="0"/>
      <w:marBottom w:val="0"/>
      <w:divBdr>
        <w:top w:val="none" w:sz="0" w:space="0" w:color="auto"/>
        <w:left w:val="none" w:sz="0" w:space="0" w:color="auto"/>
        <w:bottom w:val="none" w:sz="0" w:space="0" w:color="auto"/>
        <w:right w:val="none" w:sz="0" w:space="0" w:color="auto"/>
      </w:divBdr>
    </w:div>
    <w:div w:id="1547452348">
      <w:bodyDiv w:val="1"/>
      <w:marLeft w:val="0"/>
      <w:marRight w:val="0"/>
      <w:marTop w:val="0"/>
      <w:marBottom w:val="0"/>
      <w:divBdr>
        <w:top w:val="none" w:sz="0" w:space="0" w:color="auto"/>
        <w:left w:val="none" w:sz="0" w:space="0" w:color="auto"/>
        <w:bottom w:val="none" w:sz="0" w:space="0" w:color="auto"/>
        <w:right w:val="none" w:sz="0" w:space="0" w:color="auto"/>
      </w:divBdr>
    </w:div>
    <w:div w:id="1574699538">
      <w:bodyDiv w:val="1"/>
      <w:marLeft w:val="0"/>
      <w:marRight w:val="0"/>
      <w:marTop w:val="0"/>
      <w:marBottom w:val="0"/>
      <w:divBdr>
        <w:top w:val="none" w:sz="0" w:space="0" w:color="auto"/>
        <w:left w:val="none" w:sz="0" w:space="0" w:color="auto"/>
        <w:bottom w:val="none" w:sz="0" w:space="0" w:color="auto"/>
        <w:right w:val="none" w:sz="0" w:space="0" w:color="auto"/>
      </w:divBdr>
    </w:div>
    <w:div w:id="1581677573">
      <w:bodyDiv w:val="1"/>
      <w:marLeft w:val="0"/>
      <w:marRight w:val="0"/>
      <w:marTop w:val="0"/>
      <w:marBottom w:val="0"/>
      <w:divBdr>
        <w:top w:val="none" w:sz="0" w:space="0" w:color="auto"/>
        <w:left w:val="none" w:sz="0" w:space="0" w:color="auto"/>
        <w:bottom w:val="none" w:sz="0" w:space="0" w:color="auto"/>
        <w:right w:val="none" w:sz="0" w:space="0" w:color="auto"/>
      </w:divBdr>
      <w:divsChild>
        <w:div w:id="1591506805">
          <w:marLeft w:val="0"/>
          <w:marRight w:val="0"/>
          <w:marTop w:val="0"/>
          <w:marBottom w:val="0"/>
          <w:divBdr>
            <w:top w:val="none" w:sz="0" w:space="0" w:color="auto"/>
            <w:left w:val="none" w:sz="0" w:space="0" w:color="auto"/>
            <w:bottom w:val="none" w:sz="0" w:space="0" w:color="auto"/>
            <w:right w:val="none" w:sz="0" w:space="0" w:color="auto"/>
          </w:divBdr>
        </w:div>
      </w:divsChild>
    </w:div>
    <w:div w:id="1648196307">
      <w:bodyDiv w:val="1"/>
      <w:marLeft w:val="0"/>
      <w:marRight w:val="0"/>
      <w:marTop w:val="0"/>
      <w:marBottom w:val="0"/>
      <w:divBdr>
        <w:top w:val="none" w:sz="0" w:space="0" w:color="auto"/>
        <w:left w:val="none" w:sz="0" w:space="0" w:color="auto"/>
        <w:bottom w:val="none" w:sz="0" w:space="0" w:color="auto"/>
        <w:right w:val="none" w:sz="0" w:space="0" w:color="auto"/>
      </w:divBdr>
    </w:div>
    <w:div w:id="1673100219">
      <w:bodyDiv w:val="1"/>
      <w:marLeft w:val="0"/>
      <w:marRight w:val="0"/>
      <w:marTop w:val="0"/>
      <w:marBottom w:val="0"/>
      <w:divBdr>
        <w:top w:val="none" w:sz="0" w:space="0" w:color="auto"/>
        <w:left w:val="none" w:sz="0" w:space="0" w:color="auto"/>
        <w:bottom w:val="none" w:sz="0" w:space="0" w:color="auto"/>
        <w:right w:val="none" w:sz="0" w:space="0" w:color="auto"/>
      </w:divBdr>
    </w:div>
    <w:div w:id="1681276799">
      <w:bodyDiv w:val="1"/>
      <w:marLeft w:val="0"/>
      <w:marRight w:val="0"/>
      <w:marTop w:val="0"/>
      <w:marBottom w:val="0"/>
      <w:divBdr>
        <w:top w:val="none" w:sz="0" w:space="0" w:color="auto"/>
        <w:left w:val="none" w:sz="0" w:space="0" w:color="auto"/>
        <w:bottom w:val="none" w:sz="0" w:space="0" w:color="auto"/>
        <w:right w:val="none" w:sz="0" w:space="0" w:color="auto"/>
      </w:divBdr>
      <w:divsChild>
        <w:div w:id="400904467">
          <w:marLeft w:val="0"/>
          <w:marRight w:val="0"/>
          <w:marTop w:val="0"/>
          <w:marBottom w:val="0"/>
          <w:divBdr>
            <w:top w:val="none" w:sz="0" w:space="0" w:color="auto"/>
            <w:left w:val="none" w:sz="0" w:space="0" w:color="auto"/>
            <w:bottom w:val="none" w:sz="0" w:space="0" w:color="auto"/>
            <w:right w:val="none" w:sz="0" w:space="0" w:color="auto"/>
          </w:divBdr>
        </w:div>
        <w:div w:id="866791938">
          <w:marLeft w:val="0"/>
          <w:marRight w:val="0"/>
          <w:marTop w:val="0"/>
          <w:marBottom w:val="0"/>
          <w:divBdr>
            <w:top w:val="none" w:sz="0" w:space="0" w:color="auto"/>
            <w:left w:val="none" w:sz="0" w:space="0" w:color="auto"/>
            <w:bottom w:val="none" w:sz="0" w:space="0" w:color="auto"/>
            <w:right w:val="none" w:sz="0" w:space="0" w:color="auto"/>
          </w:divBdr>
        </w:div>
        <w:div w:id="1392850927">
          <w:marLeft w:val="0"/>
          <w:marRight w:val="0"/>
          <w:marTop w:val="0"/>
          <w:marBottom w:val="0"/>
          <w:divBdr>
            <w:top w:val="none" w:sz="0" w:space="0" w:color="auto"/>
            <w:left w:val="none" w:sz="0" w:space="0" w:color="auto"/>
            <w:bottom w:val="none" w:sz="0" w:space="0" w:color="auto"/>
            <w:right w:val="none" w:sz="0" w:space="0" w:color="auto"/>
          </w:divBdr>
        </w:div>
      </w:divsChild>
    </w:div>
    <w:div w:id="1701541440">
      <w:bodyDiv w:val="1"/>
      <w:marLeft w:val="0"/>
      <w:marRight w:val="0"/>
      <w:marTop w:val="0"/>
      <w:marBottom w:val="0"/>
      <w:divBdr>
        <w:top w:val="none" w:sz="0" w:space="0" w:color="auto"/>
        <w:left w:val="none" w:sz="0" w:space="0" w:color="auto"/>
        <w:bottom w:val="none" w:sz="0" w:space="0" w:color="auto"/>
        <w:right w:val="none" w:sz="0" w:space="0" w:color="auto"/>
      </w:divBdr>
    </w:div>
    <w:div w:id="1710448652">
      <w:bodyDiv w:val="1"/>
      <w:marLeft w:val="0"/>
      <w:marRight w:val="0"/>
      <w:marTop w:val="0"/>
      <w:marBottom w:val="0"/>
      <w:divBdr>
        <w:top w:val="none" w:sz="0" w:space="0" w:color="auto"/>
        <w:left w:val="none" w:sz="0" w:space="0" w:color="auto"/>
        <w:bottom w:val="none" w:sz="0" w:space="0" w:color="auto"/>
        <w:right w:val="none" w:sz="0" w:space="0" w:color="auto"/>
      </w:divBdr>
    </w:div>
    <w:div w:id="1755055499">
      <w:bodyDiv w:val="1"/>
      <w:marLeft w:val="0"/>
      <w:marRight w:val="0"/>
      <w:marTop w:val="0"/>
      <w:marBottom w:val="0"/>
      <w:divBdr>
        <w:top w:val="none" w:sz="0" w:space="0" w:color="auto"/>
        <w:left w:val="none" w:sz="0" w:space="0" w:color="auto"/>
        <w:bottom w:val="none" w:sz="0" w:space="0" w:color="auto"/>
        <w:right w:val="none" w:sz="0" w:space="0" w:color="auto"/>
      </w:divBdr>
      <w:divsChild>
        <w:div w:id="108163123">
          <w:marLeft w:val="0"/>
          <w:marRight w:val="0"/>
          <w:marTop w:val="0"/>
          <w:marBottom w:val="0"/>
          <w:divBdr>
            <w:top w:val="none" w:sz="0" w:space="0" w:color="auto"/>
            <w:left w:val="none" w:sz="0" w:space="0" w:color="auto"/>
            <w:bottom w:val="none" w:sz="0" w:space="0" w:color="auto"/>
            <w:right w:val="none" w:sz="0" w:space="0" w:color="auto"/>
          </w:divBdr>
        </w:div>
        <w:div w:id="165898924">
          <w:marLeft w:val="0"/>
          <w:marRight w:val="0"/>
          <w:marTop w:val="0"/>
          <w:marBottom w:val="0"/>
          <w:divBdr>
            <w:top w:val="none" w:sz="0" w:space="0" w:color="auto"/>
            <w:left w:val="none" w:sz="0" w:space="0" w:color="auto"/>
            <w:bottom w:val="none" w:sz="0" w:space="0" w:color="auto"/>
            <w:right w:val="none" w:sz="0" w:space="0" w:color="auto"/>
          </w:divBdr>
        </w:div>
        <w:div w:id="183058883">
          <w:marLeft w:val="0"/>
          <w:marRight w:val="0"/>
          <w:marTop w:val="0"/>
          <w:marBottom w:val="0"/>
          <w:divBdr>
            <w:top w:val="none" w:sz="0" w:space="0" w:color="auto"/>
            <w:left w:val="none" w:sz="0" w:space="0" w:color="auto"/>
            <w:bottom w:val="none" w:sz="0" w:space="0" w:color="auto"/>
            <w:right w:val="none" w:sz="0" w:space="0" w:color="auto"/>
          </w:divBdr>
        </w:div>
        <w:div w:id="473135077">
          <w:marLeft w:val="0"/>
          <w:marRight w:val="0"/>
          <w:marTop w:val="0"/>
          <w:marBottom w:val="0"/>
          <w:divBdr>
            <w:top w:val="none" w:sz="0" w:space="0" w:color="auto"/>
            <w:left w:val="none" w:sz="0" w:space="0" w:color="auto"/>
            <w:bottom w:val="none" w:sz="0" w:space="0" w:color="auto"/>
            <w:right w:val="none" w:sz="0" w:space="0" w:color="auto"/>
          </w:divBdr>
        </w:div>
        <w:div w:id="580455408">
          <w:marLeft w:val="0"/>
          <w:marRight w:val="0"/>
          <w:marTop w:val="0"/>
          <w:marBottom w:val="0"/>
          <w:divBdr>
            <w:top w:val="none" w:sz="0" w:space="0" w:color="auto"/>
            <w:left w:val="none" w:sz="0" w:space="0" w:color="auto"/>
            <w:bottom w:val="none" w:sz="0" w:space="0" w:color="auto"/>
            <w:right w:val="none" w:sz="0" w:space="0" w:color="auto"/>
          </w:divBdr>
        </w:div>
        <w:div w:id="892931681">
          <w:marLeft w:val="0"/>
          <w:marRight w:val="0"/>
          <w:marTop w:val="0"/>
          <w:marBottom w:val="0"/>
          <w:divBdr>
            <w:top w:val="none" w:sz="0" w:space="0" w:color="auto"/>
            <w:left w:val="none" w:sz="0" w:space="0" w:color="auto"/>
            <w:bottom w:val="none" w:sz="0" w:space="0" w:color="auto"/>
            <w:right w:val="none" w:sz="0" w:space="0" w:color="auto"/>
          </w:divBdr>
        </w:div>
        <w:div w:id="1030375456">
          <w:marLeft w:val="0"/>
          <w:marRight w:val="0"/>
          <w:marTop w:val="0"/>
          <w:marBottom w:val="0"/>
          <w:divBdr>
            <w:top w:val="none" w:sz="0" w:space="0" w:color="auto"/>
            <w:left w:val="none" w:sz="0" w:space="0" w:color="auto"/>
            <w:bottom w:val="none" w:sz="0" w:space="0" w:color="auto"/>
            <w:right w:val="none" w:sz="0" w:space="0" w:color="auto"/>
          </w:divBdr>
        </w:div>
        <w:div w:id="1764957894">
          <w:marLeft w:val="0"/>
          <w:marRight w:val="0"/>
          <w:marTop w:val="0"/>
          <w:marBottom w:val="0"/>
          <w:divBdr>
            <w:top w:val="none" w:sz="0" w:space="0" w:color="auto"/>
            <w:left w:val="none" w:sz="0" w:space="0" w:color="auto"/>
            <w:bottom w:val="none" w:sz="0" w:space="0" w:color="auto"/>
            <w:right w:val="none" w:sz="0" w:space="0" w:color="auto"/>
          </w:divBdr>
        </w:div>
        <w:div w:id="2082752038">
          <w:marLeft w:val="0"/>
          <w:marRight w:val="0"/>
          <w:marTop w:val="0"/>
          <w:marBottom w:val="0"/>
          <w:divBdr>
            <w:top w:val="none" w:sz="0" w:space="0" w:color="auto"/>
            <w:left w:val="none" w:sz="0" w:space="0" w:color="auto"/>
            <w:bottom w:val="none" w:sz="0" w:space="0" w:color="auto"/>
            <w:right w:val="none" w:sz="0" w:space="0" w:color="auto"/>
          </w:divBdr>
        </w:div>
      </w:divsChild>
    </w:div>
    <w:div w:id="1775127141">
      <w:bodyDiv w:val="1"/>
      <w:marLeft w:val="0"/>
      <w:marRight w:val="0"/>
      <w:marTop w:val="0"/>
      <w:marBottom w:val="0"/>
      <w:divBdr>
        <w:top w:val="none" w:sz="0" w:space="0" w:color="auto"/>
        <w:left w:val="none" w:sz="0" w:space="0" w:color="auto"/>
        <w:bottom w:val="none" w:sz="0" w:space="0" w:color="auto"/>
        <w:right w:val="none" w:sz="0" w:space="0" w:color="auto"/>
      </w:divBdr>
      <w:divsChild>
        <w:div w:id="93863693">
          <w:marLeft w:val="0"/>
          <w:marRight w:val="0"/>
          <w:marTop w:val="0"/>
          <w:marBottom w:val="0"/>
          <w:divBdr>
            <w:top w:val="none" w:sz="0" w:space="0" w:color="auto"/>
            <w:left w:val="none" w:sz="0" w:space="0" w:color="auto"/>
            <w:bottom w:val="none" w:sz="0" w:space="0" w:color="auto"/>
            <w:right w:val="none" w:sz="0" w:space="0" w:color="auto"/>
          </w:divBdr>
        </w:div>
        <w:div w:id="725494073">
          <w:marLeft w:val="0"/>
          <w:marRight w:val="0"/>
          <w:marTop w:val="0"/>
          <w:marBottom w:val="0"/>
          <w:divBdr>
            <w:top w:val="none" w:sz="0" w:space="0" w:color="auto"/>
            <w:left w:val="none" w:sz="0" w:space="0" w:color="auto"/>
            <w:bottom w:val="none" w:sz="0" w:space="0" w:color="auto"/>
            <w:right w:val="none" w:sz="0" w:space="0" w:color="auto"/>
          </w:divBdr>
        </w:div>
        <w:div w:id="839468151">
          <w:marLeft w:val="0"/>
          <w:marRight w:val="0"/>
          <w:marTop w:val="0"/>
          <w:marBottom w:val="0"/>
          <w:divBdr>
            <w:top w:val="none" w:sz="0" w:space="0" w:color="auto"/>
            <w:left w:val="none" w:sz="0" w:space="0" w:color="auto"/>
            <w:bottom w:val="none" w:sz="0" w:space="0" w:color="auto"/>
            <w:right w:val="none" w:sz="0" w:space="0" w:color="auto"/>
          </w:divBdr>
        </w:div>
        <w:div w:id="1796484038">
          <w:marLeft w:val="0"/>
          <w:marRight w:val="0"/>
          <w:marTop w:val="0"/>
          <w:marBottom w:val="0"/>
          <w:divBdr>
            <w:top w:val="none" w:sz="0" w:space="0" w:color="auto"/>
            <w:left w:val="none" w:sz="0" w:space="0" w:color="auto"/>
            <w:bottom w:val="none" w:sz="0" w:space="0" w:color="auto"/>
            <w:right w:val="none" w:sz="0" w:space="0" w:color="auto"/>
          </w:divBdr>
          <w:divsChild>
            <w:div w:id="1172378775">
              <w:marLeft w:val="0"/>
              <w:marRight w:val="0"/>
              <w:marTop w:val="30"/>
              <w:marBottom w:val="30"/>
              <w:divBdr>
                <w:top w:val="none" w:sz="0" w:space="0" w:color="auto"/>
                <w:left w:val="none" w:sz="0" w:space="0" w:color="auto"/>
                <w:bottom w:val="none" w:sz="0" w:space="0" w:color="auto"/>
                <w:right w:val="none" w:sz="0" w:space="0" w:color="auto"/>
              </w:divBdr>
              <w:divsChild>
                <w:div w:id="83696860">
                  <w:marLeft w:val="0"/>
                  <w:marRight w:val="0"/>
                  <w:marTop w:val="0"/>
                  <w:marBottom w:val="0"/>
                  <w:divBdr>
                    <w:top w:val="none" w:sz="0" w:space="0" w:color="auto"/>
                    <w:left w:val="none" w:sz="0" w:space="0" w:color="auto"/>
                    <w:bottom w:val="none" w:sz="0" w:space="0" w:color="auto"/>
                    <w:right w:val="none" w:sz="0" w:space="0" w:color="auto"/>
                  </w:divBdr>
                  <w:divsChild>
                    <w:div w:id="42022108">
                      <w:marLeft w:val="0"/>
                      <w:marRight w:val="0"/>
                      <w:marTop w:val="0"/>
                      <w:marBottom w:val="0"/>
                      <w:divBdr>
                        <w:top w:val="none" w:sz="0" w:space="0" w:color="auto"/>
                        <w:left w:val="none" w:sz="0" w:space="0" w:color="auto"/>
                        <w:bottom w:val="none" w:sz="0" w:space="0" w:color="auto"/>
                        <w:right w:val="none" w:sz="0" w:space="0" w:color="auto"/>
                      </w:divBdr>
                    </w:div>
                    <w:div w:id="209272621">
                      <w:marLeft w:val="0"/>
                      <w:marRight w:val="0"/>
                      <w:marTop w:val="0"/>
                      <w:marBottom w:val="0"/>
                      <w:divBdr>
                        <w:top w:val="none" w:sz="0" w:space="0" w:color="auto"/>
                        <w:left w:val="none" w:sz="0" w:space="0" w:color="auto"/>
                        <w:bottom w:val="none" w:sz="0" w:space="0" w:color="auto"/>
                        <w:right w:val="none" w:sz="0" w:space="0" w:color="auto"/>
                      </w:divBdr>
                    </w:div>
                    <w:div w:id="229851414">
                      <w:marLeft w:val="0"/>
                      <w:marRight w:val="0"/>
                      <w:marTop w:val="0"/>
                      <w:marBottom w:val="0"/>
                      <w:divBdr>
                        <w:top w:val="none" w:sz="0" w:space="0" w:color="auto"/>
                        <w:left w:val="none" w:sz="0" w:space="0" w:color="auto"/>
                        <w:bottom w:val="none" w:sz="0" w:space="0" w:color="auto"/>
                        <w:right w:val="none" w:sz="0" w:space="0" w:color="auto"/>
                      </w:divBdr>
                    </w:div>
                    <w:div w:id="571741392">
                      <w:marLeft w:val="0"/>
                      <w:marRight w:val="0"/>
                      <w:marTop w:val="0"/>
                      <w:marBottom w:val="0"/>
                      <w:divBdr>
                        <w:top w:val="none" w:sz="0" w:space="0" w:color="auto"/>
                        <w:left w:val="none" w:sz="0" w:space="0" w:color="auto"/>
                        <w:bottom w:val="none" w:sz="0" w:space="0" w:color="auto"/>
                        <w:right w:val="none" w:sz="0" w:space="0" w:color="auto"/>
                      </w:divBdr>
                    </w:div>
                    <w:div w:id="919757508">
                      <w:marLeft w:val="0"/>
                      <w:marRight w:val="0"/>
                      <w:marTop w:val="0"/>
                      <w:marBottom w:val="0"/>
                      <w:divBdr>
                        <w:top w:val="none" w:sz="0" w:space="0" w:color="auto"/>
                        <w:left w:val="none" w:sz="0" w:space="0" w:color="auto"/>
                        <w:bottom w:val="none" w:sz="0" w:space="0" w:color="auto"/>
                        <w:right w:val="none" w:sz="0" w:space="0" w:color="auto"/>
                      </w:divBdr>
                    </w:div>
                    <w:div w:id="985085005">
                      <w:marLeft w:val="0"/>
                      <w:marRight w:val="0"/>
                      <w:marTop w:val="0"/>
                      <w:marBottom w:val="0"/>
                      <w:divBdr>
                        <w:top w:val="none" w:sz="0" w:space="0" w:color="auto"/>
                        <w:left w:val="none" w:sz="0" w:space="0" w:color="auto"/>
                        <w:bottom w:val="none" w:sz="0" w:space="0" w:color="auto"/>
                        <w:right w:val="none" w:sz="0" w:space="0" w:color="auto"/>
                      </w:divBdr>
                    </w:div>
                    <w:div w:id="1708289619">
                      <w:marLeft w:val="0"/>
                      <w:marRight w:val="0"/>
                      <w:marTop w:val="0"/>
                      <w:marBottom w:val="0"/>
                      <w:divBdr>
                        <w:top w:val="none" w:sz="0" w:space="0" w:color="auto"/>
                        <w:left w:val="none" w:sz="0" w:space="0" w:color="auto"/>
                        <w:bottom w:val="none" w:sz="0" w:space="0" w:color="auto"/>
                        <w:right w:val="none" w:sz="0" w:space="0" w:color="auto"/>
                      </w:divBdr>
                    </w:div>
                    <w:div w:id="1710646145">
                      <w:marLeft w:val="0"/>
                      <w:marRight w:val="0"/>
                      <w:marTop w:val="0"/>
                      <w:marBottom w:val="0"/>
                      <w:divBdr>
                        <w:top w:val="none" w:sz="0" w:space="0" w:color="auto"/>
                        <w:left w:val="none" w:sz="0" w:space="0" w:color="auto"/>
                        <w:bottom w:val="none" w:sz="0" w:space="0" w:color="auto"/>
                        <w:right w:val="none" w:sz="0" w:space="0" w:color="auto"/>
                      </w:divBdr>
                    </w:div>
                    <w:div w:id="1918976007">
                      <w:marLeft w:val="0"/>
                      <w:marRight w:val="0"/>
                      <w:marTop w:val="0"/>
                      <w:marBottom w:val="0"/>
                      <w:divBdr>
                        <w:top w:val="none" w:sz="0" w:space="0" w:color="auto"/>
                        <w:left w:val="none" w:sz="0" w:space="0" w:color="auto"/>
                        <w:bottom w:val="none" w:sz="0" w:space="0" w:color="auto"/>
                        <w:right w:val="none" w:sz="0" w:space="0" w:color="auto"/>
                      </w:divBdr>
                    </w:div>
                    <w:div w:id="2031492710">
                      <w:marLeft w:val="0"/>
                      <w:marRight w:val="0"/>
                      <w:marTop w:val="0"/>
                      <w:marBottom w:val="0"/>
                      <w:divBdr>
                        <w:top w:val="none" w:sz="0" w:space="0" w:color="auto"/>
                        <w:left w:val="none" w:sz="0" w:space="0" w:color="auto"/>
                        <w:bottom w:val="none" w:sz="0" w:space="0" w:color="auto"/>
                        <w:right w:val="none" w:sz="0" w:space="0" w:color="auto"/>
                      </w:divBdr>
                    </w:div>
                    <w:div w:id="2044092646">
                      <w:marLeft w:val="0"/>
                      <w:marRight w:val="0"/>
                      <w:marTop w:val="0"/>
                      <w:marBottom w:val="0"/>
                      <w:divBdr>
                        <w:top w:val="none" w:sz="0" w:space="0" w:color="auto"/>
                        <w:left w:val="none" w:sz="0" w:space="0" w:color="auto"/>
                        <w:bottom w:val="none" w:sz="0" w:space="0" w:color="auto"/>
                        <w:right w:val="none" w:sz="0" w:space="0" w:color="auto"/>
                      </w:divBdr>
                    </w:div>
                  </w:divsChild>
                </w:div>
                <w:div w:id="85153703">
                  <w:marLeft w:val="0"/>
                  <w:marRight w:val="0"/>
                  <w:marTop w:val="0"/>
                  <w:marBottom w:val="0"/>
                  <w:divBdr>
                    <w:top w:val="none" w:sz="0" w:space="0" w:color="auto"/>
                    <w:left w:val="none" w:sz="0" w:space="0" w:color="auto"/>
                    <w:bottom w:val="none" w:sz="0" w:space="0" w:color="auto"/>
                    <w:right w:val="none" w:sz="0" w:space="0" w:color="auto"/>
                  </w:divBdr>
                  <w:divsChild>
                    <w:div w:id="1838958410">
                      <w:marLeft w:val="0"/>
                      <w:marRight w:val="0"/>
                      <w:marTop w:val="0"/>
                      <w:marBottom w:val="0"/>
                      <w:divBdr>
                        <w:top w:val="none" w:sz="0" w:space="0" w:color="auto"/>
                        <w:left w:val="none" w:sz="0" w:space="0" w:color="auto"/>
                        <w:bottom w:val="none" w:sz="0" w:space="0" w:color="auto"/>
                        <w:right w:val="none" w:sz="0" w:space="0" w:color="auto"/>
                      </w:divBdr>
                    </w:div>
                  </w:divsChild>
                </w:div>
                <w:div w:id="131022810">
                  <w:marLeft w:val="0"/>
                  <w:marRight w:val="0"/>
                  <w:marTop w:val="0"/>
                  <w:marBottom w:val="0"/>
                  <w:divBdr>
                    <w:top w:val="none" w:sz="0" w:space="0" w:color="auto"/>
                    <w:left w:val="none" w:sz="0" w:space="0" w:color="auto"/>
                    <w:bottom w:val="none" w:sz="0" w:space="0" w:color="auto"/>
                    <w:right w:val="none" w:sz="0" w:space="0" w:color="auto"/>
                  </w:divBdr>
                  <w:divsChild>
                    <w:div w:id="204800769">
                      <w:marLeft w:val="0"/>
                      <w:marRight w:val="0"/>
                      <w:marTop w:val="0"/>
                      <w:marBottom w:val="0"/>
                      <w:divBdr>
                        <w:top w:val="none" w:sz="0" w:space="0" w:color="auto"/>
                        <w:left w:val="none" w:sz="0" w:space="0" w:color="auto"/>
                        <w:bottom w:val="none" w:sz="0" w:space="0" w:color="auto"/>
                        <w:right w:val="none" w:sz="0" w:space="0" w:color="auto"/>
                      </w:divBdr>
                    </w:div>
                    <w:div w:id="296381271">
                      <w:marLeft w:val="0"/>
                      <w:marRight w:val="0"/>
                      <w:marTop w:val="0"/>
                      <w:marBottom w:val="0"/>
                      <w:divBdr>
                        <w:top w:val="none" w:sz="0" w:space="0" w:color="auto"/>
                        <w:left w:val="none" w:sz="0" w:space="0" w:color="auto"/>
                        <w:bottom w:val="none" w:sz="0" w:space="0" w:color="auto"/>
                        <w:right w:val="none" w:sz="0" w:space="0" w:color="auto"/>
                      </w:divBdr>
                    </w:div>
                    <w:div w:id="893124834">
                      <w:marLeft w:val="0"/>
                      <w:marRight w:val="0"/>
                      <w:marTop w:val="0"/>
                      <w:marBottom w:val="0"/>
                      <w:divBdr>
                        <w:top w:val="none" w:sz="0" w:space="0" w:color="auto"/>
                        <w:left w:val="none" w:sz="0" w:space="0" w:color="auto"/>
                        <w:bottom w:val="none" w:sz="0" w:space="0" w:color="auto"/>
                        <w:right w:val="none" w:sz="0" w:space="0" w:color="auto"/>
                      </w:divBdr>
                    </w:div>
                    <w:div w:id="955793506">
                      <w:marLeft w:val="0"/>
                      <w:marRight w:val="0"/>
                      <w:marTop w:val="0"/>
                      <w:marBottom w:val="0"/>
                      <w:divBdr>
                        <w:top w:val="none" w:sz="0" w:space="0" w:color="auto"/>
                        <w:left w:val="none" w:sz="0" w:space="0" w:color="auto"/>
                        <w:bottom w:val="none" w:sz="0" w:space="0" w:color="auto"/>
                        <w:right w:val="none" w:sz="0" w:space="0" w:color="auto"/>
                      </w:divBdr>
                    </w:div>
                    <w:div w:id="1267957492">
                      <w:marLeft w:val="0"/>
                      <w:marRight w:val="0"/>
                      <w:marTop w:val="0"/>
                      <w:marBottom w:val="0"/>
                      <w:divBdr>
                        <w:top w:val="none" w:sz="0" w:space="0" w:color="auto"/>
                        <w:left w:val="none" w:sz="0" w:space="0" w:color="auto"/>
                        <w:bottom w:val="none" w:sz="0" w:space="0" w:color="auto"/>
                        <w:right w:val="none" w:sz="0" w:space="0" w:color="auto"/>
                      </w:divBdr>
                    </w:div>
                    <w:div w:id="1900969020">
                      <w:marLeft w:val="0"/>
                      <w:marRight w:val="0"/>
                      <w:marTop w:val="0"/>
                      <w:marBottom w:val="0"/>
                      <w:divBdr>
                        <w:top w:val="none" w:sz="0" w:space="0" w:color="auto"/>
                        <w:left w:val="none" w:sz="0" w:space="0" w:color="auto"/>
                        <w:bottom w:val="none" w:sz="0" w:space="0" w:color="auto"/>
                        <w:right w:val="none" w:sz="0" w:space="0" w:color="auto"/>
                      </w:divBdr>
                    </w:div>
                  </w:divsChild>
                </w:div>
                <w:div w:id="152111815">
                  <w:marLeft w:val="0"/>
                  <w:marRight w:val="0"/>
                  <w:marTop w:val="0"/>
                  <w:marBottom w:val="0"/>
                  <w:divBdr>
                    <w:top w:val="none" w:sz="0" w:space="0" w:color="auto"/>
                    <w:left w:val="none" w:sz="0" w:space="0" w:color="auto"/>
                    <w:bottom w:val="none" w:sz="0" w:space="0" w:color="auto"/>
                    <w:right w:val="none" w:sz="0" w:space="0" w:color="auto"/>
                  </w:divBdr>
                  <w:divsChild>
                    <w:div w:id="1654331774">
                      <w:marLeft w:val="0"/>
                      <w:marRight w:val="0"/>
                      <w:marTop w:val="0"/>
                      <w:marBottom w:val="0"/>
                      <w:divBdr>
                        <w:top w:val="none" w:sz="0" w:space="0" w:color="auto"/>
                        <w:left w:val="none" w:sz="0" w:space="0" w:color="auto"/>
                        <w:bottom w:val="none" w:sz="0" w:space="0" w:color="auto"/>
                        <w:right w:val="none" w:sz="0" w:space="0" w:color="auto"/>
                      </w:divBdr>
                    </w:div>
                  </w:divsChild>
                </w:div>
                <w:div w:id="167016738">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
                    <w:div w:id="1019504033">
                      <w:marLeft w:val="0"/>
                      <w:marRight w:val="0"/>
                      <w:marTop w:val="0"/>
                      <w:marBottom w:val="0"/>
                      <w:divBdr>
                        <w:top w:val="none" w:sz="0" w:space="0" w:color="auto"/>
                        <w:left w:val="none" w:sz="0" w:space="0" w:color="auto"/>
                        <w:bottom w:val="none" w:sz="0" w:space="0" w:color="auto"/>
                        <w:right w:val="none" w:sz="0" w:space="0" w:color="auto"/>
                      </w:divBdr>
                    </w:div>
                    <w:div w:id="1152528137">
                      <w:marLeft w:val="0"/>
                      <w:marRight w:val="0"/>
                      <w:marTop w:val="0"/>
                      <w:marBottom w:val="0"/>
                      <w:divBdr>
                        <w:top w:val="none" w:sz="0" w:space="0" w:color="auto"/>
                        <w:left w:val="none" w:sz="0" w:space="0" w:color="auto"/>
                        <w:bottom w:val="none" w:sz="0" w:space="0" w:color="auto"/>
                        <w:right w:val="none" w:sz="0" w:space="0" w:color="auto"/>
                      </w:divBdr>
                    </w:div>
                    <w:div w:id="1172986604">
                      <w:marLeft w:val="0"/>
                      <w:marRight w:val="0"/>
                      <w:marTop w:val="0"/>
                      <w:marBottom w:val="0"/>
                      <w:divBdr>
                        <w:top w:val="none" w:sz="0" w:space="0" w:color="auto"/>
                        <w:left w:val="none" w:sz="0" w:space="0" w:color="auto"/>
                        <w:bottom w:val="none" w:sz="0" w:space="0" w:color="auto"/>
                        <w:right w:val="none" w:sz="0" w:space="0" w:color="auto"/>
                      </w:divBdr>
                    </w:div>
                    <w:div w:id="1782409218">
                      <w:marLeft w:val="0"/>
                      <w:marRight w:val="0"/>
                      <w:marTop w:val="0"/>
                      <w:marBottom w:val="0"/>
                      <w:divBdr>
                        <w:top w:val="none" w:sz="0" w:space="0" w:color="auto"/>
                        <w:left w:val="none" w:sz="0" w:space="0" w:color="auto"/>
                        <w:bottom w:val="none" w:sz="0" w:space="0" w:color="auto"/>
                        <w:right w:val="none" w:sz="0" w:space="0" w:color="auto"/>
                      </w:divBdr>
                    </w:div>
                  </w:divsChild>
                </w:div>
                <w:div w:id="262886663">
                  <w:marLeft w:val="0"/>
                  <w:marRight w:val="0"/>
                  <w:marTop w:val="0"/>
                  <w:marBottom w:val="0"/>
                  <w:divBdr>
                    <w:top w:val="none" w:sz="0" w:space="0" w:color="auto"/>
                    <w:left w:val="none" w:sz="0" w:space="0" w:color="auto"/>
                    <w:bottom w:val="none" w:sz="0" w:space="0" w:color="auto"/>
                    <w:right w:val="none" w:sz="0" w:space="0" w:color="auto"/>
                  </w:divBdr>
                  <w:divsChild>
                    <w:div w:id="1152914744">
                      <w:marLeft w:val="0"/>
                      <w:marRight w:val="0"/>
                      <w:marTop w:val="0"/>
                      <w:marBottom w:val="0"/>
                      <w:divBdr>
                        <w:top w:val="none" w:sz="0" w:space="0" w:color="auto"/>
                        <w:left w:val="none" w:sz="0" w:space="0" w:color="auto"/>
                        <w:bottom w:val="none" w:sz="0" w:space="0" w:color="auto"/>
                        <w:right w:val="none" w:sz="0" w:space="0" w:color="auto"/>
                      </w:divBdr>
                    </w:div>
                  </w:divsChild>
                </w:div>
                <w:div w:id="308051424">
                  <w:marLeft w:val="0"/>
                  <w:marRight w:val="0"/>
                  <w:marTop w:val="0"/>
                  <w:marBottom w:val="0"/>
                  <w:divBdr>
                    <w:top w:val="none" w:sz="0" w:space="0" w:color="auto"/>
                    <w:left w:val="none" w:sz="0" w:space="0" w:color="auto"/>
                    <w:bottom w:val="none" w:sz="0" w:space="0" w:color="auto"/>
                    <w:right w:val="none" w:sz="0" w:space="0" w:color="auto"/>
                  </w:divBdr>
                  <w:divsChild>
                    <w:div w:id="2099599480">
                      <w:marLeft w:val="0"/>
                      <w:marRight w:val="0"/>
                      <w:marTop w:val="0"/>
                      <w:marBottom w:val="0"/>
                      <w:divBdr>
                        <w:top w:val="none" w:sz="0" w:space="0" w:color="auto"/>
                        <w:left w:val="none" w:sz="0" w:space="0" w:color="auto"/>
                        <w:bottom w:val="none" w:sz="0" w:space="0" w:color="auto"/>
                        <w:right w:val="none" w:sz="0" w:space="0" w:color="auto"/>
                      </w:divBdr>
                    </w:div>
                  </w:divsChild>
                </w:div>
                <w:div w:id="354307967">
                  <w:marLeft w:val="0"/>
                  <w:marRight w:val="0"/>
                  <w:marTop w:val="0"/>
                  <w:marBottom w:val="0"/>
                  <w:divBdr>
                    <w:top w:val="none" w:sz="0" w:space="0" w:color="auto"/>
                    <w:left w:val="none" w:sz="0" w:space="0" w:color="auto"/>
                    <w:bottom w:val="none" w:sz="0" w:space="0" w:color="auto"/>
                    <w:right w:val="none" w:sz="0" w:space="0" w:color="auto"/>
                  </w:divBdr>
                  <w:divsChild>
                    <w:div w:id="556629635">
                      <w:marLeft w:val="0"/>
                      <w:marRight w:val="0"/>
                      <w:marTop w:val="0"/>
                      <w:marBottom w:val="0"/>
                      <w:divBdr>
                        <w:top w:val="none" w:sz="0" w:space="0" w:color="auto"/>
                        <w:left w:val="none" w:sz="0" w:space="0" w:color="auto"/>
                        <w:bottom w:val="none" w:sz="0" w:space="0" w:color="auto"/>
                        <w:right w:val="none" w:sz="0" w:space="0" w:color="auto"/>
                      </w:divBdr>
                    </w:div>
                  </w:divsChild>
                </w:div>
                <w:div w:id="449016172">
                  <w:marLeft w:val="0"/>
                  <w:marRight w:val="0"/>
                  <w:marTop w:val="0"/>
                  <w:marBottom w:val="0"/>
                  <w:divBdr>
                    <w:top w:val="none" w:sz="0" w:space="0" w:color="auto"/>
                    <w:left w:val="none" w:sz="0" w:space="0" w:color="auto"/>
                    <w:bottom w:val="none" w:sz="0" w:space="0" w:color="auto"/>
                    <w:right w:val="none" w:sz="0" w:space="0" w:color="auto"/>
                  </w:divBdr>
                  <w:divsChild>
                    <w:div w:id="835655856">
                      <w:marLeft w:val="0"/>
                      <w:marRight w:val="0"/>
                      <w:marTop w:val="0"/>
                      <w:marBottom w:val="0"/>
                      <w:divBdr>
                        <w:top w:val="none" w:sz="0" w:space="0" w:color="auto"/>
                        <w:left w:val="none" w:sz="0" w:space="0" w:color="auto"/>
                        <w:bottom w:val="none" w:sz="0" w:space="0" w:color="auto"/>
                        <w:right w:val="none" w:sz="0" w:space="0" w:color="auto"/>
                      </w:divBdr>
                    </w:div>
                  </w:divsChild>
                </w:div>
                <w:div w:id="485629936">
                  <w:marLeft w:val="0"/>
                  <w:marRight w:val="0"/>
                  <w:marTop w:val="0"/>
                  <w:marBottom w:val="0"/>
                  <w:divBdr>
                    <w:top w:val="none" w:sz="0" w:space="0" w:color="auto"/>
                    <w:left w:val="none" w:sz="0" w:space="0" w:color="auto"/>
                    <w:bottom w:val="none" w:sz="0" w:space="0" w:color="auto"/>
                    <w:right w:val="none" w:sz="0" w:space="0" w:color="auto"/>
                  </w:divBdr>
                  <w:divsChild>
                    <w:div w:id="210308514">
                      <w:marLeft w:val="0"/>
                      <w:marRight w:val="0"/>
                      <w:marTop w:val="0"/>
                      <w:marBottom w:val="0"/>
                      <w:divBdr>
                        <w:top w:val="none" w:sz="0" w:space="0" w:color="auto"/>
                        <w:left w:val="none" w:sz="0" w:space="0" w:color="auto"/>
                        <w:bottom w:val="none" w:sz="0" w:space="0" w:color="auto"/>
                        <w:right w:val="none" w:sz="0" w:space="0" w:color="auto"/>
                      </w:divBdr>
                    </w:div>
                  </w:divsChild>
                </w:div>
                <w:div w:id="572274021">
                  <w:marLeft w:val="0"/>
                  <w:marRight w:val="0"/>
                  <w:marTop w:val="0"/>
                  <w:marBottom w:val="0"/>
                  <w:divBdr>
                    <w:top w:val="none" w:sz="0" w:space="0" w:color="auto"/>
                    <w:left w:val="none" w:sz="0" w:space="0" w:color="auto"/>
                    <w:bottom w:val="none" w:sz="0" w:space="0" w:color="auto"/>
                    <w:right w:val="none" w:sz="0" w:space="0" w:color="auto"/>
                  </w:divBdr>
                  <w:divsChild>
                    <w:div w:id="1675113510">
                      <w:marLeft w:val="0"/>
                      <w:marRight w:val="0"/>
                      <w:marTop w:val="0"/>
                      <w:marBottom w:val="0"/>
                      <w:divBdr>
                        <w:top w:val="none" w:sz="0" w:space="0" w:color="auto"/>
                        <w:left w:val="none" w:sz="0" w:space="0" w:color="auto"/>
                        <w:bottom w:val="none" w:sz="0" w:space="0" w:color="auto"/>
                        <w:right w:val="none" w:sz="0" w:space="0" w:color="auto"/>
                      </w:divBdr>
                    </w:div>
                  </w:divsChild>
                </w:div>
                <w:div w:id="630984837">
                  <w:marLeft w:val="0"/>
                  <w:marRight w:val="0"/>
                  <w:marTop w:val="0"/>
                  <w:marBottom w:val="0"/>
                  <w:divBdr>
                    <w:top w:val="none" w:sz="0" w:space="0" w:color="auto"/>
                    <w:left w:val="none" w:sz="0" w:space="0" w:color="auto"/>
                    <w:bottom w:val="none" w:sz="0" w:space="0" w:color="auto"/>
                    <w:right w:val="none" w:sz="0" w:space="0" w:color="auto"/>
                  </w:divBdr>
                  <w:divsChild>
                    <w:div w:id="2035880332">
                      <w:marLeft w:val="0"/>
                      <w:marRight w:val="0"/>
                      <w:marTop w:val="0"/>
                      <w:marBottom w:val="0"/>
                      <w:divBdr>
                        <w:top w:val="none" w:sz="0" w:space="0" w:color="auto"/>
                        <w:left w:val="none" w:sz="0" w:space="0" w:color="auto"/>
                        <w:bottom w:val="none" w:sz="0" w:space="0" w:color="auto"/>
                        <w:right w:val="none" w:sz="0" w:space="0" w:color="auto"/>
                      </w:divBdr>
                    </w:div>
                  </w:divsChild>
                </w:div>
                <w:div w:id="835267073">
                  <w:marLeft w:val="0"/>
                  <w:marRight w:val="0"/>
                  <w:marTop w:val="0"/>
                  <w:marBottom w:val="0"/>
                  <w:divBdr>
                    <w:top w:val="none" w:sz="0" w:space="0" w:color="auto"/>
                    <w:left w:val="none" w:sz="0" w:space="0" w:color="auto"/>
                    <w:bottom w:val="none" w:sz="0" w:space="0" w:color="auto"/>
                    <w:right w:val="none" w:sz="0" w:space="0" w:color="auto"/>
                  </w:divBdr>
                  <w:divsChild>
                    <w:div w:id="446777394">
                      <w:marLeft w:val="0"/>
                      <w:marRight w:val="0"/>
                      <w:marTop w:val="0"/>
                      <w:marBottom w:val="0"/>
                      <w:divBdr>
                        <w:top w:val="none" w:sz="0" w:space="0" w:color="auto"/>
                        <w:left w:val="none" w:sz="0" w:space="0" w:color="auto"/>
                        <w:bottom w:val="none" w:sz="0" w:space="0" w:color="auto"/>
                        <w:right w:val="none" w:sz="0" w:space="0" w:color="auto"/>
                      </w:divBdr>
                    </w:div>
                    <w:div w:id="1293555376">
                      <w:marLeft w:val="0"/>
                      <w:marRight w:val="0"/>
                      <w:marTop w:val="0"/>
                      <w:marBottom w:val="0"/>
                      <w:divBdr>
                        <w:top w:val="none" w:sz="0" w:space="0" w:color="auto"/>
                        <w:left w:val="none" w:sz="0" w:space="0" w:color="auto"/>
                        <w:bottom w:val="none" w:sz="0" w:space="0" w:color="auto"/>
                        <w:right w:val="none" w:sz="0" w:space="0" w:color="auto"/>
                      </w:divBdr>
                    </w:div>
                    <w:div w:id="1294481436">
                      <w:marLeft w:val="0"/>
                      <w:marRight w:val="0"/>
                      <w:marTop w:val="0"/>
                      <w:marBottom w:val="0"/>
                      <w:divBdr>
                        <w:top w:val="none" w:sz="0" w:space="0" w:color="auto"/>
                        <w:left w:val="none" w:sz="0" w:space="0" w:color="auto"/>
                        <w:bottom w:val="none" w:sz="0" w:space="0" w:color="auto"/>
                        <w:right w:val="none" w:sz="0" w:space="0" w:color="auto"/>
                      </w:divBdr>
                    </w:div>
                    <w:div w:id="1354917227">
                      <w:marLeft w:val="0"/>
                      <w:marRight w:val="0"/>
                      <w:marTop w:val="0"/>
                      <w:marBottom w:val="0"/>
                      <w:divBdr>
                        <w:top w:val="none" w:sz="0" w:space="0" w:color="auto"/>
                        <w:left w:val="none" w:sz="0" w:space="0" w:color="auto"/>
                        <w:bottom w:val="none" w:sz="0" w:space="0" w:color="auto"/>
                        <w:right w:val="none" w:sz="0" w:space="0" w:color="auto"/>
                      </w:divBdr>
                    </w:div>
                    <w:div w:id="1370908970">
                      <w:marLeft w:val="0"/>
                      <w:marRight w:val="0"/>
                      <w:marTop w:val="0"/>
                      <w:marBottom w:val="0"/>
                      <w:divBdr>
                        <w:top w:val="none" w:sz="0" w:space="0" w:color="auto"/>
                        <w:left w:val="none" w:sz="0" w:space="0" w:color="auto"/>
                        <w:bottom w:val="none" w:sz="0" w:space="0" w:color="auto"/>
                        <w:right w:val="none" w:sz="0" w:space="0" w:color="auto"/>
                      </w:divBdr>
                    </w:div>
                    <w:div w:id="1860006091">
                      <w:marLeft w:val="0"/>
                      <w:marRight w:val="0"/>
                      <w:marTop w:val="0"/>
                      <w:marBottom w:val="0"/>
                      <w:divBdr>
                        <w:top w:val="none" w:sz="0" w:space="0" w:color="auto"/>
                        <w:left w:val="none" w:sz="0" w:space="0" w:color="auto"/>
                        <w:bottom w:val="none" w:sz="0" w:space="0" w:color="auto"/>
                        <w:right w:val="none" w:sz="0" w:space="0" w:color="auto"/>
                      </w:divBdr>
                    </w:div>
                    <w:div w:id="2091390379">
                      <w:marLeft w:val="0"/>
                      <w:marRight w:val="0"/>
                      <w:marTop w:val="0"/>
                      <w:marBottom w:val="0"/>
                      <w:divBdr>
                        <w:top w:val="none" w:sz="0" w:space="0" w:color="auto"/>
                        <w:left w:val="none" w:sz="0" w:space="0" w:color="auto"/>
                        <w:bottom w:val="none" w:sz="0" w:space="0" w:color="auto"/>
                        <w:right w:val="none" w:sz="0" w:space="0" w:color="auto"/>
                      </w:divBdr>
                    </w:div>
                  </w:divsChild>
                </w:div>
                <w:div w:id="1148203070">
                  <w:marLeft w:val="0"/>
                  <w:marRight w:val="0"/>
                  <w:marTop w:val="0"/>
                  <w:marBottom w:val="0"/>
                  <w:divBdr>
                    <w:top w:val="none" w:sz="0" w:space="0" w:color="auto"/>
                    <w:left w:val="none" w:sz="0" w:space="0" w:color="auto"/>
                    <w:bottom w:val="none" w:sz="0" w:space="0" w:color="auto"/>
                    <w:right w:val="none" w:sz="0" w:space="0" w:color="auto"/>
                  </w:divBdr>
                  <w:divsChild>
                    <w:div w:id="207180914">
                      <w:marLeft w:val="0"/>
                      <w:marRight w:val="0"/>
                      <w:marTop w:val="0"/>
                      <w:marBottom w:val="0"/>
                      <w:divBdr>
                        <w:top w:val="none" w:sz="0" w:space="0" w:color="auto"/>
                        <w:left w:val="none" w:sz="0" w:space="0" w:color="auto"/>
                        <w:bottom w:val="none" w:sz="0" w:space="0" w:color="auto"/>
                        <w:right w:val="none" w:sz="0" w:space="0" w:color="auto"/>
                      </w:divBdr>
                    </w:div>
                    <w:div w:id="653603377">
                      <w:marLeft w:val="0"/>
                      <w:marRight w:val="0"/>
                      <w:marTop w:val="0"/>
                      <w:marBottom w:val="0"/>
                      <w:divBdr>
                        <w:top w:val="none" w:sz="0" w:space="0" w:color="auto"/>
                        <w:left w:val="none" w:sz="0" w:space="0" w:color="auto"/>
                        <w:bottom w:val="none" w:sz="0" w:space="0" w:color="auto"/>
                        <w:right w:val="none" w:sz="0" w:space="0" w:color="auto"/>
                      </w:divBdr>
                    </w:div>
                    <w:div w:id="916860266">
                      <w:marLeft w:val="0"/>
                      <w:marRight w:val="0"/>
                      <w:marTop w:val="0"/>
                      <w:marBottom w:val="0"/>
                      <w:divBdr>
                        <w:top w:val="none" w:sz="0" w:space="0" w:color="auto"/>
                        <w:left w:val="none" w:sz="0" w:space="0" w:color="auto"/>
                        <w:bottom w:val="none" w:sz="0" w:space="0" w:color="auto"/>
                        <w:right w:val="none" w:sz="0" w:space="0" w:color="auto"/>
                      </w:divBdr>
                    </w:div>
                    <w:div w:id="1121724771">
                      <w:marLeft w:val="0"/>
                      <w:marRight w:val="0"/>
                      <w:marTop w:val="0"/>
                      <w:marBottom w:val="0"/>
                      <w:divBdr>
                        <w:top w:val="none" w:sz="0" w:space="0" w:color="auto"/>
                        <w:left w:val="none" w:sz="0" w:space="0" w:color="auto"/>
                        <w:bottom w:val="none" w:sz="0" w:space="0" w:color="auto"/>
                        <w:right w:val="none" w:sz="0" w:space="0" w:color="auto"/>
                      </w:divBdr>
                    </w:div>
                    <w:div w:id="1171798025">
                      <w:marLeft w:val="0"/>
                      <w:marRight w:val="0"/>
                      <w:marTop w:val="0"/>
                      <w:marBottom w:val="0"/>
                      <w:divBdr>
                        <w:top w:val="none" w:sz="0" w:space="0" w:color="auto"/>
                        <w:left w:val="none" w:sz="0" w:space="0" w:color="auto"/>
                        <w:bottom w:val="none" w:sz="0" w:space="0" w:color="auto"/>
                        <w:right w:val="none" w:sz="0" w:space="0" w:color="auto"/>
                      </w:divBdr>
                    </w:div>
                    <w:div w:id="1308780896">
                      <w:marLeft w:val="0"/>
                      <w:marRight w:val="0"/>
                      <w:marTop w:val="0"/>
                      <w:marBottom w:val="0"/>
                      <w:divBdr>
                        <w:top w:val="none" w:sz="0" w:space="0" w:color="auto"/>
                        <w:left w:val="none" w:sz="0" w:space="0" w:color="auto"/>
                        <w:bottom w:val="none" w:sz="0" w:space="0" w:color="auto"/>
                        <w:right w:val="none" w:sz="0" w:space="0" w:color="auto"/>
                      </w:divBdr>
                    </w:div>
                    <w:div w:id="1336834750">
                      <w:marLeft w:val="0"/>
                      <w:marRight w:val="0"/>
                      <w:marTop w:val="0"/>
                      <w:marBottom w:val="0"/>
                      <w:divBdr>
                        <w:top w:val="none" w:sz="0" w:space="0" w:color="auto"/>
                        <w:left w:val="none" w:sz="0" w:space="0" w:color="auto"/>
                        <w:bottom w:val="none" w:sz="0" w:space="0" w:color="auto"/>
                        <w:right w:val="none" w:sz="0" w:space="0" w:color="auto"/>
                      </w:divBdr>
                    </w:div>
                    <w:div w:id="1863981089">
                      <w:marLeft w:val="0"/>
                      <w:marRight w:val="0"/>
                      <w:marTop w:val="0"/>
                      <w:marBottom w:val="0"/>
                      <w:divBdr>
                        <w:top w:val="none" w:sz="0" w:space="0" w:color="auto"/>
                        <w:left w:val="none" w:sz="0" w:space="0" w:color="auto"/>
                        <w:bottom w:val="none" w:sz="0" w:space="0" w:color="auto"/>
                        <w:right w:val="none" w:sz="0" w:space="0" w:color="auto"/>
                      </w:divBdr>
                    </w:div>
                  </w:divsChild>
                </w:div>
                <w:div w:id="1238251665">
                  <w:marLeft w:val="0"/>
                  <w:marRight w:val="0"/>
                  <w:marTop w:val="0"/>
                  <w:marBottom w:val="0"/>
                  <w:divBdr>
                    <w:top w:val="none" w:sz="0" w:space="0" w:color="auto"/>
                    <w:left w:val="none" w:sz="0" w:space="0" w:color="auto"/>
                    <w:bottom w:val="none" w:sz="0" w:space="0" w:color="auto"/>
                    <w:right w:val="none" w:sz="0" w:space="0" w:color="auto"/>
                  </w:divBdr>
                  <w:divsChild>
                    <w:div w:id="1357079574">
                      <w:marLeft w:val="0"/>
                      <w:marRight w:val="0"/>
                      <w:marTop w:val="0"/>
                      <w:marBottom w:val="0"/>
                      <w:divBdr>
                        <w:top w:val="none" w:sz="0" w:space="0" w:color="auto"/>
                        <w:left w:val="none" w:sz="0" w:space="0" w:color="auto"/>
                        <w:bottom w:val="none" w:sz="0" w:space="0" w:color="auto"/>
                        <w:right w:val="none" w:sz="0" w:space="0" w:color="auto"/>
                      </w:divBdr>
                    </w:div>
                  </w:divsChild>
                </w:div>
                <w:div w:id="1312901722">
                  <w:marLeft w:val="0"/>
                  <w:marRight w:val="0"/>
                  <w:marTop w:val="0"/>
                  <w:marBottom w:val="0"/>
                  <w:divBdr>
                    <w:top w:val="none" w:sz="0" w:space="0" w:color="auto"/>
                    <w:left w:val="none" w:sz="0" w:space="0" w:color="auto"/>
                    <w:bottom w:val="none" w:sz="0" w:space="0" w:color="auto"/>
                    <w:right w:val="none" w:sz="0" w:space="0" w:color="auto"/>
                  </w:divBdr>
                  <w:divsChild>
                    <w:div w:id="586156265">
                      <w:marLeft w:val="0"/>
                      <w:marRight w:val="0"/>
                      <w:marTop w:val="0"/>
                      <w:marBottom w:val="0"/>
                      <w:divBdr>
                        <w:top w:val="none" w:sz="0" w:space="0" w:color="auto"/>
                        <w:left w:val="none" w:sz="0" w:space="0" w:color="auto"/>
                        <w:bottom w:val="none" w:sz="0" w:space="0" w:color="auto"/>
                        <w:right w:val="none" w:sz="0" w:space="0" w:color="auto"/>
                      </w:divBdr>
                    </w:div>
                  </w:divsChild>
                </w:div>
                <w:div w:id="1324508245">
                  <w:marLeft w:val="0"/>
                  <w:marRight w:val="0"/>
                  <w:marTop w:val="0"/>
                  <w:marBottom w:val="0"/>
                  <w:divBdr>
                    <w:top w:val="none" w:sz="0" w:space="0" w:color="auto"/>
                    <w:left w:val="none" w:sz="0" w:space="0" w:color="auto"/>
                    <w:bottom w:val="none" w:sz="0" w:space="0" w:color="auto"/>
                    <w:right w:val="none" w:sz="0" w:space="0" w:color="auto"/>
                  </w:divBdr>
                  <w:divsChild>
                    <w:div w:id="489299241">
                      <w:marLeft w:val="0"/>
                      <w:marRight w:val="0"/>
                      <w:marTop w:val="0"/>
                      <w:marBottom w:val="0"/>
                      <w:divBdr>
                        <w:top w:val="none" w:sz="0" w:space="0" w:color="auto"/>
                        <w:left w:val="none" w:sz="0" w:space="0" w:color="auto"/>
                        <w:bottom w:val="none" w:sz="0" w:space="0" w:color="auto"/>
                        <w:right w:val="none" w:sz="0" w:space="0" w:color="auto"/>
                      </w:divBdr>
                    </w:div>
                  </w:divsChild>
                </w:div>
                <w:div w:id="1441755817">
                  <w:marLeft w:val="0"/>
                  <w:marRight w:val="0"/>
                  <w:marTop w:val="0"/>
                  <w:marBottom w:val="0"/>
                  <w:divBdr>
                    <w:top w:val="none" w:sz="0" w:space="0" w:color="auto"/>
                    <w:left w:val="none" w:sz="0" w:space="0" w:color="auto"/>
                    <w:bottom w:val="none" w:sz="0" w:space="0" w:color="auto"/>
                    <w:right w:val="none" w:sz="0" w:space="0" w:color="auto"/>
                  </w:divBdr>
                  <w:divsChild>
                    <w:div w:id="311178072">
                      <w:marLeft w:val="0"/>
                      <w:marRight w:val="0"/>
                      <w:marTop w:val="0"/>
                      <w:marBottom w:val="0"/>
                      <w:divBdr>
                        <w:top w:val="none" w:sz="0" w:space="0" w:color="auto"/>
                        <w:left w:val="none" w:sz="0" w:space="0" w:color="auto"/>
                        <w:bottom w:val="none" w:sz="0" w:space="0" w:color="auto"/>
                        <w:right w:val="none" w:sz="0" w:space="0" w:color="auto"/>
                      </w:divBdr>
                    </w:div>
                  </w:divsChild>
                </w:div>
                <w:div w:id="1466897332">
                  <w:marLeft w:val="0"/>
                  <w:marRight w:val="0"/>
                  <w:marTop w:val="0"/>
                  <w:marBottom w:val="0"/>
                  <w:divBdr>
                    <w:top w:val="none" w:sz="0" w:space="0" w:color="auto"/>
                    <w:left w:val="none" w:sz="0" w:space="0" w:color="auto"/>
                    <w:bottom w:val="none" w:sz="0" w:space="0" w:color="auto"/>
                    <w:right w:val="none" w:sz="0" w:space="0" w:color="auto"/>
                  </w:divBdr>
                  <w:divsChild>
                    <w:div w:id="519197574">
                      <w:marLeft w:val="0"/>
                      <w:marRight w:val="0"/>
                      <w:marTop w:val="0"/>
                      <w:marBottom w:val="0"/>
                      <w:divBdr>
                        <w:top w:val="none" w:sz="0" w:space="0" w:color="auto"/>
                        <w:left w:val="none" w:sz="0" w:space="0" w:color="auto"/>
                        <w:bottom w:val="none" w:sz="0" w:space="0" w:color="auto"/>
                        <w:right w:val="none" w:sz="0" w:space="0" w:color="auto"/>
                      </w:divBdr>
                    </w:div>
                    <w:div w:id="873270313">
                      <w:marLeft w:val="0"/>
                      <w:marRight w:val="0"/>
                      <w:marTop w:val="0"/>
                      <w:marBottom w:val="0"/>
                      <w:divBdr>
                        <w:top w:val="none" w:sz="0" w:space="0" w:color="auto"/>
                        <w:left w:val="none" w:sz="0" w:space="0" w:color="auto"/>
                        <w:bottom w:val="none" w:sz="0" w:space="0" w:color="auto"/>
                        <w:right w:val="none" w:sz="0" w:space="0" w:color="auto"/>
                      </w:divBdr>
                    </w:div>
                    <w:div w:id="1038355982">
                      <w:marLeft w:val="0"/>
                      <w:marRight w:val="0"/>
                      <w:marTop w:val="0"/>
                      <w:marBottom w:val="0"/>
                      <w:divBdr>
                        <w:top w:val="none" w:sz="0" w:space="0" w:color="auto"/>
                        <w:left w:val="none" w:sz="0" w:space="0" w:color="auto"/>
                        <w:bottom w:val="none" w:sz="0" w:space="0" w:color="auto"/>
                        <w:right w:val="none" w:sz="0" w:space="0" w:color="auto"/>
                      </w:divBdr>
                    </w:div>
                    <w:div w:id="1620989412">
                      <w:marLeft w:val="0"/>
                      <w:marRight w:val="0"/>
                      <w:marTop w:val="0"/>
                      <w:marBottom w:val="0"/>
                      <w:divBdr>
                        <w:top w:val="none" w:sz="0" w:space="0" w:color="auto"/>
                        <w:left w:val="none" w:sz="0" w:space="0" w:color="auto"/>
                        <w:bottom w:val="none" w:sz="0" w:space="0" w:color="auto"/>
                        <w:right w:val="none" w:sz="0" w:space="0" w:color="auto"/>
                      </w:divBdr>
                    </w:div>
                    <w:div w:id="1681195841">
                      <w:marLeft w:val="0"/>
                      <w:marRight w:val="0"/>
                      <w:marTop w:val="0"/>
                      <w:marBottom w:val="0"/>
                      <w:divBdr>
                        <w:top w:val="none" w:sz="0" w:space="0" w:color="auto"/>
                        <w:left w:val="none" w:sz="0" w:space="0" w:color="auto"/>
                        <w:bottom w:val="none" w:sz="0" w:space="0" w:color="auto"/>
                        <w:right w:val="none" w:sz="0" w:space="0" w:color="auto"/>
                      </w:divBdr>
                    </w:div>
                  </w:divsChild>
                </w:div>
                <w:div w:id="1471554985">
                  <w:marLeft w:val="0"/>
                  <w:marRight w:val="0"/>
                  <w:marTop w:val="0"/>
                  <w:marBottom w:val="0"/>
                  <w:divBdr>
                    <w:top w:val="none" w:sz="0" w:space="0" w:color="auto"/>
                    <w:left w:val="none" w:sz="0" w:space="0" w:color="auto"/>
                    <w:bottom w:val="none" w:sz="0" w:space="0" w:color="auto"/>
                    <w:right w:val="none" w:sz="0" w:space="0" w:color="auto"/>
                  </w:divBdr>
                  <w:divsChild>
                    <w:div w:id="41758631">
                      <w:marLeft w:val="0"/>
                      <w:marRight w:val="0"/>
                      <w:marTop w:val="0"/>
                      <w:marBottom w:val="0"/>
                      <w:divBdr>
                        <w:top w:val="none" w:sz="0" w:space="0" w:color="auto"/>
                        <w:left w:val="none" w:sz="0" w:space="0" w:color="auto"/>
                        <w:bottom w:val="none" w:sz="0" w:space="0" w:color="auto"/>
                        <w:right w:val="none" w:sz="0" w:space="0" w:color="auto"/>
                      </w:divBdr>
                    </w:div>
                    <w:div w:id="73212468">
                      <w:marLeft w:val="0"/>
                      <w:marRight w:val="0"/>
                      <w:marTop w:val="0"/>
                      <w:marBottom w:val="0"/>
                      <w:divBdr>
                        <w:top w:val="none" w:sz="0" w:space="0" w:color="auto"/>
                        <w:left w:val="none" w:sz="0" w:space="0" w:color="auto"/>
                        <w:bottom w:val="none" w:sz="0" w:space="0" w:color="auto"/>
                        <w:right w:val="none" w:sz="0" w:space="0" w:color="auto"/>
                      </w:divBdr>
                    </w:div>
                    <w:div w:id="433866476">
                      <w:marLeft w:val="0"/>
                      <w:marRight w:val="0"/>
                      <w:marTop w:val="0"/>
                      <w:marBottom w:val="0"/>
                      <w:divBdr>
                        <w:top w:val="none" w:sz="0" w:space="0" w:color="auto"/>
                        <w:left w:val="none" w:sz="0" w:space="0" w:color="auto"/>
                        <w:bottom w:val="none" w:sz="0" w:space="0" w:color="auto"/>
                        <w:right w:val="none" w:sz="0" w:space="0" w:color="auto"/>
                      </w:divBdr>
                    </w:div>
                    <w:div w:id="723212816">
                      <w:marLeft w:val="0"/>
                      <w:marRight w:val="0"/>
                      <w:marTop w:val="0"/>
                      <w:marBottom w:val="0"/>
                      <w:divBdr>
                        <w:top w:val="none" w:sz="0" w:space="0" w:color="auto"/>
                        <w:left w:val="none" w:sz="0" w:space="0" w:color="auto"/>
                        <w:bottom w:val="none" w:sz="0" w:space="0" w:color="auto"/>
                        <w:right w:val="none" w:sz="0" w:space="0" w:color="auto"/>
                      </w:divBdr>
                    </w:div>
                    <w:div w:id="836381931">
                      <w:marLeft w:val="0"/>
                      <w:marRight w:val="0"/>
                      <w:marTop w:val="0"/>
                      <w:marBottom w:val="0"/>
                      <w:divBdr>
                        <w:top w:val="none" w:sz="0" w:space="0" w:color="auto"/>
                        <w:left w:val="none" w:sz="0" w:space="0" w:color="auto"/>
                        <w:bottom w:val="none" w:sz="0" w:space="0" w:color="auto"/>
                        <w:right w:val="none" w:sz="0" w:space="0" w:color="auto"/>
                      </w:divBdr>
                    </w:div>
                    <w:div w:id="918445773">
                      <w:marLeft w:val="0"/>
                      <w:marRight w:val="0"/>
                      <w:marTop w:val="0"/>
                      <w:marBottom w:val="0"/>
                      <w:divBdr>
                        <w:top w:val="none" w:sz="0" w:space="0" w:color="auto"/>
                        <w:left w:val="none" w:sz="0" w:space="0" w:color="auto"/>
                        <w:bottom w:val="none" w:sz="0" w:space="0" w:color="auto"/>
                        <w:right w:val="none" w:sz="0" w:space="0" w:color="auto"/>
                      </w:divBdr>
                    </w:div>
                    <w:div w:id="987975768">
                      <w:marLeft w:val="0"/>
                      <w:marRight w:val="0"/>
                      <w:marTop w:val="0"/>
                      <w:marBottom w:val="0"/>
                      <w:divBdr>
                        <w:top w:val="none" w:sz="0" w:space="0" w:color="auto"/>
                        <w:left w:val="none" w:sz="0" w:space="0" w:color="auto"/>
                        <w:bottom w:val="none" w:sz="0" w:space="0" w:color="auto"/>
                        <w:right w:val="none" w:sz="0" w:space="0" w:color="auto"/>
                      </w:divBdr>
                    </w:div>
                    <w:div w:id="1109816045">
                      <w:marLeft w:val="0"/>
                      <w:marRight w:val="0"/>
                      <w:marTop w:val="0"/>
                      <w:marBottom w:val="0"/>
                      <w:divBdr>
                        <w:top w:val="none" w:sz="0" w:space="0" w:color="auto"/>
                        <w:left w:val="none" w:sz="0" w:space="0" w:color="auto"/>
                        <w:bottom w:val="none" w:sz="0" w:space="0" w:color="auto"/>
                        <w:right w:val="none" w:sz="0" w:space="0" w:color="auto"/>
                      </w:divBdr>
                    </w:div>
                    <w:div w:id="1112213954">
                      <w:marLeft w:val="0"/>
                      <w:marRight w:val="0"/>
                      <w:marTop w:val="0"/>
                      <w:marBottom w:val="0"/>
                      <w:divBdr>
                        <w:top w:val="none" w:sz="0" w:space="0" w:color="auto"/>
                        <w:left w:val="none" w:sz="0" w:space="0" w:color="auto"/>
                        <w:bottom w:val="none" w:sz="0" w:space="0" w:color="auto"/>
                        <w:right w:val="none" w:sz="0" w:space="0" w:color="auto"/>
                      </w:divBdr>
                    </w:div>
                    <w:div w:id="1337852872">
                      <w:marLeft w:val="0"/>
                      <w:marRight w:val="0"/>
                      <w:marTop w:val="0"/>
                      <w:marBottom w:val="0"/>
                      <w:divBdr>
                        <w:top w:val="none" w:sz="0" w:space="0" w:color="auto"/>
                        <w:left w:val="none" w:sz="0" w:space="0" w:color="auto"/>
                        <w:bottom w:val="none" w:sz="0" w:space="0" w:color="auto"/>
                        <w:right w:val="none" w:sz="0" w:space="0" w:color="auto"/>
                      </w:divBdr>
                    </w:div>
                    <w:div w:id="1349982566">
                      <w:marLeft w:val="0"/>
                      <w:marRight w:val="0"/>
                      <w:marTop w:val="0"/>
                      <w:marBottom w:val="0"/>
                      <w:divBdr>
                        <w:top w:val="none" w:sz="0" w:space="0" w:color="auto"/>
                        <w:left w:val="none" w:sz="0" w:space="0" w:color="auto"/>
                        <w:bottom w:val="none" w:sz="0" w:space="0" w:color="auto"/>
                        <w:right w:val="none" w:sz="0" w:space="0" w:color="auto"/>
                      </w:divBdr>
                    </w:div>
                    <w:div w:id="1390492734">
                      <w:marLeft w:val="0"/>
                      <w:marRight w:val="0"/>
                      <w:marTop w:val="0"/>
                      <w:marBottom w:val="0"/>
                      <w:divBdr>
                        <w:top w:val="none" w:sz="0" w:space="0" w:color="auto"/>
                        <w:left w:val="none" w:sz="0" w:space="0" w:color="auto"/>
                        <w:bottom w:val="none" w:sz="0" w:space="0" w:color="auto"/>
                        <w:right w:val="none" w:sz="0" w:space="0" w:color="auto"/>
                      </w:divBdr>
                    </w:div>
                    <w:div w:id="1461652239">
                      <w:marLeft w:val="0"/>
                      <w:marRight w:val="0"/>
                      <w:marTop w:val="0"/>
                      <w:marBottom w:val="0"/>
                      <w:divBdr>
                        <w:top w:val="none" w:sz="0" w:space="0" w:color="auto"/>
                        <w:left w:val="none" w:sz="0" w:space="0" w:color="auto"/>
                        <w:bottom w:val="none" w:sz="0" w:space="0" w:color="auto"/>
                        <w:right w:val="none" w:sz="0" w:space="0" w:color="auto"/>
                      </w:divBdr>
                    </w:div>
                    <w:div w:id="1573151393">
                      <w:marLeft w:val="0"/>
                      <w:marRight w:val="0"/>
                      <w:marTop w:val="0"/>
                      <w:marBottom w:val="0"/>
                      <w:divBdr>
                        <w:top w:val="none" w:sz="0" w:space="0" w:color="auto"/>
                        <w:left w:val="none" w:sz="0" w:space="0" w:color="auto"/>
                        <w:bottom w:val="none" w:sz="0" w:space="0" w:color="auto"/>
                        <w:right w:val="none" w:sz="0" w:space="0" w:color="auto"/>
                      </w:divBdr>
                    </w:div>
                    <w:div w:id="1829131413">
                      <w:marLeft w:val="0"/>
                      <w:marRight w:val="0"/>
                      <w:marTop w:val="0"/>
                      <w:marBottom w:val="0"/>
                      <w:divBdr>
                        <w:top w:val="none" w:sz="0" w:space="0" w:color="auto"/>
                        <w:left w:val="none" w:sz="0" w:space="0" w:color="auto"/>
                        <w:bottom w:val="none" w:sz="0" w:space="0" w:color="auto"/>
                        <w:right w:val="none" w:sz="0" w:space="0" w:color="auto"/>
                      </w:divBdr>
                    </w:div>
                    <w:div w:id="1879051944">
                      <w:marLeft w:val="0"/>
                      <w:marRight w:val="0"/>
                      <w:marTop w:val="0"/>
                      <w:marBottom w:val="0"/>
                      <w:divBdr>
                        <w:top w:val="none" w:sz="0" w:space="0" w:color="auto"/>
                        <w:left w:val="none" w:sz="0" w:space="0" w:color="auto"/>
                        <w:bottom w:val="none" w:sz="0" w:space="0" w:color="auto"/>
                        <w:right w:val="none" w:sz="0" w:space="0" w:color="auto"/>
                      </w:divBdr>
                    </w:div>
                    <w:div w:id="1880314037">
                      <w:marLeft w:val="0"/>
                      <w:marRight w:val="0"/>
                      <w:marTop w:val="0"/>
                      <w:marBottom w:val="0"/>
                      <w:divBdr>
                        <w:top w:val="none" w:sz="0" w:space="0" w:color="auto"/>
                        <w:left w:val="none" w:sz="0" w:space="0" w:color="auto"/>
                        <w:bottom w:val="none" w:sz="0" w:space="0" w:color="auto"/>
                        <w:right w:val="none" w:sz="0" w:space="0" w:color="auto"/>
                      </w:divBdr>
                    </w:div>
                    <w:div w:id="1880699974">
                      <w:marLeft w:val="0"/>
                      <w:marRight w:val="0"/>
                      <w:marTop w:val="0"/>
                      <w:marBottom w:val="0"/>
                      <w:divBdr>
                        <w:top w:val="none" w:sz="0" w:space="0" w:color="auto"/>
                        <w:left w:val="none" w:sz="0" w:space="0" w:color="auto"/>
                        <w:bottom w:val="none" w:sz="0" w:space="0" w:color="auto"/>
                        <w:right w:val="none" w:sz="0" w:space="0" w:color="auto"/>
                      </w:divBdr>
                    </w:div>
                  </w:divsChild>
                </w:div>
                <w:div w:id="1669863686">
                  <w:marLeft w:val="0"/>
                  <w:marRight w:val="0"/>
                  <w:marTop w:val="0"/>
                  <w:marBottom w:val="0"/>
                  <w:divBdr>
                    <w:top w:val="none" w:sz="0" w:space="0" w:color="auto"/>
                    <w:left w:val="none" w:sz="0" w:space="0" w:color="auto"/>
                    <w:bottom w:val="none" w:sz="0" w:space="0" w:color="auto"/>
                    <w:right w:val="none" w:sz="0" w:space="0" w:color="auto"/>
                  </w:divBdr>
                  <w:divsChild>
                    <w:div w:id="911088454">
                      <w:marLeft w:val="0"/>
                      <w:marRight w:val="0"/>
                      <w:marTop w:val="0"/>
                      <w:marBottom w:val="0"/>
                      <w:divBdr>
                        <w:top w:val="none" w:sz="0" w:space="0" w:color="auto"/>
                        <w:left w:val="none" w:sz="0" w:space="0" w:color="auto"/>
                        <w:bottom w:val="none" w:sz="0" w:space="0" w:color="auto"/>
                        <w:right w:val="none" w:sz="0" w:space="0" w:color="auto"/>
                      </w:divBdr>
                    </w:div>
                    <w:div w:id="1641956375">
                      <w:marLeft w:val="0"/>
                      <w:marRight w:val="0"/>
                      <w:marTop w:val="0"/>
                      <w:marBottom w:val="0"/>
                      <w:divBdr>
                        <w:top w:val="none" w:sz="0" w:space="0" w:color="auto"/>
                        <w:left w:val="none" w:sz="0" w:space="0" w:color="auto"/>
                        <w:bottom w:val="none" w:sz="0" w:space="0" w:color="auto"/>
                        <w:right w:val="none" w:sz="0" w:space="0" w:color="auto"/>
                      </w:divBdr>
                    </w:div>
                    <w:div w:id="1796216035">
                      <w:marLeft w:val="0"/>
                      <w:marRight w:val="0"/>
                      <w:marTop w:val="0"/>
                      <w:marBottom w:val="0"/>
                      <w:divBdr>
                        <w:top w:val="none" w:sz="0" w:space="0" w:color="auto"/>
                        <w:left w:val="none" w:sz="0" w:space="0" w:color="auto"/>
                        <w:bottom w:val="none" w:sz="0" w:space="0" w:color="auto"/>
                        <w:right w:val="none" w:sz="0" w:space="0" w:color="auto"/>
                      </w:divBdr>
                    </w:div>
                  </w:divsChild>
                </w:div>
                <w:div w:id="1671447296">
                  <w:marLeft w:val="0"/>
                  <w:marRight w:val="0"/>
                  <w:marTop w:val="0"/>
                  <w:marBottom w:val="0"/>
                  <w:divBdr>
                    <w:top w:val="none" w:sz="0" w:space="0" w:color="auto"/>
                    <w:left w:val="none" w:sz="0" w:space="0" w:color="auto"/>
                    <w:bottom w:val="none" w:sz="0" w:space="0" w:color="auto"/>
                    <w:right w:val="none" w:sz="0" w:space="0" w:color="auto"/>
                  </w:divBdr>
                  <w:divsChild>
                    <w:div w:id="177234413">
                      <w:marLeft w:val="0"/>
                      <w:marRight w:val="0"/>
                      <w:marTop w:val="0"/>
                      <w:marBottom w:val="0"/>
                      <w:divBdr>
                        <w:top w:val="none" w:sz="0" w:space="0" w:color="auto"/>
                        <w:left w:val="none" w:sz="0" w:space="0" w:color="auto"/>
                        <w:bottom w:val="none" w:sz="0" w:space="0" w:color="auto"/>
                        <w:right w:val="none" w:sz="0" w:space="0" w:color="auto"/>
                      </w:divBdr>
                    </w:div>
                    <w:div w:id="845559884">
                      <w:marLeft w:val="0"/>
                      <w:marRight w:val="0"/>
                      <w:marTop w:val="0"/>
                      <w:marBottom w:val="0"/>
                      <w:divBdr>
                        <w:top w:val="none" w:sz="0" w:space="0" w:color="auto"/>
                        <w:left w:val="none" w:sz="0" w:space="0" w:color="auto"/>
                        <w:bottom w:val="none" w:sz="0" w:space="0" w:color="auto"/>
                        <w:right w:val="none" w:sz="0" w:space="0" w:color="auto"/>
                      </w:divBdr>
                    </w:div>
                    <w:div w:id="1421682036">
                      <w:marLeft w:val="0"/>
                      <w:marRight w:val="0"/>
                      <w:marTop w:val="0"/>
                      <w:marBottom w:val="0"/>
                      <w:divBdr>
                        <w:top w:val="none" w:sz="0" w:space="0" w:color="auto"/>
                        <w:left w:val="none" w:sz="0" w:space="0" w:color="auto"/>
                        <w:bottom w:val="none" w:sz="0" w:space="0" w:color="auto"/>
                        <w:right w:val="none" w:sz="0" w:space="0" w:color="auto"/>
                      </w:divBdr>
                    </w:div>
                    <w:div w:id="1645428209">
                      <w:marLeft w:val="0"/>
                      <w:marRight w:val="0"/>
                      <w:marTop w:val="0"/>
                      <w:marBottom w:val="0"/>
                      <w:divBdr>
                        <w:top w:val="none" w:sz="0" w:space="0" w:color="auto"/>
                        <w:left w:val="none" w:sz="0" w:space="0" w:color="auto"/>
                        <w:bottom w:val="none" w:sz="0" w:space="0" w:color="auto"/>
                        <w:right w:val="none" w:sz="0" w:space="0" w:color="auto"/>
                      </w:divBdr>
                    </w:div>
                    <w:div w:id="1874876957">
                      <w:marLeft w:val="0"/>
                      <w:marRight w:val="0"/>
                      <w:marTop w:val="0"/>
                      <w:marBottom w:val="0"/>
                      <w:divBdr>
                        <w:top w:val="none" w:sz="0" w:space="0" w:color="auto"/>
                        <w:left w:val="none" w:sz="0" w:space="0" w:color="auto"/>
                        <w:bottom w:val="none" w:sz="0" w:space="0" w:color="auto"/>
                        <w:right w:val="none" w:sz="0" w:space="0" w:color="auto"/>
                      </w:divBdr>
                    </w:div>
                    <w:div w:id="2060788629">
                      <w:marLeft w:val="0"/>
                      <w:marRight w:val="0"/>
                      <w:marTop w:val="0"/>
                      <w:marBottom w:val="0"/>
                      <w:divBdr>
                        <w:top w:val="none" w:sz="0" w:space="0" w:color="auto"/>
                        <w:left w:val="none" w:sz="0" w:space="0" w:color="auto"/>
                        <w:bottom w:val="none" w:sz="0" w:space="0" w:color="auto"/>
                        <w:right w:val="none" w:sz="0" w:space="0" w:color="auto"/>
                      </w:divBdr>
                    </w:div>
                  </w:divsChild>
                </w:div>
                <w:div w:id="1689982927">
                  <w:marLeft w:val="0"/>
                  <w:marRight w:val="0"/>
                  <w:marTop w:val="0"/>
                  <w:marBottom w:val="0"/>
                  <w:divBdr>
                    <w:top w:val="none" w:sz="0" w:space="0" w:color="auto"/>
                    <w:left w:val="none" w:sz="0" w:space="0" w:color="auto"/>
                    <w:bottom w:val="none" w:sz="0" w:space="0" w:color="auto"/>
                    <w:right w:val="none" w:sz="0" w:space="0" w:color="auto"/>
                  </w:divBdr>
                  <w:divsChild>
                    <w:div w:id="360473960">
                      <w:marLeft w:val="0"/>
                      <w:marRight w:val="0"/>
                      <w:marTop w:val="0"/>
                      <w:marBottom w:val="0"/>
                      <w:divBdr>
                        <w:top w:val="none" w:sz="0" w:space="0" w:color="auto"/>
                        <w:left w:val="none" w:sz="0" w:space="0" w:color="auto"/>
                        <w:bottom w:val="none" w:sz="0" w:space="0" w:color="auto"/>
                        <w:right w:val="none" w:sz="0" w:space="0" w:color="auto"/>
                      </w:divBdr>
                    </w:div>
                  </w:divsChild>
                </w:div>
                <w:div w:id="1809662644">
                  <w:marLeft w:val="0"/>
                  <w:marRight w:val="0"/>
                  <w:marTop w:val="0"/>
                  <w:marBottom w:val="0"/>
                  <w:divBdr>
                    <w:top w:val="none" w:sz="0" w:space="0" w:color="auto"/>
                    <w:left w:val="none" w:sz="0" w:space="0" w:color="auto"/>
                    <w:bottom w:val="none" w:sz="0" w:space="0" w:color="auto"/>
                    <w:right w:val="none" w:sz="0" w:space="0" w:color="auto"/>
                  </w:divBdr>
                  <w:divsChild>
                    <w:div w:id="646931784">
                      <w:marLeft w:val="0"/>
                      <w:marRight w:val="0"/>
                      <w:marTop w:val="0"/>
                      <w:marBottom w:val="0"/>
                      <w:divBdr>
                        <w:top w:val="none" w:sz="0" w:space="0" w:color="auto"/>
                        <w:left w:val="none" w:sz="0" w:space="0" w:color="auto"/>
                        <w:bottom w:val="none" w:sz="0" w:space="0" w:color="auto"/>
                        <w:right w:val="none" w:sz="0" w:space="0" w:color="auto"/>
                      </w:divBdr>
                    </w:div>
                    <w:div w:id="871307939">
                      <w:marLeft w:val="0"/>
                      <w:marRight w:val="0"/>
                      <w:marTop w:val="0"/>
                      <w:marBottom w:val="0"/>
                      <w:divBdr>
                        <w:top w:val="none" w:sz="0" w:space="0" w:color="auto"/>
                        <w:left w:val="none" w:sz="0" w:space="0" w:color="auto"/>
                        <w:bottom w:val="none" w:sz="0" w:space="0" w:color="auto"/>
                        <w:right w:val="none" w:sz="0" w:space="0" w:color="auto"/>
                      </w:divBdr>
                    </w:div>
                    <w:div w:id="1890023016">
                      <w:marLeft w:val="0"/>
                      <w:marRight w:val="0"/>
                      <w:marTop w:val="0"/>
                      <w:marBottom w:val="0"/>
                      <w:divBdr>
                        <w:top w:val="none" w:sz="0" w:space="0" w:color="auto"/>
                        <w:left w:val="none" w:sz="0" w:space="0" w:color="auto"/>
                        <w:bottom w:val="none" w:sz="0" w:space="0" w:color="auto"/>
                        <w:right w:val="none" w:sz="0" w:space="0" w:color="auto"/>
                      </w:divBdr>
                    </w:div>
                  </w:divsChild>
                </w:div>
                <w:div w:id="1836415689">
                  <w:marLeft w:val="0"/>
                  <w:marRight w:val="0"/>
                  <w:marTop w:val="0"/>
                  <w:marBottom w:val="0"/>
                  <w:divBdr>
                    <w:top w:val="none" w:sz="0" w:space="0" w:color="auto"/>
                    <w:left w:val="none" w:sz="0" w:space="0" w:color="auto"/>
                    <w:bottom w:val="none" w:sz="0" w:space="0" w:color="auto"/>
                    <w:right w:val="none" w:sz="0" w:space="0" w:color="auto"/>
                  </w:divBdr>
                  <w:divsChild>
                    <w:div w:id="179009957">
                      <w:marLeft w:val="0"/>
                      <w:marRight w:val="0"/>
                      <w:marTop w:val="0"/>
                      <w:marBottom w:val="0"/>
                      <w:divBdr>
                        <w:top w:val="none" w:sz="0" w:space="0" w:color="auto"/>
                        <w:left w:val="none" w:sz="0" w:space="0" w:color="auto"/>
                        <w:bottom w:val="none" w:sz="0" w:space="0" w:color="auto"/>
                        <w:right w:val="none" w:sz="0" w:space="0" w:color="auto"/>
                      </w:divBdr>
                    </w:div>
                    <w:div w:id="396056271">
                      <w:marLeft w:val="0"/>
                      <w:marRight w:val="0"/>
                      <w:marTop w:val="0"/>
                      <w:marBottom w:val="0"/>
                      <w:divBdr>
                        <w:top w:val="none" w:sz="0" w:space="0" w:color="auto"/>
                        <w:left w:val="none" w:sz="0" w:space="0" w:color="auto"/>
                        <w:bottom w:val="none" w:sz="0" w:space="0" w:color="auto"/>
                        <w:right w:val="none" w:sz="0" w:space="0" w:color="auto"/>
                      </w:divBdr>
                    </w:div>
                    <w:div w:id="637802154">
                      <w:marLeft w:val="0"/>
                      <w:marRight w:val="0"/>
                      <w:marTop w:val="0"/>
                      <w:marBottom w:val="0"/>
                      <w:divBdr>
                        <w:top w:val="none" w:sz="0" w:space="0" w:color="auto"/>
                        <w:left w:val="none" w:sz="0" w:space="0" w:color="auto"/>
                        <w:bottom w:val="none" w:sz="0" w:space="0" w:color="auto"/>
                        <w:right w:val="none" w:sz="0" w:space="0" w:color="auto"/>
                      </w:divBdr>
                    </w:div>
                    <w:div w:id="1277445826">
                      <w:marLeft w:val="0"/>
                      <w:marRight w:val="0"/>
                      <w:marTop w:val="0"/>
                      <w:marBottom w:val="0"/>
                      <w:divBdr>
                        <w:top w:val="none" w:sz="0" w:space="0" w:color="auto"/>
                        <w:left w:val="none" w:sz="0" w:space="0" w:color="auto"/>
                        <w:bottom w:val="none" w:sz="0" w:space="0" w:color="auto"/>
                        <w:right w:val="none" w:sz="0" w:space="0" w:color="auto"/>
                      </w:divBdr>
                    </w:div>
                    <w:div w:id="1385104561">
                      <w:marLeft w:val="0"/>
                      <w:marRight w:val="0"/>
                      <w:marTop w:val="0"/>
                      <w:marBottom w:val="0"/>
                      <w:divBdr>
                        <w:top w:val="none" w:sz="0" w:space="0" w:color="auto"/>
                        <w:left w:val="none" w:sz="0" w:space="0" w:color="auto"/>
                        <w:bottom w:val="none" w:sz="0" w:space="0" w:color="auto"/>
                        <w:right w:val="none" w:sz="0" w:space="0" w:color="auto"/>
                      </w:divBdr>
                    </w:div>
                    <w:div w:id="1843280246">
                      <w:marLeft w:val="0"/>
                      <w:marRight w:val="0"/>
                      <w:marTop w:val="0"/>
                      <w:marBottom w:val="0"/>
                      <w:divBdr>
                        <w:top w:val="none" w:sz="0" w:space="0" w:color="auto"/>
                        <w:left w:val="none" w:sz="0" w:space="0" w:color="auto"/>
                        <w:bottom w:val="none" w:sz="0" w:space="0" w:color="auto"/>
                        <w:right w:val="none" w:sz="0" w:space="0" w:color="auto"/>
                      </w:divBdr>
                    </w:div>
                    <w:div w:id="1981685393">
                      <w:marLeft w:val="0"/>
                      <w:marRight w:val="0"/>
                      <w:marTop w:val="0"/>
                      <w:marBottom w:val="0"/>
                      <w:divBdr>
                        <w:top w:val="none" w:sz="0" w:space="0" w:color="auto"/>
                        <w:left w:val="none" w:sz="0" w:space="0" w:color="auto"/>
                        <w:bottom w:val="none" w:sz="0" w:space="0" w:color="auto"/>
                        <w:right w:val="none" w:sz="0" w:space="0" w:color="auto"/>
                      </w:divBdr>
                    </w:div>
                  </w:divsChild>
                </w:div>
                <w:div w:id="1872188929">
                  <w:marLeft w:val="0"/>
                  <w:marRight w:val="0"/>
                  <w:marTop w:val="0"/>
                  <w:marBottom w:val="0"/>
                  <w:divBdr>
                    <w:top w:val="none" w:sz="0" w:space="0" w:color="auto"/>
                    <w:left w:val="none" w:sz="0" w:space="0" w:color="auto"/>
                    <w:bottom w:val="none" w:sz="0" w:space="0" w:color="auto"/>
                    <w:right w:val="none" w:sz="0" w:space="0" w:color="auto"/>
                  </w:divBdr>
                  <w:divsChild>
                    <w:div w:id="803304649">
                      <w:marLeft w:val="0"/>
                      <w:marRight w:val="0"/>
                      <w:marTop w:val="0"/>
                      <w:marBottom w:val="0"/>
                      <w:divBdr>
                        <w:top w:val="none" w:sz="0" w:space="0" w:color="auto"/>
                        <w:left w:val="none" w:sz="0" w:space="0" w:color="auto"/>
                        <w:bottom w:val="none" w:sz="0" w:space="0" w:color="auto"/>
                        <w:right w:val="none" w:sz="0" w:space="0" w:color="auto"/>
                      </w:divBdr>
                    </w:div>
                  </w:divsChild>
                </w:div>
                <w:div w:id="1911888261">
                  <w:marLeft w:val="0"/>
                  <w:marRight w:val="0"/>
                  <w:marTop w:val="0"/>
                  <w:marBottom w:val="0"/>
                  <w:divBdr>
                    <w:top w:val="none" w:sz="0" w:space="0" w:color="auto"/>
                    <w:left w:val="none" w:sz="0" w:space="0" w:color="auto"/>
                    <w:bottom w:val="none" w:sz="0" w:space="0" w:color="auto"/>
                    <w:right w:val="none" w:sz="0" w:space="0" w:color="auto"/>
                  </w:divBdr>
                  <w:divsChild>
                    <w:div w:id="725643611">
                      <w:marLeft w:val="0"/>
                      <w:marRight w:val="0"/>
                      <w:marTop w:val="0"/>
                      <w:marBottom w:val="0"/>
                      <w:divBdr>
                        <w:top w:val="none" w:sz="0" w:space="0" w:color="auto"/>
                        <w:left w:val="none" w:sz="0" w:space="0" w:color="auto"/>
                        <w:bottom w:val="none" w:sz="0" w:space="0" w:color="auto"/>
                        <w:right w:val="none" w:sz="0" w:space="0" w:color="auto"/>
                      </w:divBdr>
                    </w:div>
                    <w:div w:id="1793328399">
                      <w:marLeft w:val="0"/>
                      <w:marRight w:val="0"/>
                      <w:marTop w:val="0"/>
                      <w:marBottom w:val="0"/>
                      <w:divBdr>
                        <w:top w:val="none" w:sz="0" w:space="0" w:color="auto"/>
                        <w:left w:val="none" w:sz="0" w:space="0" w:color="auto"/>
                        <w:bottom w:val="none" w:sz="0" w:space="0" w:color="auto"/>
                        <w:right w:val="none" w:sz="0" w:space="0" w:color="auto"/>
                      </w:divBdr>
                    </w:div>
                    <w:div w:id="1829206014">
                      <w:marLeft w:val="0"/>
                      <w:marRight w:val="0"/>
                      <w:marTop w:val="0"/>
                      <w:marBottom w:val="0"/>
                      <w:divBdr>
                        <w:top w:val="none" w:sz="0" w:space="0" w:color="auto"/>
                        <w:left w:val="none" w:sz="0" w:space="0" w:color="auto"/>
                        <w:bottom w:val="none" w:sz="0" w:space="0" w:color="auto"/>
                        <w:right w:val="none" w:sz="0" w:space="0" w:color="auto"/>
                      </w:divBdr>
                    </w:div>
                  </w:divsChild>
                </w:div>
                <w:div w:id="1955168179">
                  <w:marLeft w:val="0"/>
                  <w:marRight w:val="0"/>
                  <w:marTop w:val="0"/>
                  <w:marBottom w:val="0"/>
                  <w:divBdr>
                    <w:top w:val="none" w:sz="0" w:space="0" w:color="auto"/>
                    <w:left w:val="none" w:sz="0" w:space="0" w:color="auto"/>
                    <w:bottom w:val="none" w:sz="0" w:space="0" w:color="auto"/>
                    <w:right w:val="none" w:sz="0" w:space="0" w:color="auto"/>
                  </w:divBdr>
                  <w:divsChild>
                    <w:div w:id="479083394">
                      <w:marLeft w:val="0"/>
                      <w:marRight w:val="0"/>
                      <w:marTop w:val="0"/>
                      <w:marBottom w:val="0"/>
                      <w:divBdr>
                        <w:top w:val="none" w:sz="0" w:space="0" w:color="auto"/>
                        <w:left w:val="none" w:sz="0" w:space="0" w:color="auto"/>
                        <w:bottom w:val="none" w:sz="0" w:space="0" w:color="auto"/>
                        <w:right w:val="none" w:sz="0" w:space="0" w:color="auto"/>
                      </w:divBdr>
                    </w:div>
                  </w:divsChild>
                </w:div>
                <w:div w:id="2006278919">
                  <w:marLeft w:val="0"/>
                  <w:marRight w:val="0"/>
                  <w:marTop w:val="0"/>
                  <w:marBottom w:val="0"/>
                  <w:divBdr>
                    <w:top w:val="none" w:sz="0" w:space="0" w:color="auto"/>
                    <w:left w:val="none" w:sz="0" w:space="0" w:color="auto"/>
                    <w:bottom w:val="none" w:sz="0" w:space="0" w:color="auto"/>
                    <w:right w:val="none" w:sz="0" w:space="0" w:color="auto"/>
                  </w:divBdr>
                  <w:divsChild>
                    <w:div w:id="1140997981">
                      <w:marLeft w:val="0"/>
                      <w:marRight w:val="0"/>
                      <w:marTop w:val="0"/>
                      <w:marBottom w:val="0"/>
                      <w:divBdr>
                        <w:top w:val="none" w:sz="0" w:space="0" w:color="auto"/>
                        <w:left w:val="none" w:sz="0" w:space="0" w:color="auto"/>
                        <w:bottom w:val="none" w:sz="0" w:space="0" w:color="auto"/>
                        <w:right w:val="none" w:sz="0" w:space="0" w:color="auto"/>
                      </w:divBdr>
                    </w:div>
                  </w:divsChild>
                </w:div>
                <w:div w:id="2077243705">
                  <w:marLeft w:val="0"/>
                  <w:marRight w:val="0"/>
                  <w:marTop w:val="0"/>
                  <w:marBottom w:val="0"/>
                  <w:divBdr>
                    <w:top w:val="none" w:sz="0" w:space="0" w:color="auto"/>
                    <w:left w:val="none" w:sz="0" w:space="0" w:color="auto"/>
                    <w:bottom w:val="none" w:sz="0" w:space="0" w:color="auto"/>
                    <w:right w:val="none" w:sz="0" w:space="0" w:color="auto"/>
                  </w:divBdr>
                  <w:divsChild>
                    <w:div w:id="17316721">
                      <w:marLeft w:val="0"/>
                      <w:marRight w:val="0"/>
                      <w:marTop w:val="0"/>
                      <w:marBottom w:val="0"/>
                      <w:divBdr>
                        <w:top w:val="none" w:sz="0" w:space="0" w:color="auto"/>
                        <w:left w:val="none" w:sz="0" w:space="0" w:color="auto"/>
                        <w:bottom w:val="none" w:sz="0" w:space="0" w:color="auto"/>
                        <w:right w:val="none" w:sz="0" w:space="0" w:color="auto"/>
                      </w:divBdr>
                    </w:div>
                    <w:div w:id="520903138">
                      <w:marLeft w:val="0"/>
                      <w:marRight w:val="0"/>
                      <w:marTop w:val="0"/>
                      <w:marBottom w:val="0"/>
                      <w:divBdr>
                        <w:top w:val="none" w:sz="0" w:space="0" w:color="auto"/>
                        <w:left w:val="none" w:sz="0" w:space="0" w:color="auto"/>
                        <w:bottom w:val="none" w:sz="0" w:space="0" w:color="auto"/>
                        <w:right w:val="none" w:sz="0" w:space="0" w:color="auto"/>
                      </w:divBdr>
                    </w:div>
                    <w:div w:id="676269750">
                      <w:marLeft w:val="0"/>
                      <w:marRight w:val="0"/>
                      <w:marTop w:val="0"/>
                      <w:marBottom w:val="0"/>
                      <w:divBdr>
                        <w:top w:val="none" w:sz="0" w:space="0" w:color="auto"/>
                        <w:left w:val="none" w:sz="0" w:space="0" w:color="auto"/>
                        <w:bottom w:val="none" w:sz="0" w:space="0" w:color="auto"/>
                        <w:right w:val="none" w:sz="0" w:space="0" w:color="auto"/>
                      </w:divBdr>
                    </w:div>
                    <w:div w:id="940799464">
                      <w:marLeft w:val="0"/>
                      <w:marRight w:val="0"/>
                      <w:marTop w:val="0"/>
                      <w:marBottom w:val="0"/>
                      <w:divBdr>
                        <w:top w:val="none" w:sz="0" w:space="0" w:color="auto"/>
                        <w:left w:val="none" w:sz="0" w:space="0" w:color="auto"/>
                        <w:bottom w:val="none" w:sz="0" w:space="0" w:color="auto"/>
                        <w:right w:val="none" w:sz="0" w:space="0" w:color="auto"/>
                      </w:divBdr>
                    </w:div>
                    <w:div w:id="1524828306">
                      <w:marLeft w:val="0"/>
                      <w:marRight w:val="0"/>
                      <w:marTop w:val="0"/>
                      <w:marBottom w:val="0"/>
                      <w:divBdr>
                        <w:top w:val="none" w:sz="0" w:space="0" w:color="auto"/>
                        <w:left w:val="none" w:sz="0" w:space="0" w:color="auto"/>
                        <w:bottom w:val="none" w:sz="0" w:space="0" w:color="auto"/>
                        <w:right w:val="none" w:sz="0" w:space="0" w:color="auto"/>
                      </w:divBdr>
                    </w:div>
                    <w:div w:id="1526166425">
                      <w:marLeft w:val="0"/>
                      <w:marRight w:val="0"/>
                      <w:marTop w:val="0"/>
                      <w:marBottom w:val="0"/>
                      <w:divBdr>
                        <w:top w:val="none" w:sz="0" w:space="0" w:color="auto"/>
                        <w:left w:val="none" w:sz="0" w:space="0" w:color="auto"/>
                        <w:bottom w:val="none" w:sz="0" w:space="0" w:color="auto"/>
                        <w:right w:val="none" w:sz="0" w:space="0" w:color="auto"/>
                      </w:divBdr>
                    </w:div>
                    <w:div w:id="1546410534">
                      <w:marLeft w:val="0"/>
                      <w:marRight w:val="0"/>
                      <w:marTop w:val="0"/>
                      <w:marBottom w:val="0"/>
                      <w:divBdr>
                        <w:top w:val="none" w:sz="0" w:space="0" w:color="auto"/>
                        <w:left w:val="none" w:sz="0" w:space="0" w:color="auto"/>
                        <w:bottom w:val="none" w:sz="0" w:space="0" w:color="auto"/>
                        <w:right w:val="none" w:sz="0" w:space="0" w:color="auto"/>
                      </w:divBdr>
                    </w:div>
                    <w:div w:id="1642228002">
                      <w:marLeft w:val="0"/>
                      <w:marRight w:val="0"/>
                      <w:marTop w:val="0"/>
                      <w:marBottom w:val="0"/>
                      <w:divBdr>
                        <w:top w:val="none" w:sz="0" w:space="0" w:color="auto"/>
                        <w:left w:val="none" w:sz="0" w:space="0" w:color="auto"/>
                        <w:bottom w:val="none" w:sz="0" w:space="0" w:color="auto"/>
                        <w:right w:val="none" w:sz="0" w:space="0" w:color="auto"/>
                      </w:divBdr>
                    </w:div>
                    <w:div w:id="1642879444">
                      <w:marLeft w:val="0"/>
                      <w:marRight w:val="0"/>
                      <w:marTop w:val="0"/>
                      <w:marBottom w:val="0"/>
                      <w:divBdr>
                        <w:top w:val="none" w:sz="0" w:space="0" w:color="auto"/>
                        <w:left w:val="none" w:sz="0" w:space="0" w:color="auto"/>
                        <w:bottom w:val="none" w:sz="0" w:space="0" w:color="auto"/>
                        <w:right w:val="none" w:sz="0" w:space="0" w:color="auto"/>
                      </w:divBdr>
                    </w:div>
                    <w:div w:id="1652053487">
                      <w:marLeft w:val="0"/>
                      <w:marRight w:val="0"/>
                      <w:marTop w:val="0"/>
                      <w:marBottom w:val="0"/>
                      <w:divBdr>
                        <w:top w:val="none" w:sz="0" w:space="0" w:color="auto"/>
                        <w:left w:val="none" w:sz="0" w:space="0" w:color="auto"/>
                        <w:bottom w:val="none" w:sz="0" w:space="0" w:color="auto"/>
                        <w:right w:val="none" w:sz="0" w:space="0" w:color="auto"/>
                      </w:divBdr>
                    </w:div>
                    <w:div w:id="1723215743">
                      <w:marLeft w:val="0"/>
                      <w:marRight w:val="0"/>
                      <w:marTop w:val="0"/>
                      <w:marBottom w:val="0"/>
                      <w:divBdr>
                        <w:top w:val="none" w:sz="0" w:space="0" w:color="auto"/>
                        <w:left w:val="none" w:sz="0" w:space="0" w:color="auto"/>
                        <w:bottom w:val="none" w:sz="0" w:space="0" w:color="auto"/>
                        <w:right w:val="none" w:sz="0" w:space="0" w:color="auto"/>
                      </w:divBdr>
                    </w:div>
                    <w:div w:id="1750614164">
                      <w:marLeft w:val="0"/>
                      <w:marRight w:val="0"/>
                      <w:marTop w:val="0"/>
                      <w:marBottom w:val="0"/>
                      <w:divBdr>
                        <w:top w:val="none" w:sz="0" w:space="0" w:color="auto"/>
                        <w:left w:val="none" w:sz="0" w:space="0" w:color="auto"/>
                        <w:bottom w:val="none" w:sz="0" w:space="0" w:color="auto"/>
                        <w:right w:val="none" w:sz="0" w:space="0" w:color="auto"/>
                      </w:divBdr>
                    </w:div>
                    <w:div w:id="1842350473">
                      <w:marLeft w:val="0"/>
                      <w:marRight w:val="0"/>
                      <w:marTop w:val="0"/>
                      <w:marBottom w:val="0"/>
                      <w:divBdr>
                        <w:top w:val="none" w:sz="0" w:space="0" w:color="auto"/>
                        <w:left w:val="none" w:sz="0" w:space="0" w:color="auto"/>
                        <w:bottom w:val="none" w:sz="0" w:space="0" w:color="auto"/>
                        <w:right w:val="none" w:sz="0" w:space="0" w:color="auto"/>
                      </w:divBdr>
                    </w:div>
                    <w:div w:id="21313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43641">
      <w:bodyDiv w:val="1"/>
      <w:marLeft w:val="0"/>
      <w:marRight w:val="0"/>
      <w:marTop w:val="0"/>
      <w:marBottom w:val="0"/>
      <w:divBdr>
        <w:top w:val="none" w:sz="0" w:space="0" w:color="auto"/>
        <w:left w:val="none" w:sz="0" w:space="0" w:color="auto"/>
        <w:bottom w:val="none" w:sz="0" w:space="0" w:color="auto"/>
        <w:right w:val="none" w:sz="0" w:space="0" w:color="auto"/>
      </w:divBdr>
    </w:div>
    <w:div w:id="1781799826">
      <w:bodyDiv w:val="1"/>
      <w:marLeft w:val="0"/>
      <w:marRight w:val="0"/>
      <w:marTop w:val="0"/>
      <w:marBottom w:val="0"/>
      <w:divBdr>
        <w:top w:val="none" w:sz="0" w:space="0" w:color="auto"/>
        <w:left w:val="none" w:sz="0" w:space="0" w:color="auto"/>
        <w:bottom w:val="none" w:sz="0" w:space="0" w:color="auto"/>
        <w:right w:val="none" w:sz="0" w:space="0" w:color="auto"/>
      </w:divBdr>
    </w:div>
    <w:div w:id="1799758298">
      <w:bodyDiv w:val="1"/>
      <w:marLeft w:val="0"/>
      <w:marRight w:val="0"/>
      <w:marTop w:val="0"/>
      <w:marBottom w:val="0"/>
      <w:divBdr>
        <w:top w:val="none" w:sz="0" w:space="0" w:color="auto"/>
        <w:left w:val="none" w:sz="0" w:space="0" w:color="auto"/>
        <w:bottom w:val="none" w:sz="0" w:space="0" w:color="auto"/>
        <w:right w:val="none" w:sz="0" w:space="0" w:color="auto"/>
      </w:divBdr>
      <w:divsChild>
        <w:div w:id="1203498">
          <w:marLeft w:val="0"/>
          <w:marRight w:val="0"/>
          <w:marTop w:val="0"/>
          <w:marBottom w:val="0"/>
          <w:divBdr>
            <w:top w:val="none" w:sz="0" w:space="0" w:color="auto"/>
            <w:left w:val="none" w:sz="0" w:space="0" w:color="auto"/>
            <w:bottom w:val="none" w:sz="0" w:space="0" w:color="auto"/>
            <w:right w:val="none" w:sz="0" w:space="0" w:color="auto"/>
          </w:divBdr>
        </w:div>
        <w:div w:id="475533999">
          <w:marLeft w:val="0"/>
          <w:marRight w:val="0"/>
          <w:marTop w:val="0"/>
          <w:marBottom w:val="0"/>
          <w:divBdr>
            <w:top w:val="none" w:sz="0" w:space="0" w:color="auto"/>
            <w:left w:val="none" w:sz="0" w:space="0" w:color="auto"/>
            <w:bottom w:val="none" w:sz="0" w:space="0" w:color="auto"/>
            <w:right w:val="none" w:sz="0" w:space="0" w:color="auto"/>
          </w:divBdr>
        </w:div>
        <w:div w:id="489904687">
          <w:marLeft w:val="0"/>
          <w:marRight w:val="0"/>
          <w:marTop w:val="0"/>
          <w:marBottom w:val="0"/>
          <w:divBdr>
            <w:top w:val="none" w:sz="0" w:space="0" w:color="auto"/>
            <w:left w:val="none" w:sz="0" w:space="0" w:color="auto"/>
            <w:bottom w:val="none" w:sz="0" w:space="0" w:color="auto"/>
            <w:right w:val="none" w:sz="0" w:space="0" w:color="auto"/>
          </w:divBdr>
        </w:div>
        <w:div w:id="733967135">
          <w:marLeft w:val="0"/>
          <w:marRight w:val="0"/>
          <w:marTop w:val="0"/>
          <w:marBottom w:val="0"/>
          <w:divBdr>
            <w:top w:val="none" w:sz="0" w:space="0" w:color="auto"/>
            <w:left w:val="none" w:sz="0" w:space="0" w:color="auto"/>
            <w:bottom w:val="none" w:sz="0" w:space="0" w:color="auto"/>
            <w:right w:val="none" w:sz="0" w:space="0" w:color="auto"/>
          </w:divBdr>
        </w:div>
        <w:div w:id="757947875">
          <w:marLeft w:val="0"/>
          <w:marRight w:val="0"/>
          <w:marTop w:val="0"/>
          <w:marBottom w:val="0"/>
          <w:divBdr>
            <w:top w:val="none" w:sz="0" w:space="0" w:color="auto"/>
            <w:left w:val="none" w:sz="0" w:space="0" w:color="auto"/>
            <w:bottom w:val="none" w:sz="0" w:space="0" w:color="auto"/>
            <w:right w:val="none" w:sz="0" w:space="0" w:color="auto"/>
          </w:divBdr>
        </w:div>
        <w:div w:id="806780396">
          <w:marLeft w:val="0"/>
          <w:marRight w:val="0"/>
          <w:marTop w:val="0"/>
          <w:marBottom w:val="0"/>
          <w:divBdr>
            <w:top w:val="none" w:sz="0" w:space="0" w:color="auto"/>
            <w:left w:val="none" w:sz="0" w:space="0" w:color="auto"/>
            <w:bottom w:val="none" w:sz="0" w:space="0" w:color="auto"/>
            <w:right w:val="none" w:sz="0" w:space="0" w:color="auto"/>
          </w:divBdr>
        </w:div>
        <w:div w:id="981809243">
          <w:marLeft w:val="0"/>
          <w:marRight w:val="0"/>
          <w:marTop w:val="0"/>
          <w:marBottom w:val="0"/>
          <w:divBdr>
            <w:top w:val="none" w:sz="0" w:space="0" w:color="auto"/>
            <w:left w:val="none" w:sz="0" w:space="0" w:color="auto"/>
            <w:bottom w:val="none" w:sz="0" w:space="0" w:color="auto"/>
            <w:right w:val="none" w:sz="0" w:space="0" w:color="auto"/>
          </w:divBdr>
        </w:div>
        <w:div w:id="1073813304">
          <w:marLeft w:val="0"/>
          <w:marRight w:val="0"/>
          <w:marTop w:val="0"/>
          <w:marBottom w:val="0"/>
          <w:divBdr>
            <w:top w:val="none" w:sz="0" w:space="0" w:color="auto"/>
            <w:left w:val="none" w:sz="0" w:space="0" w:color="auto"/>
            <w:bottom w:val="none" w:sz="0" w:space="0" w:color="auto"/>
            <w:right w:val="none" w:sz="0" w:space="0" w:color="auto"/>
          </w:divBdr>
        </w:div>
        <w:div w:id="1272589365">
          <w:marLeft w:val="0"/>
          <w:marRight w:val="0"/>
          <w:marTop w:val="0"/>
          <w:marBottom w:val="0"/>
          <w:divBdr>
            <w:top w:val="none" w:sz="0" w:space="0" w:color="auto"/>
            <w:left w:val="none" w:sz="0" w:space="0" w:color="auto"/>
            <w:bottom w:val="none" w:sz="0" w:space="0" w:color="auto"/>
            <w:right w:val="none" w:sz="0" w:space="0" w:color="auto"/>
          </w:divBdr>
        </w:div>
        <w:div w:id="1302727863">
          <w:marLeft w:val="0"/>
          <w:marRight w:val="0"/>
          <w:marTop w:val="0"/>
          <w:marBottom w:val="0"/>
          <w:divBdr>
            <w:top w:val="none" w:sz="0" w:space="0" w:color="auto"/>
            <w:left w:val="none" w:sz="0" w:space="0" w:color="auto"/>
            <w:bottom w:val="none" w:sz="0" w:space="0" w:color="auto"/>
            <w:right w:val="none" w:sz="0" w:space="0" w:color="auto"/>
          </w:divBdr>
        </w:div>
        <w:div w:id="1411735186">
          <w:marLeft w:val="0"/>
          <w:marRight w:val="0"/>
          <w:marTop w:val="0"/>
          <w:marBottom w:val="0"/>
          <w:divBdr>
            <w:top w:val="none" w:sz="0" w:space="0" w:color="auto"/>
            <w:left w:val="none" w:sz="0" w:space="0" w:color="auto"/>
            <w:bottom w:val="none" w:sz="0" w:space="0" w:color="auto"/>
            <w:right w:val="none" w:sz="0" w:space="0" w:color="auto"/>
          </w:divBdr>
        </w:div>
        <w:div w:id="1413502946">
          <w:marLeft w:val="0"/>
          <w:marRight w:val="0"/>
          <w:marTop w:val="0"/>
          <w:marBottom w:val="0"/>
          <w:divBdr>
            <w:top w:val="none" w:sz="0" w:space="0" w:color="auto"/>
            <w:left w:val="none" w:sz="0" w:space="0" w:color="auto"/>
            <w:bottom w:val="none" w:sz="0" w:space="0" w:color="auto"/>
            <w:right w:val="none" w:sz="0" w:space="0" w:color="auto"/>
          </w:divBdr>
        </w:div>
        <w:div w:id="1442384833">
          <w:marLeft w:val="0"/>
          <w:marRight w:val="0"/>
          <w:marTop w:val="0"/>
          <w:marBottom w:val="0"/>
          <w:divBdr>
            <w:top w:val="none" w:sz="0" w:space="0" w:color="auto"/>
            <w:left w:val="none" w:sz="0" w:space="0" w:color="auto"/>
            <w:bottom w:val="none" w:sz="0" w:space="0" w:color="auto"/>
            <w:right w:val="none" w:sz="0" w:space="0" w:color="auto"/>
          </w:divBdr>
        </w:div>
        <w:div w:id="1526016725">
          <w:marLeft w:val="0"/>
          <w:marRight w:val="0"/>
          <w:marTop w:val="0"/>
          <w:marBottom w:val="0"/>
          <w:divBdr>
            <w:top w:val="none" w:sz="0" w:space="0" w:color="auto"/>
            <w:left w:val="none" w:sz="0" w:space="0" w:color="auto"/>
            <w:bottom w:val="none" w:sz="0" w:space="0" w:color="auto"/>
            <w:right w:val="none" w:sz="0" w:space="0" w:color="auto"/>
          </w:divBdr>
        </w:div>
        <w:div w:id="1544563901">
          <w:marLeft w:val="0"/>
          <w:marRight w:val="0"/>
          <w:marTop w:val="0"/>
          <w:marBottom w:val="0"/>
          <w:divBdr>
            <w:top w:val="none" w:sz="0" w:space="0" w:color="auto"/>
            <w:left w:val="none" w:sz="0" w:space="0" w:color="auto"/>
            <w:bottom w:val="none" w:sz="0" w:space="0" w:color="auto"/>
            <w:right w:val="none" w:sz="0" w:space="0" w:color="auto"/>
          </w:divBdr>
        </w:div>
        <w:div w:id="1707220982">
          <w:marLeft w:val="0"/>
          <w:marRight w:val="0"/>
          <w:marTop w:val="0"/>
          <w:marBottom w:val="0"/>
          <w:divBdr>
            <w:top w:val="none" w:sz="0" w:space="0" w:color="auto"/>
            <w:left w:val="none" w:sz="0" w:space="0" w:color="auto"/>
            <w:bottom w:val="none" w:sz="0" w:space="0" w:color="auto"/>
            <w:right w:val="none" w:sz="0" w:space="0" w:color="auto"/>
          </w:divBdr>
        </w:div>
        <w:div w:id="1855879572">
          <w:marLeft w:val="0"/>
          <w:marRight w:val="0"/>
          <w:marTop w:val="0"/>
          <w:marBottom w:val="0"/>
          <w:divBdr>
            <w:top w:val="none" w:sz="0" w:space="0" w:color="auto"/>
            <w:left w:val="none" w:sz="0" w:space="0" w:color="auto"/>
            <w:bottom w:val="none" w:sz="0" w:space="0" w:color="auto"/>
            <w:right w:val="none" w:sz="0" w:space="0" w:color="auto"/>
          </w:divBdr>
        </w:div>
        <w:div w:id="1874884638">
          <w:marLeft w:val="0"/>
          <w:marRight w:val="0"/>
          <w:marTop w:val="0"/>
          <w:marBottom w:val="0"/>
          <w:divBdr>
            <w:top w:val="none" w:sz="0" w:space="0" w:color="auto"/>
            <w:left w:val="none" w:sz="0" w:space="0" w:color="auto"/>
            <w:bottom w:val="none" w:sz="0" w:space="0" w:color="auto"/>
            <w:right w:val="none" w:sz="0" w:space="0" w:color="auto"/>
          </w:divBdr>
        </w:div>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 w:id="1805393523">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sChild>
        <w:div w:id="9568448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8529912">
              <w:marLeft w:val="0"/>
              <w:marRight w:val="0"/>
              <w:marTop w:val="0"/>
              <w:marBottom w:val="0"/>
              <w:divBdr>
                <w:top w:val="none" w:sz="0" w:space="0" w:color="auto"/>
                <w:left w:val="none" w:sz="0" w:space="0" w:color="auto"/>
                <w:bottom w:val="none" w:sz="0" w:space="0" w:color="auto"/>
                <w:right w:val="none" w:sz="0" w:space="0" w:color="auto"/>
              </w:divBdr>
              <w:divsChild>
                <w:div w:id="8709171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7494578">
              <w:marLeft w:val="0"/>
              <w:marRight w:val="0"/>
              <w:marTop w:val="0"/>
              <w:marBottom w:val="0"/>
              <w:divBdr>
                <w:top w:val="none" w:sz="0" w:space="0" w:color="auto"/>
                <w:left w:val="none" w:sz="0" w:space="0" w:color="auto"/>
                <w:bottom w:val="none" w:sz="0" w:space="0" w:color="auto"/>
                <w:right w:val="none" w:sz="0" w:space="0" w:color="auto"/>
              </w:divBdr>
              <w:divsChild>
                <w:div w:id="10569031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22421099">
              <w:marLeft w:val="0"/>
              <w:marRight w:val="0"/>
              <w:marTop w:val="0"/>
              <w:marBottom w:val="0"/>
              <w:divBdr>
                <w:top w:val="none" w:sz="0" w:space="0" w:color="auto"/>
                <w:left w:val="none" w:sz="0" w:space="0" w:color="auto"/>
                <w:bottom w:val="none" w:sz="0" w:space="0" w:color="auto"/>
                <w:right w:val="none" w:sz="0" w:space="0" w:color="auto"/>
              </w:divBdr>
              <w:divsChild>
                <w:div w:id="14218292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2453691">
              <w:marLeft w:val="0"/>
              <w:marRight w:val="0"/>
              <w:marTop w:val="0"/>
              <w:marBottom w:val="0"/>
              <w:divBdr>
                <w:top w:val="none" w:sz="0" w:space="0" w:color="auto"/>
                <w:left w:val="none" w:sz="0" w:space="0" w:color="auto"/>
                <w:bottom w:val="none" w:sz="0" w:space="0" w:color="auto"/>
                <w:right w:val="none" w:sz="0" w:space="0" w:color="auto"/>
              </w:divBdr>
              <w:divsChild>
                <w:div w:id="2404828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913278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49908927">
      <w:bodyDiv w:val="1"/>
      <w:marLeft w:val="0"/>
      <w:marRight w:val="0"/>
      <w:marTop w:val="0"/>
      <w:marBottom w:val="0"/>
      <w:divBdr>
        <w:top w:val="none" w:sz="0" w:space="0" w:color="auto"/>
        <w:left w:val="none" w:sz="0" w:space="0" w:color="auto"/>
        <w:bottom w:val="none" w:sz="0" w:space="0" w:color="auto"/>
        <w:right w:val="none" w:sz="0" w:space="0" w:color="auto"/>
      </w:divBdr>
      <w:divsChild>
        <w:div w:id="14356893">
          <w:blockQuote w:val="1"/>
          <w:marLeft w:val="400"/>
          <w:marRight w:val="0"/>
          <w:marTop w:val="160"/>
          <w:marBottom w:val="200"/>
          <w:divBdr>
            <w:top w:val="none" w:sz="0" w:space="0" w:color="auto"/>
            <w:left w:val="none" w:sz="0" w:space="0" w:color="auto"/>
            <w:bottom w:val="none" w:sz="0" w:space="0" w:color="auto"/>
            <w:right w:val="none" w:sz="0" w:space="0" w:color="auto"/>
          </w:divBdr>
        </w:div>
        <w:div w:id="54240093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72579382">
              <w:marLeft w:val="0"/>
              <w:marRight w:val="0"/>
              <w:marTop w:val="0"/>
              <w:marBottom w:val="0"/>
              <w:divBdr>
                <w:top w:val="none" w:sz="0" w:space="0" w:color="auto"/>
                <w:left w:val="none" w:sz="0" w:space="0" w:color="auto"/>
                <w:bottom w:val="none" w:sz="0" w:space="0" w:color="auto"/>
                <w:right w:val="none" w:sz="0" w:space="0" w:color="auto"/>
              </w:divBdr>
              <w:divsChild>
                <w:div w:id="8067048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9921369">
              <w:marLeft w:val="0"/>
              <w:marRight w:val="0"/>
              <w:marTop w:val="0"/>
              <w:marBottom w:val="0"/>
              <w:divBdr>
                <w:top w:val="none" w:sz="0" w:space="0" w:color="auto"/>
                <w:left w:val="none" w:sz="0" w:space="0" w:color="auto"/>
                <w:bottom w:val="none" w:sz="0" w:space="0" w:color="auto"/>
                <w:right w:val="none" w:sz="0" w:space="0" w:color="auto"/>
              </w:divBdr>
              <w:divsChild>
                <w:div w:id="15566960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1284518">
              <w:marLeft w:val="0"/>
              <w:marRight w:val="0"/>
              <w:marTop w:val="0"/>
              <w:marBottom w:val="0"/>
              <w:divBdr>
                <w:top w:val="none" w:sz="0" w:space="0" w:color="auto"/>
                <w:left w:val="none" w:sz="0" w:space="0" w:color="auto"/>
                <w:bottom w:val="none" w:sz="0" w:space="0" w:color="auto"/>
                <w:right w:val="none" w:sz="0" w:space="0" w:color="auto"/>
              </w:divBdr>
              <w:divsChild>
                <w:div w:id="13076666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2740454">
              <w:marLeft w:val="0"/>
              <w:marRight w:val="0"/>
              <w:marTop w:val="0"/>
              <w:marBottom w:val="0"/>
              <w:divBdr>
                <w:top w:val="none" w:sz="0" w:space="0" w:color="auto"/>
                <w:left w:val="none" w:sz="0" w:space="0" w:color="auto"/>
                <w:bottom w:val="none" w:sz="0" w:space="0" w:color="auto"/>
                <w:right w:val="none" w:sz="0" w:space="0" w:color="auto"/>
              </w:divBdr>
              <w:divsChild>
                <w:div w:id="9287310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868057845">
      <w:bodyDiv w:val="1"/>
      <w:marLeft w:val="0"/>
      <w:marRight w:val="0"/>
      <w:marTop w:val="0"/>
      <w:marBottom w:val="0"/>
      <w:divBdr>
        <w:top w:val="none" w:sz="0" w:space="0" w:color="auto"/>
        <w:left w:val="none" w:sz="0" w:space="0" w:color="auto"/>
        <w:bottom w:val="none" w:sz="0" w:space="0" w:color="auto"/>
        <w:right w:val="none" w:sz="0" w:space="0" w:color="auto"/>
      </w:divBdr>
    </w:div>
    <w:div w:id="1941254365">
      <w:bodyDiv w:val="1"/>
      <w:marLeft w:val="0"/>
      <w:marRight w:val="0"/>
      <w:marTop w:val="0"/>
      <w:marBottom w:val="0"/>
      <w:divBdr>
        <w:top w:val="none" w:sz="0" w:space="0" w:color="auto"/>
        <w:left w:val="none" w:sz="0" w:space="0" w:color="auto"/>
        <w:bottom w:val="none" w:sz="0" w:space="0" w:color="auto"/>
        <w:right w:val="none" w:sz="0" w:space="0" w:color="auto"/>
      </w:divBdr>
    </w:div>
    <w:div w:id="2003854319">
      <w:bodyDiv w:val="1"/>
      <w:marLeft w:val="0"/>
      <w:marRight w:val="0"/>
      <w:marTop w:val="0"/>
      <w:marBottom w:val="0"/>
      <w:divBdr>
        <w:top w:val="none" w:sz="0" w:space="0" w:color="auto"/>
        <w:left w:val="none" w:sz="0" w:space="0" w:color="auto"/>
        <w:bottom w:val="none" w:sz="0" w:space="0" w:color="auto"/>
        <w:right w:val="none" w:sz="0" w:space="0" w:color="auto"/>
      </w:divBdr>
      <w:divsChild>
        <w:div w:id="574358541">
          <w:blockQuote w:val="1"/>
          <w:marLeft w:val="600"/>
          <w:marRight w:val="0"/>
          <w:marTop w:val="120"/>
          <w:marBottom w:val="120"/>
          <w:divBdr>
            <w:top w:val="none" w:sz="0" w:space="0" w:color="auto"/>
            <w:left w:val="none" w:sz="0" w:space="0" w:color="auto"/>
            <w:bottom w:val="none" w:sz="0" w:space="0" w:color="auto"/>
            <w:right w:val="none" w:sz="0" w:space="0" w:color="auto"/>
          </w:divBdr>
        </w:div>
        <w:div w:id="16370255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24358157">
      <w:bodyDiv w:val="1"/>
      <w:marLeft w:val="0"/>
      <w:marRight w:val="0"/>
      <w:marTop w:val="0"/>
      <w:marBottom w:val="0"/>
      <w:divBdr>
        <w:top w:val="none" w:sz="0" w:space="0" w:color="auto"/>
        <w:left w:val="none" w:sz="0" w:space="0" w:color="auto"/>
        <w:bottom w:val="none" w:sz="0" w:space="0" w:color="auto"/>
        <w:right w:val="none" w:sz="0" w:space="0" w:color="auto"/>
      </w:divBdr>
    </w:div>
    <w:div w:id="2033872802">
      <w:bodyDiv w:val="1"/>
      <w:marLeft w:val="0"/>
      <w:marRight w:val="0"/>
      <w:marTop w:val="0"/>
      <w:marBottom w:val="0"/>
      <w:divBdr>
        <w:top w:val="none" w:sz="0" w:space="0" w:color="auto"/>
        <w:left w:val="none" w:sz="0" w:space="0" w:color="auto"/>
        <w:bottom w:val="none" w:sz="0" w:space="0" w:color="auto"/>
        <w:right w:val="none" w:sz="0" w:space="0" w:color="auto"/>
      </w:divBdr>
      <w:divsChild>
        <w:div w:id="185408438">
          <w:marLeft w:val="0"/>
          <w:marRight w:val="0"/>
          <w:marTop w:val="0"/>
          <w:marBottom w:val="0"/>
          <w:divBdr>
            <w:top w:val="none" w:sz="0" w:space="0" w:color="auto"/>
            <w:left w:val="none" w:sz="0" w:space="0" w:color="auto"/>
            <w:bottom w:val="none" w:sz="0" w:space="0" w:color="auto"/>
            <w:right w:val="none" w:sz="0" w:space="0" w:color="auto"/>
          </w:divBdr>
        </w:div>
        <w:div w:id="679237696">
          <w:marLeft w:val="0"/>
          <w:marRight w:val="0"/>
          <w:marTop w:val="0"/>
          <w:marBottom w:val="0"/>
          <w:divBdr>
            <w:top w:val="none" w:sz="0" w:space="0" w:color="auto"/>
            <w:left w:val="none" w:sz="0" w:space="0" w:color="auto"/>
            <w:bottom w:val="none" w:sz="0" w:space="0" w:color="auto"/>
            <w:right w:val="none" w:sz="0" w:space="0" w:color="auto"/>
          </w:divBdr>
        </w:div>
        <w:div w:id="870339545">
          <w:marLeft w:val="0"/>
          <w:marRight w:val="0"/>
          <w:marTop w:val="0"/>
          <w:marBottom w:val="0"/>
          <w:divBdr>
            <w:top w:val="none" w:sz="0" w:space="0" w:color="auto"/>
            <w:left w:val="none" w:sz="0" w:space="0" w:color="auto"/>
            <w:bottom w:val="none" w:sz="0" w:space="0" w:color="auto"/>
            <w:right w:val="none" w:sz="0" w:space="0" w:color="auto"/>
          </w:divBdr>
        </w:div>
        <w:div w:id="885065467">
          <w:marLeft w:val="0"/>
          <w:marRight w:val="0"/>
          <w:marTop w:val="0"/>
          <w:marBottom w:val="0"/>
          <w:divBdr>
            <w:top w:val="none" w:sz="0" w:space="0" w:color="auto"/>
            <w:left w:val="none" w:sz="0" w:space="0" w:color="auto"/>
            <w:bottom w:val="none" w:sz="0" w:space="0" w:color="auto"/>
            <w:right w:val="none" w:sz="0" w:space="0" w:color="auto"/>
          </w:divBdr>
        </w:div>
        <w:div w:id="940525482">
          <w:marLeft w:val="0"/>
          <w:marRight w:val="0"/>
          <w:marTop w:val="0"/>
          <w:marBottom w:val="0"/>
          <w:divBdr>
            <w:top w:val="none" w:sz="0" w:space="0" w:color="auto"/>
            <w:left w:val="none" w:sz="0" w:space="0" w:color="auto"/>
            <w:bottom w:val="none" w:sz="0" w:space="0" w:color="auto"/>
            <w:right w:val="none" w:sz="0" w:space="0" w:color="auto"/>
          </w:divBdr>
        </w:div>
        <w:div w:id="1376000444">
          <w:marLeft w:val="0"/>
          <w:marRight w:val="0"/>
          <w:marTop w:val="0"/>
          <w:marBottom w:val="0"/>
          <w:divBdr>
            <w:top w:val="none" w:sz="0" w:space="0" w:color="auto"/>
            <w:left w:val="none" w:sz="0" w:space="0" w:color="auto"/>
            <w:bottom w:val="none" w:sz="0" w:space="0" w:color="auto"/>
            <w:right w:val="none" w:sz="0" w:space="0" w:color="auto"/>
          </w:divBdr>
        </w:div>
        <w:div w:id="1397776370">
          <w:marLeft w:val="0"/>
          <w:marRight w:val="0"/>
          <w:marTop w:val="0"/>
          <w:marBottom w:val="0"/>
          <w:divBdr>
            <w:top w:val="none" w:sz="0" w:space="0" w:color="auto"/>
            <w:left w:val="none" w:sz="0" w:space="0" w:color="auto"/>
            <w:bottom w:val="none" w:sz="0" w:space="0" w:color="auto"/>
            <w:right w:val="none" w:sz="0" w:space="0" w:color="auto"/>
          </w:divBdr>
        </w:div>
        <w:div w:id="1520309717">
          <w:marLeft w:val="0"/>
          <w:marRight w:val="0"/>
          <w:marTop w:val="0"/>
          <w:marBottom w:val="0"/>
          <w:divBdr>
            <w:top w:val="none" w:sz="0" w:space="0" w:color="auto"/>
            <w:left w:val="none" w:sz="0" w:space="0" w:color="auto"/>
            <w:bottom w:val="none" w:sz="0" w:space="0" w:color="auto"/>
            <w:right w:val="none" w:sz="0" w:space="0" w:color="auto"/>
          </w:divBdr>
        </w:div>
        <w:div w:id="1712194058">
          <w:marLeft w:val="0"/>
          <w:marRight w:val="0"/>
          <w:marTop w:val="0"/>
          <w:marBottom w:val="0"/>
          <w:divBdr>
            <w:top w:val="none" w:sz="0" w:space="0" w:color="auto"/>
            <w:left w:val="none" w:sz="0" w:space="0" w:color="auto"/>
            <w:bottom w:val="none" w:sz="0" w:space="0" w:color="auto"/>
            <w:right w:val="none" w:sz="0" w:space="0" w:color="auto"/>
          </w:divBdr>
        </w:div>
        <w:div w:id="1784416958">
          <w:marLeft w:val="0"/>
          <w:marRight w:val="0"/>
          <w:marTop w:val="0"/>
          <w:marBottom w:val="0"/>
          <w:divBdr>
            <w:top w:val="none" w:sz="0" w:space="0" w:color="auto"/>
            <w:left w:val="none" w:sz="0" w:space="0" w:color="auto"/>
            <w:bottom w:val="none" w:sz="0" w:space="0" w:color="auto"/>
            <w:right w:val="none" w:sz="0" w:space="0" w:color="auto"/>
          </w:divBdr>
        </w:div>
        <w:div w:id="2118333010">
          <w:marLeft w:val="0"/>
          <w:marRight w:val="0"/>
          <w:marTop w:val="0"/>
          <w:marBottom w:val="0"/>
          <w:divBdr>
            <w:top w:val="none" w:sz="0" w:space="0" w:color="auto"/>
            <w:left w:val="none" w:sz="0" w:space="0" w:color="auto"/>
            <w:bottom w:val="none" w:sz="0" w:space="0" w:color="auto"/>
            <w:right w:val="none" w:sz="0" w:space="0" w:color="auto"/>
          </w:divBdr>
        </w:div>
      </w:divsChild>
    </w:div>
    <w:div w:id="2066295129">
      <w:bodyDiv w:val="1"/>
      <w:marLeft w:val="0"/>
      <w:marRight w:val="0"/>
      <w:marTop w:val="0"/>
      <w:marBottom w:val="0"/>
      <w:divBdr>
        <w:top w:val="none" w:sz="0" w:space="0" w:color="auto"/>
        <w:left w:val="none" w:sz="0" w:space="0" w:color="auto"/>
        <w:bottom w:val="none" w:sz="0" w:space="0" w:color="auto"/>
        <w:right w:val="none" w:sz="0" w:space="0" w:color="auto"/>
      </w:divBdr>
    </w:div>
    <w:div w:id="2070420420">
      <w:bodyDiv w:val="1"/>
      <w:marLeft w:val="0"/>
      <w:marRight w:val="0"/>
      <w:marTop w:val="0"/>
      <w:marBottom w:val="0"/>
      <w:divBdr>
        <w:top w:val="none" w:sz="0" w:space="0" w:color="auto"/>
        <w:left w:val="none" w:sz="0" w:space="0" w:color="auto"/>
        <w:bottom w:val="none" w:sz="0" w:space="0" w:color="auto"/>
        <w:right w:val="none" w:sz="0" w:space="0" w:color="auto"/>
      </w:divBdr>
      <w:divsChild>
        <w:div w:id="1364133608">
          <w:marLeft w:val="0"/>
          <w:marRight w:val="0"/>
          <w:marTop w:val="0"/>
          <w:marBottom w:val="0"/>
          <w:divBdr>
            <w:top w:val="none" w:sz="0" w:space="0" w:color="auto"/>
            <w:left w:val="none" w:sz="0" w:space="0" w:color="auto"/>
            <w:bottom w:val="none" w:sz="0" w:space="0" w:color="auto"/>
            <w:right w:val="none" w:sz="0" w:space="0" w:color="auto"/>
          </w:divBdr>
        </w:div>
      </w:divsChild>
    </w:div>
    <w:div w:id="2082632073">
      <w:bodyDiv w:val="1"/>
      <w:marLeft w:val="0"/>
      <w:marRight w:val="0"/>
      <w:marTop w:val="0"/>
      <w:marBottom w:val="0"/>
      <w:divBdr>
        <w:top w:val="none" w:sz="0" w:space="0" w:color="auto"/>
        <w:left w:val="none" w:sz="0" w:space="0" w:color="auto"/>
        <w:bottom w:val="none" w:sz="0" w:space="0" w:color="auto"/>
        <w:right w:val="none" w:sz="0" w:space="0" w:color="auto"/>
      </w:divBdr>
      <w:divsChild>
        <w:div w:id="146358000">
          <w:marLeft w:val="0"/>
          <w:marRight w:val="0"/>
          <w:marTop w:val="0"/>
          <w:marBottom w:val="240"/>
          <w:divBdr>
            <w:top w:val="none" w:sz="0" w:space="0" w:color="auto"/>
            <w:left w:val="none" w:sz="0" w:space="0" w:color="auto"/>
            <w:bottom w:val="none" w:sz="0" w:space="0" w:color="auto"/>
            <w:right w:val="none" w:sz="0" w:space="0" w:color="auto"/>
          </w:divBdr>
        </w:div>
        <w:div w:id="667708297">
          <w:marLeft w:val="0"/>
          <w:marRight w:val="0"/>
          <w:marTop w:val="0"/>
          <w:marBottom w:val="240"/>
          <w:divBdr>
            <w:top w:val="none" w:sz="0" w:space="0" w:color="auto"/>
            <w:left w:val="none" w:sz="0" w:space="0" w:color="auto"/>
            <w:bottom w:val="none" w:sz="0" w:space="0" w:color="auto"/>
            <w:right w:val="none" w:sz="0" w:space="0" w:color="auto"/>
          </w:divBdr>
        </w:div>
        <w:div w:id="2088264945">
          <w:marLeft w:val="0"/>
          <w:marRight w:val="0"/>
          <w:marTop w:val="0"/>
          <w:marBottom w:val="240"/>
          <w:divBdr>
            <w:top w:val="none" w:sz="0" w:space="0" w:color="auto"/>
            <w:left w:val="none" w:sz="0" w:space="0" w:color="auto"/>
            <w:bottom w:val="none" w:sz="0" w:space="0" w:color="auto"/>
            <w:right w:val="none" w:sz="0" w:space="0" w:color="auto"/>
          </w:divBdr>
        </w:div>
      </w:divsChild>
    </w:div>
    <w:div w:id="2105882249">
      <w:bodyDiv w:val="1"/>
      <w:marLeft w:val="0"/>
      <w:marRight w:val="0"/>
      <w:marTop w:val="0"/>
      <w:marBottom w:val="0"/>
      <w:divBdr>
        <w:top w:val="none" w:sz="0" w:space="0" w:color="auto"/>
        <w:left w:val="none" w:sz="0" w:space="0" w:color="auto"/>
        <w:bottom w:val="none" w:sz="0" w:space="0" w:color="auto"/>
        <w:right w:val="none" w:sz="0" w:space="0" w:color="auto"/>
      </w:divBdr>
      <w:divsChild>
        <w:div w:id="606735554">
          <w:marLeft w:val="0"/>
          <w:marRight w:val="0"/>
          <w:marTop w:val="0"/>
          <w:marBottom w:val="0"/>
          <w:divBdr>
            <w:top w:val="none" w:sz="0" w:space="0" w:color="auto"/>
            <w:left w:val="none" w:sz="0" w:space="0" w:color="auto"/>
            <w:bottom w:val="none" w:sz="0" w:space="0" w:color="auto"/>
            <w:right w:val="none" w:sz="0" w:space="0" w:color="auto"/>
          </w:divBdr>
        </w:div>
        <w:div w:id="1326318623">
          <w:marLeft w:val="0"/>
          <w:marRight w:val="0"/>
          <w:marTop w:val="0"/>
          <w:marBottom w:val="0"/>
          <w:divBdr>
            <w:top w:val="none" w:sz="0" w:space="0" w:color="auto"/>
            <w:left w:val="none" w:sz="0" w:space="0" w:color="auto"/>
            <w:bottom w:val="none" w:sz="0" w:space="0" w:color="auto"/>
            <w:right w:val="none" w:sz="0" w:space="0" w:color="auto"/>
          </w:divBdr>
        </w:div>
      </w:divsChild>
    </w:div>
    <w:div w:id="2118324843">
      <w:bodyDiv w:val="1"/>
      <w:marLeft w:val="0"/>
      <w:marRight w:val="0"/>
      <w:marTop w:val="0"/>
      <w:marBottom w:val="0"/>
      <w:divBdr>
        <w:top w:val="none" w:sz="0" w:space="0" w:color="auto"/>
        <w:left w:val="none" w:sz="0" w:space="0" w:color="auto"/>
        <w:bottom w:val="none" w:sz="0" w:space="0" w:color="auto"/>
        <w:right w:val="none" w:sz="0" w:space="0" w:color="auto"/>
      </w:divBdr>
    </w:div>
    <w:div w:id="2132825634">
      <w:bodyDiv w:val="1"/>
      <w:marLeft w:val="0"/>
      <w:marRight w:val="0"/>
      <w:marTop w:val="0"/>
      <w:marBottom w:val="0"/>
      <w:divBdr>
        <w:top w:val="none" w:sz="0" w:space="0" w:color="auto"/>
        <w:left w:val="none" w:sz="0" w:space="0" w:color="auto"/>
        <w:bottom w:val="none" w:sz="0" w:space="0" w:color="auto"/>
        <w:right w:val="none" w:sz="0" w:space="0" w:color="auto"/>
      </w:divBdr>
    </w:div>
    <w:div w:id="2142110688">
      <w:bodyDiv w:val="1"/>
      <w:marLeft w:val="0"/>
      <w:marRight w:val="0"/>
      <w:marTop w:val="0"/>
      <w:marBottom w:val="0"/>
      <w:divBdr>
        <w:top w:val="none" w:sz="0" w:space="0" w:color="auto"/>
        <w:left w:val="none" w:sz="0" w:space="0" w:color="auto"/>
        <w:bottom w:val="none" w:sz="0" w:space="0" w:color="auto"/>
        <w:right w:val="none" w:sz="0" w:space="0" w:color="auto"/>
      </w:divBdr>
      <w:divsChild>
        <w:div w:id="1584410550">
          <w:blockQuote w:val="1"/>
          <w:marLeft w:val="0"/>
          <w:marRight w:val="0"/>
          <w:marTop w:val="120"/>
          <w:marBottom w:val="120"/>
          <w:divBdr>
            <w:top w:val="none" w:sz="0" w:space="0" w:color="auto"/>
            <w:left w:val="none" w:sz="0" w:space="0" w:color="auto"/>
            <w:bottom w:val="none" w:sz="0" w:space="0" w:color="auto"/>
            <w:right w:val="none" w:sz="0" w:space="0" w:color="auto"/>
          </w:divBdr>
        </w:div>
        <w:div w:id="20196964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https://www.legislation.qld.gov.au/link?version.series.id=898d0b1d-19a0-42c7-8f37-9b5418db7da0&amp;doc.id=sl-2011-0240&amp;date=2025-05-19&amp;type=sl" TargetMode="External"/><Relationship Id="rId39" Type="http://schemas.openxmlformats.org/officeDocument/2006/relationships/hyperlink" Target="https://legislation.nsw.gov.au/view/html/inforce/current/act-1996-038" TargetMode="External"/><Relationship Id="rId21" Type="http://schemas.openxmlformats.org/officeDocument/2006/relationships/hyperlink" Target="https://www.aemc.gov.au/legal/national-energy-objectives" TargetMode="External"/><Relationship Id="rId34" Type="http://schemas.openxmlformats.org/officeDocument/2006/relationships/hyperlink" Target="https://legislation.nsw.gov.au/view/html/inforce/current/act-1996-038" TargetMode="External"/><Relationship Id="rId42" Type="http://schemas.openxmlformats.org/officeDocument/2006/relationships/hyperlink" Target="https://legislation.nsw.gov.au/view/html/inforce/current/act-1967-090" TargetMode="External"/><Relationship Id="rId47" Type="http://schemas.openxmlformats.org/officeDocument/2006/relationships/hyperlink" Target="https://legislation.nsw.gov.au/view/html/inforce/current/act-1967-090"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legislation.tas.gov.au/view/html/inforce/current/act-2010-016" TargetMode="External"/><Relationship Id="rId11" Type="http://schemas.openxmlformats.org/officeDocument/2006/relationships/image" Target="media/image1.png"/><Relationship Id="rId24" Type="http://schemas.openxmlformats.org/officeDocument/2006/relationships/hyperlink" Target="https://legislation.nsw.gov.au/view/html/inforce/current/act-1982-023" TargetMode="External"/><Relationship Id="rId32" Type="http://schemas.openxmlformats.org/officeDocument/2006/relationships/hyperlink" Target="https://legislation.nsw.gov.au/view/html/inforce/current/act-1967-090" TargetMode="External"/><Relationship Id="rId37" Type="http://schemas.openxmlformats.org/officeDocument/2006/relationships/hyperlink" Target="http://www.legislation.gov.au/" TargetMode="External"/><Relationship Id="rId40" Type="http://schemas.openxmlformats.org/officeDocument/2006/relationships/hyperlink" Target="https://legislation.nsw.gov.au/view/html/inforce/current/act-1967-090" TargetMode="External"/><Relationship Id="rId45" Type="http://schemas.openxmlformats.org/officeDocument/2006/relationships/hyperlink" Target="https://legislation.nsw.gov.au/view/html/inforce/current/act-1967-090"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legislation.nsw.gov.au/view/html/inforce/current/act-1982-023" TargetMode="External"/><Relationship Id="rId44" Type="http://schemas.openxmlformats.org/officeDocument/2006/relationships/hyperlink" Target="https://legislation.nsw.gov.au/view/html/inforce/current/act-1967-090"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emc.gov.au/our-work/market-reviews-and-advice" TargetMode="External"/><Relationship Id="rId27" Type="http://schemas.openxmlformats.org/officeDocument/2006/relationships/hyperlink" Target="https://www.legislation.tas.gov.au/view/html/inforce/current/act-2019-001" TargetMode="External"/><Relationship Id="rId30" Type="http://schemas.openxmlformats.org/officeDocument/2006/relationships/hyperlink" Target="https://legislation.nsw.gov.au/view/html/inforce/current/act-1996-038" TargetMode="External"/><Relationship Id="rId35" Type="http://schemas.openxmlformats.org/officeDocument/2006/relationships/hyperlink" Target="https://legislation.nsw.gov.au/view/html/inforce/current/act-1967-090" TargetMode="External"/><Relationship Id="rId43" Type="http://schemas.openxmlformats.org/officeDocument/2006/relationships/hyperlink" Target="https://legislation.nsw.gov.au/view/html/inforce/current/act-1996-038" TargetMode="External"/><Relationship Id="rId48" Type="http://schemas.openxmlformats.org/officeDocument/2006/relationships/hyperlink" Target="https://legislation.nsw.gov.au/view/html/inforce/current/act-1967-090"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www.legislation.qld.gov.au/link?version.series.id=898d0b1d-19a0-42c7-8f37-9b5418db7da0&amp;doc.id=sl-2011-0240&amp;date=2025-05-19&amp;type=sl" TargetMode="External"/><Relationship Id="rId33" Type="http://schemas.openxmlformats.org/officeDocument/2006/relationships/hyperlink" Target="https://legislation.nsw.gov.au/view/html/inforce/current/act-2008-095" TargetMode="External"/><Relationship Id="rId38" Type="http://schemas.openxmlformats.org/officeDocument/2006/relationships/hyperlink" Target="https://legislation.nsw.gov.au/view/html/inforce/current/act-1995-013" TargetMode="External"/><Relationship Id="rId46" Type="http://schemas.openxmlformats.org/officeDocument/2006/relationships/hyperlink" Target="https://legislation.nsw.gov.au/view/html/inforce/current/act-1996-038" TargetMode="External"/><Relationship Id="rId20" Type="http://schemas.openxmlformats.org/officeDocument/2006/relationships/hyperlink" Target="https://www.aer.gov.au/retail-markets/retail-guidelines-reviews?f%5B0%5D=type%3Aaccc_aer_guideline" TargetMode="External"/><Relationship Id="rId41" Type="http://schemas.openxmlformats.org/officeDocument/2006/relationships/hyperlink" Target="https://legislation.nsw.gov.au/view/html/inforce/current/act-1996-03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aemo.local/pages/collections/procedures" TargetMode="External"/><Relationship Id="rId28" Type="http://schemas.openxmlformats.org/officeDocument/2006/relationships/hyperlink" Target="https://www.legislation.tas.gov.au/view/html/inforce/current/act-2012-001" TargetMode="External"/><Relationship Id="rId36" Type="http://schemas.openxmlformats.org/officeDocument/2006/relationships/hyperlink" Target="https://www.google.com/url?sa=i&amp;source=web&amp;rct=j&amp;url=https://www.worksafe.qld.gov.au/safety-and-prevention/hazards/hazardous-chemicals/specific-hazchem-risks/hazardous-chemicals-in-pipelines&amp;ved=2ahUKEwickKq47O2QAxWwTmwGHXEjDc4Qy_kOegQIARAB&amp;opi=89978449&amp;cd&amp;psig=AOvVaw0_Ddbyo4wD0rSdB1itinHM&amp;ust=1763079325083000"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y.nsw.gov.au/sites/default/files/2023-12/NSW_hydrogen_regulatory_guide_OECC_2023.pdf" TargetMode="External"/><Relationship Id="rId1" Type="http://schemas.openxmlformats.org/officeDocument/2006/relationships/hyperlink" Target="https://www.erawa.com.au/licensing/gas-licensing" TargetMode="External"/></Relationships>
</file>

<file path=word/documenttasks/documenttasks1.xml><?xml version="1.0" encoding="utf-8"?>
<t:Tasks xmlns:t="http://schemas.microsoft.com/office/tasks/2019/documenttasks" xmlns:oel="http://schemas.microsoft.com/office/2019/extlst">
  <t:Task id="{3E7CD9E4-D8E6-4493-8AFB-13F12853AD37}">
    <t:Anchor>
      <t:Comment id="581258950"/>
    </t:Anchor>
    <t:History>
      <t:Event id="{8EAAD965-68A3-4E37-9A1B-1F4848C2EE3D}" time="2025-07-19T08:25:07.021Z">
        <t:Attribution userId="S::jean-paul.baumgartner@dcceew.gov.au::5c958e0c-e2cc-403e-94d4-60476a71249d" userProvider="AD" userName="Jean-Paul BAUMGARTNER"/>
        <t:Anchor>
          <t:Comment id="581258950"/>
        </t:Anchor>
        <t:Create/>
      </t:Event>
      <t:Event id="{0F213D75-6436-4BE7-A942-7E0C1EB49FB2}" time="2025-07-19T08:25:07.021Z">
        <t:Attribution userId="S::jean-paul.baumgartner@dcceew.gov.au::5c958e0c-e2cc-403e-94d4-60476a71249d" userProvider="AD" userName="Jean-Paul BAUMGARTNER"/>
        <t:Anchor>
          <t:Comment id="581258950"/>
        </t:Anchor>
        <t:Assign userId="S::Tom.McCrie@dcceew.gov.au::152c0691-6eb7-4e4a-a647-69e66ebcfbdb" userProvider="AD" userName="Tom MCCRIE"/>
      </t:Event>
      <t:Event id="{83EDCCA6-A1E6-4209-A90E-05B9E5B84885}" time="2025-07-19T08:25:07.021Z">
        <t:Attribution userId="S::jean-paul.baumgartner@dcceew.gov.au::5c958e0c-e2cc-403e-94d4-60476a71249d" userProvider="AD" userName="Jean-Paul BAUMGARTNER"/>
        <t:Anchor>
          <t:Comment id="581258950"/>
        </t:Anchor>
        <t:SetTitle title="@Tom MCCRIE This sentance doesn't make sense to me, can we please update ahead of public release."/>
      </t:Event>
      <t:Event id="{E602820F-DE80-4B48-8C03-E99BC1A77EC0}" time="2025-07-19T08:26:03.306Z">
        <t:Attribution userId="S::jean-paul.baumgartner@dcceew.gov.au::5c958e0c-e2cc-403e-94d4-60476a71249d" userProvider="AD" userName="Jean-Paul BAUMGARTN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0" ma:contentTypeDescription="Create a new document." ma:contentTypeScope="" ma:versionID="1a5a1b04dc65c726950768a7bec842c3">
  <xsd:schema xmlns:xsd="http://www.w3.org/2001/XMLSchema" xmlns:xs="http://www.w3.org/2001/XMLSchema" xmlns:p="http://schemas.microsoft.com/office/2006/metadata/properties" xmlns:ns1="http://schemas.microsoft.com/sharepoint/v3" xmlns:ns2="a6e86820-684a-4c77-a2e2-d773523b5b34" xmlns:ns3="263e80a3-83eb-403e-a237-b3125a65bc88" xmlns:ns4="d81c2681-db7b-4a56-9abd-a3238a78f6b2" xmlns:ns5="e8238601-ce47-4778-85d0-8b1d6564965a" targetNamespace="http://schemas.microsoft.com/office/2006/metadata/properties" ma:root="true" ma:fieldsID="feea9060cef51a96d9ea4932214e06e1" ns1:_="" ns2:_="" ns3:_="" ns4:_="" ns5:_="">
    <xsd:import namespace="http://schemas.microsoft.com/sharepoint/v3"/>
    <xsd:import namespace="a6e86820-684a-4c77-a2e2-d773523b5b34"/>
    <xsd:import namespace="263e80a3-83eb-403e-a237-b3125a65bc88"/>
    <xsd:import namespace="d81c2681-db7b-4a56-9abd-a3238a78f6b2"/>
    <xsd:import namespace="e8238601-ce47-4778-85d0-8b1d65649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Authorship"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Confidential" minOccurs="0"/>
                <xsd:element ref="ns4:_Flow_SignoffStatu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86820-684a-4c77-a2e2-d773523b5b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e80a3-83eb-403e-a237-b3125a65bc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Authorship" ma:index="17" nillable="true" ma:displayName="Authorship" ma:format="Dropdown" ma:internalName="Authorship">
      <xsd:simpleType>
        <xsd:restriction base="dms:Choice">
          <xsd:enumeration value="Government"/>
          <xsd:enumeration value="Industry"/>
          <xsd:enumeration value="Academic"/>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Confidential" ma:index="26" nillable="true" ma:displayName="Confidential" ma:default="1" ma:description="private &amp; confidential submission, not to be circulated further" ma:format="Dropdown" ma:internalName="Confidential">
      <xsd:simpleType>
        <xsd:restriction base="dms:Boolean"/>
      </xsd:simpleType>
    </xsd:element>
    <xsd:element name="_Flow_SignoffStatus" ma:index="27" nillable="true" ma:displayName="Sign-off status" ma:internalName="_x0024_Resources_x003a_core_x002c_Signoff_Status">
      <xsd:simpleType>
        <xsd:restriction base="dms:Text"/>
      </xsd:simpleType>
    </xsd:element>
    <xsd:element name="Notes" ma:index="28" nillable="true" ma:displayName="Notes" ma:description="Attached from email from Malte 25/3/25 subject &quot;Descriptive Part&quot;"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377e666-b4a3-4192-96f6-33d15ca309d3}"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uthorship xmlns="263e80a3-83eb-403e-a237-b3125a65bc88" xsi:nil="true"/>
    <_Flow_SignoffStatus xmlns="d81c2681-db7b-4a56-9abd-a3238a78f6b2" xsi:nil="true"/>
    <_ip_UnifiedCompliancePolicyProperties xmlns="http://schemas.microsoft.com/sharepoint/v3" xsi:nil="true"/>
    <lcf76f155ced4ddcb4097134ff3c332f xmlns="d81c2681-db7b-4a56-9abd-a3238a78f6b2">
      <Terms xmlns="http://schemas.microsoft.com/office/infopath/2007/PartnerControls"/>
    </lcf76f155ced4ddcb4097134ff3c332f>
    <Confidential xmlns="d81c2681-db7b-4a56-9abd-a3238a78f6b2">true</Confidential>
    <Notes xmlns="d81c2681-db7b-4a56-9abd-a3238a78f6b2" xsi:nil="true"/>
    <TaxCatchAll xmlns="e8238601-ce47-4778-85d0-8b1d656496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2C1C4-3CEA-4CDD-88F6-1D3270E3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e86820-684a-4c77-a2e2-d773523b5b34"/>
    <ds:schemaRef ds:uri="263e80a3-83eb-403e-a237-b3125a65bc88"/>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5B68B-F500-48C3-91BF-96321F922F2A}">
  <ds:schemaRefs>
    <ds:schemaRef ds:uri="http://schemas.openxmlformats.org/officeDocument/2006/bibliography"/>
  </ds:schemaRefs>
</ds:datastoreItem>
</file>

<file path=customXml/itemProps3.xml><?xml version="1.0" encoding="utf-8"?>
<ds:datastoreItem xmlns:ds="http://schemas.openxmlformats.org/officeDocument/2006/customXml" ds:itemID="{6D82CD1E-789F-4DBF-BC27-4536D477BAEC}">
  <ds:schemaRefs>
    <ds:schemaRef ds:uri="http://schemas.microsoft.com/office/2006/metadata/properties"/>
    <ds:schemaRef ds:uri="http://schemas.microsoft.com/office/infopath/2007/PartnerControls"/>
    <ds:schemaRef ds:uri="http://schemas.microsoft.com/sharepoint/v3"/>
    <ds:schemaRef ds:uri="263e80a3-83eb-403e-a237-b3125a65bc88"/>
    <ds:schemaRef ds:uri="d81c2681-db7b-4a56-9abd-a3238a78f6b2"/>
    <ds:schemaRef ds:uri="e8238601-ce47-4778-85d0-8b1d6564965a"/>
  </ds:schemaRefs>
</ds:datastoreItem>
</file>

<file path=customXml/itemProps4.xml><?xml version="1.0" encoding="utf-8"?>
<ds:datastoreItem xmlns:ds="http://schemas.openxmlformats.org/officeDocument/2006/customXml" ds:itemID="{EDE1E244-4027-48FF-B2AB-0A5C6F5EF438}">
  <ds:schemaRefs>
    <ds:schemaRef ds:uri="http://schemas.microsoft.com/sharepoint/v3/contenttype/forms"/>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2079</TotalTime>
  <Pages>80</Pages>
  <Words>28209</Words>
  <Characters>164183</Characters>
  <Application>Microsoft Office Word</Application>
  <DocSecurity>0</DocSecurity>
  <Lines>2880</Lines>
  <Paragraphs>1299</Paragraphs>
  <ScaleCrop>false</ScaleCrop>
  <Company/>
  <LinksUpToDate>false</LinksUpToDate>
  <CharactersWithSpaces>191093</CharactersWithSpaces>
  <SharedDoc>false</SharedDoc>
  <HLinks>
    <vt:vector size="606" baseType="variant">
      <vt:variant>
        <vt:i4>1507415</vt:i4>
      </vt:variant>
      <vt:variant>
        <vt:i4>474</vt:i4>
      </vt:variant>
      <vt:variant>
        <vt:i4>0</vt:i4>
      </vt:variant>
      <vt:variant>
        <vt:i4>5</vt:i4>
      </vt:variant>
      <vt:variant>
        <vt:lpwstr>https://legislation.nsw.gov.au/view/html/inforce/current/act-1967-090</vt:lpwstr>
      </vt:variant>
      <vt:variant>
        <vt:lpwstr/>
      </vt:variant>
      <vt:variant>
        <vt:i4>1507415</vt:i4>
      </vt:variant>
      <vt:variant>
        <vt:i4>468</vt:i4>
      </vt:variant>
      <vt:variant>
        <vt:i4>0</vt:i4>
      </vt:variant>
      <vt:variant>
        <vt:i4>5</vt:i4>
      </vt:variant>
      <vt:variant>
        <vt:lpwstr>https://legislation.nsw.gov.au/view/html/inforce/current/act-1967-090</vt:lpwstr>
      </vt:variant>
      <vt:variant>
        <vt:lpwstr/>
      </vt:variant>
      <vt:variant>
        <vt:i4>1179734</vt:i4>
      </vt:variant>
      <vt:variant>
        <vt:i4>465</vt:i4>
      </vt:variant>
      <vt:variant>
        <vt:i4>0</vt:i4>
      </vt:variant>
      <vt:variant>
        <vt:i4>5</vt:i4>
      </vt:variant>
      <vt:variant>
        <vt:lpwstr>https://legislation.nsw.gov.au/view/html/inforce/current/act-1996-038</vt:lpwstr>
      </vt:variant>
      <vt:variant>
        <vt:lpwstr/>
      </vt:variant>
      <vt:variant>
        <vt:i4>1507415</vt:i4>
      </vt:variant>
      <vt:variant>
        <vt:i4>462</vt:i4>
      </vt:variant>
      <vt:variant>
        <vt:i4>0</vt:i4>
      </vt:variant>
      <vt:variant>
        <vt:i4>5</vt:i4>
      </vt:variant>
      <vt:variant>
        <vt:lpwstr>https://legislation.nsw.gov.au/view/html/inforce/current/act-1967-090</vt:lpwstr>
      </vt:variant>
      <vt:variant>
        <vt:lpwstr/>
      </vt:variant>
      <vt:variant>
        <vt:i4>1507415</vt:i4>
      </vt:variant>
      <vt:variant>
        <vt:i4>459</vt:i4>
      </vt:variant>
      <vt:variant>
        <vt:i4>0</vt:i4>
      </vt:variant>
      <vt:variant>
        <vt:i4>5</vt:i4>
      </vt:variant>
      <vt:variant>
        <vt:lpwstr>https://legislation.nsw.gov.au/view/html/inforce/current/act-1967-090</vt:lpwstr>
      </vt:variant>
      <vt:variant>
        <vt:lpwstr/>
      </vt:variant>
      <vt:variant>
        <vt:i4>1179734</vt:i4>
      </vt:variant>
      <vt:variant>
        <vt:i4>456</vt:i4>
      </vt:variant>
      <vt:variant>
        <vt:i4>0</vt:i4>
      </vt:variant>
      <vt:variant>
        <vt:i4>5</vt:i4>
      </vt:variant>
      <vt:variant>
        <vt:lpwstr>https://legislation.nsw.gov.au/view/html/inforce/current/act-1996-038</vt:lpwstr>
      </vt:variant>
      <vt:variant>
        <vt:lpwstr/>
      </vt:variant>
      <vt:variant>
        <vt:i4>1507415</vt:i4>
      </vt:variant>
      <vt:variant>
        <vt:i4>453</vt:i4>
      </vt:variant>
      <vt:variant>
        <vt:i4>0</vt:i4>
      </vt:variant>
      <vt:variant>
        <vt:i4>5</vt:i4>
      </vt:variant>
      <vt:variant>
        <vt:lpwstr>https://legislation.nsw.gov.au/view/html/inforce/current/act-1967-090</vt:lpwstr>
      </vt:variant>
      <vt:variant>
        <vt:lpwstr/>
      </vt:variant>
      <vt:variant>
        <vt:i4>1179734</vt:i4>
      </vt:variant>
      <vt:variant>
        <vt:i4>450</vt:i4>
      </vt:variant>
      <vt:variant>
        <vt:i4>0</vt:i4>
      </vt:variant>
      <vt:variant>
        <vt:i4>5</vt:i4>
      </vt:variant>
      <vt:variant>
        <vt:lpwstr>https://legislation.nsw.gov.au/view/html/inforce/current/act-1996-038</vt:lpwstr>
      </vt:variant>
      <vt:variant>
        <vt:lpwstr/>
      </vt:variant>
      <vt:variant>
        <vt:i4>1507415</vt:i4>
      </vt:variant>
      <vt:variant>
        <vt:i4>447</vt:i4>
      </vt:variant>
      <vt:variant>
        <vt:i4>0</vt:i4>
      </vt:variant>
      <vt:variant>
        <vt:i4>5</vt:i4>
      </vt:variant>
      <vt:variant>
        <vt:lpwstr>https://legislation.nsw.gov.au/view/html/inforce/current/act-1967-090</vt:lpwstr>
      </vt:variant>
      <vt:variant>
        <vt:lpwstr/>
      </vt:variant>
      <vt:variant>
        <vt:i4>1179734</vt:i4>
      </vt:variant>
      <vt:variant>
        <vt:i4>444</vt:i4>
      </vt:variant>
      <vt:variant>
        <vt:i4>0</vt:i4>
      </vt:variant>
      <vt:variant>
        <vt:i4>5</vt:i4>
      </vt:variant>
      <vt:variant>
        <vt:lpwstr>https://legislation.nsw.gov.au/view/html/inforce/current/act-1996-038</vt:lpwstr>
      </vt:variant>
      <vt:variant>
        <vt:lpwstr/>
      </vt:variant>
      <vt:variant>
        <vt:i4>1048661</vt:i4>
      </vt:variant>
      <vt:variant>
        <vt:i4>441</vt:i4>
      </vt:variant>
      <vt:variant>
        <vt:i4>0</vt:i4>
      </vt:variant>
      <vt:variant>
        <vt:i4>5</vt:i4>
      </vt:variant>
      <vt:variant>
        <vt:lpwstr>https://legislation.nsw.gov.au/view/html/inforce/current/act-1995-013</vt:lpwstr>
      </vt:variant>
      <vt:variant>
        <vt:lpwstr/>
      </vt:variant>
      <vt:variant>
        <vt:i4>6946865</vt:i4>
      </vt:variant>
      <vt:variant>
        <vt:i4>438</vt:i4>
      </vt:variant>
      <vt:variant>
        <vt:i4>0</vt:i4>
      </vt:variant>
      <vt:variant>
        <vt:i4>5</vt:i4>
      </vt:variant>
      <vt:variant>
        <vt:lpwstr>http://www.legislation.gov.au/</vt:lpwstr>
      </vt:variant>
      <vt:variant>
        <vt:lpwstr/>
      </vt:variant>
      <vt:variant>
        <vt:i4>1179686</vt:i4>
      </vt:variant>
      <vt:variant>
        <vt:i4>435</vt:i4>
      </vt:variant>
      <vt:variant>
        <vt:i4>0</vt:i4>
      </vt:variant>
      <vt:variant>
        <vt:i4>5</vt:i4>
      </vt:variant>
      <vt:variant>
        <vt:lpwstr>https://www.google.com/url?sa=i&amp;source=web&amp;rct=j&amp;url=https://www.worksafe.qld.gov.au/safety-and-prevention/hazards/hazardous-chemicals/specific-hazchem-risks/hazardous-chemicals-in-pipelines&amp;ved=2ahUKEwickKq47O2QAxWwTmwGHXEjDc4Qy_kOegQIARAB&amp;opi=89978449&amp;cd&amp;psig=AOvVaw0_Ddbyo4wD0rSdB1itinHM&amp;ust=1763079325083000</vt:lpwstr>
      </vt:variant>
      <vt:variant>
        <vt:lpwstr/>
      </vt:variant>
      <vt:variant>
        <vt:i4>1507415</vt:i4>
      </vt:variant>
      <vt:variant>
        <vt:i4>432</vt:i4>
      </vt:variant>
      <vt:variant>
        <vt:i4>0</vt:i4>
      </vt:variant>
      <vt:variant>
        <vt:i4>5</vt:i4>
      </vt:variant>
      <vt:variant>
        <vt:lpwstr>https://legislation.nsw.gov.au/view/html/inforce/current/act-1967-090</vt:lpwstr>
      </vt:variant>
      <vt:variant>
        <vt:lpwstr/>
      </vt:variant>
      <vt:variant>
        <vt:i4>1179734</vt:i4>
      </vt:variant>
      <vt:variant>
        <vt:i4>429</vt:i4>
      </vt:variant>
      <vt:variant>
        <vt:i4>0</vt:i4>
      </vt:variant>
      <vt:variant>
        <vt:i4>5</vt:i4>
      </vt:variant>
      <vt:variant>
        <vt:lpwstr>https://legislation.nsw.gov.au/view/html/inforce/current/act-1996-038</vt:lpwstr>
      </vt:variant>
      <vt:variant>
        <vt:lpwstr/>
      </vt:variant>
      <vt:variant>
        <vt:i4>1179729</vt:i4>
      </vt:variant>
      <vt:variant>
        <vt:i4>426</vt:i4>
      </vt:variant>
      <vt:variant>
        <vt:i4>0</vt:i4>
      </vt:variant>
      <vt:variant>
        <vt:i4>5</vt:i4>
      </vt:variant>
      <vt:variant>
        <vt:lpwstr>https://legislation.nsw.gov.au/view/html/inforce/current/act-2008-095</vt:lpwstr>
      </vt:variant>
      <vt:variant>
        <vt:lpwstr/>
      </vt:variant>
      <vt:variant>
        <vt:i4>1507415</vt:i4>
      </vt:variant>
      <vt:variant>
        <vt:i4>423</vt:i4>
      </vt:variant>
      <vt:variant>
        <vt:i4>0</vt:i4>
      </vt:variant>
      <vt:variant>
        <vt:i4>5</vt:i4>
      </vt:variant>
      <vt:variant>
        <vt:lpwstr>https://legislation.nsw.gov.au/view/html/inforce/current/act-1967-090</vt:lpwstr>
      </vt:variant>
      <vt:variant>
        <vt:lpwstr/>
      </vt:variant>
      <vt:variant>
        <vt:i4>1179730</vt:i4>
      </vt:variant>
      <vt:variant>
        <vt:i4>420</vt:i4>
      </vt:variant>
      <vt:variant>
        <vt:i4>0</vt:i4>
      </vt:variant>
      <vt:variant>
        <vt:i4>5</vt:i4>
      </vt:variant>
      <vt:variant>
        <vt:lpwstr>https://legislation.nsw.gov.au/view/html/inforce/current/act-1982-023</vt:lpwstr>
      </vt:variant>
      <vt:variant>
        <vt:lpwstr/>
      </vt:variant>
      <vt:variant>
        <vt:i4>1179734</vt:i4>
      </vt:variant>
      <vt:variant>
        <vt:i4>417</vt:i4>
      </vt:variant>
      <vt:variant>
        <vt:i4>0</vt:i4>
      </vt:variant>
      <vt:variant>
        <vt:i4>5</vt:i4>
      </vt:variant>
      <vt:variant>
        <vt:lpwstr>https://legislation.nsw.gov.au/view/html/inforce/current/act-1996-038</vt:lpwstr>
      </vt:variant>
      <vt:variant>
        <vt:lpwstr/>
      </vt:variant>
      <vt:variant>
        <vt:i4>5242951</vt:i4>
      </vt:variant>
      <vt:variant>
        <vt:i4>414</vt:i4>
      </vt:variant>
      <vt:variant>
        <vt:i4>0</vt:i4>
      </vt:variant>
      <vt:variant>
        <vt:i4>5</vt:i4>
      </vt:variant>
      <vt:variant>
        <vt:lpwstr>https://www.legislation.tas.gov.au/view/html/inforce/current/act-2010-016</vt:lpwstr>
      </vt:variant>
      <vt:variant>
        <vt:lpwstr/>
      </vt:variant>
      <vt:variant>
        <vt:i4>5308485</vt:i4>
      </vt:variant>
      <vt:variant>
        <vt:i4>411</vt:i4>
      </vt:variant>
      <vt:variant>
        <vt:i4>0</vt:i4>
      </vt:variant>
      <vt:variant>
        <vt:i4>5</vt:i4>
      </vt:variant>
      <vt:variant>
        <vt:lpwstr>https://www.legislation.tas.gov.au/view/html/inforce/current/act-2012-001</vt:lpwstr>
      </vt:variant>
      <vt:variant>
        <vt:lpwstr/>
      </vt:variant>
      <vt:variant>
        <vt:i4>5308494</vt:i4>
      </vt:variant>
      <vt:variant>
        <vt:i4>408</vt:i4>
      </vt:variant>
      <vt:variant>
        <vt:i4>0</vt:i4>
      </vt:variant>
      <vt:variant>
        <vt:i4>5</vt:i4>
      </vt:variant>
      <vt:variant>
        <vt:lpwstr>https://www.legislation.tas.gov.au/view/html/inforce/current/act-2019-001</vt:lpwstr>
      </vt:variant>
      <vt:variant>
        <vt:lpwstr/>
      </vt:variant>
      <vt:variant>
        <vt:i4>3997728</vt:i4>
      </vt:variant>
      <vt:variant>
        <vt:i4>405</vt:i4>
      </vt:variant>
      <vt:variant>
        <vt:i4>0</vt:i4>
      </vt:variant>
      <vt:variant>
        <vt:i4>5</vt:i4>
      </vt:variant>
      <vt:variant>
        <vt:lpwstr>https://www.legislation.qld.gov.au/link?version.series.id=898d0b1d-19a0-42c7-8f37-9b5418db7da0&amp;doc.id=sl-2011-0240&amp;date=2025-05-19&amp;type=sl</vt:lpwstr>
      </vt:variant>
      <vt:variant>
        <vt:lpwstr/>
      </vt:variant>
      <vt:variant>
        <vt:i4>3997728</vt:i4>
      </vt:variant>
      <vt:variant>
        <vt:i4>402</vt:i4>
      </vt:variant>
      <vt:variant>
        <vt:i4>0</vt:i4>
      </vt:variant>
      <vt:variant>
        <vt:i4>5</vt:i4>
      </vt:variant>
      <vt:variant>
        <vt:lpwstr>https://www.legislation.qld.gov.au/link?version.series.id=898d0b1d-19a0-42c7-8f37-9b5418db7da0&amp;doc.id=sl-2011-0240&amp;date=2025-05-19&amp;type=sl</vt:lpwstr>
      </vt:variant>
      <vt:variant>
        <vt:lpwstr/>
      </vt:variant>
      <vt:variant>
        <vt:i4>1179730</vt:i4>
      </vt:variant>
      <vt:variant>
        <vt:i4>399</vt:i4>
      </vt:variant>
      <vt:variant>
        <vt:i4>0</vt:i4>
      </vt:variant>
      <vt:variant>
        <vt:i4>5</vt:i4>
      </vt:variant>
      <vt:variant>
        <vt:lpwstr>https://legislation.nsw.gov.au/view/html/inforce/current/act-1982-023</vt:lpwstr>
      </vt:variant>
      <vt:variant>
        <vt:lpwstr/>
      </vt:variant>
      <vt:variant>
        <vt:i4>7602215</vt:i4>
      </vt:variant>
      <vt:variant>
        <vt:i4>396</vt:i4>
      </vt:variant>
      <vt:variant>
        <vt:i4>0</vt:i4>
      </vt:variant>
      <vt:variant>
        <vt:i4>5</vt:i4>
      </vt:variant>
      <vt:variant>
        <vt:lpwstr>https://aemo.local/pages/collections/procedures</vt:lpwstr>
      </vt:variant>
      <vt:variant>
        <vt:lpwstr/>
      </vt:variant>
      <vt:variant>
        <vt:i4>6750332</vt:i4>
      </vt:variant>
      <vt:variant>
        <vt:i4>393</vt:i4>
      </vt:variant>
      <vt:variant>
        <vt:i4>0</vt:i4>
      </vt:variant>
      <vt:variant>
        <vt:i4>5</vt:i4>
      </vt:variant>
      <vt:variant>
        <vt:lpwstr>https://www.aemc.gov.au/our-work/market-reviews-and-advice</vt:lpwstr>
      </vt:variant>
      <vt:variant>
        <vt:lpwstr/>
      </vt:variant>
      <vt:variant>
        <vt:i4>786439</vt:i4>
      </vt:variant>
      <vt:variant>
        <vt:i4>390</vt:i4>
      </vt:variant>
      <vt:variant>
        <vt:i4>0</vt:i4>
      </vt:variant>
      <vt:variant>
        <vt:i4>5</vt:i4>
      </vt:variant>
      <vt:variant>
        <vt:lpwstr>https://www.aemc.gov.au/legal/national-energy-objectives</vt:lpwstr>
      </vt:variant>
      <vt:variant>
        <vt:lpwstr/>
      </vt:variant>
      <vt:variant>
        <vt:i4>7340141</vt:i4>
      </vt:variant>
      <vt:variant>
        <vt:i4>387</vt:i4>
      </vt:variant>
      <vt:variant>
        <vt:i4>0</vt:i4>
      </vt:variant>
      <vt:variant>
        <vt:i4>5</vt:i4>
      </vt:variant>
      <vt:variant>
        <vt:lpwstr>https://www.aer.gov.au/retail-markets/retail-guidelines-reviews?f%5B0%5D=type%3Aaccc_aer_guideline</vt:lpwstr>
      </vt:variant>
      <vt:variant>
        <vt:lpwstr/>
      </vt:variant>
      <vt:variant>
        <vt:i4>1507378</vt:i4>
      </vt:variant>
      <vt:variant>
        <vt:i4>380</vt:i4>
      </vt:variant>
      <vt:variant>
        <vt:i4>0</vt:i4>
      </vt:variant>
      <vt:variant>
        <vt:i4>5</vt:i4>
      </vt:variant>
      <vt:variant>
        <vt:lpwstr/>
      </vt:variant>
      <vt:variant>
        <vt:lpwstr>_Toc222112312</vt:lpwstr>
      </vt:variant>
      <vt:variant>
        <vt:i4>1507378</vt:i4>
      </vt:variant>
      <vt:variant>
        <vt:i4>374</vt:i4>
      </vt:variant>
      <vt:variant>
        <vt:i4>0</vt:i4>
      </vt:variant>
      <vt:variant>
        <vt:i4>5</vt:i4>
      </vt:variant>
      <vt:variant>
        <vt:lpwstr/>
      </vt:variant>
      <vt:variant>
        <vt:lpwstr>_Toc222112311</vt:lpwstr>
      </vt:variant>
      <vt:variant>
        <vt:i4>1507378</vt:i4>
      </vt:variant>
      <vt:variant>
        <vt:i4>368</vt:i4>
      </vt:variant>
      <vt:variant>
        <vt:i4>0</vt:i4>
      </vt:variant>
      <vt:variant>
        <vt:i4>5</vt:i4>
      </vt:variant>
      <vt:variant>
        <vt:lpwstr/>
      </vt:variant>
      <vt:variant>
        <vt:lpwstr>_Toc222112310</vt:lpwstr>
      </vt:variant>
      <vt:variant>
        <vt:i4>1441842</vt:i4>
      </vt:variant>
      <vt:variant>
        <vt:i4>362</vt:i4>
      </vt:variant>
      <vt:variant>
        <vt:i4>0</vt:i4>
      </vt:variant>
      <vt:variant>
        <vt:i4>5</vt:i4>
      </vt:variant>
      <vt:variant>
        <vt:lpwstr/>
      </vt:variant>
      <vt:variant>
        <vt:lpwstr>_Toc222112309</vt:lpwstr>
      </vt:variant>
      <vt:variant>
        <vt:i4>1441842</vt:i4>
      </vt:variant>
      <vt:variant>
        <vt:i4>356</vt:i4>
      </vt:variant>
      <vt:variant>
        <vt:i4>0</vt:i4>
      </vt:variant>
      <vt:variant>
        <vt:i4>5</vt:i4>
      </vt:variant>
      <vt:variant>
        <vt:lpwstr/>
      </vt:variant>
      <vt:variant>
        <vt:lpwstr>_Toc222112308</vt:lpwstr>
      </vt:variant>
      <vt:variant>
        <vt:i4>1441842</vt:i4>
      </vt:variant>
      <vt:variant>
        <vt:i4>350</vt:i4>
      </vt:variant>
      <vt:variant>
        <vt:i4>0</vt:i4>
      </vt:variant>
      <vt:variant>
        <vt:i4>5</vt:i4>
      </vt:variant>
      <vt:variant>
        <vt:lpwstr/>
      </vt:variant>
      <vt:variant>
        <vt:lpwstr>_Toc222112307</vt:lpwstr>
      </vt:variant>
      <vt:variant>
        <vt:i4>1441842</vt:i4>
      </vt:variant>
      <vt:variant>
        <vt:i4>344</vt:i4>
      </vt:variant>
      <vt:variant>
        <vt:i4>0</vt:i4>
      </vt:variant>
      <vt:variant>
        <vt:i4>5</vt:i4>
      </vt:variant>
      <vt:variant>
        <vt:lpwstr/>
      </vt:variant>
      <vt:variant>
        <vt:lpwstr>_Toc222112306</vt:lpwstr>
      </vt:variant>
      <vt:variant>
        <vt:i4>1441842</vt:i4>
      </vt:variant>
      <vt:variant>
        <vt:i4>338</vt:i4>
      </vt:variant>
      <vt:variant>
        <vt:i4>0</vt:i4>
      </vt:variant>
      <vt:variant>
        <vt:i4>5</vt:i4>
      </vt:variant>
      <vt:variant>
        <vt:lpwstr/>
      </vt:variant>
      <vt:variant>
        <vt:lpwstr>_Toc222112305</vt:lpwstr>
      </vt:variant>
      <vt:variant>
        <vt:i4>1441842</vt:i4>
      </vt:variant>
      <vt:variant>
        <vt:i4>332</vt:i4>
      </vt:variant>
      <vt:variant>
        <vt:i4>0</vt:i4>
      </vt:variant>
      <vt:variant>
        <vt:i4>5</vt:i4>
      </vt:variant>
      <vt:variant>
        <vt:lpwstr/>
      </vt:variant>
      <vt:variant>
        <vt:lpwstr>_Toc222112304</vt:lpwstr>
      </vt:variant>
      <vt:variant>
        <vt:i4>1441842</vt:i4>
      </vt:variant>
      <vt:variant>
        <vt:i4>326</vt:i4>
      </vt:variant>
      <vt:variant>
        <vt:i4>0</vt:i4>
      </vt:variant>
      <vt:variant>
        <vt:i4>5</vt:i4>
      </vt:variant>
      <vt:variant>
        <vt:lpwstr/>
      </vt:variant>
      <vt:variant>
        <vt:lpwstr>_Toc222112303</vt:lpwstr>
      </vt:variant>
      <vt:variant>
        <vt:i4>1441842</vt:i4>
      </vt:variant>
      <vt:variant>
        <vt:i4>320</vt:i4>
      </vt:variant>
      <vt:variant>
        <vt:i4>0</vt:i4>
      </vt:variant>
      <vt:variant>
        <vt:i4>5</vt:i4>
      </vt:variant>
      <vt:variant>
        <vt:lpwstr/>
      </vt:variant>
      <vt:variant>
        <vt:lpwstr>_Toc222112302</vt:lpwstr>
      </vt:variant>
      <vt:variant>
        <vt:i4>1441842</vt:i4>
      </vt:variant>
      <vt:variant>
        <vt:i4>314</vt:i4>
      </vt:variant>
      <vt:variant>
        <vt:i4>0</vt:i4>
      </vt:variant>
      <vt:variant>
        <vt:i4>5</vt:i4>
      </vt:variant>
      <vt:variant>
        <vt:lpwstr/>
      </vt:variant>
      <vt:variant>
        <vt:lpwstr>_Toc222112301</vt:lpwstr>
      </vt:variant>
      <vt:variant>
        <vt:i4>1441842</vt:i4>
      </vt:variant>
      <vt:variant>
        <vt:i4>308</vt:i4>
      </vt:variant>
      <vt:variant>
        <vt:i4>0</vt:i4>
      </vt:variant>
      <vt:variant>
        <vt:i4>5</vt:i4>
      </vt:variant>
      <vt:variant>
        <vt:lpwstr/>
      </vt:variant>
      <vt:variant>
        <vt:lpwstr>_Toc222112300</vt:lpwstr>
      </vt:variant>
      <vt:variant>
        <vt:i4>2031667</vt:i4>
      </vt:variant>
      <vt:variant>
        <vt:i4>302</vt:i4>
      </vt:variant>
      <vt:variant>
        <vt:i4>0</vt:i4>
      </vt:variant>
      <vt:variant>
        <vt:i4>5</vt:i4>
      </vt:variant>
      <vt:variant>
        <vt:lpwstr/>
      </vt:variant>
      <vt:variant>
        <vt:lpwstr>_Toc222112299</vt:lpwstr>
      </vt:variant>
      <vt:variant>
        <vt:i4>2031667</vt:i4>
      </vt:variant>
      <vt:variant>
        <vt:i4>296</vt:i4>
      </vt:variant>
      <vt:variant>
        <vt:i4>0</vt:i4>
      </vt:variant>
      <vt:variant>
        <vt:i4>5</vt:i4>
      </vt:variant>
      <vt:variant>
        <vt:lpwstr/>
      </vt:variant>
      <vt:variant>
        <vt:lpwstr>_Toc222112298</vt:lpwstr>
      </vt:variant>
      <vt:variant>
        <vt:i4>2031667</vt:i4>
      </vt:variant>
      <vt:variant>
        <vt:i4>290</vt:i4>
      </vt:variant>
      <vt:variant>
        <vt:i4>0</vt:i4>
      </vt:variant>
      <vt:variant>
        <vt:i4>5</vt:i4>
      </vt:variant>
      <vt:variant>
        <vt:lpwstr/>
      </vt:variant>
      <vt:variant>
        <vt:lpwstr>_Toc222112297</vt:lpwstr>
      </vt:variant>
      <vt:variant>
        <vt:i4>2031667</vt:i4>
      </vt:variant>
      <vt:variant>
        <vt:i4>284</vt:i4>
      </vt:variant>
      <vt:variant>
        <vt:i4>0</vt:i4>
      </vt:variant>
      <vt:variant>
        <vt:i4>5</vt:i4>
      </vt:variant>
      <vt:variant>
        <vt:lpwstr/>
      </vt:variant>
      <vt:variant>
        <vt:lpwstr>_Toc222112296</vt:lpwstr>
      </vt:variant>
      <vt:variant>
        <vt:i4>2031667</vt:i4>
      </vt:variant>
      <vt:variant>
        <vt:i4>278</vt:i4>
      </vt:variant>
      <vt:variant>
        <vt:i4>0</vt:i4>
      </vt:variant>
      <vt:variant>
        <vt:i4>5</vt:i4>
      </vt:variant>
      <vt:variant>
        <vt:lpwstr/>
      </vt:variant>
      <vt:variant>
        <vt:lpwstr>_Toc222112295</vt:lpwstr>
      </vt:variant>
      <vt:variant>
        <vt:i4>2031667</vt:i4>
      </vt:variant>
      <vt:variant>
        <vt:i4>272</vt:i4>
      </vt:variant>
      <vt:variant>
        <vt:i4>0</vt:i4>
      </vt:variant>
      <vt:variant>
        <vt:i4>5</vt:i4>
      </vt:variant>
      <vt:variant>
        <vt:lpwstr/>
      </vt:variant>
      <vt:variant>
        <vt:lpwstr>_Toc222112294</vt:lpwstr>
      </vt:variant>
      <vt:variant>
        <vt:i4>2031667</vt:i4>
      </vt:variant>
      <vt:variant>
        <vt:i4>266</vt:i4>
      </vt:variant>
      <vt:variant>
        <vt:i4>0</vt:i4>
      </vt:variant>
      <vt:variant>
        <vt:i4>5</vt:i4>
      </vt:variant>
      <vt:variant>
        <vt:lpwstr/>
      </vt:variant>
      <vt:variant>
        <vt:lpwstr>_Toc222112293</vt:lpwstr>
      </vt:variant>
      <vt:variant>
        <vt:i4>2031667</vt:i4>
      </vt:variant>
      <vt:variant>
        <vt:i4>260</vt:i4>
      </vt:variant>
      <vt:variant>
        <vt:i4>0</vt:i4>
      </vt:variant>
      <vt:variant>
        <vt:i4>5</vt:i4>
      </vt:variant>
      <vt:variant>
        <vt:lpwstr/>
      </vt:variant>
      <vt:variant>
        <vt:lpwstr>_Toc222112292</vt:lpwstr>
      </vt:variant>
      <vt:variant>
        <vt:i4>2031667</vt:i4>
      </vt:variant>
      <vt:variant>
        <vt:i4>254</vt:i4>
      </vt:variant>
      <vt:variant>
        <vt:i4>0</vt:i4>
      </vt:variant>
      <vt:variant>
        <vt:i4>5</vt:i4>
      </vt:variant>
      <vt:variant>
        <vt:lpwstr/>
      </vt:variant>
      <vt:variant>
        <vt:lpwstr>_Toc222112291</vt:lpwstr>
      </vt:variant>
      <vt:variant>
        <vt:i4>2031667</vt:i4>
      </vt:variant>
      <vt:variant>
        <vt:i4>248</vt:i4>
      </vt:variant>
      <vt:variant>
        <vt:i4>0</vt:i4>
      </vt:variant>
      <vt:variant>
        <vt:i4>5</vt:i4>
      </vt:variant>
      <vt:variant>
        <vt:lpwstr/>
      </vt:variant>
      <vt:variant>
        <vt:lpwstr>_Toc222112290</vt:lpwstr>
      </vt:variant>
      <vt:variant>
        <vt:i4>1966131</vt:i4>
      </vt:variant>
      <vt:variant>
        <vt:i4>242</vt:i4>
      </vt:variant>
      <vt:variant>
        <vt:i4>0</vt:i4>
      </vt:variant>
      <vt:variant>
        <vt:i4>5</vt:i4>
      </vt:variant>
      <vt:variant>
        <vt:lpwstr/>
      </vt:variant>
      <vt:variant>
        <vt:lpwstr>_Toc222112289</vt:lpwstr>
      </vt:variant>
      <vt:variant>
        <vt:i4>1966131</vt:i4>
      </vt:variant>
      <vt:variant>
        <vt:i4>236</vt:i4>
      </vt:variant>
      <vt:variant>
        <vt:i4>0</vt:i4>
      </vt:variant>
      <vt:variant>
        <vt:i4>5</vt:i4>
      </vt:variant>
      <vt:variant>
        <vt:lpwstr/>
      </vt:variant>
      <vt:variant>
        <vt:lpwstr>_Toc222112288</vt:lpwstr>
      </vt:variant>
      <vt:variant>
        <vt:i4>1966131</vt:i4>
      </vt:variant>
      <vt:variant>
        <vt:i4>230</vt:i4>
      </vt:variant>
      <vt:variant>
        <vt:i4>0</vt:i4>
      </vt:variant>
      <vt:variant>
        <vt:i4>5</vt:i4>
      </vt:variant>
      <vt:variant>
        <vt:lpwstr/>
      </vt:variant>
      <vt:variant>
        <vt:lpwstr>_Toc222112287</vt:lpwstr>
      </vt:variant>
      <vt:variant>
        <vt:i4>1966131</vt:i4>
      </vt:variant>
      <vt:variant>
        <vt:i4>224</vt:i4>
      </vt:variant>
      <vt:variant>
        <vt:i4>0</vt:i4>
      </vt:variant>
      <vt:variant>
        <vt:i4>5</vt:i4>
      </vt:variant>
      <vt:variant>
        <vt:lpwstr/>
      </vt:variant>
      <vt:variant>
        <vt:lpwstr>_Toc222112286</vt:lpwstr>
      </vt:variant>
      <vt:variant>
        <vt:i4>1966131</vt:i4>
      </vt:variant>
      <vt:variant>
        <vt:i4>218</vt:i4>
      </vt:variant>
      <vt:variant>
        <vt:i4>0</vt:i4>
      </vt:variant>
      <vt:variant>
        <vt:i4>5</vt:i4>
      </vt:variant>
      <vt:variant>
        <vt:lpwstr/>
      </vt:variant>
      <vt:variant>
        <vt:lpwstr>_Toc222112285</vt:lpwstr>
      </vt:variant>
      <vt:variant>
        <vt:i4>1966131</vt:i4>
      </vt:variant>
      <vt:variant>
        <vt:i4>212</vt:i4>
      </vt:variant>
      <vt:variant>
        <vt:i4>0</vt:i4>
      </vt:variant>
      <vt:variant>
        <vt:i4>5</vt:i4>
      </vt:variant>
      <vt:variant>
        <vt:lpwstr/>
      </vt:variant>
      <vt:variant>
        <vt:lpwstr>_Toc222112284</vt:lpwstr>
      </vt:variant>
      <vt:variant>
        <vt:i4>1966131</vt:i4>
      </vt:variant>
      <vt:variant>
        <vt:i4>206</vt:i4>
      </vt:variant>
      <vt:variant>
        <vt:i4>0</vt:i4>
      </vt:variant>
      <vt:variant>
        <vt:i4>5</vt:i4>
      </vt:variant>
      <vt:variant>
        <vt:lpwstr/>
      </vt:variant>
      <vt:variant>
        <vt:lpwstr>_Toc222112283</vt:lpwstr>
      </vt:variant>
      <vt:variant>
        <vt:i4>1966131</vt:i4>
      </vt:variant>
      <vt:variant>
        <vt:i4>200</vt:i4>
      </vt:variant>
      <vt:variant>
        <vt:i4>0</vt:i4>
      </vt:variant>
      <vt:variant>
        <vt:i4>5</vt:i4>
      </vt:variant>
      <vt:variant>
        <vt:lpwstr/>
      </vt:variant>
      <vt:variant>
        <vt:lpwstr>_Toc222112282</vt:lpwstr>
      </vt:variant>
      <vt:variant>
        <vt:i4>1966131</vt:i4>
      </vt:variant>
      <vt:variant>
        <vt:i4>194</vt:i4>
      </vt:variant>
      <vt:variant>
        <vt:i4>0</vt:i4>
      </vt:variant>
      <vt:variant>
        <vt:i4>5</vt:i4>
      </vt:variant>
      <vt:variant>
        <vt:lpwstr/>
      </vt:variant>
      <vt:variant>
        <vt:lpwstr>_Toc222112281</vt:lpwstr>
      </vt:variant>
      <vt:variant>
        <vt:i4>1966131</vt:i4>
      </vt:variant>
      <vt:variant>
        <vt:i4>188</vt:i4>
      </vt:variant>
      <vt:variant>
        <vt:i4>0</vt:i4>
      </vt:variant>
      <vt:variant>
        <vt:i4>5</vt:i4>
      </vt:variant>
      <vt:variant>
        <vt:lpwstr/>
      </vt:variant>
      <vt:variant>
        <vt:lpwstr>_Toc222112280</vt:lpwstr>
      </vt:variant>
      <vt:variant>
        <vt:i4>1114163</vt:i4>
      </vt:variant>
      <vt:variant>
        <vt:i4>182</vt:i4>
      </vt:variant>
      <vt:variant>
        <vt:i4>0</vt:i4>
      </vt:variant>
      <vt:variant>
        <vt:i4>5</vt:i4>
      </vt:variant>
      <vt:variant>
        <vt:lpwstr/>
      </vt:variant>
      <vt:variant>
        <vt:lpwstr>_Toc222112279</vt:lpwstr>
      </vt:variant>
      <vt:variant>
        <vt:i4>1114163</vt:i4>
      </vt:variant>
      <vt:variant>
        <vt:i4>176</vt:i4>
      </vt:variant>
      <vt:variant>
        <vt:i4>0</vt:i4>
      </vt:variant>
      <vt:variant>
        <vt:i4>5</vt:i4>
      </vt:variant>
      <vt:variant>
        <vt:lpwstr/>
      </vt:variant>
      <vt:variant>
        <vt:lpwstr>_Toc222112278</vt:lpwstr>
      </vt:variant>
      <vt:variant>
        <vt:i4>1114163</vt:i4>
      </vt:variant>
      <vt:variant>
        <vt:i4>170</vt:i4>
      </vt:variant>
      <vt:variant>
        <vt:i4>0</vt:i4>
      </vt:variant>
      <vt:variant>
        <vt:i4>5</vt:i4>
      </vt:variant>
      <vt:variant>
        <vt:lpwstr/>
      </vt:variant>
      <vt:variant>
        <vt:lpwstr>_Toc222112277</vt:lpwstr>
      </vt:variant>
      <vt:variant>
        <vt:i4>1114163</vt:i4>
      </vt:variant>
      <vt:variant>
        <vt:i4>164</vt:i4>
      </vt:variant>
      <vt:variant>
        <vt:i4>0</vt:i4>
      </vt:variant>
      <vt:variant>
        <vt:i4>5</vt:i4>
      </vt:variant>
      <vt:variant>
        <vt:lpwstr/>
      </vt:variant>
      <vt:variant>
        <vt:lpwstr>_Toc222112276</vt:lpwstr>
      </vt:variant>
      <vt:variant>
        <vt:i4>1114163</vt:i4>
      </vt:variant>
      <vt:variant>
        <vt:i4>158</vt:i4>
      </vt:variant>
      <vt:variant>
        <vt:i4>0</vt:i4>
      </vt:variant>
      <vt:variant>
        <vt:i4>5</vt:i4>
      </vt:variant>
      <vt:variant>
        <vt:lpwstr/>
      </vt:variant>
      <vt:variant>
        <vt:lpwstr>_Toc222112275</vt:lpwstr>
      </vt:variant>
      <vt:variant>
        <vt:i4>1114163</vt:i4>
      </vt:variant>
      <vt:variant>
        <vt:i4>152</vt:i4>
      </vt:variant>
      <vt:variant>
        <vt:i4>0</vt:i4>
      </vt:variant>
      <vt:variant>
        <vt:i4>5</vt:i4>
      </vt:variant>
      <vt:variant>
        <vt:lpwstr/>
      </vt:variant>
      <vt:variant>
        <vt:lpwstr>_Toc222112273</vt:lpwstr>
      </vt:variant>
      <vt:variant>
        <vt:i4>1114163</vt:i4>
      </vt:variant>
      <vt:variant>
        <vt:i4>146</vt:i4>
      </vt:variant>
      <vt:variant>
        <vt:i4>0</vt:i4>
      </vt:variant>
      <vt:variant>
        <vt:i4>5</vt:i4>
      </vt:variant>
      <vt:variant>
        <vt:lpwstr/>
      </vt:variant>
      <vt:variant>
        <vt:lpwstr>_Toc222112272</vt:lpwstr>
      </vt:variant>
      <vt:variant>
        <vt:i4>1114163</vt:i4>
      </vt:variant>
      <vt:variant>
        <vt:i4>140</vt:i4>
      </vt:variant>
      <vt:variant>
        <vt:i4>0</vt:i4>
      </vt:variant>
      <vt:variant>
        <vt:i4>5</vt:i4>
      </vt:variant>
      <vt:variant>
        <vt:lpwstr/>
      </vt:variant>
      <vt:variant>
        <vt:lpwstr>_Toc222112271</vt:lpwstr>
      </vt:variant>
      <vt:variant>
        <vt:i4>1114163</vt:i4>
      </vt:variant>
      <vt:variant>
        <vt:i4>134</vt:i4>
      </vt:variant>
      <vt:variant>
        <vt:i4>0</vt:i4>
      </vt:variant>
      <vt:variant>
        <vt:i4>5</vt:i4>
      </vt:variant>
      <vt:variant>
        <vt:lpwstr/>
      </vt:variant>
      <vt:variant>
        <vt:lpwstr>_Toc222112270</vt:lpwstr>
      </vt:variant>
      <vt:variant>
        <vt:i4>1048627</vt:i4>
      </vt:variant>
      <vt:variant>
        <vt:i4>128</vt:i4>
      </vt:variant>
      <vt:variant>
        <vt:i4>0</vt:i4>
      </vt:variant>
      <vt:variant>
        <vt:i4>5</vt:i4>
      </vt:variant>
      <vt:variant>
        <vt:lpwstr/>
      </vt:variant>
      <vt:variant>
        <vt:lpwstr>_Toc222112269</vt:lpwstr>
      </vt:variant>
      <vt:variant>
        <vt:i4>1048627</vt:i4>
      </vt:variant>
      <vt:variant>
        <vt:i4>122</vt:i4>
      </vt:variant>
      <vt:variant>
        <vt:i4>0</vt:i4>
      </vt:variant>
      <vt:variant>
        <vt:i4>5</vt:i4>
      </vt:variant>
      <vt:variant>
        <vt:lpwstr/>
      </vt:variant>
      <vt:variant>
        <vt:lpwstr>_Toc222112268</vt:lpwstr>
      </vt:variant>
      <vt:variant>
        <vt:i4>1048627</vt:i4>
      </vt:variant>
      <vt:variant>
        <vt:i4>116</vt:i4>
      </vt:variant>
      <vt:variant>
        <vt:i4>0</vt:i4>
      </vt:variant>
      <vt:variant>
        <vt:i4>5</vt:i4>
      </vt:variant>
      <vt:variant>
        <vt:lpwstr/>
      </vt:variant>
      <vt:variant>
        <vt:lpwstr>_Toc222112264</vt:lpwstr>
      </vt:variant>
      <vt:variant>
        <vt:i4>1245235</vt:i4>
      </vt:variant>
      <vt:variant>
        <vt:i4>110</vt:i4>
      </vt:variant>
      <vt:variant>
        <vt:i4>0</vt:i4>
      </vt:variant>
      <vt:variant>
        <vt:i4>5</vt:i4>
      </vt:variant>
      <vt:variant>
        <vt:lpwstr/>
      </vt:variant>
      <vt:variant>
        <vt:lpwstr>_Toc222112259</vt:lpwstr>
      </vt:variant>
      <vt:variant>
        <vt:i4>1245235</vt:i4>
      </vt:variant>
      <vt:variant>
        <vt:i4>104</vt:i4>
      </vt:variant>
      <vt:variant>
        <vt:i4>0</vt:i4>
      </vt:variant>
      <vt:variant>
        <vt:i4>5</vt:i4>
      </vt:variant>
      <vt:variant>
        <vt:lpwstr/>
      </vt:variant>
      <vt:variant>
        <vt:lpwstr>_Toc222112258</vt:lpwstr>
      </vt:variant>
      <vt:variant>
        <vt:i4>1245235</vt:i4>
      </vt:variant>
      <vt:variant>
        <vt:i4>98</vt:i4>
      </vt:variant>
      <vt:variant>
        <vt:i4>0</vt:i4>
      </vt:variant>
      <vt:variant>
        <vt:i4>5</vt:i4>
      </vt:variant>
      <vt:variant>
        <vt:lpwstr/>
      </vt:variant>
      <vt:variant>
        <vt:lpwstr>_Toc222112257</vt:lpwstr>
      </vt:variant>
      <vt:variant>
        <vt:i4>1245235</vt:i4>
      </vt:variant>
      <vt:variant>
        <vt:i4>92</vt:i4>
      </vt:variant>
      <vt:variant>
        <vt:i4>0</vt:i4>
      </vt:variant>
      <vt:variant>
        <vt:i4>5</vt:i4>
      </vt:variant>
      <vt:variant>
        <vt:lpwstr/>
      </vt:variant>
      <vt:variant>
        <vt:lpwstr>_Toc222112256</vt:lpwstr>
      </vt:variant>
      <vt:variant>
        <vt:i4>1245235</vt:i4>
      </vt:variant>
      <vt:variant>
        <vt:i4>86</vt:i4>
      </vt:variant>
      <vt:variant>
        <vt:i4>0</vt:i4>
      </vt:variant>
      <vt:variant>
        <vt:i4>5</vt:i4>
      </vt:variant>
      <vt:variant>
        <vt:lpwstr/>
      </vt:variant>
      <vt:variant>
        <vt:lpwstr>_Toc222112255</vt:lpwstr>
      </vt:variant>
      <vt:variant>
        <vt:i4>1245235</vt:i4>
      </vt:variant>
      <vt:variant>
        <vt:i4>80</vt:i4>
      </vt:variant>
      <vt:variant>
        <vt:i4>0</vt:i4>
      </vt:variant>
      <vt:variant>
        <vt:i4>5</vt:i4>
      </vt:variant>
      <vt:variant>
        <vt:lpwstr/>
      </vt:variant>
      <vt:variant>
        <vt:lpwstr>_Toc222112253</vt:lpwstr>
      </vt:variant>
      <vt:variant>
        <vt:i4>1245235</vt:i4>
      </vt:variant>
      <vt:variant>
        <vt:i4>74</vt:i4>
      </vt:variant>
      <vt:variant>
        <vt:i4>0</vt:i4>
      </vt:variant>
      <vt:variant>
        <vt:i4>5</vt:i4>
      </vt:variant>
      <vt:variant>
        <vt:lpwstr/>
      </vt:variant>
      <vt:variant>
        <vt:lpwstr>_Toc222112252</vt:lpwstr>
      </vt:variant>
      <vt:variant>
        <vt:i4>1245235</vt:i4>
      </vt:variant>
      <vt:variant>
        <vt:i4>68</vt:i4>
      </vt:variant>
      <vt:variant>
        <vt:i4>0</vt:i4>
      </vt:variant>
      <vt:variant>
        <vt:i4>5</vt:i4>
      </vt:variant>
      <vt:variant>
        <vt:lpwstr/>
      </vt:variant>
      <vt:variant>
        <vt:lpwstr>_Toc222112251</vt:lpwstr>
      </vt:variant>
      <vt:variant>
        <vt:i4>1245235</vt:i4>
      </vt:variant>
      <vt:variant>
        <vt:i4>62</vt:i4>
      </vt:variant>
      <vt:variant>
        <vt:i4>0</vt:i4>
      </vt:variant>
      <vt:variant>
        <vt:i4>5</vt:i4>
      </vt:variant>
      <vt:variant>
        <vt:lpwstr/>
      </vt:variant>
      <vt:variant>
        <vt:lpwstr>_Toc222112250</vt:lpwstr>
      </vt:variant>
      <vt:variant>
        <vt:i4>1179699</vt:i4>
      </vt:variant>
      <vt:variant>
        <vt:i4>56</vt:i4>
      </vt:variant>
      <vt:variant>
        <vt:i4>0</vt:i4>
      </vt:variant>
      <vt:variant>
        <vt:i4>5</vt:i4>
      </vt:variant>
      <vt:variant>
        <vt:lpwstr/>
      </vt:variant>
      <vt:variant>
        <vt:lpwstr>_Toc222112249</vt:lpwstr>
      </vt:variant>
      <vt:variant>
        <vt:i4>1179699</vt:i4>
      </vt:variant>
      <vt:variant>
        <vt:i4>50</vt:i4>
      </vt:variant>
      <vt:variant>
        <vt:i4>0</vt:i4>
      </vt:variant>
      <vt:variant>
        <vt:i4>5</vt:i4>
      </vt:variant>
      <vt:variant>
        <vt:lpwstr/>
      </vt:variant>
      <vt:variant>
        <vt:lpwstr>_Toc222112248</vt:lpwstr>
      </vt:variant>
      <vt:variant>
        <vt:i4>1179699</vt:i4>
      </vt:variant>
      <vt:variant>
        <vt:i4>44</vt:i4>
      </vt:variant>
      <vt:variant>
        <vt:i4>0</vt:i4>
      </vt:variant>
      <vt:variant>
        <vt:i4>5</vt:i4>
      </vt:variant>
      <vt:variant>
        <vt:lpwstr/>
      </vt:variant>
      <vt:variant>
        <vt:lpwstr>_Toc222112247</vt:lpwstr>
      </vt:variant>
      <vt:variant>
        <vt:i4>1179699</vt:i4>
      </vt:variant>
      <vt:variant>
        <vt:i4>38</vt:i4>
      </vt:variant>
      <vt:variant>
        <vt:i4>0</vt:i4>
      </vt:variant>
      <vt:variant>
        <vt:i4>5</vt:i4>
      </vt:variant>
      <vt:variant>
        <vt:lpwstr/>
      </vt:variant>
      <vt:variant>
        <vt:lpwstr>_Toc222112246</vt:lpwstr>
      </vt:variant>
      <vt:variant>
        <vt:i4>1179699</vt:i4>
      </vt:variant>
      <vt:variant>
        <vt:i4>32</vt:i4>
      </vt:variant>
      <vt:variant>
        <vt:i4>0</vt:i4>
      </vt:variant>
      <vt:variant>
        <vt:i4>5</vt:i4>
      </vt:variant>
      <vt:variant>
        <vt:lpwstr/>
      </vt:variant>
      <vt:variant>
        <vt:lpwstr>_Toc222112245</vt:lpwstr>
      </vt:variant>
      <vt:variant>
        <vt:i4>1179699</vt:i4>
      </vt:variant>
      <vt:variant>
        <vt:i4>26</vt:i4>
      </vt:variant>
      <vt:variant>
        <vt:i4>0</vt:i4>
      </vt:variant>
      <vt:variant>
        <vt:i4>5</vt:i4>
      </vt:variant>
      <vt:variant>
        <vt:lpwstr/>
      </vt:variant>
      <vt:variant>
        <vt:lpwstr>_Toc222112244</vt:lpwstr>
      </vt:variant>
      <vt:variant>
        <vt:i4>1179699</vt:i4>
      </vt:variant>
      <vt:variant>
        <vt:i4>20</vt:i4>
      </vt:variant>
      <vt:variant>
        <vt:i4>0</vt:i4>
      </vt:variant>
      <vt:variant>
        <vt:i4>5</vt:i4>
      </vt:variant>
      <vt:variant>
        <vt:lpwstr/>
      </vt:variant>
      <vt:variant>
        <vt:lpwstr>_Toc222112243</vt:lpwstr>
      </vt:variant>
      <vt:variant>
        <vt:i4>1179699</vt:i4>
      </vt:variant>
      <vt:variant>
        <vt:i4>14</vt:i4>
      </vt:variant>
      <vt:variant>
        <vt:i4>0</vt:i4>
      </vt:variant>
      <vt:variant>
        <vt:i4>5</vt:i4>
      </vt:variant>
      <vt:variant>
        <vt:lpwstr/>
      </vt:variant>
      <vt:variant>
        <vt:lpwstr>_Toc222112242</vt:lpwstr>
      </vt:variant>
      <vt:variant>
        <vt:i4>1179699</vt:i4>
      </vt:variant>
      <vt:variant>
        <vt:i4>8</vt:i4>
      </vt:variant>
      <vt:variant>
        <vt:i4>0</vt:i4>
      </vt:variant>
      <vt:variant>
        <vt:i4>5</vt:i4>
      </vt:variant>
      <vt:variant>
        <vt:lpwstr/>
      </vt:variant>
      <vt:variant>
        <vt:lpwstr>_Toc222112241</vt:lpwstr>
      </vt:variant>
      <vt:variant>
        <vt:i4>1179699</vt:i4>
      </vt:variant>
      <vt:variant>
        <vt:i4>2</vt:i4>
      </vt:variant>
      <vt:variant>
        <vt:i4>0</vt:i4>
      </vt:variant>
      <vt:variant>
        <vt:i4>5</vt:i4>
      </vt:variant>
      <vt:variant>
        <vt:lpwstr/>
      </vt:variant>
      <vt:variant>
        <vt:lpwstr>_Toc222112240</vt:lpwstr>
      </vt:variant>
      <vt:variant>
        <vt:i4>3997725</vt:i4>
      </vt:variant>
      <vt:variant>
        <vt:i4>3</vt:i4>
      </vt:variant>
      <vt:variant>
        <vt:i4>0</vt:i4>
      </vt:variant>
      <vt:variant>
        <vt:i4>5</vt:i4>
      </vt:variant>
      <vt:variant>
        <vt:lpwstr>https://www.energy.nsw.gov.au/sites/default/files/2023-12/NSW_hydrogen_regulatory_guide_OECC_2023.pdf</vt:lpwstr>
      </vt:variant>
      <vt:variant>
        <vt:lpwstr/>
      </vt:variant>
      <vt:variant>
        <vt:i4>4390918</vt:i4>
      </vt:variant>
      <vt:variant>
        <vt:i4>0</vt:i4>
      </vt:variant>
      <vt:variant>
        <vt:i4>0</vt:i4>
      </vt:variant>
      <vt:variant>
        <vt:i4>5</vt:i4>
      </vt:variant>
      <vt:variant>
        <vt:lpwstr>https://www.erawa.com.au/licensing/gas-licensing</vt:lpwstr>
      </vt:variant>
      <vt:variant>
        <vt:lpwstr/>
      </vt:variant>
      <vt:variant>
        <vt:i4>65635</vt:i4>
      </vt:variant>
      <vt:variant>
        <vt:i4>15</vt:i4>
      </vt:variant>
      <vt:variant>
        <vt:i4>0</vt:i4>
      </vt:variant>
      <vt:variant>
        <vt:i4>5</vt:i4>
      </vt:variant>
      <vt:variant>
        <vt:lpwstr>mailto:Tracy.Rose@detsi.qld.gov.au</vt:lpwstr>
      </vt:variant>
      <vt:variant>
        <vt:lpwstr/>
      </vt:variant>
      <vt:variant>
        <vt:i4>7340101</vt:i4>
      </vt:variant>
      <vt:variant>
        <vt:i4>12</vt:i4>
      </vt:variant>
      <vt:variant>
        <vt:i4>0</vt:i4>
      </vt:variant>
      <vt:variant>
        <vt:i4>5</vt:i4>
      </vt:variant>
      <vt:variant>
        <vt:lpwstr>mailto:Logan.PRESTON@dcceew.gov.au</vt:lpwstr>
      </vt:variant>
      <vt:variant>
        <vt:lpwstr/>
      </vt:variant>
      <vt:variant>
        <vt:i4>7340101</vt:i4>
      </vt:variant>
      <vt:variant>
        <vt:i4>9</vt:i4>
      </vt:variant>
      <vt:variant>
        <vt:i4>0</vt:i4>
      </vt:variant>
      <vt:variant>
        <vt:i4>5</vt:i4>
      </vt:variant>
      <vt:variant>
        <vt:lpwstr>mailto:Logan.PRESTON@dcceew.gov.au</vt:lpwstr>
      </vt:variant>
      <vt:variant>
        <vt:lpwstr/>
      </vt:variant>
      <vt:variant>
        <vt:i4>7340101</vt:i4>
      </vt:variant>
      <vt:variant>
        <vt:i4>6</vt:i4>
      </vt:variant>
      <vt:variant>
        <vt:i4>0</vt:i4>
      </vt:variant>
      <vt:variant>
        <vt:i4>5</vt:i4>
      </vt:variant>
      <vt:variant>
        <vt:lpwstr>mailto:Logan.PRESTON@dcceew.gov.au</vt:lpwstr>
      </vt:variant>
      <vt:variant>
        <vt:lpwstr/>
      </vt:variant>
      <vt:variant>
        <vt:i4>3080279</vt:i4>
      </vt:variant>
      <vt:variant>
        <vt:i4>3</vt:i4>
      </vt:variant>
      <vt:variant>
        <vt:i4>0</vt:i4>
      </vt:variant>
      <vt:variant>
        <vt:i4>5</vt:i4>
      </vt:variant>
      <vt:variant>
        <vt:lpwstr>mailto:Jean-Paul.Baumgartner@dcceew.gov.au</vt:lpwstr>
      </vt:variant>
      <vt:variant>
        <vt:lpwstr/>
      </vt:variant>
      <vt:variant>
        <vt:i4>3080279</vt:i4>
      </vt:variant>
      <vt:variant>
        <vt:i4>0</vt:i4>
      </vt:variant>
      <vt:variant>
        <vt:i4>0</vt:i4>
      </vt:variant>
      <vt:variant>
        <vt:i4>5</vt:i4>
      </vt:variant>
      <vt:variant>
        <vt:lpwstr>mailto:Jean-Paul.Baumgartner@dcceew.gov.au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HUBBARD</dc:creator>
  <cp:keywords/>
  <dc:description/>
  <cp:lastModifiedBy>Claire HUBBARD</cp:lastModifiedBy>
  <cp:revision>1348</cp:revision>
  <cp:lastPrinted>2026-02-25T04:31:00Z</cp:lastPrinted>
  <dcterms:created xsi:type="dcterms:W3CDTF">2025-11-30T00:25:00Z</dcterms:created>
  <dcterms:modified xsi:type="dcterms:W3CDTF">2026-02-25T04:31:00Z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7c66643f,221b5699,218c9e75</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36b715bb,3054c1ed,18cb286b</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ContentTypeId">
    <vt:lpwstr>0x010100D001B2BE74D025469E1D0E28F10DD2C8</vt:lpwstr>
  </property>
  <property fmtid="{D5CDD505-2E9C-101B-9397-08002B2CF9AE}" pid="9" name="MediaServiceImageTags">
    <vt:lpwstr/>
  </property>
  <property fmtid="{D5CDD505-2E9C-101B-9397-08002B2CF9AE}" pid="10" name="Record_x0020_Classification">
    <vt:lpwstr/>
  </property>
  <property fmtid="{D5CDD505-2E9C-101B-9397-08002B2CF9AE}" pid="11" name="h64465b6520a47a58f1168c7a3f04764">
    <vt:lpwstr/>
  </property>
  <property fmtid="{D5CDD505-2E9C-101B-9397-08002B2CF9AE}" pid="12" name="Record Classification">
    <vt:lpwstr/>
  </property>
</Properties>
</file>