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86963288"/>
        <w:docPartObj>
          <w:docPartGallery w:val="Cover Pages"/>
          <w:docPartUnique/>
        </w:docPartObj>
      </w:sdtPr>
      <w:sdtContent>
        <w:p w14:paraId="0A2E61DA" w14:textId="3BDB31BF" w:rsidR="007B27EE" w:rsidRPr="007B27EE" w:rsidRDefault="007B27EE" w:rsidP="007B27EE">
          <w:pPr>
            <w:rPr>
              <w:color w:val="4000A6"/>
            </w:rPr>
          </w:pPr>
          <w:r w:rsidRPr="004E7A25">
            <w:rPr>
              <w:b/>
              <w:noProof/>
            </w:rPr>
            <w:drawing>
              <wp:anchor distT="0" distB="0" distL="114300" distR="114300" simplePos="0" relativeHeight="251658240" behindDoc="1" locked="0" layoutInCell="1" allowOverlap="1" wp14:anchorId="631035AA" wp14:editId="0252BCC5">
                <wp:simplePos x="0" y="0"/>
                <wp:positionH relativeFrom="column">
                  <wp:posOffset>44450</wp:posOffset>
                </wp:positionH>
                <wp:positionV relativeFrom="paragraph">
                  <wp:posOffset>0</wp:posOffset>
                </wp:positionV>
                <wp:extent cx="950400" cy="936000"/>
                <wp:effectExtent l="0" t="0" r="2540" b="0"/>
                <wp:wrapTight wrapText="bothSides">
                  <wp:wrapPolygon edited="0">
                    <wp:start x="0" y="0"/>
                    <wp:lineTo x="0" y="21102"/>
                    <wp:lineTo x="21225" y="21102"/>
                    <wp:lineTo x="21225" y="0"/>
                    <wp:lineTo x="0" y="0"/>
                  </wp:wrapPolygon>
                </wp:wrapTight>
                <wp:docPr id="3" name="Picture 3" descr="tasmania_mono-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asmania_mono-logo"/>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0400" cy="93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7EC77FC" w14:textId="77777777" w:rsidR="007B27EE" w:rsidRDefault="007B27EE" w:rsidP="007B27EE">
          <w:pPr>
            <w:rPr>
              <w:color w:val="4000A6"/>
            </w:rPr>
          </w:pPr>
          <w:r w:rsidRPr="007B27EE">
            <w:rPr>
              <w:color w:val="4000A6"/>
            </w:rPr>
            <w:t>Tasmanian Marine Resources</w:t>
          </w:r>
        </w:p>
        <w:p w14:paraId="09DF46B3" w14:textId="5983FF78" w:rsidR="00E85A10" w:rsidRDefault="007B27EE" w:rsidP="007B27EE">
          <w:r w:rsidRPr="007B27EE">
            <w:rPr>
              <w:color w:val="4000A6"/>
            </w:rPr>
            <w:t>Department of Natural Resources and Environment Tasmania</w:t>
          </w:r>
        </w:p>
        <w:p w14:paraId="260E598A" w14:textId="77777777" w:rsidR="00823E26" w:rsidRDefault="00823E26" w:rsidP="00823E26"/>
        <w:p w14:paraId="4D387299" w14:textId="77777777" w:rsidR="00823E26" w:rsidRDefault="00823E26" w:rsidP="00823E26"/>
        <w:p w14:paraId="23BFBB49" w14:textId="77777777" w:rsidR="00823E26" w:rsidRDefault="00823E26" w:rsidP="00823E26"/>
        <w:p w14:paraId="1B90AFE9" w14:textId="77777777" w:rsidR="00823E26" w:rsidRDefault="00823E26" w:rsidP="00823E26"/>
        <w:p w14:paraId="15FFA885" w14:textId="77777777" w:rsidR="00823E26" w:rsidRDefault="00823E26" w:rsidP="00823E26"/>
        <w:p w14:paraId="2BEAD432" w14:textId="77777777" w:rsidR="00823E26" w:rsidRDefault="00823E26" w:rsidP="00823E26"/>
        <w:p w14:paraId="15D73B92" w14:textId="52198495" w:rsidR="00823E26" w:rsidRPr="00FC0FCF" w:rsidRDefault="00823E26" w:rsidP="007C1411">
          <w:pPr>
            <w:pStyle w:val="Title"/>
            <w:jc w:val="center"/>
            <w:rPr>
              <w:b/>
              <w:bCs/>
            </w:rPr>
          </w:pPr>
          <w:r w:rsidRPr="00FC0FCF">
            <w:rPr>
              <w:b/>
              <w:bCs/>
            </w:rPr>
            <w:t xml:space="preserve">Application for assessment of the </w:t>
          </w:r>
          <w:r w:rsidR="007B27EE">
            <w:rPr>
              <w:b/>
              <w:bCs/>
              <w:color w:val="4000A6"/>
            </w:rPr>
            <w:t xml:space="preserve">Tasmanian </w:t>
          </w:r>
          <w:r w:rsidR="00BE7A17">
            <w:rPr>
              <w:b/>
              <w:bCs/>
              <w:color w:val="4000A6"/>
            </w:rPr>
            <w:t>Abalone</w:t>
          </w:r>
          <w:r w:rsidR="007B27EE">
            <w:rPr>
              <w:b/>
              <w:bCs/>
              <w:color w:val="4000A6"/>
            </w:rPr>
            <w:t xml:space="preserve"> Fishery</w:t>
          </w:r>
          <w:r w:rsidRPr="0042395D">
            <w:rPr>
              <w:b/>
              <w:bCs/>
            </w:rPr>
            <w:t xml:space="preserve"> </w:t>
          </w:r>
          <w:r w:rsidRPr="00FC0FCF">
            <w:rPr>
              <w:b/>
              <w:bCs/>
            </w:rPr>
            <w:t xml:space="preserve">for approval under the </w:t>
          </w:r>
          <w:r w:rsidRPr="00FC0FCF">
            <w:rPr>
              <w:b/>
              <w:bCs/>
              <w:i/>
              <w:iCs/>
            </w:rPr>
            <w:t>Environment Protection and Biodiversity Conservation Act 1999</w:t>
          </w:r>
        </w:p>
        <w:p w14:paraId="07AE194E" w14:textId="3D42ED17" w:rsidR="00BF3199" w:rsidRPr="00835B61" w:rsidRDefault="00000000" w:rsidP="00A91A12">
          <w:pPr>
            <w:spacing w:before="120" w:after="0"/>
          </w:pPr>
        </w:p>
      </w:sdtContent>
    </w:sdt>
    <w:sdt>
      <w:sdtPr>
        <w:rPr>
          <w:rFonts w:asciiTheme="minorHAnsi" w:eastAsiaTheme="minorHAnsi" w:hAnsiTheme="minorHAnsi" w:cstheme="minorBidi"/>
          <w:b w:val="0"/>
          <w:color w:val="auto"/>
          <w:sz w:val="22"/>
          <w:szCs w:val="22"/>
          <w:lang w:val="en-AU"/>
        </w:rPr>
        <w:id w:val="-1265219993"/>
        <w:docPartObj>
          <w:docPartGallery w:val="Table of Contents"/>
          <w:docPartUnique/>
        </w:docPartObj>
      </w:sdtPr>
      <w:sdtEndPr>
        <w:rPr>
          <w:bCs/>
          <w:noProof/>
          <w:sz w:val="2"/>
          <w:szCs w:val="2"/>
        </w:rPr>
      </w:sdtEndPr>
      <w:sdtContent>
        <w:p w14:paraId="34FCDB71" w14:textId="77777777" w:rsidR="004E3085" w:rsidRDefault="004E3085" w:rsidP="004E3085">
          <w:pPr>
            <w:pStyle w:val="TOCHeading"/>
            <w:spacing w:before="0"/>
            <w:rPr>
              <w:rFonts w:asciiTheme="minorHAnsi" w:eastAsiaTheme="minorHAnsi" w:hAnsiTheme="minorHAnsi" w:cstheme="minorBidi"/>
              <w:b w:val="0"/>
              <w:color w:val="auto"/>
              <w:sz w:val="22"/>
              <w:szCs w:val="22"/>
              <w:lang w:val="en-AU"/>
            </w:rPr>
          </w:pPr>
          <w:r>
            <w:rPr>
              <w:rFonts w:asciiTheme="minorHAnsi" w:eastAsiaTheme="minorHAnsi" w:hAnsiTheme="minorHAnsi" w:cstheme="minorBidi"/>
              <w:b w:val="0"/>
              <w:color w:val="auto"/>
              <w:sz w:val="22"/>
              <w:szCs w:val="22"/>
              <w:lang w:val="en-AU"/>
            </w:rPr>
            <w:br w:type="page"/>
          </w:r>
        </w:p>
        <w:p w14:paraId="6F1D23D6" w14:textId="7C6B21CE" w:rsidR="000E77BE" w:rsidRDefault="000E77BE" w:rsidP="004E3085">
          <w:pPr>
            <w:pStyle w:val="TOCHeading"/>
            <w:spacing w:before="0"/>
          </w:pPr>
          <w:r>
            <w:lastRenderedPageBreak/>
            <w:t>Contents</w:t>
          </w:r>
        </w:p>
        <w:p w14:paraId="56F48E7F" w14:textId="5555A84E" w:rsidR="0094772D" w:rsidRDefault="006571DA">
          <w:pPr>
            <w:pStyle w:val="TOC1"/>
            <w:rPr>
              <w:rFonts w:eastAsiaTheme="minorEastAsia" w:cstheme="minorBidi"/>
              <w:b w:val="0"/>
              <w:bCs w:val="0"/>
              <w:caps w:val="0"/>
              <w:noProof/>
              <w:kern w:val="2"/>
              <w:sz w:val="24"/>
              <w:lang w:eastAsia="en-AU"/>
              <w14:ligatures w14:val="standardContextual"/>
            </w:rPr>
          </w:pPr>
          <w:r>
            <w:rPr>
              <w:i/>
              <w:iCs/>
              <w:sz w:val="24"/>
              <w:szCs w:val="28"/>
            </w:rPr>
            <w:fldChar w:fldCharType="begin"/>
          </w:r>
          <w:r>
            <w:rPr>
              <w:i/>
              <w:iCs/>
              <w:sz w:val="24"/>
              <w:szCs w:val="28"/>
            </w:rPr>
            <w:instrText xml:space="preserve"> TOC \o "1-3" \h \z \u </w:instrText>
          </w:r>
          <w:r>
            <w:rPr>
              <w:i/>
              <w:iCs/>
              <w:sz w:val="24"/>
              <w:szCs w:val="28"/>
            </w:rPr>
            <w:fldChar w:fldCharType="separate"/>
          </w:r>
          <w:hyperlink w:anchor="_Toc203488068" w:history="1">
            <w:r w:rsidR="0094772D" w:rsidRPr="00B60E1B">
              <w:rPr>
                <w:rStyle w:val="Hyperlink"/>
                <w:noProof/>
              </w:rPr>
              <w:t>Introduction</w:t>
            </w:r>
            <w:r w:rsidR="0094772D">
              <w:rPr>
                <w:noProof/>
                <w:webHidden/>
              </w:rPr>
              <w:tab/>
            </w:r>
            <w:r w:rsidR="0094772D">
              <w:rPr>
                <w:noProof/>
                <w:webHidden/>
              </w:rPr>
              <w:fldChar w:fldCharType="begin"/>
            </w:r>
            <w:r w:rsidR="0094772D">
              <w:rPr>
                <w:noProof/>
                <w:webHidden/>
              </w:rPr>
              <w:instrText xml:space="preserve"> PAGEREF _Toc203488068 \h </w:instrText>
            </w:r>
            <w:r w:rsidR="0094772D">
              <w:rPr>
                <w:noProof/>
                <w:webHidden/>
              </w:rPr>
            </w:r>
            <w:r w:rsidR="0094772D">
              <w:rPr>
                <w:noProof/>
                <w:webHidden/>
              </w:rPr>
              <w:fldChar w:fldCharType="separate"/>
            </w:r>
            <w:r w:rsidR="00AA5E71">
              <w:rPr>
                <w:noProof/>
                <w:webHidden/>
              </w:rPr>
              <w:t>3</w:t>
            </w:r>
            <w:r w:rsidR="0094772D">
              <w:rPr>
                <w:noProof/>
                <w:webHidden/>
              </w:rPr>
              <w:fldChar w:fldCharType="end"/>
            </w:r>
          </w:hyperlink>
        </w:p>
        <w:p w14:paraId="7F0B7859" w14:textId="7C6E8E42" w:rsidR="0094772D" w:rsidRDefault="0094772D">
          <w:pPr>
            <w:pStyle w:val="TOC1"/>
            <w:rPr>
              <w:rFonts w:eastAsiaTheme="minorEastAsia" w:cstheme="minorBidi"/>
              <w:b w:val="0"/>
              <w:bCs w:val="0"/>
              <w:caps w:val="0"/>
              <w:noProof/>
              <w:kern w:val="2"/>
              <w:sz w:val="24"/>
              <w:lang w:eastAsia="en-AU"/>
              <w14:ligatures w14:val="standardContextual"/>
            </w:rPr>
          </w:pPr>
          <w:hyperlink w:anchor="_Toc203488069" w:history="1">
            <w:r w:rsidRPr="00B60E1B">
              <w:rPr>
                <w:rStyle w:val="Hyperlink"/>
                <w:noProof/>
              </w:rPr>
              <w:t>The fishery</w:t>
            </w:r>
            <w:r>
              <w:rPr>
                <w:noProof/>
                <w:webHidden/>
              </w:rPr>
              <w:tab/>
            </w:r>
            <w:r>
              <w:rPr>
                <w:noProof/>
                <w:webHidden/>
              </w:rPr>
              <w:fldChar w:fldCharType="begin"/>
            </w:r>
            <w:r>
              <w:rPr>
                <w:noProof/>
                <w:webHidden/>
              </w:rPr>
              <w:instrText xml:space="preserve"> PAGEREF _Toc203488069 \h </w:instrText>
            </w:r>
            <w:r>
              <w:rPr>
                <w:noProof/>
                <w:webHidden/>
              </w:rPr>
            </w:r>
            <w:r>
              <w:rPr>
                <w:noProof/>
                <w:webHidden/>
              </w:rPr>
              <w:fldChar w:fldCharType="separate"/>
            </w:r>
            <w:r w:rsidR="00AA5E71">
              <w:rPr>
                <w:noProof/>
                <w:webHidden/>
              </w:rPr>
              <w:t>3</w:t>
            </w:r>
            <w:r>
              <w:rPr>
                <w:noProof/>
                <w:webHidden/>
              </w:rPr>
              <w:fldChar w:fldCharType="end"/>
            </w:r>
          </w:hyperlink>
        </w:p>
        <w:p w14:paraId="7614E2D8" w14:textId="1A8717FB"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070" w:history="1">
            <w:r w:rsidRPr="00B60E1B">
              <w:rPr>
                <w:rStyle w:val="Hyperlink"/>
                <w:noProof/>
              </w:rPr>
              <w:t>Description of the fishery</w:t>
            </w:r>
            <w:r>
              <w:rPr>
                <w:noProof/>
                <w:webHidden/>
              </w:rPr>
              <w:tab/>
            </w:r>
            <w:r>
              <w:rPr>
                <w:noProof/>
                <w:webHidden/>
              </w:rPr>
              <w:fldChar w:fldCharType="begin"/>
            </w:r>
            <w:r>
              <w:rPr>
                <w:noProof/>
                <w:webHidden/>
              </w:rPr>
              <w:instrText xml:space="preserve"> PAGEREF _Toc203488070 \h </w:instrText>
            </w:r>
            <w:r>
              <w:rPr>
                <w:noProof/>
                <w:webHidden/>
              </w:rPr>
            </w:r>
            <w:r>
              <w:rPr>
                <w:noProof/>
                <w:webHidden/>
              </w:rPr>
              <w:fldChar w:fldCharType="separate"/>
            </w:r>
            <w:r w:rsidR="00AA5E71">
              <w:rPr>
                <w:noProof/>
                <w:webHidden/>
              </w:rPr>
              <w:t>3</w:t>
            </w:r>
            <w:r>
              <w:rPr>
                <w:noProof/>
                <w:webHidden/>
              </w:rPr>
              <w:fldChar w:fldCharType="end"/>
            </w:r>
          </w:hyperlink>
        </w:p>
        <w:p w14:paraId="1A4F63B2" w14:textId="2DB2600F"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071" w:history="1">
            <w:r w:rsidRPr="00B60E1B">
              <w:rPr>
                <w:rStyle w:val="Hyperlink"/>
                <w:noProof/>
              </w:rPr>
              <w:t>Fishing methods and gear</w:t>
            </w:r>
            <w:r>
              <w:rPr>
                <w:noProof/>
                <w:webHidden/>
              </w:rPr>
              <w:tab/>
            </w:r>
            <w:r>
              <w:rPr>
                <w:noProof/>
                <w:webHidden/>
              </w:rPr>
              <w:fldChar w:fldCharType="begin"/>
            </w:r>
            <w:r>
              <w:rPr>
                <w:noProof/>
                <w:webHidden/>
              </w:rPr>
              <w:instrText xml:space="preserve"> PAGEREF _Toc203488071 \h </w:instrText>
            </w:r>
            <w:r>
              <w:rPr>
                <w:noProof/>
                <w:webHidden/>
              </w:rPr>
            </w:r>
            <w:r>
              <w:rPr>
                <w:noProof/>
                <w:webHidden/>
              </w:rPr>
              <w:fldChar w:fldCharType="separate"/>
            </w:r>
            <w:r w:rsidR="00AA5E71">
              <w:rPr>
                <w:noProof/>
                <w:webHidden/>
              </w:rPr>
              <w:t>3</w:t>
            </w:r>
            <w:r>
              <w:rPr>
                <w:noProof/>
                <w:webHidden/>
              </w:rPr>
              <w:fldChar w:fldCharType="end"/>
            </w:r>
          </w:hyperlink>
        </w:p>
        <w:p w14:paraId="72B05471" w14:textId="5D40542F"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072" w:history="1">
            <w:r w:rsidRPr="00B60E1B">
              <w:rPr>
                <w:rStyle w:val="Hyperlink"/>
                <w:noProof/>
              </w:rPr>
              <w:t>Target and byproduct species</w:t>
            </w:r>
            <w:r>
              <w:rPr>
                <w:noProof/>
                <w:webHidden/>
              </w:rPr>
              <w:tab/>
            </w:r>
            <w:r>
              <w:rPr>
                <w:noProof/>
                <w:webHidden/>
              </w:rPr>
              <w:fldChar w:fldCharType="begin"/>
            </w:r>
            <w:r>
              <w:rPr>
                <w:noProof/>
                <w:webHidden/>
              </w:rPr>
              <w:instrText xml:space="preserve"> PAGEREF _Toc203488072 \h </w:instrText>
            </w:r>
            <w:r>
              <w:rPr>
                <w:noProof/>
                <w:webHidden/>
              </w:rPr>
            </w:r>
            <w:r>
              <w:rPr>
                <w:noProof/>
                <w:webHidden/>
              </w:rPr>
              <w:fldChar w:fldCharType="separate"/>
            </w:r>
            <w:r w:rsidR="00AA5E71">
              <w:rPr>
                <w:noProof/>
                <w:webHidden/>
              </w:rPr>
              <w:t>3</w:t>
            </w:r>
            <w:r>
              <w:rPr>
                <w:noProof/>
                <w:webHidden/>
              </w:rPr>
              <w:fldChar w:fldCharType="end"/>
            </w:r>
          </w:hyperlink>
        </w:p>
        <w:p w14:paraId="71A45667" w14:textId="4B4E1690"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073" w:history="1">
            <w:r w:rsidRPr="00B60E1B">
              <w:rPr>
                <w:rStyle w:val="Hyperlink"/>
                <w:noProof/>
              </w:rPr>
              <w:t>Value of the fishery</w:t>
            </w:r>
            <w:r>
              <w:rPr>
                <w:noProof/>
                <w:webHidden/>
              </w:rPr>
              <w:tab/>
            </w:r>
            <w:r>
              <w:rPr>
                <w:noProof/>
                <w:webHidden/>
              </w:rPr>
              <w:fldChar w:fldCharType="begin"/>
            </w:r>
            <w:r>
              <w:rPr>
                <w:noProof/>
                <w:webHidden/>
              </w:rPr>
              <w:instrText xml:space="preserve"> PAGEREF _Toc203488073 \h </w:instrText>
            </w:r>
            <w:r>
              <w:rPr>
                <w:noProof/>
                <w:webHidden/>
              </w:rPr>
            </w:r>
            <w:r>
              <w:rPr>
                <w:noProof/>
                <w:webHidden/>
              </w:rPr>
              <w:fldChar w:fldCharType="separate"/>
            </w:r>
            <w:r w:rsidR="00AA5E71">
              <w:rPr>
                <w:noProof/>
                <w:webHidden/>
              </w:rPr>
              <w:t>4</w:t>
            </w:r>
            <w:r>
              <w:rPr>
                <w:noProof/>
                <w:webHidden/>
              </w:rPr>
              <w:fldChar w:fldCharType="end"/>
            </w:r>
          </w:hyperlink>
        </w:p>
        <w:p w14:paraId="4893A83A" w14:textId="41B859E3" w:rsidR="0094772D" w:rsidRDefault="0094772D">
          <w:pPr>
            <w:pStyle w:val="TOC1"/>
            <w:rPr>
              <w:rFonts w:eastAsiaTheme="minorEastAsia" w:cstheme="minorBidi"/>
              <w:b w:val="0"/>
              <w:bCs w:val="0"/>
              <w:caps w:val="0"/>
              <w:noProof/>
              <w:kern w:val="2"/>
              <w:sz w:val="24"/>
              <w:lang w:eastAsia="en-AU"/>
              <w14:ligatures w14:val="standardContextual"/>
            </w:rPr>
          </w:pPr>
          <w:hyperlink w:anchor="_Toc203488074" w:history="1">
            <w:r w:rsidRPr="00B60E1B">
              <w:rPr>
                <w:rStyle w:val="Hyperlink"/>
                <w:noProof/>
              </w:rPr>
              <w:t>Management regime</w:t>
            </w:r>
            <w:r>
              <w:rPr>
                <w:noProof/>
                <w:webHidden/>
              </w:rPr>
              <w:tab/>
            </w:r>
            <w:r>
              <w:rPr>
                <w:noProof/>
                <w:webHidden/>
              </w:rPr>
              <w:fldChar w:fldCharType="begin"/>
            </w:r>
            <w:r>
              <w:rPr>
                <w:noProof/>
                <w:webHidden/>
              </w:rPr>
              <w:instrText xml:space="preserve"> PAGEREF _Toc203488074 \h </w:instrText>
            </w:r>
            <w:r>
              <w:rPr>
                <w:noProof/>
                <w:webHidden/>
              </w:rPr>
            </w:r>
            <w:r>
              <w:rPr>
                <w:noProof/>
                <w:webHidden/>
              </w:rPr>
              <w:fldChar w:fldCharType="separate"/>
            </w:r>
            <w:r w:rsidR="00AA5E71">
              <w:rPr>
                <w:noProof/>
                <w:webHidden/>
              </w:rPr>
              <w:t>4</w:t>
            </w:r>
            <w:r>
              <w:rPr>
                <w:noProof/>
                <w:webHidden/>
              </w:rPr>
              <w:fldChar w:fldCharType="end"/>
            </w:r>
          </w:hyperlink>
        </w:p>
        <w:p w14:paraId="63A987D1" w14:textId="087240F0"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075" w:history="1">
            <w:r w:rsidRPr="00B60E1B">
              <w:rPr>
                <w:rStyle w:val="Hyperlink"/>
                <w:noProof/>
              </w:rPr>
              <w:t>Description of the management regime</w:t>
            </w:r>
            <w:r>
              <w:rPr>
                <w:noProof/>
                <w:webHidden/>
              </w:rPr>
              <w:tab/>
            </w:r>
            <w:r>
              <w:rPr>
                <w:noProof/>
                <w:webHidden/>
              </w:rPr>
              <w:fldChar w:fldCharType="begin"/>
            </w:r>
            <w:r>
              <w:rPr>
                <w:noProof/>
                <w:webHidden/>
              </w:rPr>
              <w:instrText xml:space="preserve"> PAGEREF _Toc203488075 \h </w:instrText>
            </w:r>
            <w:r>
              <w:rPr>
                <w:noProof/>
                <w:webHidden/>
              </w:rPr>
            </w:r>
            <w:r>
              <w:rPr>
                <w:noProof/>
                <w:webHidden/>
              </w:rPr>
              <w:fldChar w:fldCharType="separate"/>
            </w:r>
            <w:r w:rsidR="00AA5E71">
              <w:rPr>
                <w:noProof/>
                <w:webHidden/>
              </w:rPr>
              <w:t>4</w:t>
            </w:r>
            <w:r>
              <w:rPr>
                <w:noProof/>
                <w:webHidden/>
              </w:rPr>
              <w:fldChar w:fldCharType="end"/>
            </w:r>
          </w:hyperlink>
        </w:p>
        <w:p w14:paraId="79CC5974" w14:textId="6F38369C"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076" w:history="1">
            <w:r w:rsidRPr="00B60E1B">
              <w:rPr>
                <w:rStyle w:val="Hyperlink"/>
                <w:noProof/>
              </w:rPr>
              <w:t>Consultation processes</w:t>
            </w:r>
            <w:r>
              <w:rPr>
                <w:noProof/>
                <w:webHidden/>
              </w:rPr>
              <w:tab/>
            </w:r>
            <w:r>
              <w:rPr>
                <w:noProof/>
                <w:webHidden/>
              </w:rPr>
              <w:fldChar w:fldCharType="begin"/>
            </w:r>
            <w:r>
              <w:rPr>
                <w:noProof/>
                <w:webHidden/>
              </w:rPr>
              <w:instrText xml:space="preserve"> PAGEREF _Toc203488076 \h </w:instrText>
            </w:r>
            <w:r>
              <w:rPr>
                <w:noProof/>
                <w:webHidden/>
              </w:rPr>
            </w:r>
            <w:r>
              <w:rPr>
                <w:noProof/>
                <w:webHidden/>
              </w:rPr>
              <w:fldChar w:fldCharType="separate"/>
            </w:r>
            <w:r w:rsidR="00AA5E71">
              <w:rPr>
                <w:noProof/>
                <w:webHidden/>
              </w:rPr>
              <w:t>6</w:t>
            </w:r>
            <w:r>
              <w:rPr>
                <w:noProof/>
                <w:webHidden/>
              </w:rPr>
              <w:fldChar w:fldCharType="end"/>
            </w:r>
          </w:hyperlink>
        </w:p>
        <w:p w14:paraId="2F90B300" w14:textId="786F62AC"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077" w:history="1">
            <w:r w:rsidRPr="00B60E1B">
              <w:rPr>
                <w:rStyle w:val="Hyperlink"/>
                <w:noProof/>
              </w:rPr>
              <w:t>Performance against objectives, performance indicators and performance measures</w:t>
            </w:r>
            <w:r>
              <w:rPr>
                <w:noProof/>
                <w:webHidden/>
              </w:rPr>
              <w:tab/>
            </w:r>
            <w:r>
              <w:rPr>
                <w:noProof/>
                <w:webHidden/>
              </w:rPr>
              <w:fldChar w:fldCharType="begin"/>
            </w:r>
            <w:r>
              <w:rPr>
                <w:noProof/>
                <w:webHidden/>
              </w:rPr>
              <w:instrText xml:space="preserve"> PAGEREF _Toc203488077 \h </w:instrText>
            </w:r>
            <w:r>
              <w:rPr>
                <w:noProof/>
                <w:webHidden/>
              </w:rPr>
            </w:r>
            <w:r>
              <w:rPr>
                <w:noProof/>
                <w:webHidden/>
              </w:rPr>
              <w:fldChar w:fldCharType="separate"/>
            </w:r>
            <w:r w:rsidR="00AA5E71">
              <w:rPr>
                <w:noProof/>
                <w:webHidden/>
              </w:rPr>
              <w:t>6</w:t>
            </w:r>
            <w:r>
              <w:rPr>
                <w:noProof/>
                <w:webHidden/>
              </w:rPr>
              <w:fldChar w:fldCharType="end"/>
            </w:r>
          </w:hyperlink>
        </w:p>
        <w:p w14:paraId="5D2FC437" w14:textId="1FA351F7"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078" w:history="1">
            <w:r w:rsidRPr="00B60E1B">
              <w:rPr>
                <w:rStyle w:val="Hyperlink"/>
                <w:noProof/>
              </w:rPr>
              <w:t>Controlling the level of harvest</w:t>
            </w:r>
            <w:r>
              <w:rPr>
                <w:noProof/>
                <w:webHidden/>
              </w:rPr>
              <w:tab/>
            </w:r>
            <w:r>
              <w:rPr>
                <w:noProof/>
                <w:webHidden/>
              </w:rPr>
              <w:fldChar w:fldCharType="begin"/>
            </w:r>
            <w:r>
              <w:rPr>
                <w:noProof/>
                <w:webHidden/>
              </w:rPr>
              <w:instrText xml:space="preserve"> PAGEREF _Toc203488078 \h </w:instrText>
            </w:r>
            <w:r>
              <w:rPr>
                <w:noProof/>
                <w:webHidden/>
              </w:rPr>
            </w:r>
            <w:r>
              <w:rPr>
                <w:noProof/>
                <w:webHidden/>
              </w:rPr>
              <w:fldChar w:fldCharType="separate"/>
            </w:r>
            <w:r w:rsidR="00AA5E71">
              <w:rPr>
                <w:noProof/>
                <w:webHidden/>
              </w:rPr>
              <w:t>7</w:t>
            </w:r>
            <w:r>
              <w:rPr>
                <w:noProof/>
                <w:webHidden/>
              </w:rPr>
              <w:fldChar w:fldCharType="end"/>
            </w:r>
          </w:hyperlink>
        </w:p>
        <w:p w14:paraId="0C875B2F" w14:textId="36E87055"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079" w:history="1">
            <w:r w:rsidRPr="00B60E1B">
              <w:rPr>
                <w:rStyle w:val="Hyperlink"/>
                <w:noProof/>
              </w:rPr>
              <w:t>Harvest strategy</w:t>
            </w:r>
            <w:r>
              <w:rPr>
                <w:noProof/>
                <w:webHidden/>
              </w:rPr>
              <w:tab/>
            </w:r>
            <w:r>
              <w:rPr>
                <w:noProof/>
                <w:webHidden/>
              </w:rPr>
              <w:fldChar w:fldCharType="begin"/>
            </w:r>
            <w:r>
              <w:rPr>
                <w:noProof/>
                <w:webHidden/>
              </w:rPr>
              <w:instrText xml:space="preserve"> PAGEREF _Toc203488079 \h </w:instrText>
            </w:r>
            <w:r>
              <w:rPr>
                <w:noProof/>
                <w:webHidden/>
              </w:rPr>
            </w:r>
            <w:r>
              <w:rPr>
                <w:noProof/>
                <w:webHidden/>
              </w:rPr>
              <w:fldChar w:fldCharType="separate"/>
            </w:r>
            <w:r w:rsidR="00AA5E71">
              <w:rPr>
                <w:noProof/>
                <w:webHidden/>
              </w:rPr>
              <w:t>8</w:t>
            </w:r>
            <w:r>
              <w:rPr>
                <w:noProof/>
                <w:webHidden/>
              </w:rPr>
              <w:fldChar w:fldCharType="end"/>
            </w:r>
          </w:hyperlink>
        </w:p>
        <w:p w14:paraId="3FC1CE73" w14:textId="041652FB"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080" w:history="1">
            <w:r w:rsidRPr="00B60E1B">
              <w:rPr>
                <w:rStyle w:val="Hyperlink"/>
                <w:noProof/>
              </w:rPr>
              <w:t>Recovery strategies for overfished stocks</w:t>
            </w:r>
            <w:r>
              <w:rPr>
                <w:noProof/>
                <w:webHidden/>
              </w:rPr>
              <w:tab/>
            </w:r>
            <w:r>
              <w:rPr>
                <w:noProof/>
                <w:webHidden/>
              </w:rPr>
              <w:fldChar w:fldCharType="begin"/>
            </w:r>
            <w:r>
              <w:rPr>
                <w:noProof/>
                <w:webHidden/>
              </w:rPr>
              <w:instrText xml:space="preserve"> PAGEREF _Toc203488080 \h </w:instrText>
            </w:r>
            <w:r>
              <w:rPr>
                <w:noProof/>
                <w:webHidden/>
              </w:rPr>
            </w:r>
            <w:r>
              <w:rPr>
                <w:noProof/>
                <w:webHidden/>
              </w:rPr>
              <w:fldChar w:fldCharType="separate"/>
            </w:r>
            <w:r w:rsidR="00AA5E71">
              <w:rPr>
                <w:noProof/>
                <w:webHidden/>
              </w:rPr>
              <w:t>9</w:t>
            </w:r>
            <w:r>
              <w:rPr>
                <w:noProof/>
                <w:webHidden/>
              </w:rPr>
              <w:fldChar w:fldCharType="end"/>
            </w:r>
          </w:hyperlink>
        </w:p>
        <w:p w14:paraId="0919EA59" w14:textId="5215BA4C"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081" w:history="1">
            <w:r w:rsidRPr="00B60E1B">
              <w:rPr>
                <w:rStyle w:val="Hyperlink"/>
                <w:noProof/>
              </w:rPr>
              <w:t>Enforcement of the management arrangements</w:t>
            </w:r>
            <w:r>
              <w:rPr>
                <w:noProof/>
                <w:webHidden/>
              </w:rPr>
              <w:tab/>
            </w:r>
            <w:r>
              <w:rPr>
                <w:noProof/>
                <w:webHidden/>
              </w:rPr>
              <w:fldChar w:fldCharType="begin"/>
            </w:r>
            <w:r>
              <w:rPr>
                <w:noProof/>
                <w:webHidden/>
              </w:rPr>
              <w:instrText xml:space="preserve"> PAGEREF _Toc203488081 \h </w:instrText>
            </w:r>
            <w:r>
              <w:rPr>
                <w:noProof/>
                <w:webHidden/>
              </w:rPr>
            </w:r>
            <w:r>
              <w:rPr>
                <w:noProof/>
                <w:webHidden/>
              </w:rPr>
              <w:fldChar w:fldCharType="separate"/>
            </w:r>
            <w:r w:rsidR="00AA5E71">
              <w:rPr>
                <w:noProof/>
                <w:webHidden/>
              </w:rPr>
              <w:t>9</w:t>
            </w:r>
            <w:r>
              <w:rPr>
                <w:noProof/>
                <w:webHidden/>
              </w:rPr>
              <w:fldChar w:fldCharType="end"/>
            </w:r>
          </w:hyperlink>
        </w:p>
        <w:p w14:paraId="42400045" w14:textId="533AF3D5"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082" w:history="1">
            <w:r w:rsidRPr="00B60E1B">
              <w:rPr>
                <w:rStyle w:val="Hyperlink"/>
                <w:noProof/>
              </w:rPr>
              <w:t>Mitigating impacts on the wider ecosystem</w:t>
            </w:r>
            <w:r>
              <w:rPr>
                <w:noProof/>
                <w:webHidden/>
              </w:rPr>
              <w:tab/>
            </w:r>
            <w:r>
              <w:rPr>
                <w:noProof/>
                <w:webHidden/>
              </w:rPr>
              <w:fldChar w:fldCharType="begin"/>
            </w:r>
            <w:r>
              <w:rPr>
                <w:noProof/>
                <w:webHidden/>
              </w:rPr>
              <w:instrText xml:space="preserve"> PAGEREF _Toc203488082 \h </w:instrText>
            </w:r>
            <w:r>
              <w:rPr>
                <w:noProof/>
                <w:webHidden/>
              </w:rPr>
            </w:r>
            <w:r>
              <w:rPr>
                <w:noProof/>
                <w:webHidden/>
              </w:rPr>
              <w:fldChar w:fldCharType="separate"/>
            </w:r>
            <w:r w:rsidR="00AA5E71">
              <w:rPr>
                <w:noProof/>
                <w:webHidden/>
              </w:rPr>
              <w:t>10</w:t>
            </w:r>
            <w:r>
              <w:rPr>
                <w:noProof/>
                <w:webHidden/>
              </w:rPr>
              <w:fldChar w:fldCharType="end"/>
            </w:r>
          </w:hyperlink>
        </w:p>
        <w:p w14:paraId="2C5729CA" w14:textId="4ADC36CD"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083" w:history="1">
            <w:r w:rsidRPr="00B60E1B">
              <w:rPr>
                <w:rStyle w:val="Hyperlink"/>
                <w:noProof/>
              </w:rPr>
              <w:t>National policies, plans and strategies</w:t>
            </w:r>
            <w:r>
              <w:rPr>
                <w:noProof/>
                <w:webHidden/>
              </w:rPr>
              <w:tab/>
            </w:r>
            <w:r>
              <w:rPr>
                <w:noProof/>
                <w:webHidden/>
              </w:rPr>
              <w:fldChar w:fldCharType="begin"/>
            </w:r>
            <w:r>
              <w:rPr>
                <w:noProof/>
                <w:webHidden/>
              </w:rPr>
              <w:instrText xml:space="preserve"> PAGEREF _Toc203488083 \h </w:instrText>
            </w:r>
            <w:r>
              <w:rPr>
                <w:noProof/>
                <w:webHidden/>
              </w:rPr>
            </w:r>
            <w:r>
              <w:rPr>
                <w:noProof/>
                <w:webHidden/>
              </w:rPr>
              <w:fldChar w:fldCharType="separate"/>
            </w:r>
            <w:r w:rsidR="00AA5E71">
              <w:rPr>
                <w:noProof/>
                <w:webHidden/>
              </w:rPr>
              <w:t>10</w:t>
            </w:r>
            <w:r>
              <w:rPr>
                <w:noProof/>
                <w:webHidden/>
              </w:rPr>
              <w:fldChar w:fldCharType="end"/>
            </w:r>
          </w:hyperlink>
        </w:p>
        <w:p w14:paraId="26EAF23E" w14:textId="1626A132"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084" w:history="1">
            <w:r w:rsidRPr="00B60E1B">
              <w:rPr>
                <w:rStyle w:val="Hyperlink"/>
                <w:noProof/>
              </w:rPr>
              <w:t>Changes since the previous assessment</w:t>
            </w:r>
            <w:r>
              <w:rPr>
                <w:noProof/>
                <w:webHidden/>
              </w:rPr>
              <w:tab/>
            </w:r>
            <w:r>
              <w:rPr>
                <w:noProof/>
                <w:webHidden/>
              </w:rPr>
              <w:fldChar w:fldCharType="begin"/>
            </w:r>
            <w:r>
              <w:rPr>
                <w:noProof/>
                <w:webHidden/>
              </w:rPr>
              <w:instrText xml:space="preserve"> PAGEREF _Toc203488084 \h </w:instrText>
            </w:r>
            <w:r>
              <w:rPr>
                <w:noProof/>
                <w:webHidden/>
              </w:rPr>
            </w:r>
            <w:r>
              <w:rPr>
                <w:noProof/>
                <w:webHidden/>
              </w:rPr>
              <w:fldChar w:fldCharType="separate"/>
            </w:r>
            <w:r w:rsidR="00AA5E71">
              <w:rPr>
                <w:noProof/>
                <w:webHidden/>
              </w:rPr>
              <w:t>10</w:t>
            </w:r>
            <w:r>
              <w:rPr>
                <w:noProof/>
                <w:webHidden/>
              </w:rPr>
              <w:fldChar w:fldCharType="end"/>
            </w:r>
          </w:hyperlink>
        </w:p>
        <w:p w14:paraId="1E5BEF6B" w14:textId="7920992D" w:rsidR="0094772D" w:rsidRDefault="0094772D">
          <w:pPr>
            <w:pStyle w:val="TOC1"/>
            <w:rPr>
              <w:rFonts w:eastAsiaTheme="minorEastAsia" w:cstheme="minorBidi"/>
              <w:b w:val="0"/>
              <w:bCs w:val="0"/>
              <w:caps w:val="0"/>
              <w:noProof/>
              <w:kern w:val="2"/>
              <w:sz w:val="24"/>
              <w:lang w:eastAsia="en-AU"/>
              <w14:ligatures w14:val="standardContextual"/>
            </w:rPr>
          </w:pPr>
          <w:hyperlink w:anchor="_Toc203488085" w:history="1">
            <w:r w:rsidRPr="00B60E1B">
              <w:rPr>
                <w:rStyle w:val="Hyperlink"/>
                <w:noProof/>
              </w:rPr>
              <w:t>Monitoring and data collection</w:t>
            </w:r>
            <w:r>
              <w:rPr>
                <w:noProof/>
                <w:webHidden/>
              </w:rPr>
              <w:tab/>
            </w:r>
            <w:r>
              <w:rPr>
                <w:noProof/>
                <w:webHidden/>
              </w:rPr>
              <w:fldChar w:fldCharType="begin"/>
            </w:r>
            <w:r>
              <w:rPr>
                <w:noProof/>
                <w:webHidden/>
              </w:rPr>
              <w:instrText xml:space="preserve"> PAGEREF _Toc203488085 \h </w:instrText>
            </w:r>
            <w:r>
              <w:rPr>
                <w:noProof/>
                <w:webHidden/>
              </w:rPr>
            </w:r>
            <w:r>
              <w:rPr>
                <w:noProof/>
                <w:webHidden/>
              </w:rPr>
              <w:fldChar w:fldCharType="separate"/>
            </w:r>
            <w:r w:rsidR="00AA5E71">
              <w:rPr>
                <w:noProof/>
                <w:webHidden/>
              </w:rPr>
              <w:t>12</w:t>
            </w:r>
            <w:r>
              <w:rPr>
                <w:noProof/>
                <w:webHidden/>
              </w:rPr>
              <w:fldChar w:fldCharType="end"/>
            </w:r>
          </w:hyperlink>
        </w:p>
        <w:p w14:paraId="47FCACDE" w14:textId="339BC820"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086" w:history="1">
            <w:r w:rsidRPr="00B60E1B">
              <w:rPr>
                <w:rStyle w:val="Hyperlink"/>
                <w:noProof/>
              </w:rPr>
              <w:t>Data collection, data validation and data monitoring programs</w:t>
            </w:r>
            <w:r>
              <w:rPr>
                <w:noProof/>
                <w:webHidden/>
              </w:rPr>
              <w:tab/>
            </w:r>
            <w:r>
              <w:rPr>
                <w:noProof/>
                <w:webHidden/>
              </w:rPr>
              <w:fldChar w:fldCharType="begin"/>
            </w:r>
            <w:r>
              <w:rPr>
                <w:noProof/>
                <w:webHidden/>
              </w:rPr>
              <w:instrText xml:space="preserve"> PAGEREF _Toc203488086 \h </w:instrText>
            </w:r>
            <w:r>
              <w:rPr>
                <w:noProof/>
                <w:webHidden/>
              </w:rPr>
            </w:r>
            <w:r>
              <w:rPr>
                <w:noProof/>
                <w:webHidden/>
              </w:rPr>
              <w:fldChar w:fldCharType="separate"/>
            </w:r>
            <w:r w:rsidR="00AA5E71">
              <w:rPr>
                <w:noProof/>
                <w:webHidden/>
              </w:rPr>
              <w:t>12</w:t>
            </w:r>
            <w:r>
              <w:rPr>
                <w:noProof/>
                <w:webHidden/>
              </w:rPr>
              <w:fldChar w:fldCharType="end"/>
            </w:r>
          </w:hyperlink>
        </w:p>
        <w:p w14:paraId="4380A80D" w14:textId="4B3D8B19" w:rsidR="0094772D" w:rsidRDefault="0094772D">
          <w:pPr>
            <w:pStyle w:val="TOC1"/>
            <w:rPr>
              <w:rFonts w:eastAsiaTheme="minorEastAsia" w:cstheme="minorBidi"/>
              <w:b w:val="0"/>
              <w:bCs w:val="0"/>
              <w:caps w:val="0"/>
              <w:noProof/>
              <w:kern w:val="2"/>
              <w:sz w:val="24"/>
              <w:lang w:eastAsia="en-AU"/>
              <w14:ligatures w14:val="standardContextual"/>
            </w:rPr>
          </w:pPr>
          <w:hyperlink w:anchor="_Toc203488087" w:history="1">
            <w:r w:rsidRPr="00B60E1B">
              <w:rPr>
                <w:rStyle w:val="Hyperlink"/>
                <w:noProof/>
              </w:rPr>
              <w:t>Stock Assessments</w:t>
            </w:r>
            <w:r>
              <w:rPr>
                <w:noProof/>
                <w:webHidden/>
              </w:rPr>
              <w:tab/>
            </w:r>
            <w:r>
              <w:rPr>
                <w:noProof/>
                <w:webHidden/>
              </w:rPr>
              <w:fldChar w:fldCharType="begin"/>
            </w:r>
            <w:r>
              <w:rPr>
                <w:noProof/>
                <w:webHidden/>
              </w:rPr>
              <w:instrText xml:space="preserve"> PAGEREF _Toc203488087 \h </w:instrText>
            </w:r>
            <w:r>
              <w:rPr>
                <w:noProof/>
                <w:webHidden/>
              </w:rPr>
            </w:r>
            <w:r>
              <w:rPr>
                <w:noProof/>
                <w:webHidden/>
              </w:rPr>
              <w:fldChar w:fldCharType="separate"/>
            </w:r>
            <w:r w:rsidR="00AA5E71">
              <w:rPr>
                <w:noProof/>
                <w:webHidden/>
              </w:rPr>
              <w:t>13</w:t>
            </w:r>
            <w:r>
              <w:rPr>
                <w:noProof/>
                <w:webHidden/>
              </w:rPr>
              <w:fldChar w:fldCharType="end"/>
            </w:r>
          </w:hyperlink>
        </w:p>
        <w:p w14:paraId="39BBC7AD" w14:textId="1DF51334"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088" w:history="1">
            <w:r w:rsidRPr="00B60E1B">
              <w:rPr>
                <w:rStyle w:val="Hyperlink"/>
                <w:noProof/>
              </w:rPr>
              <w:t>Key target and byproduct species</w:t>
            </w:r>
            <w:r>
              <w:rPr>
                <w:noProof/>
                <w:webHidden/>
              </w:rPr>
              <w:tab/>
            </w:r>
            <w:r>
              <w:rPr>
                <w:noProof/>
                <w:webHidden/>
              </w:rPr>
              <w:fldChar w:fldCharType="begin"/>
            </w:r>
            <w:r>
              <w:rPr>
                <w:noProof/>
                <w:webHidden/>
              </w:rPr>
              <w:instrText xml:space="preserve"> PAGEREF _Toc203488088 \h </w:instrText>
            </w:r>
            <w:r>
              <w:rPr>
                <w:noProof/>
                <w:webHidden/>
              </w:rPr>
            </w:r>
            <w:r>
              <w:rPr>
                <w:noProof/>
                <w:webHidden/>
              </w:rPr>
              <w:fldChar w:fldCharType="separate"/>
            </w:r>
            <w:r w:rsidR="00AA5E71">
              <w:rPr>
                <w:noProof/>
                <w:webHidden/>
              </w:rPr>
              <w:t>13</w:t>
            </w:r>
            <w:r>
              <w:rPr>
                <w:noProof/>
                <w:webHidden/>
              </w:rPr>
              <w:fldChar w:fldCharType="end"/>
            </w:r>
          </w:hyperlink>
        </w:p>
        <w:p w14:paraId="73E8003A" w14:textId="1F62C56C"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089" w:history="1">
            <w:r w:rsidRPr="00B60E1B">
              <w:rPr>
                <w:rStyle w:val="Hyperlink"/>
                <w:noProof/>
              </w:rPr>
              <w:t>Distribution and spatial structure of key stocks</w:t>
            </w:r>
            <w:r>
              <w:rPr>
                <w:noProof/>
                <w:webHidden/>
              </w:rPr>
              <w:tab/>
            </w:r>
            <w:r>
              <w:rPr>
                <w:noProof/>
                <w:webHidden/>
              </w:rPr>
              <w:fldChar w:fldCharType="begin"/>
            </w:r>
            <w:r>
              <w:rPr>
                <w:noProof/>
                <w:webHidden/>
              </w:rPr>
              <w:instrText xml:space="preserve"> PAGEREF _Toc203488089 \h </w:instrText>
            </w:r>
            <w:r>
              <w:rPr>
                <w:noProof/>
                <w:webHidden/>
              </w:rPr>
            </w:r>
            <w:r>
              <w:rPr>
                <w:noProof/>
                <w:webHidden/>
              </w:rPr>
              <w:fldChar w:fldCharType="separate"/>
            </w:r>
            <w:r w:rsidR="00AA5E71">
              <w:rPr>
                <w:noProof/>
                <w:webHidden/>
              </w:rPr>
              <w:t>14</w:t>
            </w:r>
            <w:r>
              <w:rPr>
                <w:noProof/>
                <w:webHidden/>
              </w:rPr>
              <w:fldChar w:fldCharType="end"/>
            </w:r>
          </w:hyperlink>
        </w:p>
        <w:p w14:paraId="265D9CBF" w14:textId="4E37A4DA"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090" w:history="1">
            <w:r w:rsidRPr="00B60E1B">
              <w:rPr>
                <w:rStyle w:val="Hyperlink"/>
                <w:noProof/>
              </w:rPr>
              <w:t>Estimates of total removals</w:t>
            </w:r>
            <w:r>
              <w:rPr>
                <w:noProof/>
                <w:webHidden/>
              </w:rPr>
              <w:tab/>
            </w:r>
            <w:r>
              <w:rPr>
                <w:noProof/>
                <w:webHidden/>
              </w:rPr>
              <w:fldChar w:fldCharType="begin"/>
            </w:r>
            <w:r>
              <w:rPr>
                <w:noProof/>
                <w:webHidden/>
              </w:rPr>
              <w:instrText xml:space="preserve"> PAGEREF _Toc203488090 \h </w:instrText>
            </w:r>
            <w:r>
              <w:rPr>
                <w:noProof/>
                <w:webHidden/>
              </w:rPr>
            </w:r>
            <w:r>
              <w:rPr>
                <w:noProof/>
                <w:webHidden/>
              </w:rPr>
              <w:fldChar w:fldCharType="separate"/>
            </w:r>
            <w:r w:rsidR="00AA5E71">
              <w:rPr>
                <w:noProof/>
                <w:webHidden/>
              </w:rPr>
              <w:t>14</w:t>
            </w:r>
            <w:r>
              <w:rPr>
                <w:noProof/>
                <w:webHidden/>
              </w:rPr>
              <w:fldChar w:fldCharType="end"/>
            </w:r>
          </w:hyperlink>
        </w:p>
        <w:p w14:paraId="7052FF9C" w14:textId="155008FF"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091" w:history="1">
            <w:r w:rsidRPr="00B60E1B">
              <w:rPr>
                <w:rStyle w:val="Hyperlink"/>
                <w:noProof/>
              </w:rPr>
              <w:t>Indicator byproduct species</w:t>
            </w:r>
            <w:r>
              <w:rPr>
                <w:noProof/>
                <w:webHidden/>
              </w:rPr>
              <w:tab/>
            </w:r>
            <w:r>
              <w:rPr>
                <w:noProof/>
                <w:webHidden/>
              </w:rPr>
              <w:fldChar w:fldCharType="begin"/>
            </w:r>
            <w:r>
              <w:rPr>
                <w:noProof/>
                <w:webHidden/>
              </w:rPr>
              <w:instrText xml:space="preserve"> PAGEREF _Toc203488091 \h </w:instrText>
            </w:r>
            <w:r>
              <w:rPr>
                <w:noProof/>
                <w:webHidden/>
              </w:rPr>
            </w:r>
            <w:r>
              <w:rPr>
                <w:noProof/>
                <w:webHidden/>
              </w:rPr>
              <w:fldChar w:fldCharType="separate"/>
            </w:r>
            <w:r w:rsidR="00AA5E71">
              <w:rPr>
                <w:noProof/>
                <w:webHidden/>
              </w:rPr>
              <w:t>14</w:t>
            </w:r>
            <w:r>
              <w:rPr>
                <w:noProof/>
                <w:webHidden/>
              </w:rPr>
              <w:fldChar w:fldCharType="end"/>
            </w:r>
          </w:hyperlink>
        </w:p>
        <w:p w14:paraId="3B24F4AA" w14:textId="57F5D295" w:rsidR="0094772D" w:rsidRDefault="0094772D">
          <w:pPr>
            <w:pStyle w:val="TOC1"/>
            <w:rPr>
              <w:rFonts w:eastAsiaTheme="minorEastAsia" w:cstheme="minorBidi"/>
              <w:b w:val="0"/>
              <w:bCs w:val="0"/>
              <w:caps w:val="0"/>
              <w:noProof/>
              <w:kern w:val="2"/>
              <w:sz w:val="24"/>
              <w:lang w:eastAsia="en-AU"/>
              <w14:ligatures w14:val="standardContextual"/>
            </w:rPr>
          </w:pPr>
          <w:hyperlink w:anchor="_Toc203488092" w:history="1">
            <w:r w:rsidRPr="00B60E1B">
              <w:rPr>
                <w:rStyle w:val="Hyperlink"/>
                <w:noProof/>
              </w:rPr>
              <w:t>Bycatch</w:t>
            </w:r>
            <w:r>
              <w:rPr>
                <w:noProof/>
                <w:webHidden/>
              </w:rPr>
              <w:tab/>
            </w:r>
            <w:r>
              <w:rPr>
                <w:noProof/>
                <w:webHidden/>
              </w:rPr>
              <w:fldChar w:fldCharType="begin"/>
            </w:r>
            <w:r>
              <w:rPr>
                <w:noProof/>
                <w:webHidden/>
              </w:rPr>
              <w:instrText xml:space="preserve"> PAGEREF _Toc203488092 \h </w:instrText>
            </w:r>
            <w:r>
              <w:rPr>
                <w:noProof/>
                <w:webHidden/>
              </w:rPr>
            </w:r>
            <w:r>
              <w:rPr>
                <w:noProof/>
                <w:webHidden/>
              </w:rPr>
              <w:fldChar w:fldCharType="separate"/>
            </w:r>
            <w:r w:rsidR="00AA5E71">
              <w:rPr>
                <w:noProof/>
                <w:webHidden/>
              </w:rPr>
              <w:t>15</w:t>
            </w:r>
            <w:r>
              <w:rPr>
                <w:noProof/>
                <w:webHidden/>
              </w:rPr>
              <w:fldChar w:fldCharType="end"/>
            </w:r>
          </w:hyperlink>
        </w:p>
        <w:p w14:paraId="13CAF44E" w14:textId="6A0972E2"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093" w:history="1">
            <w:r w:rsidRPr="00B60E1B">
              <w:rPr>
                <w:rStyle w:val="Hyperlink"/>
                <w:noProof/>
              </w:rPr>
              <w:t>Bycatch composition</w:t>
            </w:r>
            <w:r>
              <w:rPr>
                <w:noProof/>
                <w:webHidden/>
              </w:rPr>
              <w:tab/>
            </w:r>
            <w:r>
              <w:rPr>
                <w:noProof/>
                <w:webHidden/>
              </w:rPr>
              <w:fldChar w:fldCharType="begin"/>
            </w:r>
            <w:r>
              <w:rPr>
                <w:noProof/>
                <w:webHidden/>
              </w:rPr>
              <w:instrText xml:space="preserve"> PAGEREF _Toc203488093 \h </w:instrText>
            </w:r>
            <w:r>
              <w:rPr>
                <w:noProof/>
                <w:webHidden/>
              </w:rPr>
            </w:r>
            <w:r>
              <w:rPr>
                <w:noProof/>
                <w:webHidden/>
              </w:rPr>
              <w:fldChar w:fldCharType="separate"/>
            </w:r>
            <w:r w:rsidR="00AA5E71">
              <w:rPr>
                <w:noProof/>
                <w:webHidden/>
              </w:rPr>
              <w:t>15</w:t>
            </w:r>
            <w:r>
              <w:rPr>
                <w:noProof/>
                <w:webHidden/>
              </w:rPr>
              <w:fldChar w:fldCharType="end"/>
            </w:r>
          </w:hyperlink>
        </w:p>
        <w:p w14:paraId="6C0AFFF1" w14:textId="374EB987"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094" w:history="1">
            <w:r w:rsidRPr="00B60E1B">
              <w:rPr>
                <w:rStyle w:val="Hyperlink"/>
                <w:noProof/>
              </w:rPr>
              <w:t>Risk assessment on the effects of fishing on bycatch</w:t>
            </w:r>
            <w:r>
              <w:rPr>
                <w:noProof/>
                <w:webHidden/>
              </w:rPr>
              <w:tab/>
            </w:r>
            <w:r>
              <w:rPr>
                <w:noProof/>
                <w:webHidden/>
              </w:rPr>
              <w:fldChar w:fldCharType="begin"/>
            </w:r>
            <w:r>
              <w:rPr>
                <w:noProof/>
                <w:webHidden/>
              </w:rPr>
              <w:instrText xml:space="preserve"> PAGEREF _Toc203488094 \h </w:instrText>
            </w:r>
            <w:r>
              <w:rPr>
                <w:noProof/>
                <w:webHidden/>
              </w:rPr>
            </w:r>
            <w:r>
              <w:rPr>
                <w:noProof/>
                <w:webHidden/>
              </w:rPr>
              <w:fldChar w:fldCharType="separate"/>
            </w:r>
            <w:r w:rsidR="00AA5E71">
              <w:rPr>
                <w:noProof/>
                <w:webHidden/>
              </w:rPr>
              <w:t>15</w:t>
            </w:r>
            <w:r>
              <w:rPr>
                <w:noProof/>
                <w:webHidden/>
              </w:rPr>
              <w:fldChar w:fldCharType="end"/>
            </w:r>
          </w:hyperlink>
        </w:p>
        <w:p w14:paraId="7D09B5CF" w14:textId="70DCFCCA"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095" w:history="1">
            <w:r w:rsidRPr="00B60E1B">
              <w:rPr>
                <w:rStyle w:val="Hyperlink"/>
                <w:noProof/>
              </w:rPr>
              <w:t>Bycatch mitigation measures</w:t>
            </w:r>
            <w:r>
              <w:rPr>
                <w:noProof/>
                <w:webHidden/>
              </w:rPr>
              <w:tab/>
            </w:r>
            <w:r>
              <w:rPr>
                <w:noProof/>
                <w:webHidden/>
              </w:rPr>
              <w:fldChar w:fldCharType="begin"/>
            </w:r>
            <w:r>
              <w:rPr>
                <w:noProof/>
                <w:webHidden/>
              </w:rPr>
              <w:instrText xml:space="preserve"> PAGEREF _Toc203488095 \h </w:instrText>
            </w:r>
            <w:r>
              <w:rPr>
                <w:noProof/>
                <w:webHidden/>
              </w:rPr>
            </w:r>
            <w:r>
              <w:rPr>
                <w:noProof/>
                <w:webHidden/>
              </w:rPr>
              <w:fldChar w:fldCharType="separate"/>
            </w:r>
            <w:r w:rsidR="00AA5E71">
              <w:rPr>
                <w:noProof/>
                <w:webHidden/>
              </w:rPr>
              <w:t>15</w:t>
            </w:r>
            <w:r>
              <w:rPr>
                <w:noProof/>
                <w:webHidden/>
              </w:rPr>
              <w:fldChar w:fldCharType="end"/>
            </w:r>
          </w:hyperlink>
        </w:p>
        <w:p w14:paraId="7890D0BD" w14:textId="2BA1D085"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096" w:history="1">
            <w:r w:rsidRPr="00B60E1B">
              <w:rPr>
                <w:rStyle w:val="Hyperlink"/>
                <w:noProof/>
              </w:rPr>
              <w:t>Indicator bycatch species</w:t>
            </w:r>
            <w:r>
              <w:rPr>
                <w:noProof/>
                <w:webHidden/>
              </w:rPr>
              <w:tab/>
            </w:r>
            <w:r>
              <w:rPr>
                <w:noProof/>
                <w:webHidden/>
              </w:rPr>
              <w:fldChar w:fldCharType="begin"/>
            </w:r>
            <w:r>
              <w:rPr>
                <w:noProof/>
                <w:webHidden/>
              </w:rPr>
              <w:instrText xml:space="preserve"> PAGEREF _Toc203488096 \h </w:instrText>
            </w:r>
            <w:r>
              <w:rPr>
                <w:noProof/>
                <w:webHidden/>
              </w:rPr>
            </w:r>
            <w:r>
              <w:rPr>
                <w:noProof/>
                <w:webHidden/>
              </w:rPr>
              <w:fldChar w:fldCharType="separate"/>
            </w:r>
            <w:r w:rsidR="00AA5E71">
              <w:rPr>
                <w:noProof/>
                <w:webHidden/>
              </w:rPr>
              <w:t>15</w:t>
            </w:r>
            <w:r>
              <w:rPr>
                <w:noProof/>
                <w:webHidden/>
              </w:rPr>
              <w:fldChar w:fldCharType="end"/>
            </w:r>
          </w:hyperlink>
        </w:p>
        <w:p w14:paraId="66A4DD51" w14:textId="397088EC"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097" w:history="1">
            <w:r w:rsidRPr="00B60E1B">
              <w:rPr>
                <w:rStyle w:val="Hyperlink"/>
                <w:noProof/>
              </w:rPr>
              <w:t>Management actions</w:t>
            </w:r>
            <w:r>
              <w:rPr>
                <w:noProof/>
                <w:webHidden/>
              </w:rPr>
              <w:tab/>
            </w:r>
            <w:r>
              <w:rPr>
                <w:noProof/>
                <w:webHidden/>
              </w:rPr>
              <w:fldChar w:fldCharType="begin"/>
            </w:r>
            <w:r>
              <w:rPr>
                <w:noProof/>
                <w:webHidden/>
              </w:rPr>
              <w:instrText xml:space="preserve"> PAGEREF _Toc203488097 \h </w:instrText>
            </w:r>
            <w:r>
              <w:rPr>
                <w:noProof/>
                <w:webHidden/>
              </w:rPr>
            </w:r>
            <w:r>
              <w:rPr>
                <w:noProof/>
                <w:webHidden/>
              </w:rPr>
              <w:fldChar w:fldCharType="separate"/>
            </w:r>
            <w:r w:rsidR="00AA5E71">
              <w:rPr>
                <w:noProof/>
                <w:webHidden/>
              </w:rPr>
              <w:t>15</w:t>
            </w:r>
            <w:r>
              <w:rPr>
                <w:noProof/>
                <w:webHidden/>
              </w:rPr>
              <w:fldChar w:fldCharType="end"/>
            </w:r>
          </w:hyperlink>
        </w:p>
        <w:p w14:paraId="5DCB539A" w14:textId="4A8AD0F4" w:rsidR="0094772D" w:rsidRDefault="0094772D">
          <w:pPr>
            <w:pStyle w:val="TOC1"/>
            <w:rPr>
              <w:rFonts w:eastAsiaTheme="minorEastAsia" w:cstheme="minorBidi"/>
              <w:b w:val="0"/>
              <w:bCs w:val="0"/>
              <w:caps w:val="0"/>
              <w:noProof/>
              <w:kern w:val="2"/>
              <w:sz w:val="24"/>
              <w:lang w:eastAsia="en-AU"/>
              <w14:ligatures w14:val="standardContextual"/>
            </w:rPr>
          </w:pPr>
          <w:hyperlink w:anchor="_Toc203488098" w:history="1">
            <w:r w:rsidRPr="00B60E1B">
              <w:rPr>
                <w:rStyle w:val="Hyperlink"/>
                <w:noProof/>
              </w:rPr>
              <w:t>Protected species and threatened ecological communities</w:t>
            </w:r>
            <w:r>
              <w:rPr>
                <w:noProof/>
                <w:webHidden/>
              </w:rPr>
              <w:tab/>
            </w:r>
            <w:r>
              <w:rPr>
                <w:noProof/>
                <w:webHidden/>
              </w:rPr>
              <w:fldChar w:fldCharType="begin"/>
            </w:r>
            <w:r>
              <w:rPr>
                <w:noProof/>
                <w:webHidden/>
              </w:rPr>
              <w:instrText xml:space="preserve"> PAGEREF _Toc203488098 \h </w:instrText>
            </w:r>
            <w:r>
              <w:rPr>
                <w:noProof/>
                <w:webHidden/>
              </w:rPr>
            </w:r>
            <w:r>
              <w:rPr>
                <w:noProof/>
                <w:webHidden/>
              </w:rPr>
              <w:fldChar w:fldCharType="separate"/>
            </w:r>
            <w:r w:rsidR="00AA5E71">
              <w:rPr>
                <w:noProof/>
                <w:webHidden/>
              </w:rPr>
              <w:t>15</w:t>
            </w:r>
            <w:r>
              <w:rPr>
                <w:noProof/>
                <w:webHidden/>
              </w:rPr>
              <w:fldChar w:fldCharType="end"/>
            </w:r>
          </w:hyperlink>
        </w:p>
        <w:p w14:paraId="5C53195B" w14:textId="02EC22EA"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099" w:history="1">
            <w:r w:rsidRPr="00B60E1B">
              <w:rPr>
                <w:rStyle w:val="Hyperlink"/>
                <w:noProof/>
              </w:rPr>
              <w:t>Fishery impacts on protected species and communities</w:t>
            </w:r>
            <w:r>
              <w:rPr>
                <w:noProof/>
                <w:webHidden/>
              </w:rPr>
              <w:tab/>
            </w:r>
            <w:r>
              <w:rPr>
                <w:noProof/>
                <w:webHidden/>
              </w:rPr>
              <w:fldChar w:fldCharType="begin"/>
            </w:r>
            <w:r>
              <w:rPr>
                <w:noProof/>
                <w:webHidden/>
              </w:rPr>
              <w:instrText xml:space="preserve"> PAGEREF _Toc203488099 \h </w:instrText>
            </w:r>
            <w:r>
              <w:rPr>
                <w:noProof/>
                <w:webHidden/>
              </w:rPr>
            </w:r>
            <w:r>
              <w:rPr>
                <w:noProof/>
                <w:webHidden/>
              </w:rPr>
              <w:fldChar w:fldCharType="separate"/>
            </w:r>
            <w:r w:rsidR="00AA5E71">
              <w:rPr>
                <w:noProof/>
                <w:webHidden/>
              </w:rPr>
              <w:t>15</w:t>
            </w:r>
            <w:r>
              <w:rPr>
                <w:noProof/>
                <w:webHidden/>
              </w:rPr>
              <w:fldChar w:fldCharType="end"/>
            </w:r>
          </w:hyperlink>
        </w:p>
        <w:p w14:paraId="7B008CCD" w14:textId="0F911E0E"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100" w:history="1">
            <w:r w:rsidRPr="00B60E1B">
              <w:rPr>
                <w:rStyle w:val="Hyperlink"/>
                <w:noProof/>
              </w:rPr>
              <w:t>Mitigating risks to protected species and communities</w:t>
            </w:r>
            <w:r>
              <w:rPr>
                <w:noProof/>
                <w:webHidden/>
              </w:rPr>
              <w:tab/>
            </w:r>
            <w:r>
              <w:rPr>
                <w:noProof/>
                <w:webHidden/>
              </w:rPr>
              <w:fldChar w:fldCharType="begin"/>
            </w:r>
            <w:r>
              <w:rPr>
                <w:noProof/>
                <w:webHidden/>
              </w:rPr>
              <w:instrText xml:space="preserve"> PAGEREF _Toc203488100 \h </w:instrText>
            </w:r>
            <w:r>
              <w:rPr>
                <w:noProof/>
                <w:webHidden/>
              </w:rPr>
            </w:r>
            <w:r>
              <w:rPr>
                <w:noProof/>
                <w:webHidden/>
              </w:rPr>
              <w:fldChar w:fldCharType="separate"/>
            </w:r>
            <w:r w:rsidR="00AA5E71">
              <w:rPr>
                <w:noProof/>
                <w:webHidden/>
              </w:rPr>
              <w:t>16</w:t>
            </w:r>
            <w:r>
              <w:rPr>
                <w:noProof/>
                <w:webHidden/>
              </w:rPr>
              <w:fldChar w:fldCharType="end"/>
            </w:r>
          </w:hyperlink>
        </w:p>
        <w:p w14:paraId="5F267F05" w14:textId="5FC73126"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101" w:history="1">
            <w:r w:rsidRPr="00B60E1B">
              <w:rPr>
                <w:rStyle w:val="Hyperlink"/>
                <w:noProof/>
              </w:rPr>
              <w:t>CITES-listed species</w:t>
            </w:r>
            <w:r>
              <w:rPr>
                <w:noProof/>
                <w:webHidden/>
              </w:rPr>
              <w:tab/>
            </w:r>
            <w:r>
              <w:rPr>
                <w:noProof/>
                <w:webHidden/>
              </w:rPr>
              <w:fldChar w:fldCharType="begin"/>
            </w:r>
            <w:r>
              <w:rPr>
                <w:noProof/>
                <w:webHidden/>
              </w:rPr>
              <w:instrText xml:space="preserve"> PAGEREF _Toc203488101 \h </w:instrText>
            </w:r>
            <w:r>
              <w:rPr>
                <w:noProof/>
                <w:webHidden/>
              </w:rPr>
            </w:r>
            <w:r>
              <w:rPr>
                <w:noProof/>
                <w:webHidden/>
              </w:rPr>
              <w:fldChar w:fldCharType="separate"/>
            </w:r>
            <w:r w:rsidR="00AA5E71">
              <w:rPr>
                <w:noProof/>
                <w:webHidden/>
              </w:rPr>
              <w:t>16</w:t>
            </w:r>
            <w:r>
              <w:rPr>
                <w:noProof/>
                <w:webHidden/>
              </w:rPr>
              <w:fldChar w:fldCharType="end"/>
            </w:r>
          </w:hyperlink>
        </w:p>
        <w:p w14:paraId="62E3C80B" w14:textId="02D46698" w:rsidR="0094772D" w:rsidRDefault="0094772D">
          <w:pPr>
            <w:pStyle w:val="TOC1"/>
            <w:rPr>
              <w:rFonts w:eastAsiaTheme="minorEastAsia" w:cstheme="minorBidi"/>
              <w:b w:val="0"/>
              <w:bCs w:val="0"/>
              <w:caps w:val="0"/>
              <w:noProof/>
              <w:kern w:val="2"/>
              <w:sz w:val="24"/>
              <w:lang w:eastAsia="en-AU"/>
              <w14:ligatures w14:val="standardContextual"/>
            </w:rPr>
          </w:pPr>
          <w:hyperlink w:anchor="_Toc203488102" w:history="1">
            <w:r w:rsidRPr="00B60E1B">
              <w:rPr>
                <w:rStyle w:val="Hyperlink"/>
                <w:noProof/>
              </w:rPr>
              <w:t>Ecosystem</w:t>
            </w:r>
            <w:r>
              <w:rPr>
                <w:noProof/>
                <w:webHidden/>
              </w:rPr>
              <w:tab/>
            </w:r>
            <w:r>
              <w:rPr>
                <w:noProof/>
                <w:webHidden/>
              </w:rPr>
              <w:fldChar w:fldCharType="begin"/>
            </w:r>
            <w:r>
              <w:rPr>
                <w:noProof/>
                <w:webHidden/>
              </w:rPr>
              <w:instrText xml:space="preserve"> PAGEREF _Toc203488102 \h </w:instrText>
            </w:r>
            <w:r>
              <w:rPr>
                <w:noProof/>
                <w:webHidden/>
              </w:rPr>
            </w:r>
            <w:r>
              <w:rPr>
                <w:noProof/>
                <w:webHidden/>
              </w:rPr>
              <w:fldChar w:fldCharType="separate"/>
            </w:r>
            <w:r w:rsidR="00AA5E71">
              <w:rPr>
                <w:noProof/>
                <w:webHidden/>
              </w:rPr>
              <w:t>16</w:t>
            </w:r>
            <w:r>
              <w:rPr>
                <w:noProof/>
                <w:webHidden/>
              </w:rPr>
              <w:fldChar w:fldCharType="end"/>
            </w:r>
          </w:hyperlink>
        </w:p>
        <w:p w14:paraId="577E370B" w14:textId="5A1F8A08"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103" w:history="1">
            <w:r w:rsidRPr="00B60E1B">
              <w:rPr>
                <w:rStyle w:val="Hyperlink"/>
                <w:noProof/>
              </w:rPr>
              <w:t>Ecosystem management actions</w:t>
            </w:r>
            <w:r>
              <w:rPr>
                <w:noProof/>
                <w:webHidden/>
              </w:rPr>
              <w:tab/>
            </w:r>
            <w:r>
              <w:rPr>
                <w:noProof/>
                <w:webHidden/>
              </w:rPr>
              <w:fldChar w:fldCharType="begin"/>
            </w:r>
            <w:r>
              <w:rPr>
                <w:noProof/>
                <w:webHidden/>
              </w:rPr>
              <w:instrText xml:space="preserve"> PAGEREF _Toc203488103 \h </w:instrText>
            </w:r>
            <w:r>
              <w:rPr>
                <w:noProof/>
                <w:webHidden/>
              </w:rPr>
            </w:r>
            <w:r>
              <w:rPr>
                <w:noProof/>
                <w:webHidden/>
              </w:rPr>
              <w:fldChar w:fldCharType="separate"/>
            </w:r>
            <w:r w:rsidR="00AA5E71">
              <w:rPr>
                <w:noProof/>
                <w:webHidden/>
              </w:rPr>
              <w:t>16</w:t>
            </w:r>
            <w:r>
              <w:rPr>
                <w:noProof/>
                <w:webHidden/>
              </w:rPr>
              <w:fldChar w:fldCharType="end"/>
            </w:r>
          </w:hyperlink>
        </w:p>
        <w:p w14:paraId="2012942A" w14:textId="080CF76A"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104" w:history="1">
            <w:r w:rsidRPr="00B60E1B">
              <w:rPr>
                <w:rStyle w:val="Hyperlink"/>
                <w:noProof/>
              </w:rPr>
              <w:t>Management responses</w:t>
            </w:r>
            <w:r>
              <w:rPr>
                <w:noProof/>
                <w:webHidden/>
              </w:rPr>
              <w:tab/>
            </w:r>
            <w:r>
              <w:rPr>
                <w:noProof/>
                <w:webHidden/>
              </w:rPr>
              <w:fldChar w:fldCharType="begin"/>
            </w:r>
            <w:r>
              <w:rPr>
                <w:noProof/>
                <w:webHidden/>
              </w:rPr>
              <w:instrText xml:space="preserve"> PAGEREF _Toc203488104 \h </w:instrText>
            </w:r>
            <w:r>
              <w:rPr>
                <w:noProof/>
                <w:webHidden/>
              </w:rPr>
            </w:r>
            <w:r>
              <w:rPr>
                <w:noProof/>
                <w:webHidden/>
              </w:rPr>
              <w:fldChar w:fldCharType="separate"/>
            </w:r>
            <w:r w:rsidR="00AA5E71">
              <w:rPr>
                <w:noProof/>
                <w:webHidden/>
              </w:rPr>
              <w:t>17</w:t>
            </w:r>
            <w:r>
              <w:rPr>
                <w:noProof/>
                <w:webHidden/>
              </w:rPr>
              <w:fldChar w:fldCharType="end"/>
            </w:r>
          </w:hyperlink>
        </w:p>
        <w:p w14:paraId="03CAC9B5" w14:textId="602D45DD"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105" w:history="1">
            <w:r w:rsidRPr="00B60E1B">
              <w:rPr>
                <w:rStyle w:val="Hyperlink"/>
                <w:noProof/>
              </w:rPr>
              <w:t>Marine bioregional plans</w:t>
            </w:r>
            <w:r>
              <w:rPr>
                <w:noProof/>
                <w:webHidden/>
              </w:rPr>
              <w:tab/>
            </w:r>
            <w:r>
              <w:rPr>
                <w:noProof/>
                <w:webHidden/>
              </w:rPr>
              <w:fldChar w:fldCharType="begin"/>
            </w:r>
            <w:r>
              <w:rPr>
                <w:noProof/>
                <w:webHidden/>
              </w:rPr>
              <w:instrText xml:space="preserve"> PAGEREF _Toc203488105 \h </w:instrText>
            </w:r>
            <w:r>
              <w:rPr>
                <w:noProof/>
                <w:webHidden/>
              </w:rPr>
            </w:r>
            <w:r>
              <w:rPr>
                <w:noProof/>
                <w:webHidden/>
              </w:rPr>
              <w:fldChar w:fldCharType="separate"/>
            </w:r>
            <w:r w:rsidR="00AA5E71">
              <w:rPr>
                <w:noProof/>
                <w:webHidden/>
              </w:rPr>
              <w:t>17</w:t>
            </w:r>
            <w:r>
              <w:rPr>
                <w:noProof/>
                <w:webHidden/>
              </w:rPr>
              <w:fldChar w:fldCharType="end"/>
            </w:r>
          </w:hyperlink>
        </w:p>
        <w:p w14:paraId="15A8CBF2" w14:textId="3B18FF61" w:rsidR="0094772D" w:rsidRDefault="0094772D">
          <w:pPr>
            <w:pStyle w:val="TOC1"/>
            <w:rPr>
              <w:rFonts w:eastAsiaTheme="minorEastAsia" w:cstheme="minorBidi"/>
              <w:b w:val="0"/>
              <w:bCs w:val="0"/>
              <w:caps w:val="0"/>
              <w:noProof/>
              <w:kern w:val="2"/>
              <w:sz w:val="24"/>
              <w:lang w:eastAsia="en-AU"/>
              <w14:ligatures w14:val="standardContextual"/>
            </w:rPr>
          </w:pPr>
          <w:hyperlink w:anchor="_Toc203488106" w:history="1">
            <w:r w:rsidRPr="00B60E1B">
              <w:rPr>
                <w:rStyle w:val="Hyperlink"/>
                <w:noProof/>
              </w:rPr>
              <w:t>Research</w:t>
            </w:r>
            <w:r>
              <w:rPr>
                <w:noProof/>
                <w:webHidden/>
              </w:rPr>
              <w:tab/>
            </w:r>
            <w:r>
              <w:rPr>
                <w:noProof/>
                <w:webHidden/>
              </w:rPr>
              <w:fldChar w:fldCharType="begin"/>
            </w:r>
            <w:r>
              <w:rPr>
                <w:noProof/>
                <w:webHidden/>
              </w:rPr>
              <w:instrText xml:space="preserve"> PAGEREF _Toc203488106 \h </w:instrText>
            </w:r>
            <w:r>
              <w:rPr>
                <w:noProof/>
                <w:webHidden/>
              </w:rPr>
            </w:r>
            <w:r>
              <w:rPr>
                <w:noProof/>
                <w:webHidden/>
              </w:rPr>
              <w:fldChar w:fldCharType="separate"/>
            </w:r>
            <w:r w:rsidR="00AA5E71">
              <w:rPr>
                <w:noProof/>
                <w:webHidden/>
              </w:rPr>
              <w:t>17</w:t>
            </w:r>
            <w:r>
              <w:rPr>
                <w:noProof/>
                <w:webHidden/>
              </w:rPr>
              <w:fldChar w:fldCharType="end"/>
            </w:r>
          </w:hyperlink>
        </w:p>
        <w:p w14:paraId="07A4B652" w14:textId="2080FFF9" w:rsidR="0094772D" w:rsidRDefault="0094772D">
          <w:pPr>
            <w:pStyle w:val="TOC1"/>
            <w:rPr>
              <w:rFonts w:eastAsiaTheme="minorEastAsia" w:cstheme="minorBidi"/>
              <w:b w:val="0"/>
              <w:bCs w:val="0"/>
              <w:caps w:val="0"/>
              <w:noProof/>
              <w:kern w:val="2"/>
              <w:sz w:val="24"/>
              <w:lang w:eastAsia="en-AU"/>
              <w14:ligatures w14:val="standardContextual"/>
            </w:rPr>
          </w:pPr>
          <w:hyperlink w:anchor="_Toc203488107" w:history="1">
            <w:r w:rsidRPr="00B60E1B">
              <w:rPr>
                <w:rStyle w:val="Hyperlink"/>
                <w:noProof/>
              </w:rPr>
              <w:t>Progress Against Current Conditions</w:t>
            </w:r>
            <w:r>
              <w:rPr>
                <w:noProof/>
                <w:webHidden/>
              </w:rPr>
              <w:tab/>
            </w:r>
            <w:r>
              <w:rPr>
                <w:noProof/>
                <w:webHidden/>
              </w:rPr>
              <w:fldChar w:fldCharType="begin"/>
            </w:r>
            <w:r>
              <w:rPr>
                <w:noProof/>
                <w:webHidden/>
              </w:rPr>
              <w:instrText xml:space="preserve"> PAGEREF _Toc203488107 \h </w:instrText>
            </w:r>
            <w:r>
              <w:rPr>
                <w:noProof/>
                <w:webHidden/>
              </w:rPr>
            </w:r>
            <w:r>
              <w:rPr>
                <w:noProof/>
                <w:webHidden/>
              </w:rPr>
              <w:fldChar w:fldCharType="separate"/>
            </w:r>
            <w:r w:rsidR="00AA5E71">
              <w:rPr>
                <w:noProof/>
                <w:webHidden/>
              </w:rPr>
              <w:t>17</w:t>
            </w:r>
            <w:r>
              <w:rPr>
                <w:noProof/>
                <w:webHidden/>
              </w:rPr>
              <w:fldChar w:fldCharType="end"/>
            </w:r>
          </w:hyperlink>
        </w:p>
        <w:p w14:paraId="54F30C21" w14:textId="7038785E" w:rsidR="0094772D" w:rsidRDefault="0094772D">
          <w:pPr>
            <w:pStyle w:val="TOC1"/>
            <w:rPr>
              <w:rFonts w:eastAsiaTheme="minorEastAsia" w:cstheme="minorBidi"/>
              <w:b w:val="0"/>
              <w:bCs w:val="0"/>
              <w:caps w:val="0"/>
              <w:noProof/>
              <w:kern w:val="2"/>
              <w:sz w:val="24"/>
              <w:lang w:eastAsia="en-AU"/>
              <w14:ligatures w14:val="standardContextual"/>
            </w:rPr>
          </w:pPr>
          <w:hyperlink w:anchor="_Toc203488108" w:history="1">
            <w:r w:rsidRPr="00B60E1B">
              <w:rPr>
                <w:rStyle w:val="Hyperlink"/>
                <w:noProof/>
              </w:rPr>
              <w:t>References</w:t>
            </w:r>
            <w:r>
              <w:rPr>
                <w:noProof/>
                <w:webHidden/>
              </w:rPr>
              <w:tab/>
            </w:r>
            <w:r>
              <w:rPr>
                <w:noProof/>
                <w:webHidden/>
              </w:rPr>
              <w:fldChar w:fldCharType="begin"/>
            </w:r>
            <w:r>
              <w:rPr>
                <w:noProof/>
                <w:webHidden/>
              </w:rPr>
              <w:instrText xml:space="preserve"> PAGEREF _Toc203488108 \h </w:instrText>
            </w:r>
            <w:r>
              <w:rPr>
                <w:noProof/>
                <w:webHidden/>
              </w:rPr>
            </w:r>
            <w:r>
              <w:rPr>
                <w:noProof/>
                <w:webHidden/>
              </w:rPr>
              <w:fldChar w:fldCharType="separate"/>
            </w:r>
            <w:r w:rsidR="00AA5E71">
              <w:rPr>
                <w:noProof/>
                <w:webHidden/>
              </w:rPr>
              <w:t>18</w:t>
            </w:r>
            <w:r>
              <w:rPr>
                <w:noProof/>
                <w:webHidden/>
              </w:rPr>
              <w:fldChar w:fldCharType="end"/>
            </w:r>
          </w:hyperlink>
        </w:p>
        <w:p w14:paraId="0B252B81" w14:textId="4A802E58" w:rsidR="0094772D" w:rsidRDefault="0094772D">
          <w:pPr>
            <w:pStyle w:val="TOC1"/>
            <w:rPr>
              <w:rFonts w:eastAsiaTheme="minorEastAsia" w:cstheme="minorBidi"/>
              <w:b w:val="0"/>
              <w:bCs w:val="0"/>
              <w:caps w:val="0"/>
              <w:noProof/>
              <w:kern w:val="2"/>
              <w:sz w:val="24"/>
              <w:lang w:eastAsia="en-AU"/>
              <w14:ligatures w14:val="standardContextual"/>
            </w:rPr>
          </w:pPr>
          <w:hyperlink w:anchor="_Toc203488109" w:history="1">
            <w:r w:rsidRPr="00B60E1B">
              <w:rPr>
                <w:rStyle w:val="Hyperlink"/>
                <w:noProof/>
              </w:rPr>
              <w:t>Appended Data Tables</w:t>
            </w:r>
            <w:r>
              <w:rPr>
                <w:noProof/>
                <w:webHidden/>
              </w:rPr>
              <w:tab/>
            </w:r>
            <w:r>
              <w:rPr>
                <w:noProof/>
                <w:webHidden/>
              </w:rPr>
              <w:fldChar w:fldCharType="begin"/>
            </w:r>
            <w:r>
              <w:rPr>
                <w:noProof/>
                <w:webHidden/>
              </w:rPr>
              <w:instrText xml:space="preserve"> PAGEREF _Toc203488109 \h </w:instrText>
            </w:r>
            <w:r>
              <w:rPr>
                <w:noProof/>
                <w:webHidden/>
              </w:rPr>
            </w:r>
            <w:r>
              <w:rPr>
                <w:noProof/>
                <w:webHidden/>
              </w:rPr>
              <w:fldChar w:fldCharType="separate"/>
            </w:r>
            <w:r w:rsidR="00AA5E71">
              <w:rPr>
                <w:noProof/>
                <w:webHidden/>
              </w:rPr>
              <w:t>19</w:t>
            </w:r>
            <w:r>
              <w:rPr>
                <w:noProof/>
                <w:webHidden/>
              </w:rPr>
              <w:fldChar w:fldCharType="end"/>
            </w:r>
          </w:hyperlink>
        </w:p>
        <w:p w14:paraId="2C029B5A" w14:textId="436BDB8D"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110" w:history="1">
            <w:r w:rsidRPr="00B60E1B">
              <w:rPr>
                <w:rStyle w:val="Hyperlink"/>
                <w:noProof/>
              </w:rPr>
              <w:t>APPENDIX 1 – Retained catch data (target and byproduct species)</w:t>
            </w:r>
            <w:r>
              <w:rPr>
                <w:noProof/>
                <w:webHidden/>
              </w:rPr>
              <w:tab/>
            </w:r>
            <w:r>
              <w:rPr>
                <w:noProof/>
                <w:webHidden/>
              </w:rPr>
              <w:fldChar w:fldCharType="begin"/>
            </w:r>
            <w:r>
              <w:rPr>
                <w:noProof/>
                <w:webHidden/>
              </w:rPr>
              <w:instrText xml:space="preserve"> PAGEREF _Toc203488110 \h </w:instrText>
            </w:r>
            <w:r>
              <w:rPr>
                <w:noProof/>
                <w:webHidden/>
              </w:rPr>
            </w:r>
            <w:r>
              <w:rPr>
                <w:noProof/>
                <w:webHidden/>
              </w:rPr>
              <w:fldChar w:fldCharType="separate"/>
            </w:r>
            <w:r w:rsidR="00AA5E71">
              <w:rPr>
                <w:noProof/>
                <w:webHidden/>
              </w:rPr>
              <w:t>19</w:t>
            </w:r>
            <w:r>
              <w:rPr>
                <w:noProof/>
                <w:webHidden/>
              </w:rPr>
              <w:fldChar w:fldCharType="end"/>
            </w:r>
          </w:hyperlink>
        </w:p>
        <w:p w14:paraId="7B0E9AF7" w14:textId="793DA001"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111" w:history="1">
            <w:r w:rsidRPr="00B60E1B">
              <w:rPr>
                <w:rStyle w:val="Hyperlink"/>
                <w:noProof/>
              </w:rPr>
              <w:t>APPENDIX 2 – Discarded catch data (target and non-target species)</w:t>
            </w:r>
            <w:r>
              <w:rPr>
                <w:noProof/>
                <w:webHidden/>
              </w:rPr>
              <w:tab/>
            </w:r>
            <w:r>
              <w:rPr>
                <w:noProof/>
                <w:webHidden/>
              </w:rPr>
              <w:fldChar w:fldCharType="begin"/>
            </w:r>
            <w:r>
              <w:rPr>
                <w:noProof/>
                <w:webHidden/>
              </w:rPr>
              <w:instrText xml:space="preserve"> PAGEREF _Toc203488111 \h </w:instrText>
            </w:r>
            <w:r>
              <w:rPr>
                <w:noProof/>
                <w:webHidden/>
              </w:rPr>
            </w:r>
            <w:r>
              <w:rPr>
                <w:noProof/>
                <w:webHidden/>
              </w:rPr>
              <w:fldChar w:fldCharType="separate"/>
            </w:r>
            <w:r w:rsidR="00AA5E71">
              <w:rPr>
                <w:noProof/>
                <w:webHidden/>
              </w:rPr>
              <w:t>20</w:t>
            </w:r>
            <w:r>
              <w:rPr>
                <w:noProof/>
                <w:webHidden/>
              </w:rPr>
              <w:fldChar w:fldCharType="end"/>
            </w:r>
          </w:hyperlink>
        </w:p>
        <w:p w14:paraId="7A5BFCAC" w14:textId="72102601"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112" w:history="1">
            <w:r w:rsidRPr="00B60E1B">
              <w:rPr>
                <w:rStyle w:val="Hyperlink"/>
                <w:noProof/>
              </w:rPr>
              <w:t>APPENDIX 3 – Protected species interaction data</w:t>
            </w:r>
            <w:r>
              <w:rPr>
                <w:noProof/>
                <w:webHidden/>
              </w:rPr>
              <w:tab/>
            </w:r>
            <w:r>
              <w:rPr>
                <w:noProof/>
                <w:webHidden/>
              </w:rPr>
              <w:fldChar w:fldCharType="begin"/>
            </w:r>
            <w:r>
              <w:rPr>
                <w:noProof/>
                <w:webHidden/>
              </w:rPr>
              <w:instrText xml:space="preserve"> PAGEREF _Toc203488112 \h </w:instrText>
            </w:r>
            <w:r>
              <w:rPr>
                <w:noProof/>
                <w:webHidden/>
              </w:rPr>
            </w:r>
            <w:r>
              <w:rPr>
                <w:noProof/>
                <w:webHidden/>
              </w:rPr>
              <w:fldChar w:fldCharType="separate"/>
            </w:r>
            <w:r w:rsidR="00AA5E71">
              <w:rPr>
                <w:noProof/>
                <w:webHidden/>
              </w:rPr>
              <w:t>20</w:t>
            </w:r>
            <w:r>
              <w:rPr>
                <w:noProof/>
                <w:webHidden/>
              </w:rPr>
              <w:fldChar w:fldCharType="end"/>
            </w:r>
          </w:hyperlink>
        </w:p>
        <w:p w14:paraId="35F957EF" w14:textId="36C7D651"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113" w:history="1">
            <w:r w:rsidRPr="00B60E1B">
              <w:rPr>
                <w:rStyle w:val="Hyperlink"/>
                <w:noProof/>
              </w:rPr>
              <w:t>APPENDIX 4 – Fishing effort</w:t>
            </w:r>
            <w:r>
              <w:rPr>
                <w:noProof/>
                <w:webHidden/>
              </w:rPr>
              <w:tab/>
            </w:r>
            <w:r>
              <w:rPr>
                <w:noProof/>
                <w:webHidden/>
              </w:rPr>
              <w:fldChar w:fldCharType="begin"/>
            </w:r>
            <w:r>
              <w:rPr>
                <w:noProof/>
                <w:webHidden/>
              </w:rPr>
              <w:instrText xml:space="preserve"> PAGEREF _Toc203488113 \h </w:instrText>
            </w:r>
            <w:r>
              <w:rPr>
                <w:noProof/>
                <w:webHidden/>
              </w:rPr>
            </w:r>
            <w:r>
              <w:rPr>
                <w:noProof/>
                <w:webHidden/>
              </w:rPr>
              <w:fldChar w:fldCharType="separate"/>
            </w:r>
            <w:r w:rsidR="00AA5E71">
              <w:rPr>
                <w:noProof/>
                <w:webHidden/>
              </w:rPr>
              <w:t>20</w:t>
            </w:r>
            <w:r>
              <w:rPr>
                <w:noProof/>
                <w:webHidden/>
              </w:rPr>
              <w:fldChar w:fldCharType="end"/>
            </w:r>
          </w:hyperlink>
        </w:p>
        <w:p w14:paraId="39AF32A2" w14:textId="5FB1E4F5"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114" w:history="1">
            <w:r w:rsidRPr="00B60E1B">
              <w:rPr>
                <w:rStyle w:val="Hyperlink"/>
                <w:noProof/>
              </w:rPr>
              <w:t>APPENDIX 5 – Fishing maps</w:t>
            </w:r>
            <w:r>
              <w:rPr>
                <w:noProof/>
                <w:webHidden/>
              </w:rPr>
              <w:tab/>
            </w:r>
            <w:r>
              <w:rPr>
                <w:noProof/>
                <w:webHidden/>
              </w:rPr>
              <w:fldChar w:fldCharType="begin"/>
            </w:r>
            <w:r>
              <w:rPr>
                <w:noProof/>
                <w:webHidden/>
              </w:rPr>
              <w:instrText xml:space="preserve"> PAGEREF _Toc203488114 \h </w:instrText>
            </w:r>
            <w:r>
              <w:rPr>
                <w:noProof/>
                <w:webHidden/>
              </w:rPr>
            </w:r>
            <w:r>
              <w:rPr>
                <w:noProof/>
                <w:webHidden/>
              </w:rPr>
              <w:fldChar w:fldCharType="separate"/>
            </w:r>
            <w:r w:rsidR="00AA5E71">
              <w:rPr>
                <w:noProof/>
                <w:webHidden/>
              </w:rPr>
              <w:t>22</w:t>
            </w:r>
            <w:r>
              <w:rPr>
                <w:noProof/>
                <w:webHidden/>
              </w:rPr>
              <w:fldChar w:fldCharType="end"/>
            </w:r>
          </w:hyperlink>
        </w:p>
        <w:p w14:paraId="11363D48" w14:textId="6F711764" w:rsidR="0094772D" w:rsidRDefault="0094772D">
          <w:pPr>
            <w:pStyle w:val="TOC2"/>
            <w:tabs>
              <w:tab w:val="right" w:leader="dot" w:pos="9016"/>
            </w:tabs>
            <w:rPr>
              <w:rFonts w:eastAsiaTheme="minorEastAsia" w:cstheme="minorBidi"/>
              <w:smallCaps w:val="0"/>
              <w:noProof/>
              <w:kern w:val="2"/>
              <w:sz w:val="24"/>
              <w:lang w:eastAsia="en-AU"/>
              <w14:ligatures w14:val="standardContextual"/>
            </w:rPr>
          </w:pPr>
          <w:hyperlink w:anchor="_Toc203488115" w:history="1">
            <w:r w:rsidRPr="00B60E1B">
              <w:rPr>
                <w:rStyle w:val="Hyperlink"/>
                <w:noProof/>
              </w:rPr>
              <w:t>APPENDIX 6 – Approved Logbooks</w:t>
            </w:r>
            <w:r>
              <w:rPr>
                <w:noProof/>
                <w:webHidden/>
              </w:rPr>
              <w:tab/>
            </w:r>
            <w:r>
              <w:rPr>
                <w:noProof/>
                <w:webHidden/>
              </w:rPr>
              <w:fldChar w:fldCharType="begin"/>
            </w:r>
            <w:r>
              <w:rPr>
                <w:noProof/>
                <w:webHidden/>
              </w:rPr>
              <w:instrText xml:space="preserve"> PAGEREF _Toc203488115 \h </w:instrText>
            </w:r>
            <w:r>
              <w:rPr>
                <w:noProof/>
                <w:webHidden/>
              </w:rPr>
            </w:r>
            <w:r>
              <w:rPr>
                <w:noProof/>
                <w:webHidden/>
              </w:rPr>
              <w:fldChar w:fldCharType="separate"/>
            </w:r>
            <w:r w:rsidR="00AA5E71">
              <w:rPr>
                <w:noProof/>
                <w:webHidden/>
              </w:rPr>
              <w:t>23</w:t>
            </w:r>
            <w:r>
              <w:rPr>
                <w:noProof/>
                <w:webHidden/>
              </w:rPr>
              <w:fldChar w:fldCharType="end"/>
            </w:r>
          </w:hyperlink>
        </w:p>
        <w:p w14:paraId="4BF4AC79" w14:textId="68D9B11F" w:rsidR="000E77BE" w:rsidRPr="004E3085" w:rsidRDefault="006571DA" w:rsidP="004E3085">
          <w:pPr>
            <w:spacing w:after="0"/>
            <w:rPr>
              <w:sz w:val="2"/>
              <w:szCs w:val="2"/>
            </w:rPr>
          </w:pPr>
          <w:r>
            <w:rPr>
              <w:rFonts w:cstheme="minorHAnsi"/>
              <w:b/>
              <w:bCs/>
              <w:i/>
              <w:iCs/>
              <w:sz w:val="24"/>
              <w:szCs w:val="28"/>
            </w:rPr>
            <w:fldChar w:fldCharType="end"/>
          </w:r>
        </w:p>
      </w:sdtContent>
    </w:sdt>
    <w:p w14:paraId="51B4E324" w14:textId="606906A0" w:rsidR="001D33A1" w:rsidRDefault="001D33A1" w:rsidP="00817DFE">
      <w:pPr>
        <w:pStyle w:val="Heading1"/>
        <w:rPr>
          <w:b w:val="0"/>
          <w:bCs/>
          <w:sz w:val="36"/>
          <w:szCs w:val="36"/>
        </w:rPr>
      </w:pPr>
      <w:bookmarkStart w:id="0" w:name="_Toc203488068"/>
      <w:r>
        <w:rPr>
          <w:bCs/>
          <w:sz w:val="36"/>
          <w:szCs w:val="36"/>
        </w:rPr>
        <w:lastRenderedPageBreak/>
        <w:t>Int</w:t>
      </w:r>
      <w:r w:rsidR="00C81DCE">
        <w:rPr>
          <w:bCs/>
          <w:sz w:val="36"/>
          <w:szCs w:val="36"/>
        </w:rPr>
        <w:t>roduction</w:t>
      </w:r>
      <w:bookmarkEnd w:id="0"/>
    </w:p>
    <w:p w14:paraId="1B4C148C" w14:textId="023E5789" w:rsidR="00C81DCE" w:rsidRDefault="008D2875" w:rsidP="00C81DCE">
      <w:r w:rsidRPr="008D2875">
        <w:t xml:space="preserve">This submission meets the requirements for the </w:t>
      </w:r>
      <w:r w:rsidR="00177F2E">
        <w:t>a</w:t>
      </w:r>
      <w:r w:rsidRPr="008D2875">
        <w:t xml:space="preserve">ssessment </w:t>
      </w:r>
      <w:r w:rsidR="00177F2E">
        <w:t>of</w:t>
      </w:r>
      <w:r w:rsidRPr="008D2875">
        <w:t xml:space="preserve"> the </w:t>
      </w:r>
      <w:r w:rsidR="009917C5">
        <w:rPr>
          <w:color w:val="4000A6"/>
        </w:rPr>
        <w:t xml:space="preserve">Tasmanian </w:t>
      </w:r>
      <w:r w:rsidR="00BE7A17">
        <w:rPr>
          <w:color w:val="4000A6"/>
        </w:rPr>
        <w:t>Abalone</w:t>
      </w:r>
      <w:r w:rsidR="009917C5">
        <w:rPr>
          <w:color w:val="4000A6"/>
        </w:rPr>
        <w:t xml:space="preserve"> Fishery</w:t>
      </w:r>
      <w:r w:rsidR="000C4C1E" w:rsidRPr="00CA30DC">
        <w:rPr>
          <w:color w:val="4000A6"/>
        </w:rPr>
        <w:t xml:space="preserve"> </w:t>
      </w:r>
      <w:r w:rsidR="000C4C1E">
        <w:t xml:space="preserve">under the </w:t>
      </w:r>
      <w:r w:rsidR="007E0DCE" w:rsidRPr="007E0DCE">
        <w:rPr>
          <w:i/>
        </w:rPr>
        <w:t xml:space="preserve">Environment Protection and Biodiversity Conservation Act 1999 </w:t>
      </w:r>
      <w:r w:rsidR="007E0DCE" w:rsidRPr="007E0DCE">
        <w:rPr>
          <w:iCs/>
        </w:rPr>
        <w:t>(Cth)</w:t>
      </w:r>
      <w:r w:rsidR="007E0DCE" w:rsidRPr="007E0DCE">
        <w:t xml:space="preserve"> (EPBC Act)</w:t>
      </w:r>
      <w:r w:rsidR="007B079F">
        <w:t>.</w:t>
      </w:r>
      <w:r w:rsidR="007E0DCE">
        <w:t xml:space="preserve"> </w:t>
      </w:r>
    </w:p>
    <w:p w14:paraId="5E159FBA" w14:textId="79A77051" w:rsidR="002E3BCE" w:rsidRPr="00C81DCE" w:rsidRDefault="002E3BCE" w:rsidP="00C81DCE">
      <w:r w:rsidRPr="002E3BCE">
        <w:t xml:space="preserve">This submission has been produced to enable the </w:t>
      </w:r>
      <w:r w:rsidR="00E639BF" w:rsidRPr="00E639BF">
        <w:t>Department of Climate Change, Energy, the Environment and Water</w:t>
      </w:r>
      <w:r w:rsidR="00752D11">
        <w:t xml:space="preserve"> (DCCEEW)</w:t>
      </w:r>
      <w:r w:rsidR="00E639BF" w:rsidRPr="00E639BF">
        <w:t xml:space="preserve"> </w:t>
      </w:r>
      <w:r w:rsidRPr="002E3BCE">
        <w:t xml:space="preserve">to assess the </w:t>
      </w:r>
      <w:r w:rsidR="00BE7A17">
        <w:rPr>
          <w:color w:val="4000A6"/>
        </w:rPr>
        <w:t>Abalone</w:t>
      </w:r>
      <w:r w:rsidR="009917C5">
        <w:rPr>
          <w:color w:val="4000A6"/>
        </w:rPr>
        <w:t xml:space="preserve"> Fishery</w:t>
      </w:r>
      <w:r w:rsidR="00B02C5C" w:rsidRPr="00CA30DC">
        <w:rPr>
          <w:color w:val="4000A6"/>
        </w:rPr>
        <w:t xml:space="preserve"> </w:t>
      </w:r>
      <w:r w:rsidRPr="002E3BCE">
        <w:t xml:space="preserve">management arrangements </w:t>
      </w:r>
      <w:r w:rsidR="00B02C5C">
        <w:t xml:space="preserve">against the </w:t>
      </w:r>
      <w:r w:rsidR="00B02C5C" w:rsidRPr="00B02C5C">
        <w:rPr>
          <w:i/>
          <w:iCs/>
        </w:rPr>
        <w:t>Guidelines for the Ecologically Sustainable Management of Fisheries – 2nd Edition</w:t>
      </w:r>
      <w:r w:rsidR="00B02C5C" w:rsidRPr="00B02C5C">
        <w:t xml:space="preserve"> </w:t>
      </w:r>
      <w:r w:rsidR="00752D11" w:rsidRPr="00A91A12">
        <w:rPr>
          <w:rStyle w:val="cf21"/>
          <w:rFonts w:asciiTheme="minorHAnsi" w:hAnsiTheme="minorHAnsi" w:cstheme="minorHAnsi"/>
          <w:sz w:val="22"/>
          <w:szCs w:val="22"/>
        </w:rPr>
        <w:t>and the requirements set out in relevant sections of the EPBC Act</w:t>
      </w:r>
      <w:r w:rsidR="00752D11">
        <w:rPr>
          <w:rStyle w:val="cf21"/>
          <w:rFonts w:asciiTheme="minorHAnsi" w:hAnsiTheme="minorHAnsi" w:cstheme="minorHAnsi"/>
          <w:sz w:val="24"/>
          <w:szCs w:val="24"/>
        </w:rPr>
        <w:t>.</w:t>
      </w:r>
      <w:bookmarkStart w:id="1" w:name="_Hlk128641001"/>
    </w:p>
    <w:p w14:paraId="736206EE" w14:textId="4FA86461" w:rsidR="006B2F3F" w:rsidRPr="003D1EC6" w:rsidRDefault="00536EB0" w:rsidP="00817DFE">
      <w:pPr>
        <w:pStyle w:val="Heading1"/>
        <w:rPr>
          <w:b w:val="0"/>
          <w:bCs/>
          <w:sz w:val="36"/>
          <w:szCs w:val="36"/>
        </w:rPr>
      </w:pPr>
      <w:bookmarkStart w:id="2" w:name="_Toc203488069"/>
      <w:r w:rsidRPr="003D1EC6">
        <w:rPr>
          <w:bCs/>
          <w:sz w:val="36"/>
          <w:szCs w:val="36"/>
        </w:rPr>
        <w:t xml:space="preserve">The </w:t>
      </w:r>
      <w:r w:rsidR="00DF7A90">
        <w:rPr>
          <w:bCs/>
          <w:sz w:val="36"/>
          <w:szCs w:val="36"/>
        </w:rPr>
        <w:t>f</w:t>
      </w:r>
      <w:r w:rsidRPr="003D1EC6">
        <w:rPr>
          <w:bCs/>
          <w:sz w:val="36"/>
          <w:szCs w:val="36"/>
        </w:rPr>
        <w:t>ishery</w:t>
      </w:r>
      <w:bookmarkEnd w:id="1"/>
      <w:bookmarkEnd w:id="2"/>
    </w:p>
    <w:p w14:paraId="3DBF1968" w14:textId="4642357A" w:rsidR="00CA30DC" w:rsidRDefault="00536EB0" w:rsidP="00CA30DC">
      <w:pPr>
        <w:pStyle w:val="Heading2"/>
      </w:pPr>
      <w:bookmarkStart w:id="3" w:name="_Hlk128641136"/>
      <w:bookmarkStart w:id="4" w:name="_Toc203488070"/>
      <w:r w:rsidRPr="00EB720C">
        <w:t>Description of the fishery</w:t>
      </w:r>
      <w:bookmarkEnd w:id="3"/>
      <w:bookmarkEnd w:id="4"/>
    </w:p>
    <w:p w14:paraId="02A0F39D" w14:textId="29CB4B14" w:rsidR="001B42E8" w:rsidRDefault="00DC084F" w:rsidP="00DC084F">
      <w:bookmarkStart w:id="5" w:name="_Hlk128641227"/>
      <w:r>
        <w:t>The Tasmanian Abalone Fishery operates within all State Waters of Tasmania</w:t>
      </w:r>
      <w:r w:rsidR="006D0EF2">
        <w:t xml:space="preserve"> south of 39</w:t>
      </w:r>
      <w:r w:rsidR="006D0EF2" w:rsidRPr="006D0EF2">
        <w:rPr>
          <w:sz w:val="20"/>
          <w:szCs w:val="20"/>
          <w:highlight w:val="white"/>
          <w:vertAlign w:val="superscript"/>
        </w:rPr>
        <w:t xml:space="preserve"> </w:t>
      </w:r>
      <w:r w:rsidR="006D0EF2">
        <w:rPr>
          <w:sz w:val="20"/>
          <w:szCs w:val="20"/>
          <w:highlight w:val="white"/>
          <w:vertAlign w:val="superscript"/>
        </w:rPr>
        <w:t>o</w:t>
      </w:r>
      <w:r w:rsidR="006D0EF2">
        <w:t xml:space="preserve"> 12’</w:t>
      </w:r>
      <w:r>
        <w:t xml:space="preserve">, with jurisdiction granted to </w:t>
      </w:r>
      <w:r w:rsidRPr="006D5477">
        <w:t>Commonwealth waters out to 200</w:t>
      </w:r>
      <w:r w:rsidR="006D0EF2">
        <w:t xml:space="preserve"> </w:t>
      </w:r>
      <w:r w:rsidRPr="006D5477">
        <w:t>n</w:t>
      </w:r>
      <w:r w:rsidR="006D0EF2">
        <w:t xml:space="preserve">autical </w:t>
      </w:r>
      <w:r w:rsidRPr="006D5477">
        <w:t>m</w:t>
      </w:r>
      <w:r w:rsidR="006D0EF2">
        <w:t>iles of the coastline</w:t>
      </w:r>
      <w:r w:rsidRPr="006D5477">
        <w:t xml:space="preserve"> under </w:t>
      </w:r>
      <w:bookmarkStart w:id="6" w:name="_Hlk201859866"/>
      <w:r w:rsidR="006D0EF2">
        <w:t>Offshore Constitutional Settlements (</w:t>
      </w:r>
      <w:r w:rsidRPr="006D5477">
        <w:t>OCS</w:t>
      </w:r>
      <w:r w:rsidR="006D0EF2">
        <w:t>)</w:t>
      </w:r>
      <w:r w:rsidRPr="006D5477">
        <w:t xml:space="preserve"> </w:t>
      </w:r>
      <w:bookmarkEnd w:id="6"/>
      <w:r w:rsidRPr="006D5477">
        <w:t>arrangements.</w:t>
      </w:r>
      <w:r>
        <w:t xml:space="preserve"> The fishery is divided into five fishery parts to which </w:t>
      </w:r>
      <w:r w:rsidR="001B42E8">
        <w:t xml:space="preserve">total allowable </w:t>
      </w:r>
      <w:r>
        <w:t xml:space="preserve">catch </w:t>
      </w:r>
      <w:r w:rsidR="001B42E8">
        <w:t xml:space="preserve">(TAC) </w:t>
      </w:r>
      <w:r>
        <w:t>limits are applied</w:t>
      </w:r>
      <w:r w:rsidR="006D5477">
        <w:t>—Western Blacklip, Eastern Blacklip, Northern Blacklip, Bass Strait Blacklip, and Greenlip—</w:t>
      </w:r>
      <w:r>
        <w:t>and further divided into blocks and subblocks for spatial management purposes</w:t>
      </w:r>
      <w:r w:rsidR="006D5477">
        <w:t xml:space="preserve">. </w:t>
      </w:r>
      <w:r>
        <w:t xml:space="preserve"> </w:t>
      </w:r>
      <w:proofErr w:type="gramStart"/>
      <w:r w:rsidR="006D5477">
        <w:t>For the purpose of</w:t>
      </w:r>
      <w:proofErr w:type="gramEnd"/>
      <w:r w:rsidR="006D5477">
        <w:t xml:space="preserve"> efficient and meaningful fishery assessment, there is further c</w:t>
      </w:r>
      <w:r>
        <w:t>onsolidation of some subblocks into</w:t>
      </w:r>
      <w:r w:rsidR="000736F2">
        <w:t xml:space="preserve"> discrete</w:t>
      </w:r>
      <w:r>
        <w:t xml:space="preserve"> spatial assessment units (SAU). </w:t>
      </w:r>
    </w:p>
    <w:p w14:paraId="14AC41BD" w14:textId="6DA6B21F" w:rsidR="001B42E8" w:rsidRPr="001B42E8" w:rsidRDefault="00DC084F" w:rsidP="00CA30DC">
      <w:r>
        <w:t xml:space="preserve">The fishery parts are set under rule </w:t>
      </w:r>
      <w:r w:rsidR="006D5477">
        <w:t>9</w:t>
      </w:r>
      <w:r>
        <w:t xml:space="preserve"> of the </w:t>
      </w:r>
      <w:hyperlink r:id="rId9" w:history="1">
        <w:r w:rsidRPr="005F39A8">
          <w:rPr>
            <w:rStyle w:val="Hyperlink"/>
            <w:i/>
            <w:iCs/>
          </w:rPr>
          <w:t>Fisheries (</w:t>
        </w:r>
        <w:r w:rsidR="006D5477">
          <w:rPr>
            <w:rStyle w:val="Hyperlink"/>
            <w:i/>
            <w:iCs/>
          </w:rPr>
          <w:t>Abalone</w:t>
        </w:r>
        <w:r w:rsidRPr="005F39A8">
          <w:rPr>
            <w:rStyle w:val="Hyperlink"/>
            <w:i/>
            <w:iCs/>
          </w:rPr>
          <w:t>) Rules 2</w:t>
        </w:r>
        <w:r w:rsidR="006D5477">
          <w:rPr>
            <w:rStyle w:val="Hyperlink"/>
            <w:i/>
            <w:iCs/>
          </w:rPr>
          <w:t>017</w:t>
        </w:r>
      </w:hyperlink>
      <w:r>
        <w:rPr>
          <w:i/>
          <w:iCs/>
        </w:rPr>
        <w:t xml:space="preserve"> </w:t>
      </w:r>
      <w:r>
        <w:t>(hereafter referred to as ‘the Rules’).</w:t>
      </w:r>
      <w:r w:rsidR="001B42E8">
        <w:t xml:space="preserve"> A</w:t>
      </w:r>
      <w:r>
        <w:t xml:space="preserve"> static map of the fishery parts</w:t>
      </w:r>
      <w:r w:rsidR="001B42E8">
        <w:t xml:space="preserve"> </w:t>
      </w:r>
      <w:r>
        <w:t xml:space="preserve">is </w:t>
      </w:r>
      <w:r w:rsidR="001B42E8">
        <w:t xml:space="preserve">provided in Appendix 5, </w:t>
      </w:r>
      <w:r>
        <w:t xml:space="preserve">and an interactive map of the blocks and subblocks is accessible online at </w:t>
      </w:r>
      <w:hyperlink r:id="rId10" w:history="1">
        <w:r w:rsidRPr="000465E7">
          <w:rPr>
            <w:rStyle w:val="Hyperlink"/>
          </w:rPr>
          <w:t>LISTmap</w:t>
        </w:r>
      </w:hyperlink>
      <w:r>
        <w:t>.</w:t>
      </w:r>
    </w:p>
    <w:p w14:paraId="202D03F0" w14:textId="4DA53DEA" w:rsidR="004C6021" w:rsidRDefault="004C6021" w:rsidP="00EB720C">
      <w:pPr>
        <w:pStyle w:val="Heading2"/>
      </w:pPr>
      <w:bookmarkStart w:id="7" w:name="_Toc203488071"/>
      <w:r w:rsidRPr="004C6021">
        <w:t xml:space="preserve">Fishing methods and </w:t>
      </w:r>
      <w:r w:rsidR="00EA5568">
        <w:t>g</w:t>
      </w:r>
      <w:r w:rsidRPr="004C6021">
        <w:t>ear</w:t>
      </w:r>
      <w:bookmarkEnd w:id="7"/>
    </w:p>
    <w:p w14:paraId="5748136B" w14:textId="69689DB4" w:rsidR="001B42E8" w:rsidRDefault="001B42E8" w:rsidP="001B42E8">
      <w:r>
        <w:t>The Tasmanian Abalone Fishery is exclusively a dive fishery, with divers permitted to use dive and snorkel gear which includes masks, snorkels, fins, wetsuits, compressed air and associated equipment including hookah</w:t>
      </w:r>
      <w:r w:rsidR="006D5D6C">
        <w:t xml:space="preserve"> lines</w:t>
      </w:r>
      <w:r>
        <w:t xml:space="preserve"> and nitrox</w:t>
      </w:r>
      <w:r w:rsidR="006D5D6C">
        <w:t>. With nitrox, divers can reach depths of up to 30 metres.</w:t>
      </w:r>
    </w:p>
    <w:p w14:paraId="031DD926" w14:textId="2F4E8C12" w:rsidR="001B42E8" w:rsidRDefault="001B42E8" w:rsidP="001B42E8">
      <w:r>
        <w:t xml:space="preserve">Abalone divers hand-collect abalone into netted bags by hand, and with the aid of an abalone iron or a commercially manufactured knife, the latter defined in </w:t>
      </w:r>
      <w:hyperlink r:id="rId11" w:anchor="GS17@EN" w:history="1">
        <w:r>
          <w:rPr>
            <w:rStyle w:val="Hyperlink"/>
          </w:rPr>
          <w:t>r 17</w:t>
        </w:r>
      </w:hyperlink>
      <w:r>
        <w:t xml:space="preserve"> of the </w:t>
      </w:r>
      <w:r w:rsidRPr="00C26D79">
        <w:rPr>
          <w:i/>
          <w:iCs/>
        </w:rPr>
        <w:t>Fisheries (</w:t>
      </w:r>
      <w:r>
        <w:rPr>
          <w:i/>
          <w:iCs/>
        </w:rPr>
        <w:t>Abalone</w:t>
      </w:r>
      <w:r w:rsidRPr="00C26D79">
        <w:rPr>
          <w:i/>
          <w:iCs/>
        </w:rPr>
        <w:t>) Rules 201</w:t>
      </w:r>
      <w:r>
        <w:rPr>
          <w:i/>
          <w:iCs/>
        </w:rPr>
        <w:t xml:space="preserve">7 </w:t>
      </w:r>
      <w:r>
        <w:t>(hereafter referred to as ‘the Rules’) as having a blade not less than 18 millimetres wide (excluding that part of the blade that is within 50 millimetres of the tip of the blade). No other forms of collection aids are permitted.</w:t>
      </w:r>
    </w:p>
    <w:p w14:paraId="5312F376" w14:textId="07127ECA" w:rsidR="009C1CEC" w:rsidRPr="00930C5D" w:rsidRDefault="001B42E8" w:rsidP="00103988">
      <w:pPr>
        <w:rPr>
          <w:u w:val="single"/>
        </w:rPr>
      </w:pPr>
      <w:r>
        <w:t>Abalone divers dive from licenced vessels of a range of sizes, including smaller dinghies and larger mother-boats or their tender vessels. vessel sizes. Divers are assisted by deckhands and may work singly or in pairs (a ‘</w:t>
      </w:r>
      <w:r w:rsidR="00395440">
        <w:t xml:space="preserve">diving </w:t>
      </w:r>
      <w:r>
        <w:t>team</w:t>
      </w:r>
      <w:r w:rsidR="00395440">
        <w:t xml:space="preserve">’ per </w:t>
      </w:r>
      <w:hyperlink r:id="rId12" w:anchor="GS38@EN" w:history="1">
        <w:r w:rsidR="00395440" w:rsidRPr="00395440">
          <w:rPr>
            <w:rStyle w:val="Hyperlink"/>
          </w:rPr>
          <w:t>r 38</w:t>
        </w:r>
      </w:hyperlink>
      <w:r w:rsidR="00395440">
        <w:t xml:space="preserve"> of the Rules),</w:t>
      </w:r>
      <w:r>
        <w:t xml:space="preserve"> with catch identified to individuals. Diving</w:t>
      </w:r>
      <w:r w:rsidR="00395440">
        <w:t xml:space="preserve"> may be conducted </w:t>
      </w:r>
      <w:r>
        <w:t>as day trips</w:t>
      </w:r>
      <w:r w:rsidR="00395440">
        <w:t xml:space="preserve"> or as </w:t>
      </w:r>
      <w:r>
        <w:t>overnight mother-boating</w:t>
      </w:r>
      <w:r w:rsidR="00395440">
        <w:t xml:space="preserve">; mother-boating and dive teams are usual practice in this fishery. Vessel Monitoring Systems (VMS) are mandatory for all mother-boats, all overnight fishing trips, and all fishing within the Bass Strait area per </w:t>
      </w:r>
      <w:hyperlink r:id="rId13" w:anchor="HP4@HD3@EN" w:history="1">
        <w:r w:rsidR="00395440" w:rsidRPr="00395440">
          <w:rPr>
            <w:rStyle w:val="Hyperlink"/>
          </w:rPr>
          <w:t>division 3</w:t>
        </w:r>
      </w:hyperlink>
      <w:r w:rsidR="00395440">
        <w:t xml:space="preserve"> of the Rules. </w:t>
      </w:r>
    </w:p>
    <w:p w14:paraId="137D5B22" w14:textId="7E28A152" w:rsidR="00536EB0" w:rsidRPr="00EB720C" w:rsidRDefault="00186515" w:rsidP="00EB720C">
      <w:pPr>
        <w:pStyle w:val="Heading2"/>
      </w:pPr>
      <w:bookmarkStart w:id="8" w:name="_Hlk129069877"/>
      <w:bookmarkStart w:id="9" w:name="_Toc203488072"/>
      <w:r w:rsidRPr="00EB720C">
        <w:t>Target and byproduct species</w:t>
      </w:r>
      <w:bookmarkEnd w:id="8"/>
      <w:bookmarkEnd w:id="9"/>
    </w:p>
    <w:p w14:paraId="697905A0" w14:textId="1FC5BC05" w:rsidR="00395440" w:rsidRDefault="00395440" w:rsidP="00395440">
      <w:r>
        <w:t xml:space="preserve">The fishery </w:t>
      </w:r>
      <w:r w:rsidR="004116DC">
        <w:t xml:space="preserve">exclusively </w:t>
      </w:r>
      <w:r>
        <w:t xml:space="preserve">targets </w:t>
      </w:r>
      <w:r w:rsidR="004116DC">
        <w:t>B</w:t>
      </w:r>
      <w:r>
        <w:t>lacklip Abalone (</w:t>
      </w:r>
      <w:r>
        <w:rPr>
          <w:i/>
          <w:iCs/>
        </w:rPr>
        <w:t>Haliotis rubra</w:t>
      </w:r>
      <w:r>
        <w:t>) and Greenlip Abalone (</w:t>
      </w:r>
      <w:r>
        <w:rPr>
          <w:i/>
          <w:iCs/>
        </w:rPr>
        <w:t>Haliotis laevigata</w:t>
      </w:r>
      <w:r>
        <w:t xml:space="preserve">). Being a </w:t>
      </w:r>
      <w:r w:rsidR="00455F1F">
        <w:t xml:space="preserve">highly specialised </w:t>
      </w:r>
      <w:r>
        <w:t>dive fishery with targeted hand collection, bycatch/byproduct species are nil to negligible.</w:t>
      </w:r>
    </w:p>
    <w:p w14:paraId="4AB7F234" w14:textId="77777777" w:rsidR="00455F1F" w:rsidRDefault="00395440" w:rsidP="00395440">
      <w:r>
        <w:lastRenderedPageBreak/>
        <w:t xml:space="preserve">The target species are each managed with </w:t>
      </w:r>
      <w:r w:rsidR="006F578C">
        <w:t xml:space="preserve">annual </w:t>
      </w:r>
      <w:r w:rsidR="004116DC">
        <w:t xml:space="preserve">total </w:t>
      </w:r>
      <w:r>
        <w:t>a</w:t>
      </w:r>
      <w:r w:rsidR="004116DC">
        <w:t>llowable</w:t>
      </w:r>
      <w:r w:rsidR="006F578C">
        <w:t xml:space="preserve"> commercial</w:t>
      </w:r>
      <w:r w:rsidR="004116DC">
        <w:t xml:space="preserve"> catch </w:t>
      </w:r>
      <w:r w:rsidR="006F578C">
        <w:t xml:space="preserve">limits </w:t>
      </w:r>
      <w:r w:rsidR="004116DC">
        <w:t xml:space="preserve">(TACs) that </w:t>
      </w:r>
      <w:r w:rsidR="006F578C">
        <w:t>are</w:t>
      </w:r>
      <w:r w:rsidR="004116DC">
        <w:t xml:space="preserve"> allocated between the relevant fishery parts</w:t>
      </w:r>
      <w:r>
        <w:t xml:space="preserve">. Smaller catch-caps may be applied annually to defined areas (usually a grouping of subblocks) to </w:t>
      </w:r>
      <w:r w:rsidR="004116DC">
        <w:t>limit</w:t>
      </w:r>
      <w:r>
        <w:t xml:space="preserve"> localised effort and spread effort to other parts of the fishery</w:t>
      </w:r>
      <w:r w:rsidR="004116DC">
        <w:t>, but these caps are monitored internally by NRE Tas only and not made public</w:t>
      </w:r>
      <w:r>
        <w:t xml:space="preserve">. </w:t>
      </w:r>
      <w:r w:rsidR="006F578C">
        <w:t>The TACs</w:t>
      </w:r>
      <w:r>
        <w:t xml:space="preserve"> </w:t>
      </w:r>
      <w:r w:rsidR="00455F1F">
        <w:t xml:space="preserve">and spawning closures for the coming season </w:t>
      </w:r>
      <w:r>
        <w:t xml:space="preserve">are determined by </w:t>
      </w:r>
      <w:r w:rsidR="004116DC">
        <w:t>31 December</w:t>
      </w:r>
      <w:r>
        <w:t xml:space="preserve"> of each year</w:t>
      </w:r>
      <w:r w:rsidR="00455F1F">
        <w:t xml:space="preserve">, and </w:t>
      </w:r>
      <w:r w:rsidR="006F578C">
        <w:t>published</w:t>
      </w:r>
      <w:r w:rsidR="00455F1F">
        <w:t xml:space="preserve"> online at </w:t>
      </w:r>
      <w:hyperlink r:id="rId14" w:history="1">
        <w:r w:rsidR="00455F1F" w:rsidRPr="006F578C">
          <w:rPr>
            <w:rStyle w:val="Hyperlink"/>
          </w:rPr>
          <w:t>Abalone Closures | Fishing Tasmania</w:t>
        </w:r>
      </w:hyperlink>
      <w:r w:rsidR="00455F1F">
        <w:t xml:space="preserve"> via</w:t>
      </w:r>
      <w:r w:rsidR="006F578C">
        <w:t xml:space="preserve"> </w:t>
      </w:r>
      <w:r>
        <w:t xml:space="preserve">notice </w:t>
      </w:r>
      <w:r w:rsidR="00455F1F">
        <w:t xml:space="preserve">made </w:t>
      </w:r>
      <w:r>
        <w:t xml:space="preserve">under </w:t>
      </w:r>
      <w:hyperlink r:id="rId15" w:anchor="GS9@EN" w:history="1">
        <w:r w:rsidRPr="006F578C">
          <w:rPr>
            <w:rStyle w:val="Hyperlink"/>
          </w:rPr>
          <w:t>r</w:t>
        </w:r>
        <w:r w:rsidR="006F578C" w:rsidRPr="006F578C">
          <w:rPr>
            <w:rStyle w:val="Hyperlink"/>
          </w:rPr>
          <w:t xml:space="preserve"> 9</w:t>
        </w:r>
      </w:hyperlink>
      <w:r>
        <w:t xml:space="preserve"> of the Rules</w:t>
      </w:r>
      <w:r w:rsidR="00455F1F">
        <w:t>.</w:t>
      </w:r>
    </w:p>
    <w:p w14:paraId="44390176" w14:textId="0DD3807F" w:rsidR="007B4233" w:rsidRDefault="006F578C" w:rsidP="00395440">
      <w:r>
        <w:t>The TACs are further divided equally between 3,500 individually transferrable quota units (ITQs)</w:t>
      </w:r>
      <w:r w:rsidR="007B4233">
        <w:t>, to control access to the fishery</w:t>
      </w:r>
      <w:r>
        <w:t xml:space="preserve">. </w:t>
      </w:r>
    </w:p>
    <w:p w14:paraId="20D56FC1" w14:textId="77777777" w:rsidR="00855975" w:rsidRDefault="00395440" w:rsidP="00395440">
      <w:r w:rsidRPr="00BC484D">
        <w:t xml:space="preserve">Appendix </w:t>
      </w:r>
      <w:r>
        <w:t>1</w:t>
      </w:r>
      <w:r w:rsidRPr="00BC484D">
        <w:t xml:space="preserve"> provides the weight of all retained catches of each species</w:t>
      </w:r>
      <w:r>
        <w:t xml:space="preserve"> </w:t>
      </w:r>
      <w:r w:rsidRPr="00BC484D">
        <w:t xml:space="preserve">per year for the past </w:t>
      </w:r>
      <w:r>
        <w:t>five</w:t>
      </w:r>
      <w:r w:rsidRPr="00BC484D">
        <w:t xml:space="preserve"> years.</w:t>
      </w:r>
      <w:r w:rsidR="00455F1F">
        <w:t xml:space="preserve"> </w:t>
      </w:r>
      <w:r w:rsidR="00C16329">
        <w:t xml:space="preserve"> </w:t>
      </w:r>
      <w:r w:rsidR="00455F1F">
        <w:t>The overall TACC has been steadily trending downwards, with the largest reductions made between 2019 and 2020 in the Northern and Western Blacklip Abalone Zones, and for Greenlip.</w:t>
      </w:r>
      <w:r w:rsidR="006D5D6C">
        <w:t xml:space="preserve"> </w:t>
      </w:r>
      <w:r w:rsidR="00855975" w:rsidRPr="00855975">
        <w:t>Catch levels reached a historical low in 2024, following reductions each year since 2010.</w:t>
      </w:r>
      <w:r w:rsidR="00855975">
        <w:t xml:space="preserve"> </w:t>
      </w:r>
    </w:p>
    <w:p w14:paraId="66CCFC6D" w14:textId="528E7A96" w:rsidR="00855975" w:rsidRDefault="006D5D6C" w:rsidP="00395440">
      <w:r>
        <w:t>TACC reductions</w:t>
      </w:r>
      <w:r w:rsidR="00455F1F">
        <w:t xml:space="preserve"> </w:t>
      </w:r>
      <w:r>
        <w:t xml:space="preserve">have been indicated by the Tasmanian Abalone Harvest </w:t>
      </w:r>
      <w:r w:rsidR="00855975">
        <w:t>Strategy and</w:t>
      </w:r>
      <w:r>
        <w:t xml:space="preserve"> are not unexpected in the joint-context of the stock having previously been classed as transitionally-depleting, and with abalone requiring long generational timeframes to naturally recover.</w:t>
      </w:r>
      <w:r w:rsidR="00855975">
        <w:t xml:space="preserve"> </w:t>
      </w:r>
    </w:p>
    <w:p w14:paraId="10FD21E4" w14:textId="2ACA9B52" w:rsidR="00455F1F" w:rsidRDefault="00855975" w:rsidP="00395440">
      <w:r w:rsidRPr="00855975">
        <w:t>Recent data indicate increasing stability across all zones particularly since 2021. Notably, 2025 marks the first overall increase in TACC since 2010, with signs of continued stability across most Zones.</w:t>
      </w:r>
    </w:p>
    <w:p w14:paraId="0E4C1532" w14:textId="33268E47" w:rsidR="00186515" w:rsidRPr="00EB720C" w:rsidRDefault="004C6021" w:rsidP="00EB720C">
      <w:pPr>
        <w:pStyle w:val="Heading2"/>
      </w:pPr>
      <w:bookmarkStart w:id="10" w:name="_Toc203488073"/>
      <w:bookmarkEnd w:id="5"/>
      <w:r w:rsidRPr="00EB720C">
        <w:t>Value of the fishery</w:t>
      </w:r>
      <w:bookmarkEnd w:id="10"/>
    </w:p>
    <w:p w14:paraId="21C1D8C8" w14:textId="6F40BCB2" w:rsidR="00844B68" w:rsidRDefault="00844B68" w:rsidP="00255334">
      <w:r>
        <w:t>The Tasmanian Abalone Fishery produces approximately 25% of the total annual global production of wild-caught abalone, and the Gross Value of Production (GVP) was estimated at $86M in 2017</w:t>
      </w:r>
      <w:r w:rsidR="00766CA0">
        <w:t>-</w:t>
      </w:r>
      <w:r>
        <w:t xml:space="preserve">18 from a TAC of 1,473 tonnes per the </w:t>
      </w:r>
      <w:hyperlink r:id="rId16" w:history="1">
        <w:r w:rsidRPr="00844B68">
          <w:rPr>
            <w:rStyle w:val="Hyperlink"/>
            <w:i/>
            <w:iCs/>
          </w:rPr>
          <w:t>Tasmanian Fisheries and Aquaculture Industry 2017</w:t>
        </w:r>
        <w:r w:rsidR="00766CA0">
          <w:rPr>
            <w:rStyle w:val="Hyperlink"/>
            <w:i/>
            <w:iCs/>
          </w:rPr>
          <w:t>-</w:t>
        </w:r>
        <w:r w:rsidRPr="00844B68">
          <w:rPr>
            <w:rStyle w:val="Hyperlink"/>
            <w:i/>
            <w:iCs/>
          </w:rPr>
          <w:t>1</w:t>
        </w:r>
        <w:r>
          <w:rPr>
            <w:rStyle w:val="Hyperlink"/>
            <w:i/>
            <w:iCs/>
          </w:rPr>
          <w:t>8</w:t>
        </w:r>
        <w:r w:rsidRPr="00844B68">
          <w:rPr>
            <w:rStyle w:val="Hyperlink"/>
            <w:i/>
            <w:iCs/>
          </w:rPr>
          <w:t>: Economic Contributions Summary</w:t>
        </w:r>
      </w:hyperlink>
      <w:r>
        <w:t>.</w:t>
      </w:r>
    </w:p>
    <w:p w14:paraId="044E9AA4" w14:textId="005F16C1" w:rsidR="00455F1F" w:rsidRDefault="00455F1F" w:rsidP="00255334">
      <w:r>
        <w:t xml:space="preserve">The Gross Value Added (GVA) was estimated at $53.1M in 2021-22, with direct employment of 248 persons and indirect employment of 185 FTEs per the </w:t>
      </w:r>
      <w:hyperlink r:id="rId17" w:history="1">
        <w:r w:rsidRPr="00455F1F">
          <w:rPr>
            <w:rStyle w:val="Hyperlink"/>
            <w:i/>
            <w:iCs/>
          </w:rPr>
          <w:t>Tasmanian Fisheries and Aquaculture Industry 2020/21: Economic Contributions Technical Report</w:t>
        </w:r>
      </w:hyperlink>
      <w:r>
        <w:t>.</w:t>
      </w:r>
    </w:p>
    <w:p w14:paraId="5EEC2360" w14:textId="72A79311" w:rsidR="006F578C" w:rsidRDefault="006F578C" w:rsidP="00255334">
      <w:r>
        <w:t xml:space="preserve">The </w:t>
      </w:r>
      <w:hyperlink r:id="rId18" w:history="1">
        <w:r w:rsidRPr="004E7D42">
          <w:rPr>
            <w:rStyle w:val="Hyperlink"/>
            <w:i/>
            <w:iCs/>
          </w:rPr>
          <w:t>Social-Economic Analysis of the Tasmanian Dive Sector: Snapshot Report 2024</w:t>
        </w:r>
      </w:hyperlink>
      <w:r>
        <w:rPr>
          <w:i/>
          <w:iCs/>
        </w:rPr>
        <w:t xml:space="preserve"> </w:t>
      </w:r>
      <w:r>
        <w:t>estimated the value of the Tasmanian Abalone Fishery in the 2022/23 financial year as $</w:t>
      </w:r>
      <w:r w:rsidR="00844B68">
        <w:t>45.4</w:t>
      </w:r>
      <w:r>
        <w:t>M measured as total direct output, and $</w:t>
      </w:r>
      <w:r w:rsidR="00844B68">
        <w:t>46.4</w:t>
      </w:r>
      <w:r>
        <w:t>M measured as total Gross Value Added (GVA)</w:t>
      </w:r>
      <w:r w:rsidR="00844B68">
        <w:t xml:space="preserve"> </w:t>
      </w:r>
      <w:bookmarkStart w:id="11" w:name="_Hlk201322693"/>
      <w:r w:rsidR="00844B68">
        <w:t>of the dive sector plus $16.7M GVA attributed to abalone processing.</w:t>
      </w:r>
      <w:bookmarkEnd w:id="11"/>
    </w:p>
    <w:p w14:paraId="72B22DA0" w14:textId="2984A16B" w:rsidR="00844B68" w:rsidRPr="00455F1F" w:rsidRDefault="00844B68" w:rsidP="00CC3B77">
      <w:pPr>
        <w:rPr>
          <w:color w:val="4000A6"/>
        </w:rPr>
      </w:pPr>
      <w:r w:rsidRPr="00455F1F">
        <w:t>Almost all catch is exported, primarily to China</w:t>
      </w:r>
      <w:r w:rsidR="00CC3B77" w:rsidRPr="00455F1F">
        <w:t xml:space="preserve">, Hong Kong, Singapore, Taiwan, and Japan. The product may be sold live, canned, frozen, dried, or vacuum packed, but live abalone is preferred. </w:t>
      </w:r>
    </w:p>
    <w:p w14:paraId="727E654E" w14:textId="31E47F7F" w:rsidR="00DF37FD" w:rsidRDefault="00DF37FD" w:rsidP="00314F4F">
      <w:pPr>
        <w:pStyle w:val="Heading1"/>
      </w:pPr>
      <w:bookmarkStart w:id="12" w:name="_Toc203488074"/>
      <w:r w:rsidRPr="00527876">
        <w:rPr>
          <w:bCs/>
          <w:sz w:val="36"/>
          <w:szCs w:val="36"/>
        </w:rPr>
        <w:t xml:space="preserve">Management </w:t>
      </w:r>
      <w:r w:rsidR="00DF7A90">
        <w:rPr>
          <w:bCs/>
          <w:sz w:val="36"/>
          <w:szCs w:val="36"/>
        </w:rPr>
        <w:t>r</w:t>
      </w:r>
      <w:r w:rsidRPr="00527876">
        <w:rPr>
          <w:bCs/>
          <w:sz w:val="36"/>
          <w:szCs w:val="36"/>
        </w:rPr>
        <w:t>egime</w:t>
      </w:r>
      <w:bookmarkEnd w:id="12"/>
    </w:p>
    <w:p w14:paraId="2F425E68" w14:textId="056A0D44" w:rsidR="00DF37FD" w:rsidRPr="00906715" w:rsidRDefault="004B05AE" w:rsidP="00906715">
      <w:pPr>
        <w:pStyle w:val="Heading2"/>
      </w:pPr>
      <w:bookmarkStart w:id="13" w:name="_Toc203488075"/>
      <w:r w:rsidRPr="00906715">
        <w:t>Description of the management regime</w:t>
      </w:r>
      <w:bookmarkEnd w:id="13"/>
    </w:p>
    <w:p w14:paraId="05B0B1CB" w14:textId="4CB879E8" w:rsidR="00766CA0" w:rsidRDefault="00766CA0" w:rsidP="00766CA0">
      <w:r>
        <w:t xml:space="preserve">The Tasmanian Abalone Fishery is managed under the </w:t>
      </w:r>
      <w:hyperlink r:id="rId19" w:tooltip="Living Marine Resources Management Act 1995" w:history="1">
        <w:r w:rsidRPr="006955ED">
          <w:rPr>
            <w:rStyle w:val="Hyperlink"/>
            <w:i/>
            <w:iCs/>
          </w:rPr>
          <w:t>Living Marine Resources Management Act 1995</w:t>
        </w:r>
      </w:hyperlink>
      <w:r>
        <w:t xml:space="preserve"> (LMRMA) and subordinate legislation including the </w:t>
      </w:r>
      <w:hyperlink r:id="rId20" w:history="1">
        <w:r>
          <w:rPr>
            <w:rStyle w:val="Hyperlink"/>
            <w:i/>
            <w:iCs/>
          </w:rPr>
          <w:t>Fisheries (Abalone) Rules 20​17</w:t>
        </w:r>
      </w:hyperlink>
      <w:r>
        <w:rPr>
          <w:i/>
          <w:iCs/>
        </w:rPr>
        <w:t xml:space="preserve"> </w:t>
      </w:r>
      <w:r>
        <w:t xml:space="preserve">(‘the Rules’; these Rules also act as the management plan), </w:t>
      </w:r>
      <w:hyperlink r:id="rId21" w:tooltip="Fisheries Rules 2019" w:history="1">
        <w:r w:rsidRPr="006955ED">
          <w:rPr>
            <w:rStyle w:val="Hyperlink"/>
            <w:i/>
            <w:iCs/>
          </w:rPr>
          <w:t>Fisheries Rules 2019</w:t>
        </w:r>
      </w:hyperlink>
      <w:r>
        <w:t xml:space="preserve">, </w:t>
      </w:r>
      <w:hyperlink r:id="rId22" w:history="1">
        <w:r w:rsidRPr="00766CA0">
          <w:rPr>
            <w:rStyle w:val="Hyperlink"/>
            <w:i/>
            <w:iCs/>
          </w:rPr>
          <w:t>Fisheries (Processing and Handling) Rules 2021</w:t>
        </w:r>
        <w:r w:rsidRPr="00766CA0">
          <w:rPr>
            <w:rStyle w:val="Hyperlink"/>
          </w:rPr>
          <w:t>​</w:t>
        </w:r>
      </w:hyperlink>
      <w:r>
        <w:t xml:space="preserve">, </w:t>
      </w:r>
      <w:hyperlink r:id="rId23" w:tooltip="Fisheries (General and Fees) Regulations 2016" w:history="1">
        <w:r w:rsidRPr="006955ED">
          <w:rPr>
            <w:rStyle w:val="Hyperlink"/>
            <w:i/>
            <w:iCs/>
          </w:rPr>
          <w:t>Fisheries (General and Fees) Regulations 2016</w:t>
        </w:r>
      </w:hyperlink>
      <w:r>
        <w:t xml:space="preserve">, </w:t>
      </w:r>
      <w:hyperlink r:id="rId24" w:tooltip="Fishing (Licence Ownership and Interest) Registration (Fees) Regulations 2002" w:history="1">
        <w:r w:rsidRPr="00766CA0">
          <w:rPr>
            <w:rStyle w:val="Hyperlink"/>
            <w:i/>
            <w:iCs/>
          </w:rPr>
          <w:t>Fishing (Licence Ownership and Interest) Registration (Fees) Regulations 202</w:t>
        </w:r>
      </w:hyperlink>
      <w:hyperlink r:id="rId25" w:tooltip="Fishing (Licence Ownership and Interest) Registration (Fees) Regulations 2002" w:history="1">
        <w:r w:rsidRPr="00766CA0">
          <w:rPr>
            <w:rStyle w:val="Hyperlink"/>
            <w:i/>
            <w:iCs/>
          </w:rPr>
          <w:t>2</w:t>
        </w:r>
      </w:hyperlink>
      <w:r w:rsidRPr="00766CA0">
        <w:t> </w:t>
      </w:r>
      <w:r>
        <w:t xml:space="preserve">and the </w:t>
      </w:r>
      <w:hyperlink r:id="rId26" w:history="1">
        <w:r w:rsidRPr="006955ED">
          <w:rPr>
            <w:rStyle w:val="Hyperlink"/>
            <w:i/>
            <w:iCs/>
          </w:rPr>
          <w:t>Fisheries (Penalty)​ Regulations 2021</w:t>
        </w:r>
        <w:r w:rsidRPr="006955ED">
          <w:rPr>
            <w:rStyle w:val="Hyperlink"/>
          </w:rPr>
          <w:t>​</w:t>
        </w:r>
      </w:hyperlink>
      <w:r>
        <w:t>.</w:t>
      </w:r>
    </w:p>
    <w:p w14:paraId="44D35EEA" w14:textId="381CB859" w:rsidR="00431618" w:rsidRDefault="00431618" w:rsidP="00431618">
      <w:r>
        <w:lastRenderedPageBreak/>
        <w:t xml:space="preserve">Annual determination of TACs is supported with a </w:t>
      </w:r>
      <w:hyperlink r:id="rId27" w:history="1">
        <w:r w:rsidRPr="00925DBE">
          <w:rPr>
            <w:rStyle w:val="Hyperlink"/>
          </w:rPr>
          <w:t>Harvest Strategy</w:t>
        </w:r>
      </w:hyperlink>
      <w:r>
        <w:t>, which uses an empirical harvest strategy (EHS) based on multi-criteria decision analysis (MCDA) methods, based on a selection of performance measures.</w:t>
      </w:r>
    </w:p>
    <w:p w14:paraId="1A97D533" w14:textId="3F07842F" w:rsidR="00766CA0" w:rsidRDefault="00766CA0" w:rsidP="00766CA0">
      <w:r>
        <w:t>The fishery is further managed with consideration given to the 3,500 abalone deeds of agreement made between the State and ~450 quota holders. The primary considerations arising from the agreement is management to MSY and the payment of quarterly royalty fees to the State.</w:t>
      </w:r>
    </w:p>
    <w:p w14:paraId="27CE7475" w14:textId="61146C14" w:rsidR="0081589F" w:rsidRDefault="00766CA0" w:rsidP="00766CA0">
      <w:r>
        <w:t>In addition to defined fishery parts, spatial closures,</w:t>
      </w:r>
      <w:r w:rsidR="007B4233">
        <w:t xml:space="preserve"> spawning closures,</w:t>
      </w:r>
      <w:r>
        <w:t xml:space="preserve"> </w:t>
      </w:r>
      <w:r w:rsidR="0081589F">
        <w:t>TACs</w:t>
      </w:r>
      <w:r>
        <w:t>, catch-caps</w:t>
      </w:r>
      <w:r w:rsidR="007B4233">
        <w:t>, and ITQs</w:t>
      </w:r>
      <w:r>
        <w:t xml:space="preserve"> described earlier in this document, the fishery is further managed with</w:t>
      </w:r>
      <w:r w:rsidR="0081589F">
        <w:t xml:space="preserve"> spatially-variable </w:t>
      </w:r>
      <w:r>
        <w:t xml:space="preserve">minimum size limits (MSL) for commercial fishers as prescribed under </w:t>
      </w:r>
      <w:hyperlink r:id="rId28" w:history="1">
        <w:r w:rsidR="0081589F">
          <w:rPr>
            <w:rStyle w:val="Hyperlink"/>
          </w:rPr>
          <w:t xml:space="preserve">Part 2 of the </w:t>
        </w:r>
        <w:r w:rsidR="0081589F" w:rsidRPr="0081589F">
          <w:rPr>
            <w:rStyle w:val="Hyperlink"/>
            <w:i/>
            <w:iCs/>
          </w:rPr>
          <w:t>Fisheries (General and Fees) Regulations 2016</w:t>
        </w:r>
      </w:hyperlink>
      <w:r w:rsidR="007B4233">
        <w:t>.</w:t>
      </w:r>
    </w:p>
    <w:p w14:paraId="5AA78E08" w14:textId="583EB28A" w:rsidR="00766CA0" w:rsidRDefault="00766CA0" w:rsidP="00766CA0">
      <w:r>
        <w:t xml:space="preserve">Currently, the commercial MSL </w:t>
      </w:r>
      <w:r w:rsidR="0081589F">
        <w:t>provides for</w:t>
      </w:r>
      <w:r>
        <w:t xml:space="preserve"> two years of spawning prior to entering the fishery</w:t>
      </w:r>
      <w:r w:rsidR="0081589F">
        <w:t xml:space="preserve">. </w:t>
      </w:r>
      <w:r w:rsidR="00AA53DC">
        <w:t xml:space="preserve">As outlined in the </w:t>
      </w:r>
      <w:hyperlink r:id="rId29" w:history="1">
        <w:r w:rsidR="00AA53DC" w:rsidRPr="00AA53DC">
          <w:rPr>
            <w:rStyle w:val="Hyperlink"/>
          </w:rPr>
          <w:t>Harvest Strategy</w:t>
        </w:r>
      </w:hyperlink>
      <w:r w:rsidR="00AA53DC">
        <w:t>, t</w:t>
      </w:r>
      <w:r w:rsidR="0081589F">
        <w:t xml:space="preserve">he fishery </w:t>
      </w:r>
      <w:r w:rsidR="007B4233">
        <w:t>has been undergoing systematic periodic increases</w:t>
      </w:r>
      <w:r w:rsidR="0081589F">
        <w:t xml:space="preserve"> to MSL</w:t>
      </w:r>
      <w:r w:rsidR="007B4233">
        <w:t>, in line with the best available scientific advice from IMAS,</w:t>
      </w:r>
      <w:r w:rsidR="0081589F">
        <w:t xml:space="preserve"> to move towards</w:t>
      </w:r>
      <w:r w:rsidR="007B4233">
        <w:t xml:space="preserve"> spatially-variable MSLs that </w:t>
      </w:r>
      <w:r w:rsidR="00B0384E">
        <w:t xml:space="preserve">are set at where 50% of Blacklip Abalone in any given management areas have had the opportunity to grow for three years after reaching maturity. </w:t>
      </w:r>
      <w:r w:rsidR="007B4233">
        <w:t>This process will be completed in 2026.</w:t>
      </w:r>
    </w:p>
    <w:p w14:paraId="03B1EBE6" w14:textId="4C06EF63" w:rsidR="007B4233" w:rsidRDefault="007B4233" w:rsidP="007B4233">
      <w:r>
        <w:t xml:space="preserve">A plain English summary of the rules, regulations, size limits and TACs, and prevailing management arrangements are made publicly available online within the </w:t>
      </w:r>
      <w:hyperlink r:id="rId30" w:history="1">
        <w:r>
          <w:rPr>
            <w:rStyle w:val="Hyperlink"/>
          </w:rPr>
          <w:t>Abalone Operational Information Paper</w:t>
        </w:r>
      </w:hyperlink>
      <w:r>
        <w:rPr>
          <w:rStyle w:val="Hyperlink"/>
        </w:rPr>
        <w:t xml:space="preserve"> 2025</w:t>
      </w:r>
      <w:r w:rsidRPr="006955ED">
        <w:t>.</w:t>
      </w:r>
      <w:r>
        <w:t xml:space="preserve"> An updated copy of the guide is published online and provided to fishery stakeholders by the start of the fishing season, each 1 January.</w:t>
      </w:r>
    </w:p>
    <w:p w14:paraId="6900B1E1" w14:textId="4C9145D5" w:rsidR="00766CA0" w:rsidRDefault="00766CA0" w:rsidP="00766CA0">
      <w:r>
        <w:t xml:space="preserve">Recreational catch is managed with </w:t>
      </w:r>
      <w:r w:rsidR="007B4233">
        <w:t xml:space="preserve">mandatory licences, spatially-variable </w:t>
      </w:r>
      <w:r>
        <w:t>MSL</w:t>
      </w:r>
      <w:r w:rsidR="007B4233">
        <w:t xml:space="preserve">s </w:t>
      </w:r>
      <w:hyperlink r:id="rId31" w:history="1">
        <w:r w:rsidR="007B4233" w:rsidRPr="007B4233">
          <w:rPr>
            <w:rStyle w:val="Hyperlink"/>
          </w:rPr>
          <w:t>published online</w:t>
        </w:r>
      </w:hyperlink>
      <w:r w:rsidR="007B4233">
        <w:t xml:space="preserve"> and </w:t>
      </w:r>
      <w:r w:rsidR="0000098B">
        <w:t>a</w:t>
      </w:r>
      <w:r w:rsidR="007B4233">
        <w:t xml:space="preserve"> requirement to carry a measuring device,</w:t>
      </w:r>
      <w:r w:rsidR="0000098B">
        <w:t xml:space="preserve"> a requirement to use an abalone iron or knife that meets specifications,</w:t>
      </w:r>
      <w:r w:rsidR="007B4233">
        <w:t xml:space="preserve"> </w:t>
      </w:r>
      <w:r>
        <w:t>a daily bag limit of 10</w:t>
      </w:r>
      <w:r w:rsidR="007B4233">
        <w:t xml:space="preserve"> abalone (combined species), and a possession limit of 20 abalone.</w:t>
      </w:r>
      <w:r>
        <w:t xml:space="preserve"> </w:t>
      </w:r>
      <w:r w:rsidR="007B4233">
        <w:t>Aboriginal fishers do not require recreational fishing licences</w:t>
      </w:r>
      <w:r w:rsidR="0000098B">
        <w:t xml:space="preserve"> or compliant tools</w:t>
      </w:r>
      <w:r w:rsidR="007B4233">
        <w:t>, but they must comply with all other rules</w:t>
      </w:r>
      <w:r w:rsidR="0000098B">
        <w:t xml:space="preserve"> and regulations</w:t>
      </w:r>
      <w:r w:rsidR="007B4233">
        <w:t>.</w:t>
      </w:r>
    </w:p>
    <w:p w14:paraId="5AB4F0EF" w14:textId="0F9957D8" w:rsidR="00766CA0" w:rsidRDefault="00766CA0" w:rsidP="00766CA0">
      <w:r>
        <w:t xml:space="preserve">A range of conditions are applied to all </w:t>
      </w:r>
      <w:r w:rsidR="0000098B">
        <w:t>abalone dive fishing</w:t>
      </w:r>
      <w:r>
        <w:t xml:space="preserve"> licences to govern the use of the licence</w:t>
      </w:r>
      <w:r w:rsidR="0000098B">
        <w:t xml:space="preserve"> </w:t>
      </w:r>
      <w:r>
        <w:t>and loggers</w:t>
      </w:r>
      <w:r w:rsidR="0000098B">
        <w:t>, and to limit overcatch</w:t>
      </w:r>
      <w:r>
        <w:t>. These read as:</w:t>
      </w:r>
    </w:p>
    <w:p w14:paraId="6A8BE5C0" w14:textId="77777777" w:rsidR="00766CA0" w:rsidRPr="00D96C80" w:rsidRDefault="00766CA0" w:rsidP="00766CA0">
      <w:pPr>
        <w:spacing w:after="120"/>
        <w:rPr>
          <w:i/>
          <w:iCs/>
        </w:rPr>
      </w:pPr>
      <w:r w:rsidRPr="00D96C80">
        <w:rPr>
          <w:i/>
          <w:iCs/>
        </w:rPr>
        <w:t xml:space="preserve">1. It is a condition of this licence that the holder, or supervisor of the licence (both hereinafter referred to as the 'diver') must, whilst on a fishing trip </w:t>
      </w:r>
      <w:proofErr w:type="gramStart"/>
      <w:r w:rsidRPr="00D96C80">
        <w:rPr>
          <w:i/>
          <w:iCs/>
        </w:rPr>
        <w:t>not enter</w:t>
      </w:r>
      <w:proofErr w:type="gramEnd"/>
      <w:r w:rsidRPr="00D96C80">
        <w:rPr>
          <w:i/>
          <w:iCs/>
        </w:rPr>
        <w:t xml:space="preserve"> the water and dive without being in possession of:</w:t>
      </w:r>
    </w:p>
    <w:p w14:paraId="13F9EA4B" w14:textId="77777777" w:rsidR="00766CA0" w:rsidRPr="00D96C80" w:rsidRDefault="00766CA0" w:rsidP="00766CA0">
      <w:pPr>
        <w:pStyle w:val="ListParagraph"/>
        <w:numPr>
          <w:ilvl w:val="0"/>
          <w:numId w:val="21"/>
        </w:numPr>
        <w:spacing w:after="120"/>
        <w:contextualSpacing w:val="0"/>
        <w:rPr>
          <w:i/>
          <w:iCs/>
        </w:rPr>
      </w:pPr>
      <w:r w:rsidRPr="00D96C80">
        <w:rPr>
          <w:i/>
          <w:iCs/>
        </w:rPr>
        <w:t xml:space="preserve">an instrument supplied by the Institute </w:t>
      </w:r>
      <w:r>
        <w:rPr>
          <w:i/>
          <w:iCs/>
        </w:rPr>
        <w:t>for</w:t>
      </w:r>
      <w:r w:rsidRPr="00D96C80">
        <w:rPr>
          <w:i/>
          <w:iCs/>
        </w:rPr>
        <w:t xml:space="preserve"> Marine and Antarctic Studies (hereinafter referred to as IMAS) for the purposes of automatically recording the depth to which a diver is diving) hereinafter</w:t>
      </w:r>
      <w:r>
        <w:rPr>
          <w:i/>
          <w:iCs/>
        </w:rPr>
        <w:t xml:space="preserve"> </w:t>
      </w:r>
      <w:r w:rsidRPr="00D96C80">
        <w:rPr>
          <w:i/>
          <w:iCs/>
        </w:rPr>
        <w:t>referred to as the 'depth logger'; and</w:t>
      </w:r>
    </w:p>
    <w:p w14:paraId="759DF62A" w14:textId="77777777" w:rsidR="00766CA0" w:rsidRPr="00D96C80" w:rsidRDefault="00766CA0" w:rsidP="00766CA0">
      <w:pPr>
        <w:pStyle w:val="ListParagraph"/>
        <w:numPr>
          <w:ilvl w:val="0"/>
          <w:numId w:val="21"/>
        </w:numPr>
        <w:spacing w:after="120"/>
        <w:contextualSpacing w:val="0"/>
        <w:rPr>
          <w:i/>
          <w:iCs/>
        </w:rPr>
      </w:pPr>
      <w:r w:rsidRPr="00D96C80">
        <w:rPr>
          <w:i/>
          <w:iCs/>
        </w:rPr>
        <w:t>an instrument supplied by IMAS for the recording of the location of the diver (hereinafter referred to</w:t>
      </w:r>
      <w:r>
        <w:rPr>
          <w:i/>
          <w:iCs/>
        </w:rPr>
        <w:t xml:space="preserve"> </w:t>
      </w:r>
      <w:r w:rsidRPr="00D96C80">
        <w:rPr>
          <w:i/>
          <w:iCs/>
        </w:rPr>
        <w:t>as the location logger) when entering the water.</w:t>
      </w:r>
    </w:p>
    <w:p w14:paraId="47F9AEEE" w14:textId="77777777" w:rsidR="00766CA0" w:rsidRPr="00D96C80" w:rsidRDefault="00766CA0" w:rsidP="00766CA0">
      <w:pPr>
        <w:spacing w:after="120"/>
        <w:rPr>
          <w:i/>
          <w:iCs/>
        </w:rPr>
      </w:pPr>
      <w:r w:rsidRPr="00D96C80">
        <w:rPr>
          <w:i/>
          <w:iCs/>
        </w:rPr>
        <w:t>2. It is a further condition of this licence that the diver must, whilst on a fishing trip not to enter the</w:t>
      </w:r>
      <w:r>
        <w:rPr>
          <w:i/>
          <w:iCs/>
        </w:rPr>
        <w:t xml:space="preserve"> </w:t>
      </w:r>
      <w:r w:rsidRPr="00D96C80">
        <w:rPr>
          <w:i/>
          <w:iCs/>
        </w:rPr>
        <w:t>water without first manipulating and observing an instrument supplied by IMAS, that is in their</w:t>
      </w:r>
      <w:r>
        <w:rPr>
          <w:i/>
          <w:iCs/>
        </w:rPr>
        <w:t xml:space="preserve"> </w:t>
      </w:r>
      <w:r w:rsidRPr="00D96C80">
        <w:rPr>
          <w:i/>
          <w:iCs/>
        </w:rPr>
        <w:t>possession, by:</w:t>
      </w:r>
    </w:p>
    <w:p w14:paraId="50B8BC19" w14:textId="77777777" w:rsidR="00766CA0" w:rsidRPr="00D96C80" w:rsidRDefault="00766CA0" w:rsidP="00766CA0">
      <w:pPr>
        <w:pStyle w:val="ListParagraph"/>
        <w:numPr>
          <w:ilvl w:val="0"/>
          <w:numId w:val="20"/>
        </w:numPr>
        <w:spacing w:after="120"/>
        <w:contextualSpacing w:val="0"/>
        <w:rPr>
          <w:i/>
          <w:iCs/>
        </w:rPr>
      </w:pPr>
      <w:r w:rsidRPr="00D96C80">
        <w:rPr>
          <w:i/>
          <w:iCs/>
        </w:rPr>
        <w:t>activating the power switch of the location logger and observing a display of latitude, longitude and</w:t>
      </w:r>
      <w:r>
        <w:rPr>
          <w:i/>
          <w:iCs/>
        </w:rPr>
        <w:t xml:space="preserve"> </w:t>
      </w:r>
      <w:r w:rsidRPr="00D96C80">
        <w:rPr>
          <w:i/>
          <w:iCs/>
        </w:rPr>
        <w:t>time and at least 30% remaining charge displayed on the power indicator; and</w:t>
      </w:r>
    </w:p>
    <w:p w14:paraId="5A14EA8A" w14:textId="77777777" w:rsidR="00766CA0" w:rsidRPr="00D96C80" w:rsidRDefault="00766CA0" w:rsidP="00766CA0">
      <w:pPr>
        <w:pStyle w:val="ListParagraph"/>
        <w:numPr>
          <w:ilvl w:val="0"/>
          <w:numId w:val="20"/>
        </w:numPr>
        <w:spacing w:after="120"/>
        <w:rPr>
          <w:i/>
          <w:iCs/>
        </w:rPr>
      </w:pPr>
      <w:r w:rsidRPr="00D96C80">
        <w:rPr>
          <w:i/>
          <w:iCs/>
        </w:rPr>
        <w:t xml:space="preserve">observing the depth logger for a period of greater than 90 seconds to ensure the power indicator light flashes orange or green but not red. </w:t>
      </w:r>
    </w:p>
    <w:p w14:paraId="7FA592B2" w14:textId="1D31B06B" w:rsidR="0000098B" w:rsidRPr="0000098B" w:rsidRDefault="00766CA0" w:rsidP="0000098B">
      <w:pPr>
        <w:spacing w:after="120"/>
        <w:rPr>
          <w:i/>
          <w:iCs/>
        </w:rPr>
      </w:pPr>
      <w:r>
        <w:rPr>
          <w:i/>
          <w:iCs/>
        </w:rPr>
        <w:t xml:space="preserve">3. </w:t>
      </w:r>
      <w:r w:rsidRPr="00D96C80">
        <w:rPr>
          <w:i/>
          <w:iCs/>
        </w:rPr>
        <w:t xml:space="preserve">It is a condition of this licence that the only person with the authority to take </w:t>
      </w:r>
      <w:r w:rsidR="0000098B">
        <w:rPr>
          <w:i/>
          <w:iCs/>
        </w:rPr>
        <w:t>abalone</w:t>
      </w:r>
      <w:r w:rsidRPr="00D96C80">
        <w:rPr>
          <w:i/>
          <w:iCs/>
        </w:rPr>
        <w:t xml:space="preserve"> using this licence is the person specified in this fishing licence (</w:t>
      </w:r>
      <w:r w:rsidR="0000098B">
        <w:rPr>
          <w:i/>
          <w:iCs/>
        </w:rPr>
        <w:t>abalone div</w:t>
      </w:r>
      <w:r w:rsidRPr="00D96C80">
        <w:rPr>
          <w:i/>
          <w:iCs/>
        </w:rPr>
        <w:t xml:space="preserve">e), and that the </w:t>
      </w:r>
      <w:r w:rsidR="0000098B">
        <w:rPr>
          <w:i/>
          <w:iCs/>
        </w:rPr>
        <w:t>holde</w:t>
      </w:r>
      <w:r w:rsidRPr="00D96C80">
        <w:rPr>
          <w:i/>
          <w:iCs/>
        </w:rPr>
        <w:t>r:</w:t>
      </w:r>
    </w:p>
    <w:p w14:paraId="0DF9A1F7" w14:textId="291342CA" w:rsidR="0000098B" w:rsidRPr="0000098B" w:rsidRDefault="0000098B" w:rsidP="0000098B">
      <w:pPr>
        <w:pStyle w:val="ListParagraph"/>
        <w:numPr>
          <w:ilvl w:val="0"/>
          <w:numId w:val="22"/>
        </w:numPr>
        <w:spacing w:after="120"/>
        <w:rPr>
          <w:i/>
          <w:iCs/>
        </w:rPr>
      </w:pPr>
      <w:r>
        <w:rPr>
          <w:i/>
          <w:iCs/>
        </w:rPr>
        <w:lastRenderedPageBreak/>
        <w:t>com</w:t>
      </w:r>
      <w:r w:rsidRPr="0000098B">
        <w:rPr>
          <w:i/>
          <w:iCs/>
        </w:rPr>
        <w:t>plies with the LMRMA and all regulations</w:t>
      </w:r>
      <w:r>
        <w:rPr>
          <w:i/>
          <w:iCs/>
        </w:rPr>
        <w:t xml:space="preserve"> </w:t>
      </w:r>
      <w:r w:rsidRPr="0000098B">
        <w:rPr>
          <w:i/>
          <w:iCs/>
        </w:rPr>
        <w:t xml:space="preserve">and rules made thereunder, whilst carrying out any activity under the </w:t>
      </w:r>
      <w:proofErr w:type="gramStart"/>
      <w:r w:rsidRPr="0000098B">
        <w:rPr>
          <w:i/>
          <w:iCs/>
        </w:rPr>
        <w:t>licence</w:t>
      </w:r>
      <w:r>
        <w:rPr>
          <w:i/>
          <w:iCs/>
        </w:rPr>
        <w:t>;</w:t>
      </w:r>
      <w:proofErr w:type="gramEnd"/>
    </w:p>
    <w:p w14:paraId="6EE1A020" w14:textId="77777777" w:rsidR="0000098B" w:rsidRDefault="0000098B" w:rsidP="00A41619">
      <w:pPr>
        <w:pStyle w:val="ListParagraph"/>
        <w:numPr>
          <w:ilvl w:val="0"/>
          <w:numId w:val="22"/>
        </w:numPr>
        <w:spacing w:after="120"/>
        <w:rPr>
          <w:i/>
          <w:iCs/>
        </w:rPr>
      </w:pPr>
      <w:r w:rsidRPr="0000098B">
        <w:rPr>
          <w:i/>
          <w:iCs/>
        </w:rPr>
        <w:t xml:space="preserve">does not carry out any fishing which is not authorised by a fishing licence pursuant to the LMRMA and subordinate </w:t>
      </w:r>
      <w:proofErr w:type="gramStart"/>
      <w:r w:rsidRPr="0000098B">
        <w:rPr>
          <w:i/>
          <w:iCs/>
        </w:rPr>
        <w:t>legislation</w:t>
      </w:r>
      <w:r>
        <w:rPr>
          <w:i/>
          <w:iCs/>
        </w:rPr>
        <w:t>;</w:t>
      </w:r>
      <w:proofErr w:type="gramEnd"/>
    </w:p>
    <w:p w14:paraId="214D936B" w14:textId="50D74E3F" w:rsidR="00766CA0" w:rsidRDefault="00766CA0" w:rsidP="00A41619">
      <w:pPr>
        <w:pStyle w:val="ListParagraph"/>
        <w:numPr>
          <w:ilvl w:val="0"/>
          <w:numId w:val="22"/>
        </w:numPr>
        <w:spacing w:after="120"/>
        <w:rPr>
          <w:i/>
          <w:iCs/>
        </w:rPr>
      </w:pPr>
      <w:r w:rsidRPr="0000098B">
        <w:rPr>
          <w:i/>
          <w:iCs/>
        </w:rPr>
        <w:t xml:space="preserve">must ensure the use of accurate </w:t>
      </w:r>
      <w:r w:rsidR="0000098B" w:rsidRPr="0000098B">
        <w:rPr>
          <w:i/>
          <w:iCs/>
        </w:rPr>
        <w:t xml:space="preserve">measuring and </w:t>
      </w:r>
      <w:r w:rsidRPr="0000098B">
        <w:rPr>
          <w:i/>
          <w:iCs/>
        </w:rPr>
        <w:t xml:space="preserve">weighing instruments </w:t>
      </w:r>
      <w:r w:rsidR="0000098B" w:rsidRPr="0000098B">
        <w:rPr>
          <w:i/>
          <w:iCs/>
        </w:rPr>
        <w:t xml:space="preserve">throughout the period of </w:t>
      </w:r>
      <w:r w:rsidRPr="0000098B">
        <w:rPr>
          <w:i/>
          <w:iCs/>
        </w:rPr>
        <w:t xml:space="preserve">this licence to determine the weight information to be entered into any original </w:t>
      </w:r>
      <w:r w:rsidR="0000098B" w:rsidRPr="0000098B">
        <w:rPr>
          <w:i/>
          <w:iCs/>
        </w:rPr>
        <w:t>return</w:t>
      </w:r>
      <w:r w:rsidRPr="0000098B">
        <w:rPr>
          <w:i/>
          <w:iCs/>
        </w:rPr>
        <w:t xml:space="preserve"> or record when carrying on any activity under the licence as required by the </w:t>
      </w:r>
      <w:r w:rsidR="0000098B" w:rsidRPr="0000098B">
        <w:rPr>
          <w:i/>
          <w:iCs/>
        </w:rPr>
        <w:t>LMRMA.</w:t>
      </w:r>
    </w:p>
    <w:p w14:paraId="642A9D40" w14:textId="442FE299" w:rsidR="0000098B" w:rsidRPr="0000098B" w:rsidRDefault="0000098B" w:rsidP="0000098B">
      <w:pPr>
        <w:spacing w:after="120"/>
        <w:rPr>
          <w:i/>
          <w:iCs/>
        </w:rPr>
      </w:pPr>
      <w:r>
        <w:rPr>
          <w:i/>
          <w:iCs/>
        </w:rPr>
        <w:t xml:space="preserve">4. </w:t>
      </w:r>
      <w:r w:rsidRPr="0000098B">
        <w:rPr>
          <w:i/>
          <w:iCs/>
        </w:rPr>
        <w:t>It is a condition of this licence that the holder, or the supervisor of the licence (both hereinafter referred</w:t>
      </w:r>
      <w:r>
        <w:rPr>
          <w:i/>
          <w:iCs/>
        </w:rPr>
        <w:t xml:space="preserve"> </w:t>
      </w:r>
      <w:r w:rsidRPr="0000098B">
        <w:rPr>
          <w:i/>
          <w:iCs/>
        </w:rPr>
        <w:t>to as the 'diver'):</w:t>
      </w:r>
    </w:p>
    <w:p w14:paraId="089490EA" w14:textId="5BFA401D" w:rsidR="0000098B" w:rsidRPr="0000098B" w:rsidRDefault="0000098B" w:rsidP="002D6ADB">
      <w:pPr>
        <w:pStyle w:val="ListParagraph"/>
        <w:numPr>
          <w:ilvl w:val="0"/>
          <w:numId w:val="24"/>
        </w:numPr>
        <w:spacing w:after="120"/>
        <w:rPr>
          <w:i/>
          <w:iCs/>
        </w:rPr>
      </w:pPr>
      <w:r w:rsidRPr="0000098B">
        <w:rPr>
          <w:i/>
          <w:iCs/>
        </w:rPr>
        <w:t xml:space="preserve">who transfers or receives excess </w:t>
      </w:r>
      <w:proofErr w:type="spellStart"/>
      <w:r w:rsidRPr="0000098B">
        <w:rPr>
          <w:i/>
          <w:iCs/>
        </w:rPr>
        <w:t>blacklip</w:t>
      </w:r>
      <w:proofErr w:type="spellEnd"/>
      <w:r w:rsidRPr="0000098B">
        <w:rPr>
          <w:i/>
          <w:iCs/>
        </w:rPr>
        <w:t xml:space="preserve"> abalone, only transfers or receives </w:t>
      </w:r>
      <w:proofErr w:type="spellStart"/>
      <w:r w:rsidRPr="0000098B">
        <w:rPr>
          <w:i/>
          <w:iCs/>
        </w:rPr>
        <w:t>blacklip</w:t>
      </w:r>
      <w:proofErr w:type="spellEnd"/>
      <w:r w:rsidRPr="0000098B">
        <w:rPr>
          <w:i/>
          <w:iCs/>
        </w:rPr>
        <w:t xml:space="preserve"> abalone taken</w:t>
      </w:r>
      <w:r>
        <w:rPr>
          <w:i/>
          <w:iCs/>
        </w:rPr>
        <w:t xml:space="preserve"> </w:t>
      </w:r>
      <w:r w:rsidRPr="0000098B">
        <w:rPr>
          <w:i/>
          <w:iCs/>
        </w:rPr>
        <w:t xml:space="preserve">from the same part of the </w:t>
      </w:r>
      <w:proofErr w:type="gramStart"/>
      <w:r w:rsidRPr="0000098B">
        <w:rPr>
          <w:i/>
          <w:iCs/>
        </w:rPr>
        <w:t>fishery</w:t>
      </w:r>
      <w:r>
        <w:rPr>
          <w:i/>
          <w:iCs/>
        </w:rPr>
        <w:t>;</w:t>
      </w:r>
      <w:proofErr w:type="gramEnd"/>
    </w:p>
    <w:p w14:paraId="05BE4A5C" w14:textId="1430AF49" w:rsidR="00CC3B77" w:rsidRPr="0000098B" w:rsidRDefault="0000098B" w:rsidP="00CC3B77">
      <w:pPr>
        <w:pStyle w:val="ListParagraph"/>
        <w:numPr>
          <w:ilvl w:val="0"/>
          <w:numId w:val="24"/>
        </w:numPr>
        <w:spacing w:after="120"/>
        <w:rPr>
          <w:i/>
          <w:iCs/>
        </w:rPr>
      </w:pPr>
      <w:r w:rsidRPr="0000098B">
        <w:rPr>
          <w:i/>
          <w:iCs/>
        </w:rPr>
        <w:t>who transfers excess abalone on completion of a fishing trip can only make one transfer to another</w:t>
      </w:r>
      <w:r>
        <w:rPr>
          <w:i/>
          <w:iCs/>
        </w:rPr>
        <w:t xml:space="preserve"> </w:t>
      </w:r>
      <w:r w:rsidRPr="0000098B">
        <w:rPr>
          <w:i/>
          <w:iCs/>
        </w:rPr>
        <w:t>holder of a fishing licence (abalone dive).</w:t>
      </w:r>
    </w:p>
    <w:p w14:paraId="2E117F49" w14:textId="1E99CCC1" w:rsidR="004657F1" w:rsidRPr="00906715" w:rsidRDefault="003B69D3" w:rsidP="00906715">
      <w:pPr>
        <w:pStyle w:val="Heading2"/>
      </w:pPr>
      <w:bookmarkStart w:id="14" w:name="_Toc203488076"/>
      <w:r w:rsidRPr="00906715">
        <w:t>Consultation</w:t>
      </w:r>
      <w:r w:rsidR="000B0CC4">
        <w:t xml:space="preserve"> processes</w:t>
      </w:r>
      <w:bookmarkEnd w:id="14"/>
    </w:p>
    <w:p w14:paraId="7F1B2889" w14:textId="7CF592F4" w:rsidR="0000098B" w:rsidRDefault="0000098B" w:rsidP="0000098B">
      <w:r w:rsidRPr="00FD6AB4">
        <w:t xml:space="preserve">The </w:t>
      </w:r>
      <w:r>
        <w:t>Marine Resources business unit of NRE Tas</w:t>
      </w:r>
      <w:r w:rsidRPr="00FD6AB4">
        <w:t xml:space="preserve"> undertakes public consultation with a wide range of stakeholders when developing or updating fisheries management arrangements. These consultative processes are a requirement under </w:t>
      </w:r>
      <w:hyperlink r:id="rId32" w:anchor="HP3@EN" w:history="1">
        <w:r w:rsidRPr="00E31A2B">
          <w:rPr>
            <w:rStyle w:val="Hyperlink"/>
          </w:rPr>
          <w:t>Part 3 of the LMRMA</w:t>
        </w:r>
      </w:hyperlink>
      <w:r>
        <w:t xml:space="preserve">, and includes mandated periods of public comment together with targeted consultation with relevant recognised peak fishing bodies to modify or make a management plan. The prevailing management plan is the </w:t>
      </w:r>
      <w:r>
        <w:rPr>
          <w:i/>
          <w:iCs/>
        </w:rPr>
        <w:t>Fisheries (Abalone) Rules 2017</w:t>
      </w:r>
      <w:r>
        <w:t xml:space="preserve"> which is due to expire January 2028.</w:t>
      </w:r>
    </w:p>
    <w:p w14:paraId="4FEEFAEB" w14:textId="77777777" w:rsidR="0000098B" w:rsidRDefault="0000098B" w:rsidP="0000098B">
      <w:r>
        <w:t xml:space="preserve">Scientific advice is provided contractually to NRE Tas by the Institute for Marine and Antarctic Studies (IMAS) via the </w:t>
      </w:r>
      <w:hyperlink r:id="rId33" w:history="1">
        <w:r w:rsidRPr="00E31A2B">
          <w:rPr>
            <w:rStyle w:val="Hyperlink"/>
          </w:rPr>
          <w:t>Sustainable Marine Research Collaboration Agreement</w:t>
        </w:r>
      </w:hyperlink>
      <w:r>
        <w:t xml:space="preserve"> (SMRCA). Under the SMRCA, IMAS </w:t>
      </w:r>
      <w:r w:rsidRPr="00FD6AB4">
        <w:t xml:space="preserve">provides scientific advice </w:t>
      </w:r>
      <w:r>
        <w:t>regarding fishery performance and key indicators including CPUE and CPUA derived from catch records and mandatory GPS/depth loggers worn by commercial divers.</w:t>
      </w:r>
    </w:p>
    <w:p w14:paraId="1E1CD99F" w14:textId="44BC96EA" w:rsidR="0000098B" w:rsidRDefault="0000098B" w:rsidP="0000098B">
      <w:r>
        <w:t xml:space="preserve">Operational advice is provided directly by the </w:t>
      </w:r>
      <w:hyperlink r:id="rId34" w:history="1">
        <w:r w:rsidRPr="005740C8">
          <w:rPr>
            <w:rStyle w:val="Hyperlink"/>
          </w:rPr>
          <w:t xml:space="preserve">Tasmanian </w:t>
        </w:r>
        <w:r>
          <w:rPr>
            <w:rStyle w:val="Hyperlink"/>
          </w:rPr>
          <w:t>Abalone</w:t>
        </w:r>
      </w:hyperlink>
      <w:r>
        <w:rPr>
          <w:rStyle w:val="Hyperlink"/>
        </w:rPr>
        <w:t xml:space="preserve"> </w:t>
      </w:r>
      <w:hyperlink r:id="rId35" w:history="1">
        <w:r w:rsidRPr="00D44519">
          <w:rPr>
            <w:rStyle w:val="Hyperlink"/>
          </w:rPr>
          <w:t>Council</w:t>
        </w:r>
      </w:hyperlink>
      <w:r>
        <w:rPr>
          <w:rStyle w:val="Hyperlink"/>
        </w:rPr>
        <w:t xml:space="preserve"> Ltd</w:t>
      </w:r>
      <w:r>
        <w:t xml:space="preserve"> (TACL), </w:t>
      </w:r>
      <w:hyperlink r:id="rId36" w:history="1">
        <w:r w:rsidRPr="005740C8">
          <w:rPr>
            <w:rStyle w:val="Hyperlink"/>
          </w:rPr>
          <w:t>Seafood Industry Tasmania</w:t>
        </w:r>
      </w:hyperlink>
      <w:r>
        <w:t xml:space="preserve"> (SIT), and </w:t>
      </w:r>
      <w:r w:rsidR="00D44519">
        <w:t xml:space="preserve">the </w:t>
      </w:r>
      <w:hyperlink r:id="rId37" w:history="1">
        <w:r w:rsidR="00D44519" w:rsidRPr="00D44519">
          <w:rPr>
            <w:rStyle w:val="Hyperlink"/>
          </w:rPr>
          <w:t>Tasmanian Association for Recreational Fishing</w:t>
        </w:r>
      </w:hyperlink>
      <w:r w:rsidR="00D44519">
        <w:t xml:space="preserve"> (TARFish), who are all </w:t>
      </w:r>
      <w:r>
        <w:t xml:space="preserve">relevant recognised peak fishing bodies under </w:t>
      </w:r>
      <w:hyperlink r:id="rId38" w:anchor="GS25@EN" w:history="1">
        <w:r w:rsidRPr="00E53F8F">
          <w:rPr>
            <w:rStyle w:val="Hyperlink"/>
          </w:rPr>
          <w:t>section 25</w:t>
        </w:r>
      </w:hyperlink>
      <w:r>
        <w:t xml:space="preserve"> of the LMRMA. Open lines of communication are maintained with the peak bodies by NRE Tas fishery managers, with formal meeting opportunities </w:t>
      </w:r>
      <w:r w:rsidR="00D44519">
        <w:t xml:space="preserve">currently </w:t>
      </w:r>
      <w:r>
        <w:t xml:space="preserve">facilitated via </w:t>
      </w:r>
      <w:r w:rsidR="00D44519">
        <w:t xml:space="preserve">the Abalone </w:t>
      </w:r>
      <w:hyperlink r:id="rId39" w:history="1">
        <w:r w:rsidRPr="005740C8">
          <w:rPr>
            <w:rStyle w:val="Hyperlink"/>
          </w:rPr>
          <w:t>Fishery Consultative Group</w:t>
        </w:r>
      </w:hyperlink>
      <w:r w:rsidR="00D44519">
        <w:t xml:space="preserve"> and the </w:t>
      </w:r>
      <w:r w:rsidR="00D44519" w:rsidRPr="00D44519">
        <w:t>Abalone Industry Advisory Meeting</w:t>
      </w:r>
      <w:r w:rsidR="00D44519">
        <w:t>. These functions were previously performed by the Abalone Fishery Advisory Committee (</w:t>
      </w:r>
      <w:proofErr w:type="spellStart"/>
      <w:r w:rsidR="00D44519">
        <w:t>AbFAC</w:t>
      </w:r>
      <w:proofErr w:type="spellEnd"/>
      <w:r w:rsidR="00D44519">
        <w:t>).</w:t>
      </w:r>
    </w:p>
    <w:p w14:paraId="53D570D8" w14:textId="588ADAAC" w:rsidR="0000098B" w:rsidRDefault="00D44519" w:rsidP="0000098B">
      <w:r>
        <w:t>Consultative Groups and Industry Advisory Meetings</w:t>
      </w:r>
      <w:r w:rsidR="0000098B">
        <w:t xml:space="preserve"> </w:t>
      </w:r>
      <w:r>
        <w:t>are</w:t>
      </w:r>
      <w:r w:rsidR="0000098B">
        <w:t xml:space="preserve"> a formal mechanism by which NRE Tas facilitates open dialogue with scientific experts, peak bodies, and invited representatives of the fishery. </w:t>
      </w:r>
      <w:r w:rsidR="00925DBE">
        <w:t>The Consultative Group meets</w:t>
      </w:r>
      <w:r>
        <w:t xml:space="preserve"> several times per year</w:t>
      </w:r>
      <w:r w:rsidR="00925DBE">
        <w:t xml:space="preserve"> t</w:t>
      </w:r>
      <w:r w:rsidRPr="00D44519">
        <w:t>o consider IMAS scientific advice and evaluate management options</w:t>
      </w:r>
      <w:r w:rsidR="00925DBE">
        <w:t>, with the views of each group recorded and provided to the Minister.  The Industry Advisory meetings will enable industry to r</w:t>
      </w:r>
      <w:r w:rsidR="00925DBE" w:rsidRPr="00925DBE">
        <w:t>eceive scientific information and proposed management response, to discuss and consider issues and to represent the views of the people who it represents, in a written record to the Minister.</w:t>
      </w:r>
      <w:r>
        <w:t xml:space="preserve"> </w:t>
      </w:r>
    </w:p>
    <w:p w14:paraId="578864D6" w14:textId="3BBCC1EB" w:rsidR="00746F21" w:rsidRPr="00195CE5" w:rsidRDefault="00906715" w:rsidP="00CA75CE">
      <w:pPr>
        <w:pStyle w:val="Heading2"/>
        <w:rPr>
          <w:color w:val="auto"/>
          <w:u w:val="single"/>
          <w:lang w:val="en"/>
        </w:rPr>
      </w:pPr>
      <w:bookmarkStart w:id="15" w:name="_Toc203488077"/>
      <w:r w:rsidRPr="00906715">
        <w:t xml:space="preserve">Performance against objectives, performance indicators and performance </w:t>
      </w:r>
      <w:r w:rsidRPr="00195CE5">
        <w:rPr>
          <w:color w:val="auto"/>
        </w:rPr>
        <w:t>measures</w:t>
      </w:r>
      <w:bookmarkEnd w:id="15"/>
    </w:p>
    <w:p w14:paraId="362178DD" w14:textId="2E476CF6" w:rsidR="003D71AF" w:rsidRDefault="003D71AF" w:rsidP="009F1B2A">
      <w:r w:rsidRPr="003D71AF">
        <w:t xml:space="preserve">The </w:t>
      </w:r>
      <w:r>
        <w:t xml:space="preserve">Tasmanian </w:t>
      </w:r>
      <w:r w:rsidRPr="003D71AF">
        <w:t>A</w:t>
      </w:r>
      <w:r>
        <w:t>balone</w:t>
      </w:r>
      <w:r w:rsidRPr="003D71AF">
        <w:t xml:space="preserve"> Fishery Harvest Strategy specifies objectives, performance indicators and performance measures for the fishery. The fishery’s performance is monitored</w:t>
      </w:r>
      <w:r>
        <w:t xml:space="preserve"> by IMAS and NRE Tas </w:t>
      </w:r>
      <w:r w:rsidRPr="003D71AF">
        <w:lastRenderedPageBreak/>
        <w:t>throughout the year</w:t>
      </w:r>
      <w:r>
        <w:t xml:space="preserve"> and formally reviewed by the Abalone Fishery Consultative Group in October and November of each year. Annual reports are published by IMAS at </w:t>
      </w:r>
      <w:hyperlink r:id="rId40" w:history="1">
        <w:r w:rsidRPr="003D71AF">
          <w:rPr>
            <w:rStyle w:val="Hyperlink"/>
          </w:rPr>
          <w:t>Tasmanian Wild Fisheries Assessments</w:t>
        </w:r>
      </w:hyperlink>
      <w:r>
        <w:t>.</w:t>
      </w:r>
    </w:p>
    <w:p w14:paraId="2CFA78EB" w14:textId="77777777" w:rsidR="003D71AF" w:rsidRDefault="003D71AF" w:rsidP="003D71AF">
      <w:r>
        <w:t>Performance measures used by the harvest strategy include:</w:t>
      </w:r>
    </w:p>
    <w:p w14:paraId="6F3CEA8E" w14:textId="749DE8BC" w:rsidR="003D71AF" w:rsidRDefault="003D71AF" w:rsidP="003D71AF">
      <w:pPr>
        <w:pStyle w:val="ListParagraph"/>
        <w:numPr>
          <w:ilvl w:val="0"/>
          <w:numId w:val="28"/>
        </w:numPr>
      </w:pPr>
      <w:r>
        <w:t xml:space="preserve">Target CPUE: the current </w:t>
      </w:r>
      <w:proofErr w:type="spellStart"/>
      <w:r w:rsidR="005B7079">
        <w:t>s</w:t>
      </w:r>
      <w:r>
        <w:t>CPUE</w:t>
      </w:r>
      <w:proofErr w:type="spellEnd"/>
      <w:r>
        <w:t xml:space="preserve"> scored against a target </w:t>
      </w:r>
      <w:proofErr w:type="spellStart"/>
      <w:r w:rsidR="005B7079">
        <w:t>s</w:t>
      </w:r>
      <w:r>
        <w:t>CPUE</w:t>
      </w:r>
      <w:proofErr w:type="spellEnd"/>
      <w:r>
        <w:t xml:space="preserve"> defined by </w:t>
      </w:r>
      <w:proofErr w:type="gramStart"/>
      <w:r>
        <w:t>block;</w:t>
      </w:r>
      <w:proofErr w:type="gramEnd"/>
    </w:p>
    <w:p w14:paraId="2B118880" w14:textId="49EFE4BD" w:rsidR="003D71AF" w:rsidRDefault="003D71AF" w:rsidP="00FE5F2A">
      <w:pPr>
        <w:pStyle w:val="ListParagraph"/>
        <w:numPr>
          <w:ilvl w:val="0"/>
          <w:numId w:val="28"/>
        </w:numPr>
      </w:pPr>
      <w:r>
        <w:t xml:space="preserve">Gradient 1: </w:t>
      </w:r>
      <w:r w:rsidR="005B7079">
        <w:t xml:space="preserve">a measurement of the </w:t>
      </w:r>
      <w:r>
        <w:t>gradient of change in</w:t>
      </w:r>
      <w:r w:rsidR="00611A57">
        <w:t xml:space="preserve"> block-level</w:t>
      </w:r>
      <w:r>
        <w:t xml:space="preserve"> </w:t>
      </w:r>
      <w:proofErr w:type="spellStart"/>
      <w:r w:rsidR="005B7079">
        <w:t>s</w:t>
      </w:r>
      <w:r>
        <w:t>CPUE</w:t>
      </w:r>
      <w:proofErr w:type="spellEnd"/>
      <w:r>
        <w:t xml:space="preserve"> in the past 12 months (</w:t>
      </w:r>
      <w:r w:rsidR="005B7079">
        <w:t xml:space="preserve">i.e., </w:t>
      </w:r>
      <w:r>
        <w:t>current year over the previous year); and</w:t>
      </w:r>
    </w:p>
    <w:p w14:paraId="7E835370" w14:textId="5A757D9A" w:rsidR="003D71AF" w:rsidRDefault="003D71AF" w:rsidP="00FE5F2A">
      <w:pPr>
        <w:pStyle w:val="ListParagraph"/>
        <w:numPr>
          <w:ilvl w:val="0"/>
          <w:numId w:val="28"/>
        </w:numPr>
      </w:pPr>
      <w:r>
        <w:t>Gradient 4:</w:t>
      </w:r>
      <w:r w:rsidR="005B7079">
        <w:t xml:space="preserve"> a measurement of the</w:t>
      </w:r>
      <w:r>
        <w:t xml:space="preserve"> gradient of change in</w:t>
      </w:r>
      <w:r w:rsidR="00611A57">
        <w:t xml:space="preserve"> block-level</w:t>
      </w:r>
      <w:r>
        <w:t xml:space="preserve"> </w:t>
      </w:r>
      <w:proofErr w:type="spellStart"/>
      <w:r w:rsidR="005B7079">
        <w:t>s</w:t>
      </w:r>
      <w:r>
        <w:t>CPUE</w:t>
      </w:r>
      <w:proofErr w:type="spellEnd"/>
      <w:r>
        <w:t xml:space="preserve"> over the past four years including year-to-date.</w:t>
      </w:r>
    </w:p>
    <w:p w14:paraId="5D8BD19A" w14:textId="3BFC58C3" w:rsidR="00611A57" w:rsidRPr="003D71AF" w:rsidRDefault="00611A57" w:rsidP="00611A57">
      <w:r w:rsidRPr="005B7079">
        <w:t>For each of these performance measures, scoring functions are used to assign a score between 0 and 10, with a score of 5 representing the target level. To calculate a combined performance index for each reporting block, the scores are weighted</w:t>
      </w:r>
      <w:r w:rsidR="00855975">
        <w:t xml:space="preserve"> and composite score determined</w:t>
      </w:r>
      <w:r w:rsidRPr="005B7079">
        <w:t xml:space="preserve">. </w:t>
      </w:r>
    </w:p>
    <w:p w14:paraId="2BB46721" w14:textId="77777777" w:rsidR="00F94AA8" w:rsidRDefault="00F94AA8" w:rsidP="00F94AA8">
      <w:r>
        <w:t>A control rule system is applied to the composite score to specify the minimum TACC reduction or maximum TACC increase possible, which can then be rationalised. Meta-rules apply if a decision is to be taken which departs from the empirical harvest strategy recommendation, and they account for extraneous factors.</w:t>
      </w:r>
    </w:p>
    <w:p w14:paraId="31733169" w14:textId="77777777" w:rsidR="00172254" w:rsidRDefault="00172254" w:rsidP="00172254">
      <w:pPr>
        <w:rPr>
          <w:color w:val="4000A6"/>
        </w:rPr>
      </w:pPr>
      <w:r w:rsidRPr="005B7079">
        <w:t xml:space="preserve">The total </w:t>
      </w:r>
      <w:r>
        <w:t>TACC</w:t>
      </w:r>
      <w:r w:rsidRPr="005B7079">
        <w:t xml:space="preserve"> for each </w:t>
      </w:r>
      <w:r>
        <w:t>fishery</w:t>
      </w:r>
      <w:r w:rsidRPr="005B7079">
        <w:t xml:space="preserve"> zone is </w:t>
      </w:r>
      <w:r>
        <w:t xml:space="preserve">then </w:t>
      </w:r>
      <w:r w:rsidRPr="005B7079">
        <w:t>determined by summing the recommended catches from all the reporting blocks within that zone.</w:t>
      </w:r>
    </w:p>
    <w:p w14:paraId="7D00FCB3" w14:textId="00DB881E" w:rsidR="00787EDD" w:rsidRPr="00DE62C0" w:rsidRDefault="004E2F54" w:rsidP="00DE62C0">
      <w:pPr>
        <w:pStyle w:val="Heading2"/>
      </w:pPr>
      <w:bookmarkStart w:id="16" w:name="_Toc203488078"/>
      <w:r>
        <w:t>C</w:t>
      </w:r>
      <w:r w:rsidR="007F5C88" w:rsidRPr="00DE62C0">
        <w:t>ontrolling the level of harvest</w:t>
      </w:r>
      <w:bookmarkEnd w:id="16"/>
    </w:p>
    <w:p w14:paraId="3C24E32F" w14:textId="56E253D1" w:rsidR="00DB6439" w:rsidRDefault="00DB6439" w:rsidP="00DB6439">
      <w:r>
        <w:t xml:space="preserve">The commercial abalone fishery is limited entry with only 121 abalone dive licences, and </w:t>
      </w:r>
      <w:r w:rsidRPr="00721738">
        <w:t>approximately 70 active divers</w:t>
      </w:r>
      <w:r>
        <w:t xml:space="preserve"> at any one time. Harvest is primarily controlled through the application of minimum size limits and </w:t>
      </w:r>
      <w:r w:rsidR="009F1B2A">
        <w:t>TACCs divided between ITQs</w:t>
      </w:r>
      <w:r>
        <w:t xml:space="preserve">. Minimum size limits (MSL) are spatially-variable and currently provide for between two and three years of spawning, on average, prior to entering the fishery. </w:t>
      </w:r>
    </w:p>
    <w:p w14:paraId="46970F18" w14:textId="14431606" w:rsidR="00DB6439" w:rsidRDefault="00DB6439" w:rsidP="00DB6439">
      <w:r>
        <w:t xml:space="preserve">The </w:t>
      </w:r>
      <w:hyperlink r:id="rId41" w:history="1">
        <w:r w:rsidRPr="00925DBE">
          <w:rPr>
            <w:rStyle w:val="Hyperlink"/>
          </w:rPr>
          <w:t>Tasmanian Abalone Fishery Harvest Strategy</w:t>
        </w:r>
      </w:hyperlink>
      <w:r>
        <w:t xml:space="preserve"> is applied to determine annual TACs, which uses an empirical harvest strategy (EHS) based on multi-criteria decision analysis (MCDA) methods, based on a selection of performance measures. The Harvest Strategy is conditioned with regards to LMRMA sustainability considerations, as well as requirements </w:t>
      </w:r>
      <w:r w:rsidR="009F1B2A">
        <w:t xml:space="preserve">for MSY </w:t>
      </w:r>
      <w:r>
        <w:t xml:space="preserve">under the 3,500 abalone deeds of agreement between the State and approximately 450 individual quota holders. </w:t>
      </w:r>
    </w:p>
    <w:p w14:paraId="6155481C" w14:textId="2C2AD9C2" w:rsidR="00DB6439" w:rsidRDefault="00DB6439" w:rsidP="00DB6439">
      <w:r>
        <w:t xml:space="preserve">NRE Tas consults with IMAS and the Abalone Fishery Consultative Group regarding outputs of the Harvest Strategy, and further </w:t>
      </w:r>
      <w:r w:rsidRPr="00891499">
        <w:t>consider</w:t>
      </w:r>
      <w:r>
        <w:t>s</w:t>
      </w:r>
      <w:r w:rsidRPr="00891499">
        <w:t xml:space="preserve"> estimates of all sources of mortality on each stock</w:t>
      </w:r>
      <w:r>
        <w:t xml:space="preserve"> including recreational and Aboriginal fishing, the data for which is collected via a </w:t>
      </w:r>
      <w:hyperlink r:id="rId42" w:history="1">
        <w:r w:rsidRPr="00431618">
          <w:rPr>
            <w:rStyle w:val="Hyperlink"/>
          </w:rPr>
          <w:t>periodic phone survey coordinated by IMAS</w:t>
        </w:r>
      </w:hyperlink>
      <w:r>
        <w:t xml:space="preserve">. </w:t>
      </w:r>
    </w:p>
    <w:p w14:paraId="2985AD40" w14:textId="1E1E220E" w:rsidR="00925DBE" w:rsidRDefault="009F1B2A" w:rsidP="00925DBE">
      <w:r>
        <w:t>TACCs are</w:t>
      </w:r>
      <w:r w:rsidR="00925DBE">
        <w:t xml:space="preserve"> set for each of the five fishery parts</w:t>
      </w:r>
      <w:r>
        <w:t>, and s</w:t>
      </w:r>
      <w:r w:rsidR="00925DBE">
        <w:t>maller catch-caps are informally applied by fishery managers to specific subblocks to constrain localised effort and spread effort to other parts of the fishery. Once the limits/caps are reached, closures are instated with 24 - 48 hours’ notice provided to divers.</w:t>
      </w:r>
    </w:p>
    <w:p w14:paraId="08543DBB" w14:textId="1A81D97C" w:rsidR="00925DBE" w:rsidRDefault="00925DBE" w:rsidP="00925DBE">
      <w:r>
        <w:t xml:space="preserve">Catch limits, catch-caps, and species/area closures are determined under notice at </w:t>
      </w:r>
      <w:hyperlink r:id="rId43" w:history="1">
        <w:r>
          <w:rPr>
            <w:rStyle w:val="Hyperlink"/>
          </w:rPr>
          <w:t>Tasmanian Government Public Notices</w:t>
        </w:r>
      </w:hyperlink>
      <w:r>
        <w:t xml:space="preserve">, and are published online at </w:t>
      </w:r>
      <w:hyperlink r:id="rId44" w:history="1">
        <w:r w:rsidRPr="005F39A8">
          <w:rPr>
            <w:rStyle w:val="Hyperlink"/>
          </w:rPr>
          <w:t>Catch and Closures | Fishing Tasmania</w:t>
        </w:r>
      </w:hyperlink>
      <w:r>
        <w:t>. Pre-determined spawning closures to protect spawning stock are also implemented via the same mechanism.</w:t>
      </w:r>
    </w:p>
    <w:p w14:paraId="5E79F497" w14:textId="72CFD865" w:rsidR="00925DBE" w:rsidRDefault="00925DBE" w:rsidP="00925DBE">
      <w:r>
        <w:lastRenderedPageBreak/>
        <w:t>Commercial</w:t>
      </w:r>
      <w:r w:rsidRPr="00C734B5">
        <w:t xml:space="preserve"> </w:t>
      </w:r>
      <w:r>
        <w:t xml:space="preserve">catch is </w:t>
      </w:r>
      <w:r w:rsidRPr="00C734B5">
        <w:t xml:space="preserve">recorded at species-level in </w:t>
      </w:r>
      <w:r>
        <w:t xml:space="preserve">an approved fishery logbook, the Commercial </w:t>
      </w:r>
      <w:r w:rsidR="00721738" w:rsidRPr="00721738">
        <w:t>Abalone Dive Docket and Diving Team Docket</w:t>
      </w:r>
      <w:r w:rsidR="00721738">
        <w:t xml:space="preserve"> </w:t>
      </w:r>
      <w:r w:rsidRPr="0094772D">
        <w:t>book</w:t>
      </w:r>
      <w:r w:rsidR="00721738" w:rsidRPr="0094772D">
        <w:t xml:space="preserve"> (Figure </w:t>
      </w:r>
      <w:r w:rsidR="0094772D" w:rsidRPr="0094772D">
        <w:t>5</w:t>
      </w:r>
      <w:r w:rsidR="00721738" w:rsidRPr="0094772D">
        <w:t xml:space="preserve"> of Appendix </w:t>
      </w:r>
      <w:r w:rsidR="00441E26" w:rsidRPr="0094772D">
        <w:t>6</w:t>
      </w:r>
      <w:r w:rsidR="00721738" w:rsidRPr="0094772D">
        <w:t>)</w:t>
      </w:r>
      <w:r w:rsidRPr="0094772D">
        <w:t xml:space="preserve">. Dockets must be completed by the diver and receiver of the fish prior to leaving the landing area, and they must be posted to NRE Tas within 48 hours of completion. Licensed seafood processors verify catch weights and report these independently using an approved logbook, the </w:t>
      </w:r>
      <w:r w:rsidR="00721738" w:rsidRPr="0094772D">
        <w:t>Abalone</w:t>
      </w:r>
      <w:r w:rsidRPr="0094772D">
        <w:t xml:space="preserve"> Processors Return</w:t>
      </w:r>
      <w:r w:rsidR="00721738" w:rsidRPr="0094772D">
        <w:t xml:space="preserve"> (Figure </w:t>
      </w:r>
      <w:r w:rsidR="0094772D" w:rsidRPr="0094772D">
        <w:t>6</w:t>
      </w:r>
      <w:r w:rsidR="00721738" w:rsidRPr="0094772D">
        <w:t xml:space="preserve"> of Appendix </w:t>
      </w:r>
      <w:r w:rsidR="00441E26" w:rsidRPr="0094772D">
        <w:t>6</w:t>
      </w:r>
      <w:r w:rsidR="00721738" w:rsidRPr="0094772D">
        <w:t>)</w:t>
      </w:r>
      <w:r w:rsidRPr="0094772D">
        <w:t>, which is subm</w:t>
      </w:r>
      <w:r>
        <w:t>itted to NRE Tas monthly.</w:t>
      </w:r>
      <w:r w:rsidR="00721738" w:rsidRPr="00721738">
        <w:t xml:space="preserve"> </w:t>
      </w:r>
      <w:r w:rsidR="00721738">
        <w:t>Records are required to be stored for</w:t>
      </w:r>
      <w:r w:rsidR="00721738" w:rsidRPr="00721738">
        <w:t xml:space="preserve"> 5 years and ma</w:t>
      </w:r>
      <w:r w:rsidR="00721738">
        <w:t>de</w:t>
      </w:r>
      <w:r w:rsidR="00721738" w:rsidRPr="00721738">
        <w:t xml:space="preserve"> available to Fisheries Officers and NRE Tas upon request.  </w:t>
      </w:r>
    </w:p>
    <w:p w14:paraId="51404436" w14:textId="68198B1E" w:rsidR="00925DBE" w:rsidRDefault="00925DBE" w:rsidP="001A225A">
      <w:pPr>
        <w:rPr>
          <w:color w:val="4000A6"/>
        </w:rPr>
      </w:pPr>
      <w:r>
        <w:t xml:space="preserve">All Dockets and Processor Returns </w:t>
      </w:r>
      <w:r w:rsidRPr="00C734B5">
        <w:t xml:space="preserve">are </w:t>
      </w:r>
      <w:r>
        <w:t xml:space="preserve">entered into the Fisheries Integrated Licensing and Monitoring System (FILMS) electronic database by NRE Tas staff and reviewed for errors or instances of non-compliance. </w:t>
      </w:r>
    </w:p>
    <w:p w14:paraId="61E406F7" w14:textId="4633B810" w:rsidR="00406C7E" w:rsidRDefault="004944FD" w:rsidP="004944FD">
      <w:pPr>
        <w:pStyle w:val="Heading2"/>
      </w:pPr>
      <w:bookmarkStart w:id="17" w:name="_Toc203488079"/>
      <w:r>
        <w:t xml:space="preserve">Harvest </w:t>
      </w:r>
      <w:r w:rsidR="00445DEF">
        <w:t>s</w:t>
      </w:r>
      <w:r>
        <w:t>trategy</w:t>
      </w:r>
      <w:bookmarkEnd w:id="17"/>
    </w:p>
    <w:p w14:paraId="11E13F52" w14:textId="3F77AE30" w:rsidR="00873610" w:rsidRPr="00873610" w:rsidRDefault="00873610" w:rsidP="00873610">
      <w:r>
        <w:t>The Tasmanian Abalone Fishery is managed</w:t>
      </w:r>
      <w:r w:rsidRPr="00873610">
        <w:t xml:space="preserve"> in accordance with </w:t>
      </w:r>
      <w:r>
        <w:t xml:space="preserve">the </w:t>
      </w:r>
      <w:r>
        <w:rPr>
          <w:i/>
          <w:iCs/>
        </w:rPr>
        <w:t xml:space="preserve">Fisheries (Abalone) Rules 2017 </w:t>
      </w:r>
      <w:r>
        <w:t>(which is the Management Plan) and the Tasmanian Abalone Harvest S</w:t>
      </w:r>
      <w:r w:rsidRPr="00873610">
        <w:t>trategy</w:t>
      </w:r>
      <w:r w:rsidR="00731B40">
        <w:t xml:space="preserve"> which </w:t>
      </w:r>
      <w:r w:rsidRPr="00873610">
        <w:t xml:space="preserve">includes </w:t>
      </w:r>
      <w:r>
        <w:t xml:space="preserve">target </w:t>
      </w:r>
      <w:r w:rsidRPr="00873610">
        <w:t>reference points</w:t>
      </w:r>
      <w:r w:rsidR="00731B40">
        <w:t>,</w:t>
      </w:r>
      <w:r>
        <w:t xml:space="preserve"> limit reference points</w:t>
      </w:r>
      <w:r w:rsidR="00731B40">
        <w:t>, performance measures and decision rules</w:t>
      </w:r>
      <w:r w:rsidR="00624C59">
        <w:t>.</w:t>
      </w:r>
    </w:p>
    <w:p w14:paraId="25EBF80B" w14:textId="497A806E" w:rsidR="00873610" w:rsidRDefault="00624C59" w:rsidP="00873610">
      <w:bookmarkStart w:id="18" w:name="_Hlk202261107"/>
      <w:r>
        <w:t>The</w:t>
      </w:r>
      <w:r w:rsidR="00873610">
        <w:t xml:space="preserve"> empirical harvest strategy for the Tasmanian abalone fishery was</w:t>
      </w:r>
      <w:r>
        <w:t xml:space="preserve"> first</w:t>
      </w:r>
      <w:r w:rsidR="00873610">
        <w:t xml:space="preserve"> developed and tested by Management Strategy Evaluation (MSE)</w:t>
      </w:r>
      <w:r>
        <w:t xml:space="preserve"> in 2014-15</w:t>
      </w:r>
      <w:r w:rsidR="00873610">
        <w:t>. It was reviewed and first trialled in 2017. In 2018, following public consultation and advice of the Abalone Fishery Advisory Committee (</w:t>
      </w:r>
      <w:proofErr w:type="spellStart"/>
      <w:r w:rsidR="00873610">
        <w:t>AbFAC</w:t>
      </w:r>
      <w:proofErr w:type="spellEnd"/>
      <w:r w:rsidR="00873610">
        <w:t>) and the Recreational Fishing Advisory Committee (</w:t>
      </w:r>
      <w:proofErr w:type="spellStart"/>
      <w:r w:rsidR="00873610">
        <w:t>RecFAC</w:t>
      </w:r>
      <w:proofErr w:type="spellEnd"/>
      <w:r w:rsidR="00873610">
        <w:t xml:space="preserve">), the then-Minister of Primary Industries and Water approved the use of a harvest strategy to guide management of the fishery. </w:t>
      </w:r>
    </w:p>
    <w:p w14:paraId="197DCBDE" w14:textId="6F4D4E29" w:rsidR="00873610" w:rsidRDefault="00873610" w:rsidP="00873610">
      <w:r>
        <w:t>The strategy was reviewed in 2019</w:t>
      </w:r>
      <w:r w:rsidR="00624C59">
        <w:t xml:space="preserve">, </w:t>
      </w:r>
      <w:r>
        <w:t xml:space="preserve">and </w:t>
      </w:r>
      <w:r w:rsidR="00624C59">
        <w:t xml:space="preserve">then again </w:t>
      </w:r>
      <w:r>
        <w:t xml:space="preserve">most recently </w:t>
      </w:r>
      <w:r w:rsidR="00624C59">
        <w:t xml:space="preserve">in </w:t>
      </w:r>
      <w:hyperlink r:id="rId45" w:history="1">
        <w:r w:rsidR="00624C59" w:rsidRPr="001413BB">
          <w:rPr>
            <w:rStyle w:val="Hyperlink"/>
          </w:rPr>
          <w:t xml:space="preserve">2021 </w:t>
        </w:r>
        <w:r w:rsidRPr="001413BB">
          <w:rPr>
            <w:rStyle w:val="Hyperlink"/>
          </w:rPr>
          <w:t xml:space="preserve">by </w:t>
        </w:r>
        <w:r w:rsidR="00624C59" w:rsidRPr="001413BB">
          <w:rPr>
            <w:rStyle w:val="Hyperlink"/>
          </w:rPr>
          <w:t>Dr Richard Little</w:t>
        </w:r>
      </w:hyperlink>
      <w:r w:rsidR="00624C59">
        <w:t xml:space="preserve"> from </w:t>
      </w:r>
      <w:r>
        <w:t xml:space="preserve">the Commonwealth Scientific and Industrial Research Organisation (CSIRO), </w:t>
      </w:r>
      <w:r w:rsidR="00624C59">
        <w:t>who set</w:t>
      </w:r>
      <w:r>
        <w:t xml:space="preserve"> out a number of recommendations to be reviewed and adopted. </w:t>
      </w:r>
      <w:r w:rsidR="001413BB">
        <w:t xml:space="preserve">This led to the </w:t>
      </w:r>
      <w:r>
        <w:t>2023-2</w:t>
      </w:r>
      <w:r w:rsidR="001413BB">
        <w:t xml:space="preserve">5 </w:t>
      </w:r>
      <w:r>
        <w:t xml:space="preserve">review process to produce the second iteration of the Tasmanian Abalone Fishery Sustainable Harvest Strategy. It has been developed with consideration given to the review recommendations, historical harvest levels, and characteristics of the fishery including abalone biology and ecology. It has been enhanced by improvements to data collection, scientific understanding, and changing social expectations of fishery management. </w:t>
      </w:r>
    </w:p>
    <w:p w14:paraId="2E4C8FD5" w14:textId="4A5C244B" w:rsidR="00873610" w:rsidRDefault="00873610" w:rsidP="00873610">
      <w:r>
        <w:t xml:space="preserve">The 2025 </w:t>
      </w:r>
      <w:r w:rsidR="00731B40">
        <w:t xml:space="preserve">version of the </w:t>
      </w:r>
      <w:r>
        <w:t xml:space="preserve">Harvest Strategy provides a formal framework for harvest-related management decisions for commercial and non-commercial activities in the abalone fishery. A further review is expected five years after implementation, with </w:t>
      </w:r>
      <w:r w:rsidR="001413BB">
        <w:t>a</w:t>
      </w:r>
      <w:r w:rsidR="001413BB" w:rsidRPr="00873610">
        <w:t xml:space="preserve">mendments to the harvest strategy </w:t>
      </w:r>
      <w:r w:rsidR="001413BB">
        <w:t>able to</w:t>
      </w:r>
      <w:r w:rsidR="001413BB" w:rsidRPr="00873610">
        <w:t xml:space="preserve"> be made at any time if necessary.</w:t>
      </w:r>
    </w:p>
    <w:bookmarkEnd w:id="18"/>
    <w:p w14:paraId="5036F038" w14:textId="77777777" w:rsidR="00B0384E" w:rsidRDefault="00B0384E" w:rsidP="00B0384E">
      <w:r>
        <w:t>Performance measures used by the harvest strategy include:</w:t>
      </w:r>
    </w:p>
    <w:p w14:paraId="66AA779F" w14:textId="77777777" w:rsidR="00B0384E" w:rsidRDefault="00B0384E" w:rsidP="00B0384E">
      <w:pPr>
        <w:pStyle w:val="ListParagraph"/>
        <w:numPr>
          <w:ilvl w:val="0"/>
          <w:numId w:val="29"/>
        </w:numPr>
      </w:pPr>
      <w:r>
        <w:t xml:space="preserve">Target CPUE: the current </w:t>
      </w:r>
      <w:proofErr w:type="spellStart"/>
      <w:r>
        <w:t>sCPUE</w:t>
      </w:r>
      <w:proofErr w:type="spellEnd"/>
      <w:r>
        <w:t xml:space="preserve"> scored against a target </w:t>
      </w:r>
      <w:proofErr w:type="spellStart"/>
      <w:r>
        <w:t>sCPUE</w:t>
      </w:r>
      <w:proofErr w:type="spellEnd"/>
      <w:r>
        <w:t xml:space="preserve"> defined by </w:t>
      </w:r>
      <w:proofErr w:type="gramStart"/>
      <w:r>
        <w:t>block;</w:t>
      </w:r>
      <w:proofErr w:type="gramEnd"/>
    </w:p>
    <w:p w14:paraId="34BC0274" w14:textId="77777777" w:rsidR="00B0384E" w:rsidRDefault="00B0384E" w:rsidP="00B0384E">
      <w:pPr>
        <w:pStyle w:val="ListParagraph"/>
        <w:numPr>
          <w:ilvl w:val="0"/>
          <w:numId w:val="29"/>
        </w:numPr>
      </w:pPr>
      <w:r>
        <w:t xml:space="preserve">Gradient 1: a measurement of the gradient of change in block-level </w:t>
      </w:r>
      <w:proofErr w:type="spellStart"/>
      <w:r>
        <w:t>sCPUE</w:t>
      </w:r>
      <w:proofErr w:type="spellEnd"/>
      <w:r>
        <w:t xml:space="preserve"> in the past 12 months (i.e., current year over the previous year); and</w:t>
      </w:r>
    </w:p>
    <w:p w14:paraId="2BB6E100" w14:textId="77777777" w:rsidR="00B0384E" w:rsidRDefault="00B0384E" w:rsidP="00B0384E">
      <w:pPr>
        <w:pStyle w:val="ListParagraph"/>
        <w:numPr>
          <w:ilvl w:val="0"/>
          <w:numId w:val="29"/>
        </w:numPr>
      </w:pPr>
      <w:r>
        <w:t xml:space="preserve">Gradient 4: a measurement of the gradient of change in block-level </w:t>
      </w:r>
      <w:proofErr w:type="spellStart"/>
      <w:r>
        <w:t>sCPUE</w:t>
      </w:r>
      <w:proofErr w:type="spellEnd"/>
      <w:r>
        <w:t xml:space="preserve"> over the past four years including year-to-date.</w:t>
      </w:r>
    </w:p>
    <w:p w14:paraId="21E29412" w14:textId="77777777" w:rsidR="00B0384E" w:rsidRPr="003D71AF" w:rsidRDefault="00B0384E" w:rsidP="00B0384E">
      <w:r w:rsidRPr="005B7079">
        <w:t xml:space="preserve">For each of these performance measures, scoring functions are used to assign a score between 0 and 10, with a score of 5 representing the target level. To calculate a combined performance index for each reporting block, the scores are weighted. The total </w:t>
      </w:r>
      <w:r>
        <w:t>TACC</w:t>
      </w:r>
      <w:r w:rsidRPr="005B7079">
        <w:t xml:space="preserve"> for each </w:t>
      </w:r>
      <w:r>
        <w:t>fishery</w:t>
      </w:r>
      <w:r w:rsidRPr="005B7079">
        <w:t xml:space="preserve"> zone is </w:t>
      </w:r>
      <w:r>
        <w:t xml:space="preserve">then </w:t>
      </w:r>
      <w:r w:rsidRPr="005B7079">
        <w:t>determined by summing the recommended catches from all the reporting blocks within that zone.</w:t>
      </w:r>
    </w:p>
    <w:p w14:paraId="693FCE54" w14:textId="41FF25A9" w:rsidR="00DF7A90" w:rsidRDefault="00B0384E" w:rsidP="004944FD">
      <w:pPr>
        <w:rPr>
          <w:color w:val="4000A6"/>
        </w:rPr>
      </w:pPr>
      <w:r>
        <w:t xml:space="preserve">A control rule system is applied to the composite score to </w:t>
      </w:r>
      <w:r w:rsidR="00AA53DC">
        <w:t>specify the minimum TACC reduction or maximum TACC increase possible, which can then be rationalised. M</w:t>
      </w:r>
      <w:r>
        <w:t>eta-rules</w:t>
      </w:r>
      <w:r w:rsidR="00AA53DC">
        <w:t xml:space="preserve"> apply if a decision is to </w:t>
      </w:r>
      <w:r w:rsidR="00AA53DC">
        <w:lastRenderedPageBreak/>
        <w:t>be taken which departs from the empirical harvest strategy recommendation, and they</w:t>
      </w:r>
      <w:r>
        <w:t xml:space="preserve"> account for extraneous factors</w:t>
      </w:r>
      <w:r w:rsidR="00AA53DC">
        <w:t>.</w:t>
      </w:r>
    </w:p>
    <w:p w14:paraId="6A6A182F" w14:textId="4FDB5869" w:rsidR="0076131B" w:rsidRDefault="0076131B" w:rsidP="0076131B">
      <w:pPr>
        <w:pStyle w:val="Heading2"/>
      </w:pPr>
      <w:bookmarkStart w:id="19" w:name="_Toc203488080"/>
      <w:r>
        <w:t>R</w:t>
      </w:r>
      <w:r w:rsidRPr="0076131B">
        <w:t>ecovery strategies for overfished stocks</w:t>
      </w:r>
      <w:bookmarkEnd w:id="19"/>
    </w:p>
    <w:p w14:paraId="5866D9E5" w14:textId="44A12C1A" w:rsidR="009F1B2A" w:rsidRDefault="006457E4" w:rsidP="009F1B2A">
      <w:r>
        <w:t xml:space="preserve">The stock status for all species is classified as sustainable per the State of Australian Fisheries Stocks (SAFS) latest </w:t>
      </w:r>
      <w:hyperlink r:id="rId46" w:history="1">
        <w:r w:rsidRPr="009F1B2A">
          <w:rPr>
            <w:rStyle w:val="Hyperlink"/>
          </w:rPr>
          <w:t>reports</w:t>
        </w:r>
      </w:hyperlink>
      <w:r>
        <w:t>, and t</w:t>
      </w:r>
      <w:r w:rsidR="009F1B2A">
        <w:t xml:space="preserve">here are no active recovery plans in place at this </w:t>
      </w:r>
      <w:r>
        <w:t>time.</w:t>
      </w:r>
      <w:r w:rsidR="009F1B2A">
        <w:t xml:space="preserve"> </w:t>
      </w:r>
    </w:p>
    <w:p w14:paraId="39DC1F18" w14:textId="56BA030F" w:rsidR="006457E4" w:rsidRDefault="009F1B2A" w:rsidP="00704DBB">
      <w:r>
        <w:t xml:space="preserve">Notwithstanding the SAFS </w:t>
      </w:r>
      <w:r w:rsidRPr="0008348D">
        <w:t>classifications</w:t>
      </w:r>
      <w:r>
        <w:t>, subblocks</w:t>
      </w:r>
      <w:r w:rsidR="00B3304C">
        <w:t xml:space="preserve"> </w:t>
      </w:r>
      <w:r w:rsidR="00B3304C" w:rsidRPr="00B3304C">
        <w:t xml:space="preserve">16, 22, 23, 24, 27, </w:t>
      </w:r>
      <w:r w:rsidR="00B3304C">
        <w:t xml:space="preserve">and </w:t>
      </w:r>
      <w:r w:rsidR="00B3304C" w:rsidRPr="00B3304C">
        <w:t>28A</w:t>
      </w:r>
      <w:r w:rsidR="00B3304C">
        <w:t xml:space="preserve"> have been</w:t>
      </w:r>
      <w:r>
        <w:t xml:space="preserve"> commercially closed in the Tasmanian Eastern Zone Fishery </w:t>
      </w:r>
      <w:r w:rsidR="00B3304C">
        <w:t>since 202</w:t>
      </w:r>
      <w:r w:rsidR="00172254">
        <w:t>0</w:t>
      </w:r>
      <w:r>
        <w:t>. This is in response to reduced biomass and recruitment impairment that has resulted in</w:t>
      </w:r>
      <w:r w:rsidR="006D6160">
        <w:t xml:space="preserve"> a</w:t>
      </w:r>
      <w:r>
        <w:t xml:space="preserve"> meaningful and manageable TACC</w:t>
      </w:r>
      <w:r w:rsidR="006D6160">
        <w:t xml:space="preserve"> not being able to be set</w:t>
      </w:r>
      <w:r>
        <w:t>.</w:t>
      </w:r>
      <w:r w:rsidR="006D6160">
        <w:t xml:space="preserve"> </w:t>
      </w:r>
      <w:r w:rsidR="006457E4">
        <w:t>The pause in commercial fishing is effectively resting the stocks and allowing for recovery via natural recruitment.</w:t>
      </w:r>
    </w:p>
    <w:p w14:paraId="05F2C63E" w14:textId="221DFC91" w:rsidR="00B3304C" w:rsidRDefault="006457E4" w:rsidP="00704DBB">
      <w:r w:rsidRPr="006457E4">
        <w:t xml:space="preserve">Both </w:t>
      </w:r>
      <w:r>
        <w:t xml:space="preserve">Tasmanian </w:t>
      </w:r>
      <w:r w:rsidRPr="006457E4">
        <w:t>species are characterised by limited juvenile and adult movement</w:t>
      </w:r>
      <w:r w:rsidR="00C00C2A">
        <w:t xml:space="preserve">, </w:t>
      </w:r>
      <w:r w:rsidRPr="006457E4">
        <w:t xml:space="preserve">with individuals likely to remain within a few hundred metres of the </w:t>
      </w:r>
      <w:r w:rsidR="00C00C2A">
        <w:t xml:space="preserve">spawning </w:t>
      </w:r>
      <w:r w:rsidRPr="006457E4">
        <w:t xml:space="preserve">site. Larvae are </w:t>
      </w:r>
      <w:proofErr w:type="spellStart"/>
      <w:r w:rsidRPr="006457E4">
        <w:t>lecithotropic</w:t>
      </w:r>
      <w:proofErr w:type="spellEnd"/>
      <w:r w:rsidRPr="006457E4">
        <w:t xml:space="preserve"> with a short larval duration (5 to 10 days) leading to restricted larval dispersal and localised recruitment at scales of 100s of metres. Both species are relatively long-lived (estimated &gt; 25 years</w:t>
      </w:r>
      <w:r>
        <w:t>).</w:t>
      </w:r>
      <w:r w:rsidRPr="006457E4">
        <w:t xml:space="preserve"> The combined biological and ecological characteristics of these two species mean the fishable Tasmanian abalone ‘stock’ is a metapopulation comprised of many hundreds</w:t>
      </w:r>
      <w:r w:rsidR="00C00C2A">
        <w:t xml:space="preserve">, or more, </w:t>
      </w:r>
      <w:r w:rsidRPr="006457E4">
        <w:t>functionally independent subpopulations distributed across the Tasmanian coastline</w:t>
      </w:r>
      <w:r>
        <w:t xml:space="preserve">. </w:t>
      </w:r>
    </w:p>
    <w:p w14:paraId="6F60A76B" w14:textId="0669C4F1" w:rsidR="006457E4" w:rsidRDefault="00B3304C" w:rsidP="00704DBB">
      <w:r>
        <w:t xml:space="preserve">Given the biological and ecological characteristics of both abalone species, natural recovery via local recruitment is the preferred approach for Tasmanian abalone stocks. Other standard approaches </w:t>
      </w:r>
      <w:r w:rsidR="0008348D">
        <w:t>are not applicable;</w:t>
      </w:r>
      <w:r>
        <w:t xml:space="preserve"> they are not habitat limited (i.e., habitat intervention is not required owing to the highly variable rocky reef structure accentuating Tasmanian coastlines)</w:t>
      </w:r>
      <w:r w:rsidR="0008348D">
        <w:t>, and</w:t>
      </w:r>
      <w:r>
        <w:t xml:space="preserve"> reseeding/translocation activities increase the risk of diluting critical localised adaptations (i.e., genetics or metabolomics) or expression of stress-induced Abalone Viral </w:t>
      </w:r>
      <w:proofErr w:type="spellStart"/>
      <w:r>
        <w:t>Ganglioneuritis</w:t>
      </w:r>
      <w:proofErr w:type="spellEnd"/>
      <w:r>
        <w:t xml:space="preserve"> (AVG).</w:t>
      </w:r>
    </w:p>
    <w:p w14:paraId="1F92A8EA" w14:textId="6CCE54DF" w:rsidR="009F1B2A" w:rsidRPr="006D6160" w:rsidRDefault="006D6160" w:rsidP="00704DBB">
      <w:pPr>
        <w:rPr>
          <w:bCs/>
        </w:rPr>
      </w:pPr>
      <w:r>
        <w:t>The Tasmanian Abalone Fishery is currently in the preliminary stage of Marine Stewardship Council (MSC) certification, and a recovery strategy for the Eastern zone, which may also be applicable to the other zones, is being drafted to support the application.</w:t>
      </w:r>
      <w:r w:rsidR="009F1B2A">
        <w:t xml:space="preserve"> </w:t>
      </w:r>
      <w:r w:rsidR="0008348D">
        <w:t>Progress will be reported in future.</w:t>
      </w:r>
    </w:p>
    <w:p w14:paraId="31F1FABA" w14:textId="011EA8FA" w:rsidR="005B11D1" w:rsidRPr="00600CF2" w:rsidRDefault="00600CF2" w:rsidP="00704DBB">
      <w:pPr>
        <w:pStyle w:val="Heading2"/>
      </w:pPr>
      <w:bookmarkStart w:id="20" w:name="_Toc203488081"/>
      <w:r w:rsidRPr="00600CF2">
        <w:t>E</w:t>
      </w:r>
      <w:r w:rsidR="005B11D1" w:rsidRPr="00600CF2">
        <w:t>nforc</w:t>
      </w:r>
      <w:r w:rsidRPr="00600CF2">
        <w:t>ement</w:t>
      </w:r>
      <w:r w:rsidR="004B4287">
        <w:t xml:space="preserve"> of</w:t>
      </w:r>
      <w:r w:rsidR="005B11D1" w:rsidRPr="00600CF2">
        <w:t xml:space="preserve"> the management arrangements</w:t>
      </w:r>
      <w:bookmarkEnd w:id="20"/>
    </w:p>
    <w:p w14:paraId="0C2EAD91" w14:textId="77777777" w:rsidR="006D6160" w:rsidRDefault="006D6160" w:rsidP="006D6160">
      <w:r>
        <w:t>NRE Tas</w:t>
      </w:r>
      <w:r w:rsidRPr="00A523F0">
        <w:t xml:space="preserve"> </w:t>
      </w:r>
      <w:r>
        <w:t xml:space="preserve">contains a dedicated Marine Resources Compliance and Monitoring team who are responsible for ensuring fishery operators adhere to management arrangements. The team </w:t>
      </w:r>
      <w:r w:rsidRPr="00A523F0">
        <w:t>monitor</w:t>
      </w:r>
      <w:r>
        <w:t>s</w:t>
      </w:r>
      <w:r w:rsidRPr="00A523F0">
        <w:t xml:space="preserve"> harvest data submitted by harvesters and </w:t>
      </w:r>
      <w:proofErr w:type="gramStart"/>
      <w:r w:rsidRPr="00A523F0">
        <w:t>processors</w:t>
      </w:r>
      <w:r>
        <w:t>, and</w:t>
      </w:r>
      <w:proofErr w:type="gramEnd"/>
      <w:r>
        <w:t xml:space="preserve"> are aided with a sophisticated electronic database with automated error and non-compliance detection rules</w:t>
      </w:r>
      <w:r w:rsidRPr="00A523F0">
        <w:t xml:space="preserve">. </w:t>
      </w:r>
    </w:p>
    <w:p w14:paraId="75C53BD6" w14:textId="77777777" w:rsidR="006D6160" w:rsidRDefault="006D6160" w:rsidP="006D6160">
      <w:r w:rsidRPr="001D1B05">
        <w:t>The Marine Resources Compliance team investigate all matters of referred non-compliance in the first instance, with responses varying from education to infringement/prosecution and the application of demerit points upon convictions. Some matters may be escalated to the Tasmanian Marine Police (</w:t>
      </w:r>
      <w:proofErr w:type="spellStart"/>
      <w:r w:rsidRPr="001D1B05">
        <w:t>TasPol</w:t>
      </w:r>
      <w:proofErr w:type="spellEnd"/>
      <w:r w:rsidRPr="001D1B05">
        <w:t xml:space="preserve">) </w:t>
      </w:r>
      <w:r>
        <w:t>for</w:t>
      </w:r>
      <w:r w:rsidRPr="001D1B05">
        <w:t xml:space="preserve"> further investigation.</w:t>
      </w:r>
    </w:p>
    <w:p w14:paraId="2A95685F" w14:textId="77777777" w:rsidR="006D6160" w:rsidRDefault="006D6160" w:rsidP="006D6160">
      <w:r w:rsidRPr="0060281D">
        <w:t xml:space="preserve">Fisheries Officers within the Marine Resources Compliance team conduct scheduled inspections/audits of fish processing premises with a focus on records and equipment. Fisheries Officers from </w:t>
      </w:r>
      <w:proofErr w:type="spellStart"/>
      <w:r w:rsidRPr="0060281D">
        <w:t>TasPol</w:t>
      </w:r>
      <w:proofErr w:type="spellEnd"/>
      <w:r w:rsidRPr="0060281D">
        <w:t xml:space="preserve"> routinely conduct spot inspections of fish processors, conduct at-sea and in-port inspections of catches and vessels.</w:t>
      </w:r>
    </w:p>
    <w:p w14:paraId="5DB7545A" w14:textId="242B85D3" w:rsidR="00C2539A" w:rsidRPr="001F04DC" w:rsidRDefault="001017DE" w:rsidP="001F04DC">
      <w:pPr>
        <w:pStyle w:val="Heading2"/>
      </w:pPr>
      <w:bookmarkStart w:id="21" w:name="_Toc203488082"/>
      <w:r>
        <w:lastRenderedPageBreak/>
        <w:t>Mitigating i</w:t>
      </w:r>
      <w:r w:rsidR="000A3698" w:rsidRPr="001F04DC">
        <w:t>mpacts on the wider ecosystem</w:t>
      </w:r>
      <w:bookmarkEnd w:id="21"/>
    </w:p>
    <w:p w14:paraId="288B9952" w14:textId="3FBA2505" w:rsidR="006D6160" w:rsidRDefault="006D6160" w:rsidP="006D6160">
      <w:pPr>
        <w:rPr>
          <w:noProof/>
        </w:rPr>
      </w:pPr>
      <w:r>
        <w:rPr>
          <w:noProof/>
        </w:rPr>
        <w:t>An ecological risk assessment has not been undertaken for this fishery, however, the nature of the fisheries operations—</w:t>
      </w:r>
      <w:r w:rsidR="00034726">
        <w:rPr>
          <w:noProof/>
        </w:rPr>
        <w:t xml:space="preserve">highly selective </w:t>
      </w:r>
      <w:r>
        <w:rPr>
          <w:noProof/>
        </w:rPr>
        <w:t xml:space="preserve">hand collection of targeted species by diving—renders the risk very low. </w:t>
      </w:r>
    </w:p>
    <w:p w14:paraId="31233677" w14:textId="6596FC94" w:rsidR="006D6160" w:rsidRDefault="006D6160" w:rsidP="006D6160">
      <w:r>
        <w:t xml:space="preserve">Through the </w:t>
      </w:r>
      <w:hyperlink r:id="rId47" w:history="1">
        <w:r w:rsidRPr="006D6160">
          <w:rPr>
            <w:rStyle w:val="Hyperlink"/>
          </w:rPr>
          <w:t>Abalone Industry Reinvestment Fund</w:t>
        </w:r>
      </w:hyperlink>
      <w:r>
        <w:t xml:space="preserve"> (AIRF), the Tasmanian Abalone industry is actively involved in projects to protect east coast marine habitats from incursion of Longspined Sea Urchins (</w:t>
      </w:r>
      <w:r>
        <w:rPr>
          <w:i/>
          <w:iCs/>
        </w:rPr>
        <w:t>Centrostephanus rodgersii</w:t>
      </w:r>
      <w:r>
        <w:t>),</w:t>
      </w:r>
      <w:r>
        <w:rPr>
          <w:i/>
          <w:iCs/>
        </w:rPr>
        <w:t xml:space="preserve"> </w:t>
      </w:r>
      <w:r>
        <w:t xml:space="preserve">and to restore threatened Giant Kelp ecological communities. </w:t>
      </w:r>
    </w:p>
    <w:p w14:paraId="75223E3D" w14:textId="77777777" w:rsidR="00034726" w:rsidRDefault="00034726" w:rsidP="00034726">
      <w:r>
        <w:t xml:space="preserve">Abalone </w:t>
      </w:r>
      <w:r w:rsidRPr="00142BB4">
        <w:t>divers must not intentionally damage other organism</w:t>
      </w:r>
      <w:r>
        <w:t xml:space="preserve">s, and they must </w:t>
      </w:r>
      <w:r w:rsidRPr="00142BB4">
        <w:t>avoid dragging catch bag</w:t>
      </w:r>
      <w:r>
        <w:t>s</w:t>
      </w:r>
      <w:r w:rsidRPr="00142BB4">
        <w:t xml:space="preserve"> along the bottom or onto boulders</w:t>
      </w:r>
      <w:r>
        <w:t xml:space="preserve">. This is outlined in the </w:t>
      </w:r>
      <w:hyperlink r:id="rId48" w:history="1">
        <w:r w:rsidRPr="00142BB4">
          <w:rPr>
            <w:rStyle w:val="Hyperlink"/>
          </w:rPr>
          <w:t>Australian</w:t>
        </w:r>
        <w:r>
          <w:rPr>
            <w:rStyle w:val="Hyperlink"/>
          </w:rPr>
          <w:t xml:space="preserve"> </w:t>
        </w:r>
        <w:r w:rsidRPr="00142BB4">
          <w:rPr>
            <w:rStyle w:val="Hyperlink"/>
          </w:rPr>
          <w:t>Wild</w:t>
        </w:r>
        <w:r>
          <w:rPr>
            <w:rStyle w:val="Hyperlink"/>
          </w:rPr>
          <w:t xml:space="preserve"> </w:t>
        </w:r>
        <w:r w:rsidRPr="00142BB4">
          <w:rPr>
            <w:rStyle w:val="Hyperlink"/>
          </w:rPr>
          <w:t>Abalone</w:t>
        </w:r>
        <w:r>
          <w:rPr>
            <w:rStyle w:val="Hyperlink"/>
          </w:rPr>
          <w:t xml:space="preserve"> </w:t>
        </w:r>
        <w:r w:rsidRPr="00142BB4">
          <w:rPr>
            <w:rStyle w:val="Hyperlink"/>
          </w:rPr>
          <w:t>Quality</w:t>
        </w:r>
        <w:r>
          <w:rPr>
            <w:rStyle w:val="Hyperlink"/>
          </w:rPr>
          <w:t xml:space="preserve"> </w:t>
        </w:r>
        <w:r w:rsidRPr="00142BB4">
          <w:rPr>
            <w:rStyle w:val="Hyperlink"/>
          </w:rPr>
          <w:t>Assurance</w:t>
        </w:r>
        <w:r>
          <w:rPr>
            <w:rStyle w:val="Hyperlink"/>
          </w:rPr>
          <w:t xml:space="preserve"> </w:t>
        </w:r>
        <w:r w:rsidRPr="00142BB4">
          <w:rPr>
            <w:rStyle w:val="Hyperlink"/>
          </w:rPr>
          <w:t>Code</w:t>
        </w:r>
        <w:r>
          <w:rPr>
            <w:rStyle w:val="Hyperlink"/>
          </w:rPr>
          <w:t xml:space="preserve"> </w:t>
        </w:r>
        <w:r w:rsidRPr="00142BB4">
          <w:rPr>
            <w:rStyle w:val="Hyperlink"/>
          </w:rPr>
          <w:t>of</w:t>
        </w:r>
        <w:r>
          <w:rPr>
            <w:rStyle w:val="Hyperlink"/>
          </w:rPr>
          <w:t xml:space="preserve"> </w:t>
        </w:r>
        <w:r w:rsidRPr="00142BB4">
          <w:rPr>
            <w:rStyle w:val="Hyperlink"/>
          </w:rPr>
          <w:t>Practice</w:t>
        </w:r>
        <w:r>
          <w:rPr>
            <w:rStyle w:val="Hyperlink"/>
          </w:rPr>
          <w:t xml:space="preserve"> </w:t>
        </w:r>
        <w:r w:rsidRPr="00142BB4">
          <w:rPr>
            <w:rStyle w:val="Hyperlink"/>
          </w:rPr>
          <w:t>Master</w:t>
        </w:r>
        <w:r>
          <w:rPr>
            <w:rStyle w:val="Hyperlink"/>
          </w:rPr>
          <w:t xml:space="preserve"> </w:t>
        </w:r>
        <w:r w:rsidRPr="00142BB4">
          <w:rPr>
            <w:rStyle w:val="Hyperlink"/>
          </w:rPr>
          <w:t>Manual</w:t>
        </w:r>
      </w:hyperlink>
      <w:r>
        <w:t>, to which divers must adhere.</w:t>
      </w:r>
    </w:p>
    <w:p w14:paraId="19AADAFE" w14:textId="70478F36" w:rsidR="00034726" w:rsidRPr="003D191F" w:rsidRDefault="00034726" w:rsidP="00034726">
      <w:pPr>
        <w:rPr>
          <w:noProof/>
          <w:color w:val="4000A6"/>
        </w:rPr>
      </w:pPr>
      <w:r>
        <w:t>A</w:t>
      </w:r>
      <w:hyperlink r:id="rId49" w:history="1">
        <w:r>
          <w:rPr>
            <w:rStyle w:val="Hyperlink"/>
          </w:rPr>
          <w:t xml:space="preserve"> </w:t>
        </w:r>
        <w:r w:rsidRPr="001765AC">
          <w:rPr>
            <w:rStyle w:val="Hyperlink"/>
          </w:rPr>
          <w:t>review of ecosystem impacts of abalone fishing</w:t>
        </w:r>
      </w:hyperlink>
      <w:r>
        <w:t xml:space="preserve"> was published in 2004 by Gregory Jenkins, which found that ecosystem impacts are relatively minimal compared to the effects of trawling and dredging, with no significant bycatch or discards. In 2010, Joseph Valentine published an </w:t>
      </w:r>
      <w:hyperlink r:id="rId50" w:history="1">
        <w:r w:rsidRPr="00155F32">
          <w:rPr>
            <w:rStyle w:val="Hyperlink"/>
          </w:rPr>
          <w:t>investigation</w:t>
        </w:r>
      </w:hyperlink>
      <w:r>
        <w:t xml:space="preserve"> into the potential interactions between benthic under-storey organisms and </w:t>
      </w:r>
      <w:r w:rsidRPr="001765AC">
        <w:rPr>
          <w:i/>
          <w:iCs/>
        </w:rPr>
        <w:t>Haliotis rubra</w:t>
      </w:r>
      <w:r>
        <w:t>, in south-eastern Australia. The available correlative evidence of the study suggests limited ecosystem effects of Blacklip Abalone depletion at the scale of individual reefs.</w:t>
      </w:r>
    </w:p>
    <w:p w14:paraId="21AF50B5" w14:textId="1BF95F59" w:rsidR="00C420E6" w:rsidRPr="00406C7E" w:rsidRDefault="00406C7E" w:rsidP="00406C7E">
      <w:pPr>
        <w:pStyle w:val="Heading2"/>
      </w:pPr>
      <w:bookmarkStart w:id="22" w:name="_Toc203488083"/>
      <w:r w:rsidRPr="00406C7E">
        <w:t>N</w:t>
      </w:r>
      <w:r w:rsidR="00C420E6" w:rsidRPr="00406C7E">
        <w:t xml:space="preserve">ational </w:t>
      </w:r>
      <w:r w:rsidR="006B2F3F" w:rsidRPr="00406C7E">
        <w:t>policies</w:t>
      </w:r>
      <w:r w:rsidR="00BF5ED4">
        <w:t>, plans</w:t>
      </w:r>
      <w:r w:rsidR="006B2F3F" w:rsidRPr="00406C7E">
        <w:t xml:space="preserve"> and strategies</w:t>
      </w:r>
      <w:bookmarkEnd w:id="22"/>
    </w:p>
    <w:p w14:paraId="4D99D291" w14:textId="77777777" w:rsidR="006D6160" w:rsidRPr="0060281D" w:rsidRDefault="006D6160" w:rsidP="006D6160">
      <w:r w:rsidRPr="0060281D">
        <w:t>The fishery’s management arrangements are compliant with national policies and strategies.</w:t>
      </w:r>
    </w:p>
    <w:p w14:paraId="212FD8F9" w14:textId="77777777" w:rsidR="006D6160" w:rsidRPr="0055632A" w:rsidRDefault="006D6160" w:rsidP="006D6160">
      <w:pPr>
        <w:pStyle w:val="ListParagraph"/>
        <w:numPr>
          <w:ilvl w:val="0"/>
          <w:numId w:val="19"/>
        </w:numPr>
        <w:rPr>
          <w:rStyle w:val="Hyperlink"/>
          <w:color w:val="auto"/>
          <w:u w:val="none"/>
        </w:rPr>
      </w:pPr>
      <w:hyperlink r:id="rId51" w:history="1">
        <w:r w:rsidRPr="004F7067">
          <w:rPr>
            <w:rStyle w:val="Hyperlink"/>
          </w:rPr>
          <w:t>Threat abatement plans</w:t>
        </w:r>
      </w:hyperlink>
      <w:r w:rsidRPr="001D1B05">
        <w:t xml:space="preserve">: </w:t>
      </w:r>
    </w:p>
    <w:p w14:paraId="43A38932" w14:textId="14490E0C" w:rsidR="006D6160" w:rsidRPr="00353830" w:rsidRDefault="006D6160" w:rsidP="006D6160">
      <w:pPr>
        <w:pStyle w:val="xmsolistparagraph"/>
        <w:spacing w:after="120"/>
        <w:rPr>
          <w:rFonts w:eastAsia="Times New Roman"/>
        </w:rPr>
      </w:pPr>
      <w:r w:rsidRPr="00353830">
        <w:rPr>
          <w:rFonts w:asciiTheme="minorHAnsi" w:hAnsiTheme="minorHAnsi" w:cstheme="minorHAnsi"/>
          <w:lang w:eastAsia="en-US"/>
        </w:rPr>
        <w:t>Compliance is not explicitly required for this fishery</w:t>
      </w:r>
      <w:r>
        <w:rPr>
          <w:rFonts w:asciiTheme="minorHAnsi" w:hAnsiTheme="minorHAnsi" w:cstheme="minorHAnsi"/>
          <w:lang w:eastAsia="en-US"/>
        </w:rPr>
        <w:t>, with only one</w:t>
      </w:r>
      <w:r w:rsidRPr="00353830">
        <w:rPr>
          <w:rFonts w:asciiTheme="minorHAnsi" w:hAnsiTheme="minorHAnsi" w:cstheme="minorHAnsi"/>
          <w:lang w:eastAsia="en-US"/>
        </w:rPr>
        <w:t xml:space="preserve"> plan relevant</w:t>
      </w:r>
      <w:r>
        <w:rPr>
          <w:rFonts w:asciiTheme="minorHAnsi" w:hAnsiTheme="minorHAnsi" w:cstheme="minorHAnsi"/>
          <w:lang w:eastAsia="en-US"/>
        </w:rPr>
        <w:t xml:space="preserve">: </w:t>
      </w:r>
      <w:r w:rsidRPr="00353830">
        <w:rPr>
          <w:rFonts w:asciiTheme="minorHAnsi" w:hAnsiTheme="minorHAnsi" w:cstheme="minorHAnsi"/>
          <w:i/>
          <w:iCs/>
        </w:rPr>
        <w:t>Threat abatement plan for the impacts of marine debris on the vertebrate wildlife of Australia’s</w:t>
      </w:r>
      <w:r w:rsidRPr="00353830">
        <w:rPr>
          <w:rFonts w:asciiTheme="minorHAnsi" w:hAnsiTheme="minorHAnsi" w:cstheme="minorBidi"/>
          <w:i/>
          <w:iCs/>
        </w:rPr>
        <w:t xml:space="preserve"> coasts and oceans (2018)</w:t>
      </w:r>
      <w:r>
        <w:rPr>
          <w:rFonts w:asciiTheme="minorHAnsi" w:hAnsiTheme="minorHAnsi" w:cstheme="minorHAnsi"/>
          <w:lang w:eastAsia="en-US"/>
        </w:rPr>
        <w:t>. T</w:t>
      </w:r>
      <w:r>
        <w:rPr>
          <w:rFonts w:asciiTheme="minorHAnsi" w:hAnsiTheme="minorHAnsi" w:cstheme="minorBidi"/>
          <w:lang w:eastAsia="en-US"/>
        </w:rPr>
        <w:t xml:space="preserve">he fishery is consistent owing to limited gear types (hookah, hand-held/rope-attached bags, and </w:t>
      </w:r>
      <w:r w:rsidR="0008348D">
        <w:rPr>
          <w:rFonts w:asciiTheme="minorHAnsi" w:hAnsiTheme="minorHAnsi" w:cstheme="minorBidi"/>
          <w:lang w:eastAsia="en-US"/>
        </w:rPr>
        <w:t>compliant knives and abalone irons</w:t>
      </w:r>
      <w:r>
        <w:rPr>
          <w:rFonts w:asciiTheme="minorHAnsi" w:hAnsiTheme="minorHAnsi" w:cstheme="minorBidi"/>
          <w:lang w:eastAsia="en-US"/>
        </w:rPr>
        <w:t>).</w:t>
      </w:r>
      <w:r w:rsidRPr="00353830">
        <w:rPr>
          <w:rFonts w:asciiTheme="minorHAnsi" w:hAnsiTheme="minorHAnsi" w:cstheme="minorBidi"/>
          <w:lang w:eastAsia="en-US"/>
        </w:rPr>
        <w:t xml:space="preserve"> </w:t>
      </w:r>
    </w:p>
    <w:p w14:paraId="73D31A9A" w14:textId="77777777" w:rsidR="006D6160" w:rsidRPr="0055632A" w:rsidRDefault="006D6160" w:rsidP="006D6160">
      <w:pPr>
        <w:pStyle w:val="xmsolistparagraph"/>
        <w:numPr>
          <w:ilvl w:val="0"/>
          <w:numId w:val="19"/>
        </w:numPr>
        <w:spacing w:after="120"/>
        <w:rPr>
          <w:rStyle w:val="Hyperlink"/>
          <w:rFonts w:eastAsia="Times New Roman"/>
          <w:color w:val="auto"/>
          <w:u w:val="none"/>
        </w:rPr>
      </w:pPr>
      <w:hyperlink r:id="rId52" w:history="1">
        <w:r w:rsidRPr="004F7067">
          <w:rPr>
            <w:rStyle w:val="Hyperlink"/>
            <w:rFonts w:asciiTheme="minorHAnsi" w:hAnsiTheme="minorHAnsi" w:cstheme="minorBidi"/>
            <w:lang w:eastAsia="en-US"/>
          </w:rPr>
          <w:t>Recovery plans</w:t>
        </w:r>
      </w:hyperlink>
      <w:r w:rsidRPr="001D1B05">
        <w:rPr>
          <w:rFonts w:asciiTheme="minorHAnsi" w:hAnsiTheme="minorHAnsi" w:cstheme="minorBidi"/>
          <w:lang w:eastAsia="en-US"/>
        </w:rPr>
        <w:t>:</w:t>
      </w:r>
      <w:r w:rsidRPr="001D1B05">
        <w:rPr>
          <w:rFonts w:eastAsia="Times New Roman"/>
        </w:rPr>
        <w:t xml:space="preserve"> </w:t>
      </w:r>
    </w:p>
    <w:p w14:paraId="04B0852D" w14:textId="77777777" w:rsidR="006D6160" w:rsidRPr="002E37BD" w:rsidRDefault="006D6160" w:rsidP="006D6160">
      <w:pPr>
        <w:pStyle w:val="xmsolistparagraph"/>
        <w:spacing w:after="120"/>
        <w:rPr>
          <w:rFonts w:eastAsia="Times New Roman"/>
        </w:rPr>
      </w:pPr>
      <w:r>
        <w:rPr>
          <w:rFonts w:asciiTheme="minorHAnsi" w:hAnsiTheme="minorHAnsi" w:cstheme="minorBidi"/>
          <w:lang w:eastAsia="en-US"/>
        </w:rPr>
        <w:t>Compliance is not explicitly required for this fishery, with none of the plans being relevant.</w:t>
      </w:r>
    </w:p>
    <w:p w14:paraId="02F1D350" w14:textId="77777777" w:rsidR="006D6160" w:rsidRPr="00615855" w:rsidRDefault="006D6160" w:rsidP="006D6160">
      <w:pPr>
        <w:pStyle w:val="xmsolistparagraph"/>
        <w:numPr>
          <w:ilvl w:val="0"/>
          <w:numId w:val="19"/>
        </w:numPr>
        <w:spacing w:after="120"/>
        <w:rPr>
          <w:rFonts w:eastAsia="Times New Roman"/>
        </w:rPr>
      </w:pPr>
      <w:hyperlink r:id="rId53" w:history="1">
        <w:r w:rsidRPr="004F7067">
          <w:rPr>
            <w:rStyle w:val="Hyperlink"/>
            <w:rFonts w:asciiTheme="minorHAnsi" w:hAnsiTheme="minorHAnsi" w:cstheme="minorBidi"/>
            <w:lang w:eastAsia="en-US"/>
          </w:rPr>
          <w:t>National Policy on Fisheries Bycatch</w:t>
        </w:r>
      </w:hyperlink>
      <w:r w:rsidRPr="001D1B05">
        <w:rPr>
          <w:rFonts w:asciiTheme="minorHAnsi" w:hAnsiTheme="minorHAnsi" w:cstheme="minorBidi"/>
          <w:lang w:eastAsia="en-US"/>
        </w:rPr>
        <w:t>:</w:t>
      </w:r>
      <w:r w:rsidRPr="001D1B05">
        <w:rPr>
          <w:rFonts w:eastAsia="Times New Roman"/>
        </w:rPr>
        <w:t xml:space="preserve"> </w:t>
      </w:r>
    </w:p>
    <w:p w14:paraId="00CDBFD2" w14:textId="07D6057D" w:rsidR="0008348D" w:rsidRDefault="006D6160" w:rsidP="006D6160">
      <w:pPr>
        <w:pStyle w:val="xmsolistparagraph"/>
        <w:spacing w:after="120"/>
        <w:rPr>
          <w:rFonts w:asciiTheme="minorHAnsi" w:hAnsiTheme="minorHAnsi" w:cstheme="minorBidi"/>
          <w:lang w:eastAsia="en-US"/>
        </w:rPr>
      </w:pPr>
      <w:r w:rsidRPr="0008348D">
        <w:rPr>
          <w:rFonts w:asciiTheme="minorHAnsi" w:hAnsiTheme="minorHAnsi" w:cstheme="minorBidi"/>
          <w:lang w:eastAsia="en-US"/>
        </w:rPr>
        <w:t xml:space="preserve">The fishery is consistent with the policy. Bycatch and discards are not practiced within the fishery because harvested fish are individually hand selected by divers. </w:t>
      </w:r>
      <w:r w:rsidR="0008348D">
        <w:rPr>
          <w:rFonts w:asciiTheme="minorHAnsi" w:hAnsiTheme="minorHAnsi" w:cstheme="minorBidi"/>
          <w:lang w:eastAsia="en-US"/>
        </w:rPr>
        <w:t xml:space="preserve">The fishery is managed with ITQs that act to minimise overcatch. Any resultant incentive to high-grade or discard catch to avoid over-catching quota limits is strongly deterred by severe penalties </w:t>
      </w:r>
      <w:r w:rsidR="00034726">
        <w:rPr>
          <w:rFonts w:asciiTheme="minorHAnsi" w:hAnsiTheme="minorHAnsi" w:cstheme="minorBidi"/>
          <w:lang w:eastAsia="en-US"/>
        </w:rPr>
        <w:t>for failure to measure abalone prior to detaching them from the strata, and failure to land all abalone taken above the size limit (</w:t>
      </w:r>
      <w:hyperlink r:id="rId54" w:anchor="GS34@EN" w:history="1">
        <w:r w:rsidR="00034726" w:rsidRPr="00034726">
          <w:rPr>
            <w:rStyle w:val="Hyperlink"/>
            <w:rFonts w:asciiTheme="minorHAnsi" w:hAnsiTheme="minorHAnsi" w:cstheme="minorBidi"/>
            <w:lang w:eastAsia="en-US"/>
          </w:rPr>
          <w:t>r 34 of the Rules</w:t>
        </w:r>
      </w:hyperlink>
      <w:r w:rsidR="00034726">
        <w:rPr>
          <w:rFonts w:asciiTheme="minorHAnsi" w:hAnsiTheme="minorHAnsi" w:cstheme="minorBidi"/>
          <w:lang w:eastAsia="en-US"/>
        </w:rPr>
        <w:t>)</w:t>
      </w:r>
      <w:r w:rsidR="0008348D">
        <w:rPr>
          <w:rFonts w:asciiTheme="minorHAnsi" w:hAnsiTheme="minorHAnsi" w:cstheme="minorBidi"/>
          <w:lang w:eastAsia="en-US"/>
        </w:rPr>
        <w:t xml:space="preserve">.  </w:t>
      </w:r>
    </w:p>
    <w:p w14:paraId="12444DE0" w14:textId="0E885503" w:rsidR="006D6160" w:rsidRPr="0055632A" w:rsidRDefault="006D6160" w:rsidP="006D6160">
      <w:pPr>
        <w:pStyle w:val="xmsolistparagraph"/>
        <w:spacing w:after="120"/>
        <w:rPr>
          <w:rFonts w:eastAsia="Times New Roman"/>
        </w:rPr>
      </w:pPr>
      <w:r w:rsidRPr="0008348D">
        <w:rPr>
          <w:rFonts w:asciiTheme="minorHAnsi" w:hAnsiTheme="minorHAnsi" w:cstheme="minorBidi"/>
          <w:lang w:eastAsia="en-US"/>
        </w:rPr>
        <w:t>On-water mortalities are negligible</w:t>
      </w:r>
      <w:r w:rsidR="0008348D">
        <w:rPr>
          <w:rFonts w:asciiTheme="minorHAnsi" w:hAnsiTheme="minorHAnsi" w:cstheme="minorBidi"/>
          <w:lang w:eastAsia="en-US"/>
        </w:rPr>
        <w:t>, with abalone highly resilient to managed cold-chain transport.</w:t>
      </w:r>
      <w:r w:rsidRPr="0008348D">
        <w:rPr>
          <w:rFonts w:asciiTheme="minorHAnsi" w:hAnsiTheme="minorHAnsi" w:cstheme="minorBidi"/>
          <w:lang w:eastAsia="en-US"/>
        </w:rPr>
        <w:t xml:space="preserve"> Post-harvest mortalities are recorded </w:t>
      </w:r>
      <w:r w:rsidR="00BE5588">
        <w:rPr>
          <w:rFonts w:asciiTheme="minorHAnsi" w:hAnsiTheme="minorHAnsi" w:cstheme="minorBidi"/>
          <w:lang w:eastAsia="en-US"/>
        </w:rPr>
        <w:t xml:space="preserve">by licenced abalone processors, with </w:t>
      </w:r>
      <w:r w:rsidRPr="0008348D">
        <w:rPr>
          <w:rFonts w:asciiTheme="minorHAnsi" w:hAnsiTheme="minorHAnsi" w:cstheme="minorBidi"/>
          <w:lang w:eastAsia="en-US"/>
        </w:rPr>
        <w:t>those fish having already been included on diver catch records</w:t>
      </w:r>
      <w:r w:rsidR="00BE5588">
        <w:rPr>
          <w:rFonts w:asciiTheme="minorHAnsi" w:hAnsiTheme="minorHAnsi" w:cstheme="minorBidi"/>
          <w:lang w:eastAsia="en-US"/>
        </w:rPr>
        <w:t xml:space="preserve"> and abalone processor </w:t>
      </w:r>
      <w:proofErr w:type="gramStart"/>
      <w:r w:rsidR="00BE5588">
        <w:rPr>
          <w:rFonts w:asciiTheme="minorHAnsi" w:hAnsiTheme="minorHAnsi" w:cstheme="minorBidi"/>
          <w:lang w:eastAsia="en-US"/>
        </w:rPr>
        <w:t>records,</w:t>
      </w:r>
      <w:r w:rsidRPr="0008348D">
        <w:rPr>
          <w:rFonts w:asciiTheme="minorHAnsi" w:hAnsiTheme="minorHAnsi" w:cstheme="minorBidi"/>
          <w:lang w:eastAsia="en-US"/>
        </w:rPr>
        <w:t xml:space="preserve"> and</w:t>
      </w:r>
      <w:proofErr w:type="gramEnd"/>
      <w:r w:rsidRPr="0008348D">
        <w:rPr>
          <w:rFonts w:asciiTheme="minorHAnsi" w:hAnsiTheme="minorHAnsi" w:cstheme="minorBidi"/>
          <w:lang w:eastAsia="en-US"/>
        </w:rPr>
        <w:t xml:space="preserve"> </w:t>
      </w:r>
      <w:r w:rsidR="00BE5588">
        <w:rPr>
          <w:rFonts w:asciiTheme="minorHAnsi" w:hAnsiTheme="minorHAnsi" w:cstheme="minorBidi"/>
          <w:lang w:eastAsia="en-US"/>
        </w:rPr>
        <w:t xml:space="preserve">having </w:t>
      </w:r>
      <w:r w:rsidRPr="0008348D">
        <w:rPr>
          <w:rFonts w:asciiTheme="minorHAnsi" w:hAnsiTheme="minorHAnsi" w:cstheme="minorBidi"/>
          <w:lang w:eastAsia="en-US"/>
        </w:rPr>
        <w:t>counted towards the catch limits</w:t>
      </w:r>
      <w:r w:rsidR="00BE5588">
        <w:rPr>
          <w:rFonts w:asciiTheme="minorHAnsi" w:hAnsiTheme="minorHAnsi" w:cstheme="minorBidi"/>
          <w:lang w:eastAsia="en-US"/>
        </w:rPr>
        <w:t xml:space="preserve"> and quota</w:t>
      </w:r>
      <w:r w:rsidRPr="0055632A">
        <w:rPr>
          <w:rFonts w:asciiTheme="minorHAnsi" w:hAnsiTheme="minorHAnsi" w:cstheme="minorBidi"/>
          <w:lang w:eastAsia="en-US"/>
        </w:rPr>
        <w:t xml:space="preserve">. </w:t>
      </w:r>
    </w:p>
    <w:p w14:paraId="69622ECF" w14:textId="11E68EE3" w:rsidR="00FB1262" w:rsidRPr="0035373A" w:rsidRDefault="00FB1262" w:rsidP="0035373A">
      <w:pPr>
        <w:pStyle w:val="Heading2"/>
      </w:pPr>
      <w:bookmarkStart w:id="23" w:name="_Toc203488084"/>
      <w:r w:rsidRPr="0035373A">
        <w:t>Changes since the previous assessment</w:t>
      </w:r>
      <w:bookmarkEnd w:id="23"/>
    </w:p>
    <w:p w14:paraId="509C0C4A" w14:textId="77777777" w:rsidR="000E460D" w:rsidRPr="004F7067" w:rsidRDefault="000E460D" w:rsidP="000E460D">
      <w:r>
        <w:t xml:space="preserve">A range of changes have been implemented since the previous assessment. These include: </w:t>
      </w:r>
    </w:p>
    <w:p w14:paraId="18EC92AC" w14:textId="04CE001C" w:rsidR="00DC0007" w:rsidRPr="004F7067" w:rsidRDefault="00AA53DC" w:rsidP="00DC0007">
      <w:pPr>
        <w:pStyle w:val="ListParagraph"/>
        <w:numPr>
          <w:ilvl w:val="0"/>
          <w:numId w:val="25"/>
        </w:numPr>
        <w:spacing w:after="120"/>
        <w:contextualSpacing w:val="0"/>
      </w:pPr>
      <w:r>
        <w:t>Introduction and U</w:t>
      </w:r>
      <w:r w:rsidR="00DC0007">
        <w:t>pdate</w:t>
      </w:r>
      <w:r>
        <w:t>s to the Abalone Fishery</w:t>
      </w:r>
      <w:r w:rsidR="00DC0007">
        <w:t xml:space="preserve"> Harvest Strategy</w:t>
      </w:r>
    </w:p>
    <w:p w14:paraId="39E3D787" w14:textId="2CC90D55" w:rsidR="00AA53DC" w:rsidRPr="00AA53DC" w:rsidRDefault="00AA53DC" w:rsidP="00AA53DC">
      <w:pPr>
        <w:pStyle w:val="ListParagraph"/>
        <w:spacing w:after="120" w:line="276" w:lineRule="auto"/>
        <w:contextualSpacing w:val="0"/>
        <w:jc w:val="both"/>
        <w:rPr>
          <w:rFonts w:cs="Arial"/>
        </w:rPr>
      </w:pPr>
      <w:r>
        <w:rPr>
          <w:rFonts w:cs="Arial"/>
        </w:rPr>
        <w:t>An</w:t>
      </w:r>
      <w:r w:rsidRPr="00AA53DC">
        <w:rPr>
          <w:rFonts w:cs="Arial"/>
        </w:rPr>
        <w:t xml:space="preserve"> empirical harvest strategy for the Tasmanian abalone fishery was first developed and tested </w:t>
      </w:r>
      <w:r>
        <w:rPr>
          <w:rFonts w:cs="Arial"/>
        </w:rPr>
        <w:t xml:space="preserve">in </w:t>
      </w:r>
      <w:r w:rsidRPr="00AA53DC">
        <w:rPr>
          <w:rFonts w:cs="Arial"/>
        </w:rPr>
        <w:t>2014-15</w:t>
      </w:r>
      <w:r>
        <w:rPr>
          <w:rFonts w:cs="Arial"/>
        </w:rPr>
        <w:t xml:space="preserve">, and consulted, reviewed and trialled in 2017, and later approved for use in </w:t>
      </w:r>
      <w:r>
        <w:rPr>
          <w:rFonts w:cs="Arial"/>
        </w:rPr>
        <w:lastRenderedPageBreak/>
        <w:t>2018.</w:t>
      </w:r>
      <w:r w:rsidRPr="00AA53DC">
        <w:rPr>
          <w:rFonts w:cs="Arial"/>
        </w:rPr>
        <w:t xml:space="preserve"> The strategy was reviewed in 2019</w:t>
      </w:r>
      <w:r>
        <w:rPr>
          <w:rFonts w:cs="Arial"/>
        </w:rPr>
        <w:t xml:space="preserve"> and then comprehensively reviewed by CSIRO in 2021 </w:t>
      </w:r>
      <w:r w:rsidRPr="00AA53DC">
        <w:rPr>
          <w:rFonts w:cs="Arial"/>
        </w:rPr>
        <w:t xml:space="preserve">who set out </w:t>
      </w:r>
      <w:proofErr w:type="gramStart"/>
      <w:r w:rsidRPr="00AA53DC">
        <w:rPr>
          <w:rFonts w:cs="Arial"/>
        </w:rPr>
        <w:t>a number of</w:t>
      </w:r>
      <w:proofErr w:type="gramEnd"/>
      <w:r w:rsidRPr="00AA53DC">
        <w:rPr>
          <w:rFonts w:cs="Arial"/>
        </w:rPr>
        <w:t xml:space="preserve"> recommendations to be reviewed and adopted. </w:t>
      </w:r>
      <w:r>
        <w:rPr>
          <w:rFonts w:cs="Arial"/>
        </w:rPr>
        <w:t xml:space="preserve">Following review and incorporation of the findings, </w:t>
      </w:r>
      <w:r w:rsidRPr="00AA53DC">
        <w:rPr>
          <w:rFonts w:cs="Arial"/>
        </w:rPr>
        <w:t>the second iteration of the Tasmanian Abalone Fishery Sustainable Harvest Strategy</w:t>
      </w:r>
      <w:r>
        <w:rPr>
          <w:rFonts w:cs="Arial"/>
        </w:rPr>
        <w:t xml:space="preserve"> was released in 2025</w:t>
      </w:r>
      <w:r w:rsidRPr="00AA53DC">
        <w:rPr>
          <w:rFonts w:cs="Arial"/>
        </w:rPr>
        <w:t xml:space="preserve">. </w:t>
      </w:r>
    </w:p>
    <w:p w14:paraId="2EF0CBEA" w14:textId="74D01AAD" w:rsidR="00AA53DC" w:rsidRDefault="00AA53DC" w:rsidP="00AA53DC">
      <w:pPr>
        <w:pStyle w:val="ListParagraph"/>
        <w:spacing w:after="120" w:line="276" w:lineRule="auto"/>
        <w:contextualSpacing w:val="0"/>
        <w:jc w:val="both"/>
        <w:rPr>
          <w:rFonts w:cs="Arial"/>
        </w:rPr>
      </w:pPr>
      <w:r w:rsidRPr="00AA53DC">
        <w:rPr>
          <w:rFonts w:cs="Arial"/>
        </w:rPr>
        <w:t>The 2025 version of the Harvest Strategy provides a formal framework for harvest-related management decisions for commercial and non-commercial activities in the abalone fishery. A further review is expected five years after implementation, with amendments to the harvest strategy able to be made at any time if necessary.</w:t>
      </w:r>
    </w:p>
    <w:p w14:paraId="0D9041F0" w14:textId="77777777" w:rsidR="000E460D" w:rsidRPr="004F7067" w:rsidRDefault="000E460D" w:rsidP="000E460D">
      <w:pPr>
        <w:pStyle w:val="ListParagraph"/>
        <w:numPr>
          <w:ilvl w:val="0"/>
          <w:numId w:val="25"/>
        </w:numPr>
        <w:spacing w:after="120"/>
        <w:contextualSpacing w:val="0"/>
      </w:pPr>
      <w:r w:rsidRPr="004F7067">
        <w:t>Mandatory use of GPS and Depth Loggers</w:t>
      </w:r>
    </w:p>
    <w:p w14:paraId="723E3980" w14:textId="523A594B" w:rsidR="000E460D" w:rsidRPr="004F7067" w:rsidRDefault="000E460D" w:rsidP="000E460D">
      <w:pPr>
        <w:pStyle w:val="ListParagraph"/>
        <w:spacing w:after="120"/>
        <w:contextualSpacing w:val="0"/>
      </w:pPr>
      <w:r w:rsidRPr="004F7067">
        <w:t xml:space="preserve">The use of diver GPS location and depth loggers </w:t>
      </w:r>
      <w:r w:rsidR="00BE5588">
        <w:t>is mandatory</w:t>
      </w:r>
      <w:r w:rsidRPr="004F7067">
        <w:t xml:space="preserve">, with CPUA and depth data being incorporated into catch limit setting considerations. </w:t>
      </w:r>
    </w:p>
    <w:p w14:paraId="532B1B78" w14:textId="77777777" w:rsidR="000E460D" w:rsidRPr="004F7067" w:rsidRDefault="000E460D" w:rsidP="000E460D">
      <w:pPr>
        <w:pStyle w:val="ListParagraph"/>
        <w:numPr>
          <w:ilvl w:val="0"/>
          <w:numId w:val="25"/>
        </w:numPr>
        <w:spacing w:after="120"/>
        <w:contextualSpacing w:val="0"/>
      </w:pPr>
      <w:r w:rsidRPr="004F7067">
        <w:t>Minimum Size Limits</w:t>
      </w:r>
    </w:p>
    <w:p w14:paraId="64CED647" w14:textId="040D48E9" w:rsidR="009834A7" w:rsidRDefault="009834A7" w:rsidP="009834A7">
      <w:pPr>
        <w:pStyle w:val="ListParagraph"/>
        <w:spacing w:after="120"/>
        <w:contextualSpacing w:val="0"/>
        <w:rPr>
          <w:rFonts w:cs="Arial"/>
        </w:rPr>
      </w:pPr>
      <w:r w:rsidRPr="009834A7">
        <w:rPr>
          <w:rFonts w:cs="Arial"/>
        </w:rPr>
        <w:t>The fishery has been undergoing systematic periodic increases to MSL</w:t>
      </w:r>
      <w:r>
        <w:rPr>
          <w:rFonts w:cs="Arial"/>
        </w:rPr>
        <w:t xml:space="preserve"> in all areas and for both species</w:t>
      </w:r>
      <w:r w:rsidRPr="009834A7">
        <w:rPr>
          <w:rFonts w:cs="Arial"/>
        </w:rPr>
        <w:t>, in line with the best available scientific advice from IMAS</w:t>
      </w:r>
      <w:r>
        <w:rPr>
          <w:rFonts w:cs="Arial"/>
        </w:rPr>
        <w:t>. The aim is</w:t>
      </w:r>
      <w:r w:rsidRPr="009834A7">
        <w:rPr>
          <w:rFonts w:cs="Arial"/>
        </w:rPr>
        <w:t xml:space="preserve"> to move towards spatially-variable MSLs that</w:t>
      </w:r>
      <w:r w:rsidR="00B0384E">
        <w:rPr>
          <w:rFonts w:cs="Arial"/>
        </w:rPr>
        <w:t xml:space="preserve"> are set where 50% of Blacklip Abalone in any given management area have had the opportunity to grow for three years after reaching maturity,</w:t>
      </w:r>
      <w:r>
        <w:rPr>
          <w:rFonts w:cs="Arial"/>
        </w:rPr>
        <w:t xml:space="preserve"> rather than the two years of protection previously provided by the MSLs</w:t>
      </w:r>
      <w:r w:rsidRPr="009834A7">
        <w:rPr>
          <w:rFonts w:cs="Arial"/>
        </w:rPr>
        <w:t>. This process will be completed in 2026.</w:t>
      </w:r>
    </w:p>
    <w:p w14:paraId="70ABF9C0" w14:textId="662D7A82" w:rsidR="000E460D" w:rsidRPr="004F7067" w:rsidRDefault="00BC3A63" w:rsidP="000E460D">
      <w:pPr>
        <w:pStyle w:val="ListParagraph"/>
        <w:numPr>
          <w:ilvl w:val="0"/>
          <w:numId w:val="25"/>
        </w:numPr>
        <w:spacing w:after="120" w:line="276" w:lineRule="auto"/>
        <w:contextualSpacing w:val="0"/>
        <w:jc w:val="both"/>
      </w:pPr>
      <w:r>
        <w:rPr>
          <w:rFonts w:cs="Arial"/>
        </w:rPr>
        <w:t>Fishery Map Changes</w:t>
      </w:r>
    </w:p>
    <w:p w14:paraId="39EE07F5" w14:textId="706D333D" w:rsidR="00DC0007" w:rsidRDefault="00DC0007" w:rsidP="00BC3A63">
      <w:pPr>
        <w:pStyle w:val="ListParagraph"/>
        <w:spacing w:after="120"/>
        <w:contextualSpacing w:val="0"/>
        <w:rPr>
          <w:rFonts w:cs="Arial"/>
        </w:rPr>
      </w:pPr>
      <w:r w:rsidRPr="00DC0007">
        <w:rPr>
          <w:rFonts w:cs="Arial"/>
        </w:rPr>
        <w:t>Several new fishery subblocks have been added over the past decade to enable application of smaller TACs and efficient closures, where relevant, and to accommodate adoption of the abalone fi</w:t>
      </w:r>
      <w:r>
        <w:rPr>
          <w:rFonts w:cs="Arial"/>
        </w:rPr>
        <w:t>s</w:t>
      </w:r>
      <w:r w:rsidRPr="00DC0007">
        <w:rPr>
          <w:rFonts w:cs="Arial"/>
        </w:rPr>
        <w:t>hery subblocks map by the Commercial Dive (Urchins and Periwinkles) fishery</w:t>
      </w:r>
      <w:r>
        <w:rPr>
          <w:rFonts w:cs="Arial"/>
        </w:rPr>
        <w:t xml:space="preserve"> in September 2022</w:t>
      </w:r>
      <w:r w:rsidRPr="00DC0007">
        <w:rPr>
          <w:rFonts w:cs="Arial"/>
        </w:rPr>
        <w:t>.</w:t>
      </w:r>
    </w:p>
    <w:p w14:paraId="1715F320" w14:textId="6DAC1317" w:rsidR="00BC3A63" w:rsidRPr="00DC0007" w:rsidRDefault="00BC3A63" w:rsidP="00BC3A63">
      <w:pPr>
        <w:pStyle w:val="ListParagraph"/>
        <w:spacing w:after="120"/>
        <w:contextualSpacing w:val="0"/>
        <w:rPr>
          <w:rFonts w:cs="Arial"/>
        </w:rPr>
      </w:pPr>
      <w:r>
        <w:rPr>
          <w:rFonts w:cs="Arial"/>
        </w:rPr>
        <w:t>The Central Western Zone</w:t>
      </w:r>
      <w:r>
        <w:t>—</w:t>
      </w:r>
      <w:r>
        <w:rPr>
          <w:rFonts w:cs="Arial"/>
        </w:rPr>
        <w:t>encompassing blocks 6, 7, and 8</w:t>
      </w:r>
      <w:r>
        <w:t>—</w:t>
      </w:r>
      <w:r>
        <w:rPr>
          <w:rFonts w:cs="Arial"/>
        </w:rPr>
        <w:t xml:space="preserve">was initially created in 2008 by splitting the Western Zone. In 2018, following a period of declining catch rates, it was incorporated back into the Western Zone to reduce the overall catch taken from blocks 6, 7, and 8, which are </w:t>
      </w:r>
      <w:proofErr w:type="gramStart"/>
      <w:r>
        <w:rPr>
          <w:rFonts w:cs="Arial"/>
        </w:rPr>
        <w:t>less</w:t>
      </w:r>
      <w:proofErr w:type="gramEnd"/>
      <w:r>
        <w:rPr>
          <w:rFonts w:cs="Arial"/>
        </w:rPr>
        <w:t xml:space="preserve"> desirable areas for harvesting with limited quota compared to other Western Zone blocks. </w:t>
      </w:r>
    </w:p>
    <w:p w14:paraId="4B44C548" w14:textId="6DD9AE52" w:rsidR="000E460D" w:rsidRPr="00F92243" w:rsidRDefault="00F92243" w:rsidP="000E460D">
      <w:pPr>
        <w:pStyle w:val="ListParagraph"/>
        <w:numPr>
          <w:ilvl w:val="0"/>
          <w:numId w:val="25"/>
        </w:numPr>
      </w:pPr>
      <w:r>
        <w:t>Changes to VMS Requirements</w:t>
      </w:r>
    </w:p>
    <w:p w14:paraId="66131AE0" w14:textId="77777777" w:rsidR="00F92243" w:rsidRDefault="00F92243" w:rsidP="00F92243">
      <w:pPr>
        <w:pStyle w:val="ListParagraph"/>
        <w:spacing w:after="120"/>
        <w:contextualSpacing w:val="0"/>
      </w:pPr>
      <w:r w:rsidRPr="00F92243">
        <w:t xml:space="preserve">Approved </w:t>
      </w:r>
      <w:r w:rsidR="000736F2" w:rsidRPr="00F92243">
        <w:t>Vessel Monitoring Systems (VMS)</w:t>
      </w:r>
      <w:r w:rsidRPr="00F92243">
        <w:t xml:space="preserve"> </w:t>
      </w:r>
      <w:r>
        <w:t>have been</w:t>
      </w:r>
      <w:r w:rsidRPr="00F92243">
        <w:t xml:space="preserve"> required to be fitted to any abalone vessels operating in Bass Strait and the Northern fishery parts</w:t>
      </w:r>
      <w:r>
        <w:t xml:space="preserve"> since 2000, but this was extended to include</w:t>
      </w:r>
      <w:r w:rsidRPr="00F92243">
        <w:t xml:space="preserve"> all abalone mother-boats (i.e., those capable of overnighting)</w:t>
      </w:r>
      <w:r>
        <w:t xml:space="preserve"> in 2017</w:t>
      </w:r>
      <w:r w:rsidRPr="00F92243">
        <w:t>.</w:t>
      </w:r>
    </w:p>
    <w:p w14:paraId="4644FF75" w14:textId="286E37BE" w:rsidR="00F92243" w:rsidRDefault="00F92243" w:rsidP="00F92243">
      <w:pPr>
        <w:pStyle w:val="ListParagraph"/>
        <w:spacing w:after="120"/>
        <w:contextualSpacing w:val="0"/>
      </w:pPr>
      <w:r>
        <w:t xml:space="preserve">Following consultation with affected commercial fishing bodies​, the </w:t>
      </w:r>
      <w:r w:rsidRPr="00F92243">
        <w:rPr>
          <w:i/>
          <w:iCs/>
        </w:rPr>
        <w:t>Fisheries Rules 2019</w:t>
      </w:r>
      <w:r>
        <w:t xml:space="preserve"> were </w:t>
      </w:r>
      <w:hyperlink r:id="rId55" w:history="1">
        <w:r w:rsidRPr="00F92243">
          <w:rPr>
            <w:rStyle w:val="Hyperlink"/>
          </w:rPr>
          <w:t>amended in January 2024</w:t>
        </w:r>
      </w:hyperlink>
      <w:r>
        <w:t xml:space="preserve"> to:</w:t>
      </w:r>
    </w:p>
    <w:p w14:paraId="65B207C1" w14:textId="6C0E046B" w:rsidR="00F92243" w:rsidRDefault="00F92243" w:rsidP="00F92243">
      <w:pPr>
        <w:pStyle w:val="ListParagraph"/>
        <w:numPr>
          <w:ilvl w:val="1"/>
          <w:numId w:val="25"/>
        </w:numPr>
        <w:spacing w:after="120"/>
        <w:contextualSpacing w:val="0"/>
      </w:pPr>
      <w:r>
        <w:t xml:space="preserve">Enable NRE Tas to receive VMS data using mobile networks, resulting in better management of VMS airtime </w:t>
      </w:r>
      <w:proofErr w:type="gramStart"/>
      <w:r>
        <w:t>costs;</w:t>
      </w:r>
      <w:proofErr w:type="gramEnd"/>
    </w:p>
    <w:p w14:paraId="79E06D46" w14:textId="19F176F2" w:rsidR="00F92243" w:rsidRDefault="005F719E" w:rsidP="00F92243">
      <w:pPr>
        <w:pStyle w:val="ListParagraph"/>
        <w:numPr>
          <w:ilvl w:val="1"/>
          <w:numId w:val="25"/>
        </w:numPr>
        <w:spacing w:after="120"/>
        <w:contextualSpacing w:val="0"/>
      </w:pPr>
      <w:r>
        <w:t>E</w:t>
      </w:r>
      <w:r w:rsidR="00F92243">
        <w:t>nabl</w:t>
      </w:r>
      <w:r>
        <w:t>e</w:t>
      </w:r>
      <w:r w:rsidR="00F92243">
        <w:t xml:space="preserve"> VMS requirements to be issued by Published </w:t>
      </w:r>
      <w:proofErr w:type="gramStart"/>
      <w:r w:rsidR="00F92243">
        <w:t>Notice;</w:t>
      </w:r>
      <w:proofErr w:type="gramEnd"/>
    </w:p>
    <w:p w14:paraId="31CD016E" w14:textId="7569594F" w:rsidR="00F92243" w:rsidRDefault="00F92243" w:rsidP="00F92243">
      <w:pPr>
        <w:pStyle w:val="ListParagraph"/>
        <w:numPr>
          <w:ilvl w:val="1"/>
          <w:numId w:val="25"/>
        </w:numPr>
        <w:spacing w:after="120"/>
        <w:contextualSpacing w:val="0"/>
      </w:pPr>
      <w:r>
        <w:t>Enable commercial fishing supervisors to seek authorisation from a Fisheries Officer to continue fishing, subject to terms and conditions, if their approved VMS unit stops working while undertaking a fishing trip; and</w:t>
      </w:r>
    </w:p>
    <w:p w14:paraId="3471CA27" w14:textId="55409E0D" w:rsidR="000B77EE" w:rsidRPr="001D7784" w:rsidRDefault="00F92243" w:rsidP="00023CF2">
      <w:pPr>
        <w:pStyle w:val="ListParagraph"/>
        <w:numPr>
          <w:ilvl w:val="1"/>
          <w:numId w:val="25"/>
        </w:numPr>
        <w:spacing w:after="120"/>
        <w:contextualSpacing w:val="0"/>
      </w:pPr>
      <w:r>
        <w:t>Enable the Department to provide approval for the supervisor to switch off the approved VMS under a broader range of circumstances.</w:t>
      </w:r>
    </w:p>
    <w:p w14:paraId="6AA01842" w14:textId="61BFB098" w:rsidR="00FB1262" w:rsidRPr="00FB1262" w:rsidRDefault="00F0141E" w:rsidP="00314F4F">
      <w:pPr>
        <w:pStyle w:val="Heading1"/>
      </w:pPr>
      <w:bookmarkStart w:id="24" w:name="_Toc203488085"/>
      <w:r>
        <w:rPr>
          <w:bCs/>
          <w:sz w:val="36"/>
          <w:szCs w:val="36"/>
        </w:rPr>
        <w:lastRenderedPageBreak/>
        <w:t xml:space="preserve">Monitoring and </w:t>
      </w:r>
      <w:r w:rsidR="00685ED0">
        <w:rPr>
          <w:bCs/>
          <w:sz w:val="36"/>
          <w:szCs w:val="36"/>
        </w:rPr>
        <w:t>d</w:t>
      </w:r>
      <w:r w:rsidR="00FB1262" w:rsidRPr="00527876">
        <w:rPr>
          <w:bCs/>
          <w:sz w:val="36"/>
          <w:szCs w:val="36"/>
        </w:rPr>
        <w:t xml:space="preserve">ata </w:t>
      </w:r>
      <w:r w:rsidR="00685ED0">
        <w:rPr>
          <w:bCs/>
          <w:sz w:val="36"/>
          <w:szCs w:val="36"/>
        </w:rPr>
        <w:t>c</w:t>
      </w:r>
      <w:r w:rsidR="00FB1262" w:rsidRPr="00527876">
        <w:rPr>
          <w:bCs/>
          <w:sz w:val="36"/>
          <w:szCs w:val="36"/>
        </w:rPr>
        <w:t>ollection</w:t>
      </w:r>
      <w:bookmarkEnd w:id="24"/>
      <w:r w:rsidR="00FB1262">
        <w:t xml:space="preserve"> </w:t>
      </w:r>
    </w:p>
    <w:p w14:paraId="2C26D3BF" w14:textId="4F85E283" w:rsidR="00FB1262" w:rsidRDefault="00F0141E" w:rsidP="00F0141E">
      <w:pPr>
        <w:pStyle w:val="Heading2"/>
      </w:pPr>
      <w:bookmarkStart w:id="25" w:name="_Toc203488086"/>
      <w:r>
        <w:t>D</w:t>
      </w:r>
      <w:r w:rsidR="00FB1262" w:rsidRPr="00527876">
        <w:t>ata collection</w:t>
      </w:r>
      <w:r w:rsidR="00DC1E91">
        <w:t>, data validation and data monitoring</w:t>
      </w:r>
      <w:r w:rsidR="00FB1262" w:rsidRPr="00527876">
        <w:t xml:space="preserve"> program</w:t>
      </w:r>
      <w:r>
        <w:t>s</w:t>
      </w:r>
      <w:bookmarkEnd w:id="25"/>
    </w:p>
    <w:p w14:paraId="203ED12B" w14:textId="6B0052AB" w:rsidR="006335D5" w:rsidRDefault="006335D5" w:rsidP="006335D5">
      <w:r w:rsidRPr="006335D5">
        <w:t xml:space="preserve">Commercial Abalone Dive Docket and Diving Team Docket </w:t>
      </w:r>
      <w:r>
        <w:t>books are issued per fishery zone to individual divers by NRE Tas for completion of daily catch records (</w:t>
      </w:r>
      <w:r w:rsidRPr="0094772D">
        <w:t xml:space="preserve">Figure </w:t>
      </w:r>
      <w:r w:rsidR="0094772D" w:rsidRPr="0094772D">
        <w:t>5</w:t>
      </w:r>
      <w:r w:rsidRPr="0094772D">
        <w:t xml:space="preserve"> of Appendix 6).</w:t>
      </w:r>
      <w:r>
        <w:t xml:space="preserve"> Completion of all relevant sections is mandatory, with divers required to complete details pertaining to their personal identification; prior fishing telephone report number; vessel; GPS and depth loggers; subblock fished; dive time; estimated weight of catch per species; place of landing; transfer date, time, and location; quota details for deduction; and diver team information.</w:t>
      </w:r>
    </w:p>
    <w:p w14:paraId="24EB1013" w14:textId="53EBF2E7" w:rsidR="006335D5" w:rsidRPr="00C734B5" w:rsidRDefault="006335D5" w:rsidP="006335D5">
      <w:r>
        <w:t>Dockets must be completed by the diver and receiver of the fish prior to leaving the landing area, and they must be posted to NRE Tas within 48 hours of completion. Divers are also required to maintain records for five years and make them available to Fisheries Officers if requested.</w:t>
      </w:r>
    </w:p>
    <w:p w14:paraId="68D47E3E" w14:textId="0EDF10B1" w:rsidR="006335D5" w:rsidRDefault="006335D5" w:rsidP="006335D5">
      <w:r>
        <w:t xml:space="preserve">Abalone Processor Returns must be submitted monthly by licensed abalone processers, as is </w:t>
      </w:r>
      <w:r w:rsidRPr="0094772D">
        <w:t xml:space="preserve">mandatory (Figure </w:t>
      </w:r>
      <w:r w:rsidR="0094772D" w:rsidRPr="0094772D">
        <w:t>6</w:t>
      </w:r>
      <w:r w:rsidRPr="0094772D">
        <w:t xml:space="preserve"> of Appendix 6).</w:t>
      </w:r>
      <w:r>
        <w:t xml:space="preserve"> All data</w:t>
      </w:r>
      <w:r w:rsidRPr="00C734B5">
        <w:t xml:space="preserve"> are </w:t>
      </w:r>
      <w:r>
        <w:t xml:space="preserve">entered into the Fisheries Integrated Licensing and Monitoring System (FILMS) electronic database by Marine Resources staff. FILMS auto-validates data entered against other sources of data, including telephone reports, and raises flags if details appear invalid. </w:t>
      </w:r>
    </w:p>
    <w:p w14:paraId="3AFC0C75" w14:textId="77777777" w:rsidR="006335D5" w:rsidRDefault="006335D5" w:rsidP="006335D5">
      <w:r>
        <w:t>FILMS tracks the harvest against catch limits and catch-caps and notifies fishery managers when a limit is approaching caught. FILMS also flags any fishing that has occurred within a closed area, or any other breach of a management plan or fishing rule. The program works exceptionally well for fisheries management and monitoring purposes.</w:t>
      </w:r>
    </w:p>
    <w:p w14:paraId="7276A89C" w14:textId="77777777" w:rsidR="006335D5" w:rsidRDefault="006335D5" w:rsidP="006335D5">
      <w:r>
        <w:t>Data is not captured for byproduct or bycatch as these are negligible to nil in this fishery. Likewise, protected species interactions are not recorded as the gear type and fishing methods mitigate against entanglements or trapping.</w:t>
      </w:r>
    </w:p>
    <w:p w14:paraId="4D2F6D25" w14:textId="6AA795F0" w:rsidR="006335D5" w:rsidRDefault="006335D5" w:rsidP="006335D5">
      <w:r>
        <w:t xml:space="preserve">Commercial divers must use GPS and depth loggers when commercially diving. </w:t>
      </w:r>
      <w:bookmarkStart w:id="26" w:name="_Hlk201843980"/>
      <w:r>
        <w:t xml:space="preserve">This fine-scale spatial </w:t>
      </w:r>
      <w:bookmarkEnd w:id="26"/>
      <w:r>
        <w:t xml:space="preserve">data is housed with IMAS for the purposes of </w:t>
      </w:r>
      <w:bookmarkStart w:id="27" w:name="_Hlk201844021"/>
      <w:r w:rsidRPr="00DC0007">
        <w:t>measur</w:t>
      </w:r>
      <w:r>
        <w:t>ing</w:t>
      </w:r>
      <w:r w:rsidRPr="00DC0007">
        <w:t xml:space="preserve"> the spatial distribution of the fishing effort</w:t>
      </w:r>
      <w:r>
        <w:t xml:space="preserve"> and producing an annual fishery assessment</w:t>
      </w:r>
      <w:bookmarkEnd w:id="27"/>
      <w:r>
        <w:t xml:space="preserve">, and it is made available to NRE Tas or Fisheries Officers for validation of catch data upon request. </w:t>
      </w:r>
    </w:p>
    <w:p w14:paraId="2F7B03AD" w14:textId="371581A1" w:rsidR="006335D5" w:rsidRDefault="006335D5" w:rsidP="006335D5">
      <w:r>
        <w:t xml:space="preserve">IMAS collect size structure data using digital measuring boards located within processing premises, with fish measured upon receipt into the processing premises. This is a voluntary program that has captured size structure data from all parts of the fishery throughout the fishing season. </w:t>
      </w:r>
      <w:r w:rsidR="00855975" w:rsidRPr="00855975">
        <w:t>Some commercial divers are equipped with measuring boards that allow for the collection of more spatially refined length composition data, closer to the actual capture location.</w:t>
      </w:r>
      <w:r w:rsidR="00855975">
        <w:t xml:space="preserve"> </w:t>
      </w:r>
    </w:p>
    <w:p w14:paraId="79FA6E61" w14:textId="46E536BB" w:rsidR="00DC0007" w:rsidRPr="006A5347" w:rsidRDefault="004B77FB" w:rsidP="006A5347">
      <w:pPr>
        <w:jc w:val="both"/>
      </w:pPr>
      <w:r>
        <w:t xml:space="preserve">Subblocks </w:t>
      </w:r>
      <w:r w:rsidRPr="00B3304C">
        <w:t xml:space="preserve">16, 22, 23, 24, 27, </w:t>
      </w:r>
      <w:r>
        <w:t xml:space="preserve">and </w:t>
      </w:r>
      <w:r w:rsidRPr="00B3304C">
        <w:t>28A</w:t>
      </w:r>
      <w:r>
        <w:t xml:space="preserve"> have been closed </w:t>
      </w:r>
      <w:r w:rsidR="00855975">
        <w:t xml:space="preserve">to commercial harvest </w:t>
      </w:r>
      <w:r>
        <w:t>in the Tasmanian Eastern Zone Fishery since 202</w:t>
      </w:r>
      <w:r w:rsidR="00855975">
        <w:t>0</w:t>
      </w:r>
      <w:r>
        <w:t xml:space="preserve">. </w:t>
      </w:r>
      <w:r>
        <w:rPr>
          <w:color w:val="1B1C1D"/>
        </w:rPr>
        <w:t>F</w:t>
      </w:r>
      <w:r w:rsidR="006335D5" w:rsidRPr="00DC0007">
        <w:rPr>
          <w:color w:val="1B1C1D"/>
        </w:rPr>
        <w:t xml:space="preserve">ishery-independent surveys </w:t>
      </w:r>
      <w:r w:rsidR="006335D5">
        <w:rPr>
          <w:color w:val="1B1C1D"/>
        </w:rPr>
        <w:t xml:space="preserve">using a timed-swim approach </w:t>
      </w:r>
      <w:r w:rsidR="006335D5" w:rsidRPr="00DC0007">
        <w:rPr>
          <w:color w:val="1B1C1D"/>
        </w:rPr>
        <w:t>are conducted</w:t>
      </w:r>
      <w:r>
        <w:rPr>
          <w:color w:val="1B1C1D"/>
        </w:rPr>
        <w:t xml:space="preserve"> in those areas annually</w:t>
      </w:r>
      <w:r w:rsidR="006335D5" w:rsidRPr="00DC0007">
        <w:rPr>
          <w:color w:val="1B1C1D"/>
        </w:rPr>
        <w:t xml:space="preserve"> to directly assess abalone abundance.</w:t>
      </w:r>
      <w:r w:rsidR="006335D5">
        <w:rPr>
          <w:color w:val="1B1C1D"/>
        </w:rPr>
        <w:t xml:space="preserve"> Similarly, periodic surveys of stocks have been undertaken in priority areas of the fishery, including the Actaeon’s and the Northwest region</w:t>
      </w:r>
      <w:r w:rsidR="006A5347">
        <w:rPr>
          <w:color w:val="1B1C1D"/>
        </w:rPr>
        <w:t>, as part of abalone research projects.</w:t>
      </w:r>
    </w:p>
    <w:p w14:paraId="0823A43C" w14:textId="7516510A" w:rsidR="004640E2" w:rsidRPr="007E435C" w:rsidRDefault="004640E2" w:rsidP="007E435C">
      <w:pPr>
        <w:pStyle w:val="Heading1"/>
      </w:pPr>
      <w:bookmarkStart w:id="28" w:name="_Toc203488087"/>
      <w:r w:rsidRPr="00527876">
        <w:rPr>
          <w:bCs/>
          <w:sz w:val="36"/>
          <w:szCs w:val="36"/>
        </w:rPr>
        <w:lastRenderedPageBreak/>
        <w:t>Stock Assessments</w:t>
      </w:r>
      <w:bookmarkEnd w:id="28"/>
    </w:p>
    <w:p w14:paraId="742FD05C" w14:textId="28853492" w:rsidR="004640E2" w:rsidRPr="00515AA6" w:rsidRDefault="003816B6" w:rsidP="00515AA6">
      <w:pPr>
        <w:pStyle w:val="Heading2"/>
      </w:pPr>
      <w:bookmarkStart w:id="29" w:name="_Toc203488088"/>
      <w:r w:rsidRPr="00515AA6">
        <w:t>K</w:t>
      </w:r>
      <w:r w:rsidR="004640E2" w:rsidRPr="00515AA6">
        <w:t>ey target and byproduct species</w:t>
      </w:r>
      <w:bookmarkEnd w:id="29"/>
    </w:p>
    <w:p w14:paraId="3F3341DF" w14:textId="77777777" w:rsidR="004B77FB" w:rsidRDefault="006A5347" w:rsidP="006A5347">
      <w:pPr>
        <w:spacing w:before="240" w:after="238" w:line="274" w:lineRule="auto"/>
        <w:jc w:val="both"/>
        <w:rPr>
          <w:color w:val="1B1C1D"/>
        </w:rPr>
      </w:pPr>
      <w:r w:rsidRPr="006A5347">
        <w:rPr>
          <w:color w:val="1B1C1D"/>
        </w:rPr>
        <w:t>The</w:t>
      </w:r>
      <w:r w:rsidR="004B77FB">
        <w:rPr>
          <w:color w:val="1B1C1D"/>
        </w:rPr>
        <w:t xml:space="preserve"> annual</w:t>
      </w:r>
      <w:r w:rsidRPr="006A5347">
        <w:rPr>
          <w:color w:val="1B1C1D"/>
        </w:rPr>
        <w:t xml:space="preserve"> stock assessment</w:t>
      </w:r>
      <w:r w:rsidRPr="00DC0007">
        <w:rPr>
          <w:color w:val="1B1C1D"/>
        </w:rPr>
        <w:t xml:space="preserve"> of the Tasmanian abalone fishery </w:t>
      </w:r>
      <w:r w:rsidR="004B77FB">
        <w:rPr>
          <w:color w:val="1B1C1D"/>
        </w:rPr>
        <w:t>by IMAS i</w:t>
      </w:r>
      <w:r w:rsidRPr="00DC0007">
        <w:rPr>
          <w:color w:val="1B1C1D"/>
        </w:rPr>
        <w:t>nforms the Empirical Harvest Strategy (EHS)</w:t>
      </w:r>
      <w:r w:rsidR="004B77FB">
        <w:rPr>
          <w:color w:val="1B1C1D"/>
        </w:rPr>
        <w:t xml:space="preserve"> for the fishery</w:t>
      </w:r>
      <w:r w:rsidRPr="00DC0007">
        <w:rPr>
          <w:color w:val="1B1C1D"/>
        </w:rPr>
        <w:t xml:space="preserve"> by providing the necessary performance measures based on standardi</w:t>
      </w:r>
      <w:r>
        <w:rPr>
          <w:color w:val="1B1C1D"/>
        </w:rPr>
        <w:t>s</w:t>
      </w:r>
      <w:r w:rsidRPr="00DC0007">
        <w:rPr>
          <w:color w:val="1B1C1D"/>
        </w:rPr>
        <w:t xml:space="preserve">ed CPUE. </w:t>
      </w:r>
      <w:r w:rsidR="004B77FB">
        <w:rPr>
          <w:color w:val="1B1C1D"/>
        </w:rPr>
        <w:t xml:space="preserve">Standardised </w:t>
      </w:r>
      <w:r w:rsidR="004B77FB" w:rsidRPr="00DC0007">
        <w:rPr>
          <w:color w:val="1B1C1D"/>
        </w:rPr>
        <w:t xml:space="preserve">CPUE is considered as a proxy for available biomass at the level of blocks for the stock assessment and the harvest strategy. </w:t>
      </w:r>
    </w:p>
    <w:p w14:paraId="7A0F3FB0" w14:textId="4BC0D189" w:rsidR="006A5347" w:rsidRDefault="006A5347" w:rsidP="006A5347">
      <w:pPr>
        <w:spacing w:before="240" w:after="238" w:line="274" w:lineRule="auto"/>
        <w:jc w:val="both"/>
        <w:rPr>
          <w:color w:val="1B1C1D"/>
        </w:rPr>
      </w:pPr>
      <w:r w:rsidRPr="00DC0007">
        <w:rPr>
          <w:color w:val="1B1C1D"/>
        </w:rPr>
        <w:t>The primary data inputs for the</w:t>
      </w:r>
      <w:r>
        <w:rPr>
          <w:color w:val="1B1C1D"/>
        </w:rPr>
        <w:t xml:space="preserve"> annual</w:t>
      </w:r>
      <w:r w:rsidRPr="00DC0007">
        <w:rPr>
          <w:color w:val="1B1C1D"/>
        </w:rPr>
        <w:t xml:space="preserve"> stock assessment are fishery-dependent data collected from commercial fisher logbooks</w:t>
      </w:r>
      <w:r>
        <w:t>—</w:t>
      </w:r>
      <w:r>
        <w:rPr>
          <w:color w:val="1B1C1D"/>
        </w:rPr>
        <w:t xml:space="preserve">including </w:t>
      </w:r>
      <w:r w:rsidRPr="00DC0007">
        <w:rPr>
          <w:color w:val="1B1C1D"/>
        </w:rPr>
        <w:t xml:space="preserve">daily records of catch reported in whole weight, fishing effort in hours, </w:t>
      </w:r>
      <w:r>
        <w:rPr>
          <w:color w:val="1B1C1D"/>
        </w:rPr>
        <w:t>and fishing locations by sub</w:t>
      </w:r>
      <w:r w:rsidRPr="00DC0007">
        <w:rPr>
          <w:color w:val="1B1C1D"/>
        </w:rPr>
        <w:t>block level</w:t>
      </w:r>
      <w:r>
        <w:t>—and fine-scale spatial and depth data from diver-worn and vessel-attached loggers</w:t>
      </w:r>
      <w:r w:rsidRPr="00DC0007">
        <w:rPr>
          <w:color w:val="1B1C1D"/>
        </w:rPr>
        <w:t xml:space="preserve">. </w:t>
      </w:r>
    </w:p>
    <w:p w14:paraId="5F5AC11B" w14:textId="5EDE54E2" w:rsidR="006A5347" w:rsidRDefault="006A5347" w:rsidP="006A5347">
      <w:pPr>
        <w:spacing w:before="240" w:after="238" w:line="274" w:lineRule="auto"/>
        <w:jc w:val="both"/>
        <w:rPr>
          <w:color w:val="1B1C1D"/>
        </w:rPr>
      </w:pPr>
      <w:r>
        <w:rPr>
          <w:color w:val="1B1C1D"/>
        </w:rPr>
        <w:t>IMAS</w:t>
      </w:r>
      <w:r w:rsidRPr="00DC0007">
        <w:rPr>
          <w:color w:val="1B1C1D"/>
        </w:rPr>
        <w:t xml:space="preserve"> </w:t>
      </w:r>
      <w:r w:rsidR="004B77FB">
        <w:rPr>
          <w:color w:val="1B1C1D"/>
        </w:rPr>
        <w:t>collects</w:t>
      </w:r>
      <w:r w:rsidRPr="00DC0007">
        <w:rPr>
          <w:color w:val="1B1C1D"/>
        </w:rPr>
        <w:t xml:space="preserve"> biological data on the</w:t>
      </w:r>
      <w:r w:rsidR="00172254">
        <w:rPr>
          <w:color w:val="1B1C1D"/>
        </w:rPr>
        <w:t xml:space="preserve"> size structures,</w:t>
      </w:r>
      <w:r w:rsidRPr="00DC0007">
        <w:rPr>
          <w:color w:val="1B1C1D"/>
        </w:rPr>
        <w:t xml:space="preserve"> growth rates</w:t>
      </w:r>
      <w:r w:rsidR="00172254">
        <w:rPr>
          <w:color w:val="1B1C1D"/>
        </w:rPr>
        <w:t>,</w:t>
      </w:r>
      <w:r w:rsidRPr="00DC0007">
        <w:rPr>
          <w:color w:val="1B1C1D"/>
        </w:rPr>
        <w:t xml:space="preserve"> and reproductive maturity of </w:t>
      </w:r>
      <w:r w:rsidR="004B77FB">
        <w:rPr>
          <w:color w:val="1B1C1D"/>
        </w:rPr>
        <w:t>Tasmanian abalone species to inform t</w:t>
      </w:r>
      <w:r w:rsidRPr="00DC0007">
        <w:rPr>
          <w:color w:val="1B1C1D"/>
        </w:rPr>
        <w:t>he</w:t>
      </w:r>
      <w:r w:rsidR="004B77FB">
        <w:rPr>
          <w:color w:val="1B1C1D"/>
        </w:rPr>
        <w:t xml:space="preserve"> annual</w:t>
      </w:r>
      <w:r w:rsidRPr="00DC0007">
        <w:rPr>
          <w:color w:val="1B1C1D"/>
        </w:rPr>
        <w:t xml:space="preserve"> assessment process. In areas that have been closed to fishing, fishery-independent surveys are conducted to directly assess abalone abundance. </w:t>
      </w:r>
      <w:r w:rsidR="004B77FB">
        <w:rPr>
          <w:color w:val="1B1C1D"/>
        </w:rPr>
        <w:t>C</w:t>
      </w:r>
      <w:r w:rsidRPr="00DC0007">
        <w:rPr>
          <w:color w:val="1B1C1D"/>
        </w:rPr>
        <w:t>ommercial catch sampling is undertaken to gather data on the size structure of the harvested abalone populations.</w:t>
      </w:r>
    </w:p>
    <w:p w14:paraId="65346B45" w14:textId="068087F6" w:rsidR="009C2DEB" w:rsidRDefault="009C2DEB" w:rsidP="006A5347">
      <w:pPr>
        <w:spacing w:before="240" w:after="238" w:line="274" w:lineRule="auto"/>
        <w:jc w:val="both"/>
        <w:rPr>
          <w:color w:val="1B1C1D"/>
        </w:rPr>
      </w:pPr>
      <w:r>
        <w:rPr>
          <w:color w:val="1B1C1D"/>
        </w:rPr>
        <w:t xml:space="preserve">Stock status is reported every few years in the Status of Australian Fish Stocks (SAFS) reports. All Tasmanian stocks were assessed as sustainable in the most recent reports for each species in 2023 </w:t>
      </w:r>
      <w:r w:rsidRPr="00B6625D">
        <w:rPr>
          <w:color w:val="1B1C1D"/>
        </w:rPr>
        <w:t xml:space="preserve">(Table </w:t>
      </w:r>
      <w:r w:rsidR="00B6625D" w:rsidRPr="00B6625D">
        <w:rPr>
          <w:color w:val="1B1C1D"/>
        </w:rPr>
        <w:t>1</w:t>
      </w:r>
      <w:r w:rsidRPr="00B6625D">
        <w:rPr>
          <w:color w:val="1B1C1D"/>
        </w:rPr>
        <w:t>),</w:t>
      </w:r>
      <w:r>
        <w:rPr>
          <w:color w:val="1B1C1D"/>
        </w:rPr>
        <w:t xml:space="preserve"> w</w:t>
      </w:r>
      <w:r w:rsidR="00653E17">
        <w:rPr>
          <w:color w:val="1B1C1D"/>
        </w:rPr>
        <w:t>ith the improvement directly attributed to robust and adaptive management strategies.</w:t>
      </w:r>
    </w:p>
    <w:p w14:paraId="04AB4A6F" w14:textId="529A5CAC" w:rsidR="009C2DEB" w:rsidRPr="00B6625D" w:rsidRDefault="009C2DEB" w:rsidP="006A5347">
      <w:pPr>
        <w:spacing w:before="240" w:after="238" w:line="274" w:lineRule="auto"/>
        <w:jc w:val="both"/>
        <w:rPr>
          <w:color w:val="1B1C1D"/>
          <w:sz w:val="20"/>
          <w:szCs w:val="20"/>
        </w:rPr>
      </w:pPr>
      <w:r w:rsidRPr="00B6625D">
        <w:rPr>
          <w:color w:val="1B1C1D"/>
          <w:sz w:val="20"/>
          <w:szCs w:val="20"/>
        </w:rPr>
        <w:t xml:space="preserve">Table </w:t>
      </w:r>
      <w:r w:rsidR="00B6625D" w:rsidRPr="00B6625D">
        <w:rPr>
          <w:color w:val="1B1C1D"/>
          <w:sz w:val="20"/>
          <w:szCs w:val="20"/>
        </w:rPr>
        <w:t>1</w:t>
      </w:r>
      <w:r w:rsidRPr="00B6625D">
        <w:rPr>
          <w:color w:val="1B1C1D"/>
          <w:sz w:val="20"/>
          <w:szCs w:val="20"/>
        </w:rPr>
        <w:t>. Stock status, both current and from the previous two assessments, for Blacklip Abalone and Greenlip Abalone caught in the Tasmanian Abalone Fishery as determined from catch data and CPUE. Colours reflect those used in SAFS reporting: red = depleted, yellow = depleting, green = sustainable.</w:t>
      </w:r>
    </w:p>
    <w:tbl>
      <w:tblPr>
        <w:tblStyle w:val="TableGrid"/>
        <w:tblW w:w="0" w:type="auto"/>
        <w:tblLook w:val="04A0" w:firstRow="1" w:lastRow="0" w:firstColumn="1" w:lastColumn="0" w:noHBand="0" w:noVBand="1"/>
      </w:tblPr>
      <w:tblGrid>
        <w:gridCol w:w="2254"/>
        <w:gridCol w:w="2254"/>
        <w:gridCol w:w="2254"/>
        <w:gridCol w:w="2254"/>
      </w:tblGrid>
      <w:tr w:rsidR="00A85478" w14:paraId="5F5C0D16" w14:textId="77777777" w:rsidTr="009C2DEB">
        <w:tc>
          <w:tcPr>
            <w:tcW w:w="2254" w:type="dxa"/>
            <w:shd w:val="clear" w:color="auto" w:fill="E7E6E6" w:themeFill="background2"/>
          </w:tcPr>
          <w:p w14:paraId="3C269C13" w14:textId="5751F96A" w:rsidR="009C2DEB" w:rsidRPr="009C2DEB" w:rsidRDefault="009C2DEB" w:rsidP="009C2DEB">
            <w:pPr>
              <w:spacing w:before="240" w:after="238" w:line="274" w:lineRule="auto"/>
              <w:rPr>
                <w:color w:val="1B1C1D"/>
              </w:rPr>
            </w:pPr>
            <w:r w:rsidRPr="009C2DEB">
              <w:rPr>
                <w:b/>
                <w:bCs/>
                <w:color w:val="1B1C1D"/>
              </w:rPr>
              <w:t xml:space="preserve">Reference </w:t>
            </w:r>
            <w:r>
              <w:rPr>
                <w:rFonts w:cstheme="minorHAnsi"/>
                <w:b/>
                <w:bCs/>
                <w:color w:val="1B1C1D"/>
              </w:rPr>
              <w:t>→</w:t>
            </w:r>
          </w:p>
          <w:p w14:paraId="2BC894A4" w14:textId="35246B8B" w:rsidR="00A85478" w:rsidRPr="009C2DEB" w:rsidRDefault="009C2DEB" w:rsidP="009C2DEB">
            <w:pPr>
              <w:spacing w:before="240" w:after="238" w:line="274" w:lineRule="auto"/>
              <w:rPr>
                <w:b/>
                <w:bCs/>
                <w:color w:val="1B1C1D"/>
              </w:rPr>
            </w:pPr>
            <w:r>
              <w:rPr>
                <w:b/>
                <w:bCs/>
                <w:color w:val="1B1C1D"/>
              </w:rPr>
              <w:t xml:space="preserve">Tasmanian </w:t>
            </w:r>
            <w:r w:rsidR="00A85478" w:rsidRPr="009C2DEB">
              <w:rPr>
                <w:b/>
                <w:bCs/>
                <w:color w:val="1B1C1D"/>
              </w:rPr>
              <w:t>Stock</w:t>
            </w:r>
            <w:r>
              <w:rPr>
                <w:b/>
                <w:bCs/>
                <w:color w:val="1B1C1D"/>
              </w:rPr>
              <w:t xml:space="preserve"> </w:t>
            </w:r>
            <w:r>
              <w:rPr>
                <w:rFonts w:ascii="Calibri" w:hAnsi="Calibri" w:cs="Calibri"/>
                <w:b/>
                <w:bCs/>
                <w:color w:val="1B1C1D"/>
              </w:rPr>
              <w:t>↓</w:t>
            </w:r>
          </w:p>
        </w:tc>
        <w:tc>
          <w:tcPr>
            <w:tcW w:w="2254" w:type="dxa"/>
            <w:shd w:val="clear" w:color="auto" w:fill="E7E6E6" w:themeFill="background2"/>
          </w:tcPr>
          <w:p w14:paraId="27C57E3F" w14:textId="41A22F31" w:rsidR="00A85478" w:rsidRDefault="00A85478" w:rsidP="00A85478">
            <w:pPr>
              <w:spacing w:before="240" w:after="238" w:line="274" w:lineRule="auto"/>
              <w:jc w:val="both"/>
              <w:rPr>
                <w:color w:val="1B1C1D"/>
              </w:rPr>
            </w:pPr>
            <w:hyperlink r:id="rId56" w:history="1">
              <w:r w:rsidRPr="00A85478">
                <w:rPr>
                  <w:rStyle w:val="Hyperlink"/>
                </w:rPr>
                <w:t>SAFS Blacklip 2023</w:t>
              </w:r>
            </w:hyperlink>
          </w:p>
          <w:p w14:paraId="48FB267A" w14:textId="05EC4B58" w:rsidR="00A85478" w:rsidRDefault="00A85478" w:rsidP="00A85478">
            <w:pPr>
              <w:spacing w:before="240" w:after="238" w:line="274" w:lineRule="auto"/>
              <w:jc w:val="both"/>
              <w:rPr>
                <w:color w:val="1B1C1D"/>
              </w:rPr>
            </w:pPr>
            <w:hyperlink r:id="rId57" w:history="1">
              <w:r w:rsidRPr="00A85478">
                <w:rPr>
                  <w:rStyle w:val="Hyperlink"/>
                </w:rPr>
                <w:t>SAFS Greenlip 2023</w:t>
              </w:r>
            </w:hyperlink>
          </w:p>
        </w:tc>
        <w:tc>
          <w:tcPr>
            <w:tcW w:w="2254" w:type="dxa"/>
            <w:shd w:val="clear" w:color="auto" w:fill="E7E6E6" w:themeFill="background2"/>
          </w:tcPr>
          <w:p w14:paraId="58765C67" w14:textId="735AF4E3" w:rsidR="00A85478" w:rsidRDefault="00A85478" w:rsidP="00A85478">
            <w:pPr>
              <w:spacing w:before="240" w:after="238" w:line="274" w:lineRule="auto"/>
              <w:jc w:val="both"/>
              <w:rPr>
                <w:color w:val="1B1C1D"/>
              </w:rPr>
            </w:pPr>
            <w:hyperlink r:id="rId58" w:history="1">
              <w:r w:rsidRPr="00A85478">
                <w:rPr>
                  <w:rStyle w:val="Hyperlink"/>
                </w:rPr>
                <w:t>SAFS Blacklip 2020</w:t>
              </w:r>
            </w:hyperlink>
          </w:p>
          <w:p w14:paraId="65FFFA6C" w14:textId="77A7E7F4" w:rsidR="00A85478" w:rsidRDefault="00A85478" w:rsidP="00A85478">
            <w:pPr>
              <w:spacing w:before="240" w:after="238" w:line="274" w:lineRule="auto"/>
              <w:jc w:val="both"/>
              <w:rPr>
                <w:color w:val="1B1C1D"/>
              </w:rPr>
            </w:pPr>
            <w:hyperlink r:id="rId59" w:history="1">
              <w:r w:rsidRPr="00A85478">
                <w:rPr>
                  <w:rStyle w:val="Hyperlink"/>
                </w:rPr>
                <w:t>SAFS Greenlip 2020</w:t>
              </w:r>
            </w:hyperlink>
          </w:p>
        </w:tc>
        <w:tc>
          <w:tcPr>
            <w:tcW w:w="2254" w:type="dxa"/>
            <w:shd w:val="clear" w:color="auto" w:fill="E7E6E6" w:themeFill="background2"/>
          </w:tcPr>
          <w:p w14:paraId="7A668E93" w14:textId="77777777" w:rsidR="00A85478" w:rsidRDefault="00A85478" w:rsidP="006A5347">
            <w:pPr>
              <w:spacing w:before="240" w:after="238" w:line="274" w:lineRule="auto"/>
              <w:jc w:val="both"/>
              <w:rPr>
                <w:color w:val="1B1C1D"/>
              </w:rPr>
            </w:pPr>
            <w:hyperlink r:id="rId60" w:history="1">
              <w:r w:rsidRPr="00A85478">
                <w:rPr>
                  <w:rStyle w:val="Hyperlink"/>
                </w:rPr>
                <w:t xml:space="preserve">SAFS </w:t>
              </w:r>
              <w:r>
                <w:rPr>
                  <w:rStyle w:val="Hyperlink"/>
                </w:rPr>
                <w:t xml:space="preserve">Blacklip </w:t>
              </w:r>
              <w:r w:rsidRPr="00A85478">
                <w:rPr>
                  <w:rStyle w:val="Hyperlink"/>
                </w:rPr>
                <w:t>2018</w:t>
              </w:r>
            </w:hyperlink>
          </w:p>
          <w:p w14:paraId="2836F4DA" w14:textId="495F5B32" w:rsidR="00A85478" w:rsidRDefault="00A85478" w:rsidP="006A5347">
            <w:pPr>
              <w:spacing w:before="240" w:after="238" w:line="274" w:lineRule="auto"/>
              <w:jc w:val="both"/>
              <w:rPr>
                <w:color w:val="1B1C1D"/>
              </w:rPr>
            </w:pPr>
            <w:hyperlink r:id="rId61" w:history="1">
              <w:r w:rsidRPr="00A85478">
                <w:rPr>
                  <w:rStyle w:val="Hyperlink"/>
                </w:rPr>
                <w:t>SAFS Greenlip 2018</w:t>
              </w:r>
            </w:hyperlink>
          </w:p>
        </w:tc>
      </w:tr>
      <w:tr w:rsidR="00A85478" w14:paraId="197DEFA2" w14:textId="77777777" w:rsidTr="00653E17">
        <w:trPr>
          <w:cantSplit/>
          <w:trHeight w:hRule="exact" w:val="786"/>
        </w:trPr>
        <w:tc>
          <w:tcPr>
            <w:tcW w:w="2254" w:type="dxa"/>
            <w:shd w:val="clear" w:color="auto" w:fill="E7E6E6" w:themeFill="background2"/>
            <w:vAlign w:val="center"/>
          </w:tcPr>
          <w:p w14:paraId="102DE475" w14:textId="139BFA3F" w:rsidR="00A85478" w:rsidRPr="009C2DEB" w:rsidRDefault="00A85478" w:rsidP="006A5347">
            <w:pPr>
              <w:spacing w:before="240" w:after="238" w:line="274" w:lineRule="auto"/>
              <w:jc w:val="both"/>
              <w:rPr>
                <w:b/>
                <w:bCs/>
                <w:color w:val="1B1C1D"/>
              </w:rPr>
            </w:pPr>
            <w:r w:rsidRPr="009C2DEB">
              <w:rPr>
                <w:b/>
                <w:bCs/>
                <w:color w:val="1B1C1D"/>
              </w:rPr>
              <w:t>Greenlip Zone</w:t>
            </w:r>
          </w:p>
        </w:tc>
        <w:tc>
          <w:tcPr>
            <w:tcW w:w="2254" w:type="dxa"/>
            <w:shd w:val="clear" w:color="auto" w:fill="70AD47" w:themeFill="accent6"/>
            <w:vAlign w:val="center"/>
          </w:tcPr>
          <w:p w14:paraId="4BA208A3" w14:textId="6FF2FD99" w:rsidR="00A85478" w:rsidRDefault="009C2DEB" w:rsidP="006A5347">
            <w:pPr>
              <w:spacing w:before="240" w:after="238" w:line="274" w:lineRule="auto"/>
              <w:jc w:val="both"/>
              <w:rPr>
                <w:color w:val="1B1C1D"/>
              </w:rPr>
            </w:pPr>
            <w:r>
              <w:rPr>
                <w:color w:val="1B1C1D"/>
              </w:rPr>
              <w:t>Sustainable</w:t>
            </w:r>
          </w:p>
        </w:tc>
        <w:tc>
          <w:tcPr>
            <w:tcW w:w="2254" w:type="dxa"/>
            <w:shd w:val="clear" w:color="auto" w:fill="FFC000" w:themeFill="accent4"/>
            <w:vAlign w:val="center"/>
          </w:tcPr>
          <w:p w14:paraId="22322E88" w14:textId="070D1B11" w:rsidR="00A85478" w:rsidRDefault="00A85478" w:rsidP="006A5347">
            <w:pPr>
              <w:spacing w:before="240" w:after="238" w:line="274" w:lineRule="auto"/>
              <w:jc w:val="both"/>
              <w:rPr>
                <w:color w:val="1B1C1D"/>
              </w:rPr>
            </w:pPr>
            <w:r>
              <w:rPr>
                <w:color w:val="1B1C1D"/>
              </w:rPr>
              <w:t>Depleting</w:t>
            </w:r>
          </w:p>
        </w:tc>
        <w:tc>
          <w:tcPr>
            <w:tcW w:w="2254" w:type="dxa"/>
            <w:shd w:val="clear" w:color="auto" w:fill="FFC000" w:themeFill="accent4"/>
            <w:vAlign w:val="center"/>
          </w:tcPr>
          <w:p w14:paraId="7A2FDEA9" w14:textId="433357B0" w:rsidR="00A85478" w:rsidRDefault="00A85478" w:rsidP="006A5347">
            <w:pPr>
              <w:spacing w:before="240" w:after="238" w:line="274" w:lineRule="auto"/>
              <w:jc w:val="both"/>
              <w:rPr>
                <w:color w:val="1B1C1D"/>
              </w:rPr>
            </w:pPr>
            <w:r>
              <w:rPr>
                <w:color w:val="1B1C1D"/>
              </w:rPr>
              <w:t>Depleting</w:t>
            </w:r>
          </w:p>
        </w:tc>
      </w:tr>
      <w:tr w:rsidR="00A85478" w14:paraId="03EF123D" w14:textId="77777777" w:rsidTr="00653E17">
        <w:trPr>
          <w:cantSplit/>
          <w:trHeight w:hRule="exact" w:val="780"/>
        </w:trPr>
        <w:tc>
          <w:tcPr>
            <w:tcW w:w="2254" w:type="dxa"/>
            <w:shd w:val="clear" w:color="auto" w:fill="E7E6E6" w:themeFill="background2"/>
            <w:vAlign w:val="center"/>
          </w:tcPr>
          <w:p w14:paraId="696EE02D" w14:textId="0193F4A7" w:rsidR="00A85478" w:rsidRPr="009C2DEB" w:rsidRDefault="00A85478" w:rsidP="00A85478">
            <w:pPr>
              <w:spacing w:before="240" w:after="238" w:line="274" w:lineRule="auto"/>
              <w:rPr>
                <w:b/>
                <w:bCs/>
                <w:color w:val="1B1C1D"/>
              </w:rPr>
            </w:pPr>
            <w:r w:rsidRPr="009C2DEB">
              <w:rPr>
                <w:b/>
                <w:bCs/>
                <w:color w:val="1B1C1D"/>
              </w:rPr>
              <w:t>Eastern Zone</w:t>
            </w:r>
          </w:p>
        </w:tc>
        <w:tc>
          <w:tcPr>
            <w:tcW w:w="2254" w:type="dxa"/>
            <w:shd w:val="clear" w:color="auto" w:fill="70AD47" w:themeFill="accent6"/>
            <w:vAlign w:val="center"/>
          </w:tcPr>
          <w:p w14:paraId="5D9B20B9" w14:textId="11167DF5" w:rsidR="00A85478" w:rsidRDefault="009C2DEB" w:rsidP="00A85478">
            <w:pPr>
              <w:spacing w:before="240" w:after="238" w:line="274" w:lineRule="auto"/>
              <w:rPr>
                <w:color w:val="1B1C1D"/>
              </w:rPr>
            </w:pPr>
            <w:r>
              <w:rPr>
                <w:color w:val="1B1C1D"/>
              </w:rPr>
              <w:t>Sustainable</w:t>
            </w:r>
          </w:p>
        </w:tc>
        <w:tc>
          <w:tcPr>
            <w:tcW w:w="2254" w:type="dxa"/>
            <w:shd w:val="clear" w:color="auto" w:fill="70AD47" w:themeFill="accent6"/>
            <w:vAlign w:val="center"/>
          </w:tcPr>
          <w:p w14:paraId="23433525" w14:textId="3D36FC8C" w:rsidR="00A85478" w:rsidRDefault="00A85478" w:rsidP="00A85478">
            <w:pPr>
              <w:spacing w:before="240" w:after="238" w:line="274" w:lineRule="auto"/>
              <w:rPr>
                <w:color w:val="1B1C1D"/>
              </w:rPr>
            </w:pPr>
            <w:r>
              <w:rPr>
                <w:color w:val="1B1C1D"/>
              </w:rPr>
              <w:t>Sustainable</w:t>
            </w:r>
          </w:p>
        </w:tc>
        <w:tc>
          <w:tcPr>
            <w:tcW w:w="2254" w:type="dxa"/>
            <w:shd w:val="clear" w:color="auto" w:fill="FFC000" w:themeFill="accent4"/>
            <w:vAlign w:val="center"/>
          </w:tcPr>
          <w:p w14:paraId="645AA168" w14:textId="6DE866F1" w:rsidR="00A85478" w:rsidRDefault="00A85478" w:rsidP="00A85478">
            <w:pPr>
              <w:spacing w:before="240" w:after="238" w:line="274" w:lineRule="auto"/>
              <w:rPr>
                <w:color w:val="1B1C1D"/>
              </w:rPr>
            </w:pPr>
            <w:r>
              <w:rPr>
                <w:color w:val="1B1C1D"/>
              </w:rPr>
              <w:t>Depleting</w:t>
            </w:r>
          </w:p>
        </w:tc>
      </w:tr>
      <w:tr w:rsidR="00A85478" w14:paraId="22EAFB3D" w14:textId="77777777" w:rsidTr="00653E17">
        <w:trPr>
          <w:cantSplit/>
          <w:trHeight w:hRule="exact" w:val="774"/>
        </w:trPr>
        <w:tc>
          <w:tcPr>
            <w:tcW w:w="2254" w:type="dxa"/>
            <w:shd w:val="clear" w:color="auto" w:fill="E7E6E6" w:themeFill="background2"/>
            <w:vAlign w:val="center"/>
          </w:tcPr>
          <w:p w14:paraId="059B6084" w14:textId="5B2ABD23" w:rsidR="00A85478" w:rsidRPr="009C2DEB" w:rsidRDefault="00A85478" w:rsidP="00A85478">
            <w:pPr>
              <w:spacing w:before="240" w:after="238" w:line="274" w:lineRule="auto"/>
              <w:rPr>
                <w:b/>
                <w:bCs/>
                <w:color w:val="1B1C1D"/>
              </w:rPr>
            </w:pPr>
            <w:r w:rsidRPr="009C2DEB">
              <w:rPr>
                <w:b/>
                <w:bCs/>
                <w:color w:val="1B1C1D"/>
              </w:rPr>
              <w:t>Northern Zone</w:t>
            </w:r>
          </w:p>
        </w:tc>
        <w:tc>
          <w:tcPr>
            <w:tcW w:w="2254" w:type="dxa"/>
            <w:shd w:val="clear" w:color="auto" w:fill="70AD47" w:themeFill="accent6"/>
            <w:vAlign w:val="center"/>
          </w:tcPr>
          <w:p w14:paraId="34D25DD4" w14:textId="35E71569" w:rsidR="00A85478" w:rsidRDefault="009C2DEB" w:rsidP="00A85478">
            <w:pPr>
              <w:spacing w:before="240" w:after="238" w:line="274" w:lineRule="auto"/>
              <w:rPr>
                <w:color w:val="1B1C1D"/>
              </w:rPr>
            </w:pPr>
            <w:r>
              <w:rPr>
                <w:color w:val="1B1C1D"/>
              </w:rPr>
              <w:t>Sustainable</w:t>
            </w:r>
          </w:p>
        </w:tc>
        <w:tc>
          <w:tcPr>
            <w:tcW w:w="2254" w:type="dxa"/>
            <w:shd w:val="clear" w:color="auto" w:fill="70AD47" w:themeFill="accent6"/>
            <w:vAlign w:val="center"/>
          </w:tcPr>
          <w:p w14:paraId="05665880" w14:textId="4580DA79" w:rsidR="00A85478" w:rsidRDefault="00A85478" w:rsidP="00A85478">
            <w:pPr>
              <w:spacing w:before="240" w:after="238" w:line="274" w:lineRule="auto"/>
              <w:rPr>
                <w:color w:val="1B1C1D"/>
              </w:rPr>
            </w:pPr>
            <w:r>
              <w:rPr>
                <w:color w:val="1B1C1D"/>
              </w:rPr>
              <w:t>Sustainable</w:t>
            </w:r>
          </w:p>
        </w:tc>
        <w:tc>
          <w:tcPr>
            <w:tcW w:w="2254" w:type="dxa"/>
            <w:shd w:val="clear" w:color="auto" w:fill="FFC000" w:themeFill="accent4"/>
            <w:vAlign w:val="center"/>
          </w:tcPr>
          <w:p w14:paraId="425DC8BE" w14:textId="0AD53E8B" w:rsidR="00A85478" w:rsidRDefault="00A85478" w:rsidP="00A85478">
            <w:pPr>
              <w:spacing w:before="240" w:after="238" w:line="274" w:lineRule="auto"/>
              <w:rPr>
                <w:color w:val="1B1C1D"/>
              </w:rPr>
            </w:pPr>
            <w:r>
              <w:rPr>
                <w:color w:val="1B1C1D"/>
              </w:rPr>
              <w:t>Depleting</w:t>
            </w:r>
          </w:p>
        </w:tc>
      </w:tr>
      <w:tr w:rsidR="00A85478" w14:paraId="4A55CE22" w14:textId="77777777" w:rsidTr="00653E17">
        <w:trPr>
          <w:cantSplit/>
          <w:trHeight w:hRule="exact" w:val="768"/>
        </w:trPr>
        <w:tc>
          <w:tcPr>
            <w:tcW w:w="2254" w:type="dxa"/>
            <w:shd w:val="clear" w:color="auto" w:fill="E7E6E6" w:themeFill="background2"/>
            <w:vAlign w:val="center"/>
          </w:tcPr>
          <w:p w14:paraId="2BB52150" w14:textId="7022DFA1" w:rsidR="00A85478" w:rsidRPr="009C2DEB" w:rsidRDefault="00A85478" w:rsidP="00A85478">
            <w:pPr>
              <w:spacing w:before="240" w:after="238" w:line="274" w:lineRule="auto"/>
              <w:rPr>
                <w:b/>
                <w:bCs/>
                <w:color w:val="1B1C1D"/>
              </w:rPr>
            </w:pPr>
            <w:r w:rsidRPr="009C2DEB">
              <w:rPr>
                <w:b/>
                <w:bCs/>
                <w:color w:val="1B1C1D"/>
              </w:rPr>
              <w:t>Bass Strait Zone</w:t>
            </w:r>
          </w:p>
        </w:tc>
        <w:tc>
          <w:tcPr>
            <w:tcW w:w="2254" w:type="dxa"/>
            <w:shd w:val="clear" w:color="auto" w:fill="70AD47" w:themeFill="accent6"/>
            <w:vAlign w:val="center"/>
          </w:tcPr>
          <w:p w14:paraId="5ECBBED8" w14:textId="485ADA96" w:rsidR="00A85478" w:rsidRDefault="009C2DEB" w:rsidP="00A85478">
            <w:pPr>
              <w:spacing w:before="240" w:after="238" w:line="274" w:lineRule="auto"/>
              <w:rPr>
                <w:color w:val="1B1C1D"/>
              </w:rPr>
            </w:pPr>
            <w:r>
              <w:rPr>
                <w:color w:val="1B1C1D"/>
              </w:rPr>
              <w:t>Sustainable</w:t>
            </w:r>
          </w:p>
        </w:tc>
        <w:tc>
          <w:tcPr>
            <w:tcW w:w="2254" w:type="dxa"/>
            <w:shd w:val="clear" w:color="auto" w:fill="70AD47" w:themeFill="accent6"/>
            <w:vAlign w:val="center"/>
          </w:tcPr>
          <w:p w14:paraId="49655AEE" w14:textId="750C4AE9" w:rsidR="00A85478" w:rsidRDefault="00A85478" w:rsidP="00A85478">
            <w:pPr>
              <w:spacing w:before="240" w:after="238" w:line="274" w:lineRule="auto"/>
              <w:rPr>
                <w:color w:val="1B1C1D"/>
              </w:rPr>
            </w:pPr>
            <w:r>
              <w:rPr>
                <w:color w:val="1B1C1D"/>
              </w:rPr>
              <w:t>Sustainable</w:t>
            </w:r>
          </w:p>
        </w:tc>
        <w:tc>
          <w:tcPr>
            <w:tcW w:w="2254" w:type="dxa"/>
            <w:shd w:val="clear" w:color="auto" w:fill="70AD47" w:themeFill="accent6"/>
            <w:vAlign w:val="center"/>
          </w:tcPr>
          <w:p w14:paraId="505E3CF8" w14:textId="6D67C1C2" w:rsidR="00A85478" w:rsidRDefault="00A85478" w:rsidP="00A85478">
            <w:pPr>
              <w:spacing w:before="240" w:after="238" w:line="274" w:lineRule="auto"/>
              <w:rPr>
                <w:color w:val="1B1C1D"/>
              </w:rPr>
            </w:pPr>
            <w:r>
              <w:rPr>
                <w:color w:val="1B1C1D"/>
              </w:rPr>
              <w:t>Sustainable</w:t>
            </w:r>
          </w:p>
        </w:tc>
      </w:tr>
      <w:tr w:rsidR="00A85478" w14:paraId="6D5CB382" w14:textId="77777777" w:rsidTr="00653E17">
        <w:trPr>
          <w:cantSplit/>
          <w:trHeight w:hRule="exact" w:val="776"/>
        </w:trPr>
        <w:tc>
          <w:tcPr>
            <w:tcW w:w="2254" w:type="dxa"/>
            <w:shd w:val="clear" w:color="auto" w:fill="E7E6E6" w:themeFill="background2"/>
            <w:vAlign w:val="center"/>
          </w:tcPr>
          <w:p w14:paraId="58D1D899" w14:textId="0B5A518A" w:rsidR="00A85478" w:rsidRPr="009C2DEB" w:rsidRDefault="00A85478" w:rsidP="00A85478">
            <w:pPr>
              <w:spacing w:before="240" w:after="238" w:line="274" w:lineRule="auto"/>
              <w:rPr>
                <w:b/>
                <w:bCs/>
                <w:color w:val="1B1C1D"/>
              </w:rPr>
            </w:pPr>
            <w:r w:rsidRPr="009C2DEB">
              <w:rPr>
                <w:b/>
                <w:bCs/>
                <w:color w:val="1B1C1D"/>
              </w:rPr>
              <w:t>Western Zone</w:t>
            </w:r>
          </w:p>
        </w:tc>
        <w:tc>
          <w:tcPr>
            <w:tcW w:w="2254" w:type="dxa"/>
            <w:shd w:val="clear" w:color="auto" w:fill="70AD47" w:themeFill="accent6"/>
            <w:vAlign w:val="center"/>
          </w:tcPr>
          <w:p w14:paraId="056F5527" w14:textId="4E57E6E4" w:rsidR="00A85478" w:rsidRDefault="009C2DEB" w:rsidP="00A85478">
            <w:pPr>
              <w:spacing w:before="240" w:after="238" w:line="274" w:lineRule="auto"/>
              <w:rPr>
                <w:color w:val="1B1C1D"/>
              </w:rPr>
            </w:pPr>
            <w:r>
              <w:rPr>
                <w:color w:val="1B1C1D"/>
              </w:rPr>
              <w:t>Sustainable</w:t>
            </w:r>
          </w:p>
        </w:tc>
        <w:tc>
          <w:tcPr>
            <w:tcW w:w="2254" w:type="dxa"/>
            <w:shd w:val="clear" w:color="auto" w:fill="FF0000"/>
            <w:vAlign w:val="center"/>
          </w:tcPr>
          <w:p w14:paraId="1B227E67" w14:textId="495FB000" w:rsidR="00A85478" w:rsidRDefault="00A85478" w:rsidP="00A85478">
            <w:pPr>
              <w:spacing w:before="240" w:after="238" w:line="274" w:lineRule="auto"/>
              <w:rPr>
                <w:color w:val="1B1C1D"/>
              </w:rPr>
            </w:pPr>
            <w:r>
              <w:rPr>
                <w:color w:val="1B1C1D"/>
              </w:rPr>
              <w:t>Depleted</w:t>
            </w:r>
          </w:p>
        </w:tc>
        <w:tc>
          <w:tcPr>
            <w:tcW w:w="2254" w:type="dxa"/>
            <w:shd w:val="clear" w:color="auto" w:fill="70AD47" w:themeFill="accent6"/>
            <w:vAlign w:val="center"/>
          </w:tcPr>
          <w:p w14:paraId="155808F7" w14:textId="32B6B00B" w:rsidR="00A85478" w:rsidRDefault="00A85478" w:rsidP="00A85478">
            <w:pPr>
              <w:spacing w:before="240" w:after="238" w:line="274" w:lineRule="auto"/>
              <w:rPr>
                <w:color w:val="1B1C1D"/>
              </w:rPr>
            </w:pPr>
            <w:r>
              <w:rPr>
                <w:color w:val="1B1C1D"/>
              </w:rPr>
              <w:t>Sustainable</w:t>
            </w:r>
          </w:p>
        </w:tc>
      </w:tr>
      <w:tr w:rsidR="00A85478" w14:paraId="739968EB" w14:textId="77777777" w:rsidTr="00653E17">
        <w:trPr>
          <w:cantSplit/>
          <w:trHeight w:hRule="exact" w:val="719"/>
        </w:trPr>
        <w:tc>
          <w:tcPr>
            <w:tcW w:w="2254" w:type="dxa"/>
            <w:shd w:val="clear" w:color="auto" w:fill="E7E6E6" w:themeFill="background2"/>
            <w:vAlign w:val="center"/>
          </w:tcPr>
          <w:p w14:paraId="185F82E2" w14:textId="7E15A684" w:rsidR="00A85478" w:rsidRPr="009C2DEB" w:rsidRDefault="00A85478" w:rsidP="00A85478">
            <w:pPr>
              <w:spacing w:before="240" w:after="238" w:line="274" w:lineRule="auto"/>
              <w:rPr>
                <w:b/>
                <w:bCs/>
                <w:color w:val="1B1C1D"/>
              </w:rPr>
            </w:pPr>
            <w:r w:rsidRPr="009C2DEB">
              <w:rPr>
                <w:b/>
                <w:bCs/>
                <w:color w:val="1B1C1D"/>
              </w:rPr>
              <w:t>Central Western Zone</w:t>
            </w:r>
          </w:p>
        </w:tc>
        <w:tc>
          <w:tcPr>
            <w:tcW w:w="2254" w:type="dxa"/>
            <w:vAlign w:val="center"/>
          </w:tcPr>
          <w:p w14:paraId="232CC6EF" w14:textId="44C18B15" w:rsidR="00A85478" w:rsidRPr="00653E17" w:rsidRDefault="00A85478" w:rsidP="00A85478">
            <w:pPr>
              <w:spacing w:before="240" w:after="238" w:line="274" w:lineRule="auto"/>
              <w:rPr>
                <w:color w:val="1B1C1D"/>
                <w:sz w:val="20"/>
                <w:szCs w:val="20"/>
              </w:rPr>
            </w:pPr>
            <w:r w:rsidRPr="00653E17">
              <w:rPr>
                <w:color w:val="1B1C1D"/>
                <w:sz w:val="20"/>
                <w:szCs w:val="20"/>
              </w:rPr>
              <w:t xml:space="preserve">*Now </w:t>
            </w:r>
            <w:r w:rsidR="00653E17" w:rsidRPr="00653E17">
              <w:rPr>
                <w:color w:val="1B1C1D"/>
                <w:sz w:val="20"/>
                <w:szCs w:val="20"/>
              </w:rPr>
              <w:t>in</w:t>
            </w:r>
            <w:r w:rsidRPr="00653E17">
              <w:rPr>
                <w:color w:val="1B1C1D"/>
                <w:sz w:val="20"/>
                <w:szCs w:val="20"/>
              </w:rPr>
              <w:t xml:space="preserve"> Western Zone</w:t>
            </w:r>
          </w:p>
        </w:tc>
        <w:tc>
          <w:tcPr>
            <w:tcW w:w="2254" w:type="dxa"/>
            <w:vAlign w:val="center"/>
          </w:tcPr>
          <w:p w14:paraId="07D88676" w14:textId="2C586ECF" w:rsidR="00A85478" w:rsidRPr="00653E17" w:rsidRDefault="00A85478" w:rsidP="00A85478">
            <w:pPr>
              <w:spacing w:before="240" w:after="238" w:line="274" w:lineRule="auto"/>
              <w:rPr>
                <w:color w:val="1B1C1D"/>
                <w:sz w:val="20"/>
                <w:szCs w:val="20"/>
              </w:rPr>
            </w:pPr>
            <w:r w:rsidRPr="00653E17">
              <w:rPr>
                <w:color w:val="1B1C1D"/>
                <w:sz w:val="20"/>
                <w:szCs w:val="20"/>
              </w:rPr>
              <w:t xml:space="preserve">*Now </w:t>
            </w:r>
            <w:r w:rsidR="00653E17" w:rsidRPr="00653E17">
              <w:rPr>
                <w:color w:val="1B1C1D"/>
                <w:sz w:val="20"/>
                <w:szCs w:val="20"/>
              </w:rPr>
              <w:t>in</w:t>
            </w:r>
            <w:r w:rsidRPr="00653E17">
              <w:rPr>
                <w:color w:val="1B1C1D"/>
                <w:sz w:val="20"/>
                <w:szCs w:val="20"/>
              </w:rPr>
              <w:t xml:space="preserve"> Western Zone</w:t>
            </w:r>
          </w:p>
        </w:tc>
        <w:tc>
          <w:tcPr>
            <w:tcW w:w="2254" w:type="dxa"/>
            <w:shd w:val="clear" w:color="auto" w:fill="FF0000"/>
            <w:vAlign w:val="center"/>
          </w:tcPr>
          <w:p w14:paraId="18AB02DC" w14:textId="79ED1173" w:rsidR="00A85478" w:rsidRDefault="00A85478" w:rsidP="00A85478">
            <w:pPr>
              <w:spacing w:before="240" w:after="238" w:line="274" w:lineRule="auto"/>
              <w:rPr>
                <w:color w:val="1B1C1D"/>
              </w:rPr>
            </w:pPr>
            <w:r>
              <w:rPr>
                <w:color w:val="1B1C1D"/>
              </w:rPr>
              <w:t>Depleted</w:t>
            </w:r>
          </w:p>
        </w:tc>
      </w:tr>
    </w:tbl>
    <w:p w14:paraId="6E759BFC" w14:textId="5F6BC337" w:rsidR="00890D00" w:rsidRPr="00E037BC" w:rsidRDefault="00515AA6" w:rsidP="00E037BC">
      <w:pPr>
        <w:pStyle w:val="Heading2"/>
      </w:pPr>
      <w:bookmarkStart w:id="30" w:name="_Toc203488089"/>
      <w:r w:rsidRPr="000D0DE8">
        <w:lastRenderedPageBreak/>
        <w:t>D</w:t>
      </w:r>
      <w:r w:rsidR="004640E2" w:rsidRPr="000D0DE8">
        <w:t>istribution and sp</w:t>
      </w:r>
      <w:r w:rsidR="00962308" w:rsidRPr="000D0DE8">
        <w:t>a</w:t>
      </w:r>
      <w:r w:rsidR="0069314A" w:rsidRPr="000D0DE8">
        <w:t>t</w:t>
      </w:r>
      <w:r w:rsidR="004640E2" w:rsidRPr="000D0DE8">
        <w:t>ial structure of key stocks</w:t>
      </w:r>
      <w:bookmarkEnd w:id="30"/>
    </w:p>
    <w:p w14:paraId="0401896B" w14:textId="3C1CB781" w:rsidR="00A75C37" w:rsidRDefault="006D0EF2" w:rsidP="006D0EF2">
      <w:r w:rsidRPr="006D0EF2">
        <w:t xml:space="preserve">Blacklip </w:t>
      </w:r>
      <w:r w:rsidR="00A75C37">
        <w:t xml:space="preserve">Abalone </w:t>
      </w:r>
      <w:r w:rsidRPr="006D0EF2">
        <w:t>are distributed across South Australia, Victoria, Tasmania and New South Wales</w:t>
      </w:r>
      <w:r w:rsidR="00855975">
        <w:t xml:space="preserve">, with multiple distinct and independent </w:t>
      </w:r>
      <w:r w:rsidRPr="006D0EF2">
        <w:t>biological stocks across</w:t>
      </w:r>
      <w:r w:rsidR="00855975">
        <w:t xml:space="preserve"> that area and within</w:t>
      </w:r>
      <w:r w:rsidRPr="006D0EF2">
        <w:t xml:space="preserve"> Tasmania</w:t>
      </w:r>
      <w:r w:rsidR="00855975">
        <w:t xml:space="preserve">. For management purposes, it </w:t>
      </w:r>
      <w:proofErr w:type="gramStart"/>
      <w:r w:rsidR="00855975">
        <w:t>is</w:t>
      </w:r>
      <w:r w:rsidR="00855975" w:rsidRPr="006D0EF2">
        <w:t xml:space="preserve"> considered to be</w:t>
      </w:r>
      <w:proofErr w:type="gramEnd"/>
      <w:r w:rsidR="00855975" w:rsidRPr="006D0EF2">
        <w:t xml:space="preserve"> a single stock as defined by the management area.</w:t>
      </w:r>
    </w:p>
    <w:p w14:paraId="6048480E" w14:textId="04361A55" w:rsidR="006D0EF2" w:rsidRPr="00855975" w:rsidRDefault="006D0EF2" w:rsidP="006D0EF2">
      <w:pPr>
        <w:rPr>
          <w:rFonts w:cstheme="minorHAnsi"/>
        </w:rPr>
      </w:pPr>
      <w:r w:rsidRPr="006D0EF2">
        <w:t xml:space="preserve">Greenlip Abalone is distributed across southern mainland Australia and northern Tasmania. </w:t>
      </w:r>
      <w:r w:rsidR="004B77FB">
        <w:t>There is g</w:t>
      </w:r>
      <w:r w:rsidRPr="006D0EF2">
        <w:t xml:space="preserve">enetic evidence that Greenlip Abalone comprise numerous independent biological stocks, but at a </w:t>
      </w:r>
      <w:r w:rsidRPr="00855975">
        <w:rPr>
          <w:rFonts w:cstheme="minorHAnsi"/>
        </w:rPr>
        <w:t xml:space="preserve">spatially broader scale than the biological stock structure evident for Blacklip. </w:t>
      </w:r>
      <w:r w:rsidR="004B77FB" w:rsidRPr="00855975">
        <w:rPr>
          <w:rFonts w:cstheme="minorHAnsi"/>
        </w:rPr>
        <w:t xml:space="preserve">For management purposes, </w:t>
      </w:r>
      <w:r w:rsidR="00A75C37" w:rsidRPr="00855975">
        <w:rPr>
          <w:rFonts w:cstheme="minorHAnsi"/>
        </w:rPr>
        <w:t xml:space="preserve">it </w:t>
      </w:r>
      <w:proofErr w:type="gramStart"/>
      <w:r w:rsidR="00A75C37" w:rsidRPr="00855975">
        <w:rPr>
          <w:rFonts w:cstheme="minorHAnsi"/>
        </w:rPr>
        <w:t>is</w:t>
      </w:r>
      <w:r w:rsidRPr="00855975">
        <w:rPr>
          <w:rFonts w:cstheme="minorHAnsi"/>
        </w:rPr>
        <w:t xml:space="preserve"> considered to be</w:t>
      </w:r>
      <w:proofErr w:type="gramEnd"/>
      <w:r w:rsidRPr="00855975">
        <w:rPr>
          <w:rFonts w:cstheme="minorHAnsi"/>
        </w:rPr>
        <w:t xml:space="preserve"> a single stock as defined by the management area.</w:t>
      </w:r>
    </w:p>
    <w:p w14:paraId="197DCC16" w14:textId="3BC15739" w:rsidR="006D0EF2" w:rsidRPr="00855975" w:rsidRDefault="006D0EF2" w:rsidP="006D0EF2">
      <w:pPr>
        <w:rPr>
          <w:rFonts w:cstheme="minorHAnsi"/>
          <w:color w:val="4000A6"/>
        </w:rPr>
      </w:pPr>
      <w:r w:rsidRPr="00855975">
        <w:rPr>
          <w:rFonts w:cstheme="minorHAnsi"/>
        </w:rPr>
        <w:t>Refer to the linked Status of Australian Fish Stocks (SAFS) Reports for a summary of regional management:</w:t>
      </w:r>
      <w:r w:rsidR="00AB5516" w:rsidRPr="00855975">
        <w:rPr>
          <w:rFonts w:cstheme="minorHAnsi"/>
        </w:rPr>
        <w:t xml:space="preserve"> </w:t>
      </w:r>
      <w:hyperlink r:id="rId62" w:history="1">
        <w:r w:rsidR="00AB5516" w:rsidRPr="00855975">
          <w:rPr>
            <w:rStyle w:val="Hyperlink"/>
            <w:rFonts w:cstheme="minorHAnsi"/>
          </w:rPr>
          <w:t>Blacklip Abalone 2023</w:t>
        </w:r>
      </w:hyperlink>
      <w:r w:rsidR="00AB5516" w:rsidRPr="00855975">
        <w:rPr>
          <w:rFonts w:cstheme="minorHAnsi"/>
        </w:rPr>
        <w:t xml:space="preserve">, </w:t>
      </w:r>
      <w:hyperlink r:id="rId63" w:history="1">
        <w:r w:rsidR="00AB5516" w:rsidRPr="00855975">
          <w:rPr>
            <w:rStyle w:val="Hyperlink"/>
            <w:rFonts w:cstheme="minorHAnsi"/>
          </w:rPr>
          <w:t>Greenlip Abalone 2023</w:t>
        </w:r>
      </w:hyperlink>
      <w:r w:rsidR="00AB5516" w:rsidRPr="00855975">
        <w:rPr>
          <w:rFonts w:cstheme="minorHAnsi"/>
        </w:rPr>
        <w:t>.</w:t>
      </w:r>
    </w:p>
    <w:p w14:paraId="2E3C3717" w14:textId="0EC8D107" w:rsidR="004640E2" w:rsidRPr="000D0DE8" w:rsidRDefault="00FB03C3" w:rsidP="00FB03C3">
      <w:pPr>
        <w:pStyle w:val="Heading2"/>
      </w:pPr>
      <w:bookmarkStart w:id="31" w:name="_Toc203488090"/>
      <w:r w:rsidRPr="000D0DE8">
        <w:t>E</w:t>
      </w:r>
      <w:r w:rsidR="004640E2" w:rsidRPr="000D0DE8">
        <w:t>stimates of total removals</w:t>
      </w:r>
      <w:bookmarkEnd w:id="31"/>
    </w:p>
    <w:p w14:paraId="43A94D5B" w14:textId="37B56BF0" w:rsidR="006D0EF2" w:rsidRDefault="006D0EF2" w:rsidP="006D0EF2">
      <w:r>
        <w:t xml:space="preserve">Refer to </w:t>
      </w:r>
      <w:r w:rsidR="001E1C93" w:rsidRPr="0094772D">
        <w:t xml:space="preserve">Table </w:t>
      </w:r>
      <w:r w:rsidR="0094772D">
        <w:t>3</w:t>
      </w:r>
      <w:r w:rsidRPr="0094772D">
        <w:t xml:space="preserve"> of Appendix</w:t>
      </w:r>
      <w:r>
        <w:t xml:space="preserve"> 1 for a summary of total commercial catches across the previous five complete fishing season (201</w:t>
      </w:r>
      <w:r w:rsidR="00AB5516">
        <w:t>9 to 2024</w:t>
      </w:r>
      <w:r w:rsidR="0094772D">
        <w:t>; also represented in Figure 1 of Appendix 1</w:t>
      </w:r>
      <w:r>
        <w:t xml:space="preserve">), together with the applicable </w:t>
      </w:r>
      <w:r w:rsidR="001E1C93">
        <w:t>TACCs</w:t>
      </w:r>
      <w:r>
        <w:t xml:space="preserve"> and instances of their exceedance</w:t>
      </w:r>
      <w:r w:rsidR="001E1C93">
        <w:t>.</w:t>
      </w:r>
      <w:r>
        <w:t xml:space="preserve"> </w:t>
      </w:r>
      <w:r w:rsidR="001E1C93">
        <w:t xml:space="preserve">All catch exceedances have been minor relative to the TACC, </w:t>
      </w:r>
      <w:r w:rsidR="001A618D">
        <w:t xml:space="preserve">and in recent years the </w:t>
      </w:r>
      <w:r w:rsidR="001E1C93">
        <w:t xml:space="preserve">Harvest Strategy </w:t>
      </w:r>
      <w:r w:rsidR="001A618D">
        <w:t xml:space="preserve">has effectively (as evidenced by SAFS sustainability ratings) </w:t>
      </w:r>
      <w:r w:rsidR="001E1C93">
        <w:t>tak</w:t>
      </w:r>
      <w:r w:rsidR="001A618D">
        <w:t>en</w:t>
      </w:r>
      <w:r w:rsidR="001E1C93">
        <w:t xml:space="preserve"> account of exceedances during</w:t>
      </w:r>
      <w:r w:rsidR="001A618D">
        <w:t xml:space="preserve"> new season</w:t>
      </w:r>
      <w:r w:rsidR="001E1C93">
        <w:t xml:space="preserve"> TACC-setting</w:t>
      </w:r>
      <w:r w:rsidR="001A618D">
        <w:t>.</w:t>
      </w:r>
    </w:p>
    <w:p w14:paraId="2B73118B" w14:textId="6160627D" w:rsidR="00E9401F" w:rsidRDefault="00E9401F" w:rsidP="006D0EF2">
      <w:r>
        <w:t xml:space="preserve">Refer to </w:t>
      </w:r>
      <w:r w:rsidRPr="0094772D">
        <w:t>Appendix 4</w:t>
      </w:r>
      <w:r>
        <w:t xml:space="preserve"> for a summary of the fishing effort in the fishery between 20</w:t>
      </w:r>
      <w:r w:rsidR="0094772D">
        <w:t>1</w:t>
      </w:r>
      <w:r>
        <w:t xml:space="preserve">9 to 2024. There has been a steady decrease in the </w:t>
      </w:r>
      <w:r w:rsidR="0094772D">
        <w:t>number of hours fished in all parts of the fishery (</w:t>
      </w:r>
      <w:r w:rsidR="0094772D" w:rsidRPr="0094772D">
        <w:t xml:space="preserve">Table 5 </w:t>
      </w:r>
      <w:r w:rsidR="0094772D">
        <w:t xml:space="preserve">and </w:t>
      </w:r>
      <w:r w:rsidR="0094772D" w:rsidRPr="0094772D">
        <w:t>Figure 2</w:t>
      </w:r>
      <w:r w:rsidR="0094772D">
        <w:t xml:space="preserve"> of Appendix 4) and the </w:t>
      </w:r>
      <w:r>
        <w:t xml:space="preserve">number of active divers </w:t>
      </w:r>
      <w:r w:rsidR="0094772D">
        <w:t>(</w:t>
      </w:r>
      <w:r w:rsidR="0094772D" w:rsidRPr="0094772D">
        <w:t>Table 6 and Figure 3</w:t>
      </w:r>
      <w:r w:rsidR="0094772D">
        <w:t xml:space="preserve"> of Appendix 4) in the fishery,</w:t>
      </w:r>
      <w:r>
        <w:t xml:space="preserve"> commensurate with the TACC and catch reductions.</w:t>
      </w:r>
    </w:p>
    <w:p w14:paraId="7F2ADA61" w14:textId="6799C4CB" w:rsidR="00AB5516" w:rsidRDefault="006D0EF2" w:rsidP="006D0EF2">
      <w:r>
        <w:t>Recreational</w:t>
      </w:r>
      <w:r w:rsidRPr="00A6699A">
        <w:t xml:space="preserve"> and </w:t>
      </w:r>
      <w:r>
        <w:t xml:space="preserve">Indigenous catch is </w:t>
      </w:r>
      <w:r w:rsidR="00AB5516">
        <w:t xml:space="preserve">not required to be reported. However, periodic telephone surveys are conducted by IMAS to determine the extent of recreational fishing in Tasmania. The most recent results are published in the </w:t>
      </w:r>
      <w:hyperlink r:id="rId64" w:history="1">
        <w:r w:rsidR="00AB5516" w:rsidRPr="00AB5516">
          <w:rPr>
            <w:rStyle w:val="Hyperlink"/>
          </w:rPr>
          <w:t>2022-23 Survey of Recrea</w:t>
        </w:r>
        <w:r w:rsidR="001E1C93">
          <w:rPr>
            <w:rStyle w:val="Hyperlink"/>
          </w:rPr>
          <w:t>t</w:t>
        </w:r>
        <w:r w:rsidR="00AB5516" w:rsidRPr="00AB5516">
          <w:rPr>
            <w:rStyle w:val="Hyperlink"/>
          </w:rPr>
          <w:t>ional Fishing in Tasmania</w:t>
        </w:r>
      </w:hyperlink>
      <w:r w:rsidR="00AB5516">
        <w:t xml:space="preserve">, which </w:t>
      </w:r>
      <w:r w:rsidR="00D64209">
        <w:t>states that approximately 20,000 abalone were recreationally caught, with a standard error of 7,800 abalone, with only 3% released.</w:t>
      </w:r>
    </w:p>
    <w:p w14:paraId="124C3B69" w14:textId="77777777" w:rsidR="004B77FB" w:rsidRDefault="00D64209" w:rsidP="006D0EF2">
      <w:r>
        <w:t>Further, IMAS</w:t>
      </w:r>
      <w:r w:rsidR="004B77FB">
        <w:t xml:space="preserve"> annually</w:t>
      </w:r>
      <w:r>
        <w:t xml:space="preserve"> surveys a proportion of recreational rock lobster and abalone fishers for estimates of catch</w:t>
      </w:r>
      <w:r w:rsidR="004B77FB">
        <w:t>es</w:t>
      </w:r>
      <w:r>
        <w:t xml:space="preserve">, days fished, and social information including stock status perceptions, fishing quality and management. The </w:t>
      </w:r>
      <w:hyperlink r:id="rId65" w:history="1">
        <w:r w:rsidRPr="00D64209">
          <w:rPr>
            <w:rStyle w:val="Hyperlink"/>
          </w:rPr>
          <w:t>2023-24 Fishing Season Report</w:t>
        </w:r>
      </w:hyperlink>
      <w:r>
        <w:t xml:space="preserve"> estimated the recreational harvest at 27.2 tonnes, equivalent to 3.5% of the 2024 TACC (773.5 tonnes), with 90% of that comprising Blacklip Abalone.</w:t>
      </w:r>
    </w:p>
    <w:p w14:paraId="1925A386" w14:textId="49AF46B4" w:rsidR="006D0EF2" w:rsidRPr="00D64209" w:rsidRDefault="00292DC2" w:rsidP="006D0EF2">
      <w:r>
        <w:t xml:space="preserve">Refer </w:t>
      </w:r>
      <w:r w:rsidRPr="0094772D">
        <w:t xml:space="preserve">to Table </w:t>
      </w:r>
      <w:r w:rsidR="0094772D" w:rsidRPr="0094772D">
        <w:t>4</w:t>
      </w:r>
      <w:r w:rsidRPr="0094772D">
        <w:t xml:space="preserve"> of Appendix</w:t>
      </w:r>
      <w:r>
        <w:t xml:space="preserve"> 1 for a summary of total estimated recreational catches across the previous five recreational fishing/reporting seasons (2019-20 to 2023-24).</w:t>
      </w:r>
      <w:r w:rsidR="004B77FB">
        <w:t xml:space="preserve"> There is a consistent trend towards increasing catches, however it remans minor compared to the commercial catch.</w:t>
      </w:r>
    </w:p>
    <w:p w14:paraId="0C7494BC" w14:textId="56E8F509" w:rsidR="00D24341" w:rsidRPr="00F268C6" w:rsidRDefault="00F268C6" w:rsidP="00F268C6">
      <w:pPr>
        <w:pStyle w:val="Heading2"/>
      </w:pPr>
      <w:bookmarkStart w:id="32" w:name="_Toc203488091"/>
      <w:r w:rsidRPr="00F268C6">
        <w:t>Indicator b</w:t>
      </w:r>
      <w:r w:rsidR="00D24341" w:rsidRPr="00F268C6">
        <w:t xml:space="preserve">yproduct </w:t>
      </w:r>
      <w:r w:rsidRPr="00F268C6">
        <w:t>species</w:t>
      </w:r>
      <w:bookmarkEnd w:id="32"/>
    </w:p>
    <w:p w14:paraId="0861B94E" w14:textId="77777777" w:rsidR="005A5922" w:rsidRPr="00C315D9" w:rsidRDefault="005A5922" w:rsidP="005A5922">
      <w:r>
        <w:t>Not applicable.</w:t>
      </w:r>
    </w:p>
    <w:p w14:paraId="280E9B96" w14:textId="69DA5E18" w:rsidR="005A5922" w:rsidRPr="00F13304" w:rsidRDefault="005A5922" w:rsidP="005A5922">
      <w:pPr>
        <w:rPr>
          <w:color w:val="4000A6"/>
        </w:rPr>
      </w:pPr>
      <w:r>
        <w:t>Being a dive fishery with targeted hand collection, byproduct species are not permitted. There is low occurrence of biofouling of marine algae species on abalone shells, however this is not quantified or considered problematic.</w:t>
      </w:r>
    </w:p>
    <w:p w14:paraId="75990361" w14:textId="6616919A" w:rsidR="00D24341" w:rsidRPr="00D24341" w:rsidRDefault="00D24341" w:rsidP="00314F4F">
      <w:pPr>
        <w:pStyle w:val="Heading1"/>
        <w:rPr>
          <w:sz w:val="22"/>
          <w:szCs w:val="22"/>
        </w:rPr>
      </w:pPr>
      <w:bookmarkStart w:id="33" w:name="_Toc203488092"/>
      <w:r w:rsidRPr="00527876">
        <w:rPr>
          <w:bCs/>
          <w:sz w:val="36"/>
          <w:szCs w:val="36"/>
        </w:rPr>
        <w:lastRenderedPageBreak/>
        <w:t>Bycatch</w:t>
      </w:r>
      <w:bookmarkEnd w:id="33"/>
    </w:p>
    <w:p w14:paraId="0645CACF" w14:textId="791930EF" w:rsidR="00AB30B8" w:rsidRPr="000D0DE8" w:rsidRDefault="00AB30B8" w:rsidP="00AB30B8">
      <w:pPr>
        <w:pStyle w:val="Heading2"/>
      </w:pPr>
      <w:bookmarkStart w:id="34" w:name="_Toc203488093"/>
      <w:r w:rsidRPr="000D0DE8">
        <w:t>Bycatch composition</w:t>
      </w:r>
      <w:bookmarkEnd w:id="34"/>
    </w:p>
    <w:p w14:paraId="161B2D8A" w14:textId="77777777" w:rsidR="005A5922" w:rsidRPr="00C315D9" w:rsidRDefault="005A5922" w:rsidP="005A5922">
      <w:r>
        <w:t>Not applicable.</w:t>
      </w:r>
    </w:p>
    <w:p w14:paraId="4CAF8CF3" w14:textId="7F0D07E0" w:rsidR="005A5922" w:rsidRPr="005A5922" w:rsidRDefault="005A5922" w:rsidP="00AB30B8">
      <w:r>
        <w:t>Being a dive fishery with targeted hand collection and no quota, bycatch including discards (i.e. high-grading) is negligible to nil. There is low occurrence of biofouling of marine algae species on abalone shells, however this is not quantified or considered problematic.</w:t>
      </w:r>
    </w:p>
    <w:p w14:paraId="0ADCBF47" w14:textId="3674823A" w:rsidR="00D24341" w:rsidRPr="00F3518E" w:rsidRDefault="002B42F1" w:rsidP="00F3518E">
      <w:pPr>
        <w:pStyle w:val="Heading2"/>
      </w:pPr>
      <w:bookmarkStart w:id="35" w:name="_Toc203488094"/>
      <w:r w:rsidRPr="00F3518E">
        <w:t>R</w:t>
      </w:r>
      <w:r w:rsidR="00F670C5" w:rsidRPr="00F3518E">
        <w:t xml:space="preserve">isk </w:t>
      </w:r>
      <w:r w:rsidR="006C74DB">
        <w:t>assessment</w:t>
      </w:r>
      <w:r w:rsidR="00F670C5" w:rsidRPr="00F3518E">
        <w:t xml:space="preserve"> on the effects of fishing on bycatch</w:t>
      </w:r>
      <w:bookmarkEnd w:id="35"/>
    </w:p>
    <w:p w14:paraId="4C3481C3" w14:textId="77777777" w:rsidR="005A5922" w:rsidRDefault="005A5922" w:rsidP="005A5922">
      <w:r>
        <w:t>Not applicable.</w:t>
      </w:r>
    </w:p>
    <w:p w14:paraId="436B30AF" w14:textId="77777777" w:rsidR="00E037BC" w:rsidRDefault="00E037BC" w:rsidP="00E037BC">
      <w:r>
        <w:t>Being a dive fishery with targeted hand collection and no quota, bycatch including discards (i.e. high-grading) is negligible to nil. There is low occurrence of biofouling of marine algae species on the shells of periwinkles, however this is not quantified or considered problematic.</w:t>
      </w:r>
    </w:p>
    <w:p w14:paraId="25A71AED" w14:textId="224BF454" w:rsidR="00F670C5" w:rsidRPr="0018409A" w:rsidRDefault="00B56980" w:rsidP="0018409A">
      <w:pPr>
        <w:pStyle w:val="Heading2"/>
      </w:pPr>
      <w:bookmarkStart w:id="36" w:name="_Toc203488095"/>
      <w:r>
        <w:t>Bycatch m</w:t>
      </w:r>
      <w:r w:rsidR="00F3518E" w:rsidRPr="0018409A">
        <w:t>it</w:t>
      </w:r>
      <w:r w:rsidR="00503D9F" w:rsidRPr="0018409A">
        <w:t xml:space="preserve">igation </w:t>
      </w:r>
      <w:r>
        <w:t>m</w:t>
      </w:r>
      <w:r w:rsidR="00503D9F" w:rsidRPr="0018409A">
        <w:t>easures</w:t>
      </w:r>
      <w:bookmarkEnd w:id="36"/>
    </w:p>
    <w:p w14:paraId="345BA428" w14:textId="77777777" w:rsidR="005A5922" w:rsidRDefault="005A5922" w:rsidP="005A5922">
      <w:r>
        <w:t>Not applicable.</w:t>
      </w:r>
    </w:p>
    <w:p w14:paraId="56337951" w14:textId="77777777" w:rsidR="00E037BC" w:rsidRDefault="00E037BC" w:rsidP="00E037BC">
      <w:r>
        <w:t>Being a dive fishery with targeted hand collection and no quota, bycatch including discards (i.e. high-grading) is negligible to nil. There is low occurrence of biofouling of marine algae species on the shells of periwinkles, however this is not quantified or considered problematic.</w:t>
      </w:r>
    </w:p>
    <w:p w14:paraId="029AF95B" w14:textId="5750815B" w:rsidR="00F670C5" w:rsidRPr="00471DB3" w:rsidRDefault="00C7204A" w:rsidP="00471DB3">
      <w:pPr>
        <w:pStyle w:val="Heading2"/>
      </w:pPr>
      <w:bookmarkStart w:id="37" w:name="_Toc203488096"/>
      <w:r w:rsidRPr="00471DB3">
        <w:t>I</w:t>
      </w:r>
      <w:r w:rsidR="00F670C5" w:rsidRPr="00471DB3">
        <w:t>ndicator bycatch species</w:t>
      </w:r>
      <w:bookmarkEnd w:id="37"/>
    </w:p>
    <w:p w14:paraId="6EC76CEC" w14:textId="2F65EEF1" w:rsidR="005A5922" w:rsidRDefault="005A5922" w:rsidP="0018409A">
      <w:r>
        <w:t>Not applicable.</w:t>
      </w:r>
    </w:p>
    <w:p w14:paraId="3CCCD8C2" w14:textId="77777777" w:rsidR="00E037BC" w:rsidRDefault="00E037BC" w:rsidP="00E037BC">
      <w:r>
        <w:t>Being a dive fishery with targeted hand collection and no quota, bycatch including discards (i.e. high-grading) is negligible to nil. There is low occurrence of biofouling of marine algae species on the shells of periwinkles, however this is not quantified or considered problematic.</w:t>
      </w:r>
    </w:p>
    <w:p w14:paraId="4A360CE8" w14:textId="0CBBA25F" w:rsidR="00F670C5" w:rsidRPr="00F268C6" w:rsidRDefault="00471DB3" w:rsidP="00F268C6">
      <w:pPr>
        <w:pStyle w:val="Heading2"/>
      </w:pPr>
      <w:bookmarkStart w:id="38" w:name="_Toc203488097"/>
      <w:r w:rsidRPr="00F268C6">
        <w:t>M</w:t>
      </w:r>
      <w:r w:rsidR="00F670C5" w:rsidRPr="00F268C6">
        <w:t>anagement actions</w:t>
      </w:r>
      <w:bookmarkEnd w:id="38"/>
      <w:r w:rsidR="00F670C5" w:rsidRPr="00F268C6">
        <w:t xml:space="preserve"> </w:t>
      </w:r>
    </w:p>
    <w:p w14:paraId="16FE9B02" w14:textId="77777777" w:rsidR="005A5922" w:rsidRDefault="005A5922" w:rsidP="005A5922">
      <w:r>
        <w:t>Not applicable.</w:t>
      </w:r>
    </w:p>
    <w:p w14:paraId="7B06D03B" w14:textId="77777777" w:rsidR="00E037BC" w:rsidRDefault="00E037BC" w:rsidP="00E037BC">
      <w:r>
        <w:t>Being a dive fishery with targeted hand collection and no quota, bycatch including discards (i.e. high-grading) is negligible to nil. There is low occurrence of biofouling of marine algae species on the shells of periwinkles, however this is not quantified or considered problematic.</w:t>
      </w:r>
    </w:p>
    <w:p w14:paraId="647B1BD4" w14:textId="320AD299" w:rsidR="00F670C5" w:rsidRPr="00527876" w:rsidRDefault="00F670C5" w:rsidP="00314F4F">
      <w:pPr>
        <w:pStyle w:val="Heading1"/>
        <w:rPr>
          <w:b w:val="0"/>
          <w:bCs/>
          <w:sz w:val="36"/>
          <w:szCs w:val="36"/>
        </w:rPr>
      </w:pPr>
      <w:bookmarkStart w:id="39" w:name="_Toc203488098"/>
      <w:r w:rsidRPr="00527876">
        <w:rPr>
          <w:bCs/>
          <w:sz w:val="36"/>
          <w:szCs w:val="36"/>
        </w:rPr>
        <w:t>P</w:t>
      </w:r>
      <w:r w:rsidR="007D1784">
        <w:rPr>
          <w:bCs/>
          <w:sz w:val="36"/>
          <w:szCs w:val="36"/>
        </w:rPr>
        <w:t xml:space="preserve">rotected </w:t>
      </w:r>
      <w:r w:rsidR="006F3C71">
        <w:rPr>
          <w:bCs/>
          <w:sz w:val="36"/>
          <w:szCs w:val="36"/>
        </w:rPr>
        <w:t>s</w:t>
      </w:r>
      <w:r w:rsidR="007D1784">
        <w:rPr>
          <w:bCs/>
          <w:sz w:val="36"/>
          <w:szCs w:val="36"/>
        </w:rPr>
        <w:t>pecies</w:t>
      </w:r>
      <w:r w:rsidR="009C40AE">
        <w:rPr>
          <w:bCs/>
          <w:sz w:val="36"/>
          <w:szCs w:val="36"/>
        </w:rPr>
        <w:t xml:space="preserve"> and </w:t>
      </w:r>
      <w:r w:rsidR="006F3C71">
        <w:rPr>
          <w:bCs/>
          <w:sz w:val="36"/>
          <w:szCs w:val="36"/>
        </w:rPr>
        <w:t>t</w:t>
      </w:r>
      <w:r w:rsidR="009C40AE">
        <w:rPr>
          <w:bCs/>
          <w:sz w:val="36"/>
          <w:szCs w:val="36"/>
        </w:rPr>
        <w:t xml:space="preserve">hreatened </w:t>
      </w:r>
      <w:r w:rsidR="006F3C71">
        <w:rPr>
          <w:bCs/>
          <w:sz w:val="36"/>
          <w:szCs w:val="36"/>
        </w:rPr>
        <w:t>e</w:t>
      </w:r>
      <w:r w:rsidR="009C40AE">
        <w:rPr>
          <w:bCs/>
          <w:sz w:val="36"/>
          <w:szCs w:val="36"/>
        </w:rPr>
        <w:t xml:space="preserve">cological </w:t>
      </w:r>
      <w:r w:rsidR="006F3C71">
        <w:rPr>
          <w:bCs/>
          <w:sz w:val="36"/>
          <w:szCs w:val="36"/>
        </w:rPr>
        <w:t>c</w:t>
      </w:r>
      <w:r w:rsidR="009C40AE">
        <w:rPr>
          <w:bCs/>
          <w:sz w:val="36"/>
          <w:szCs w:val="36"/>
        </w:rPr>
        <w:t>ommunities</w:t>
      </w:r>
      <w:bookmarkEnd w:id="39"/>
    </w:p>
    <w:p w14:paraId="216B1342" w14:textId="58E96459" w:rsidR="00F670C5" w:rsidRPr="00D77FD4" w:rsidRDefault="00F268C6" w:rsidP="00D77FD4">
      <w:pPr>
        <w:pStyle w:val="Heading2"/>
      </w:pPr>
      <w:bookmarkStart w:id="40" w:name="_Toc203488099"/>
      <w:r w:rsidRPr="00D77FD4">
        <w:t>F</w:t>
      </w:r>
      <w:r w:rsidR="00F670C5" w:rsidRPr="00D77FD4">
        <w:t xml:space="preserve">ishery </w:t>
      </w:r>
      <w:r w:rsidRPr="00D77FD4">
        <w:t>impact</w:t>
      </w:r>
      <w:r w:rsidR="00FB3414" w:rsidRPr="00D77FD4">
        <w:t xml:space="preserve">s </w:t>
      </w:r>
      <w:r w:rsidR="00F670C5" w:rsidRPr="00D77FD4">
        <w:t xml:space="preserve">on </w:t>
      </w:r>
      <w:r w:rsidR="00CE0DE4">
        <w:t>protected species and communities</w:t>
      </w:r>
      <w:bookmarkEnd w:id="40"/>
      <w:r w:rsidR="004E20F5">
        <w:t xml:space="preserve"> </w:t>
      </w:r>
    </w:p>
    <w:p w14:paraId="7B97EF43" w14:textId="10376284" w:rsidR="00E516C9" w:rsidRPr="00E516C9" w:rsidRDefault="00E516C9" w:rsidP="009D70F4">
      <w:r w:rsidRPr="00856AE6">
        <w:t>Th</w:t>
      </w:r>
      <w:r>
        <w:t xml:space="preserve">e Tasmanian Abalone fishery is highly targeted, with two readily-identifiable species hand collected by divers. The nature of the fishery naturally mitigates against capture, killing, or injuring of protected species and ecological communities, including by way of </w:t>
      </w:r>
      <w:r w:rsidRPr="00856AE6">
        <w:t xml:space="preserve">bycatch </w:t>
      </w:r>
      <w:r>
        <w:t>and</w:t>
      </w:r>
      <w:r w:rsidRPr="00856AE6">
        <w:t xml:space="preserve"> entanglement</w:t>
      </w:r>
      <w:r>
        <w:t xml:space="preserve">. </w:t>
      </w:r>
      <w:r w:rsidRPr="00856AE6">
        <w:t xml:space="preserve">Interaction with threatened, endangered, or protected species (TEPS) data is not collected in this fishery. </w:t>
      </w:r>
    </w:p>
    <w:p w14:paraId="2E0A3694" w14:textId="4DC6A65F" w:rsidR="00F670C5" w:rsidRPr="0055419B" w:rsidRDefault="009449E1" w:rsidP="0055419B">
      <w:pPr>
        <w:pStyle w:val="Heading2"/>
      </w:pPr>
      <w:bookmarkStart w:id="41" w:name="_Toc203488100"/>
      <w:r w:rsidRPr="000F2615">
        <w:lastRenderedPageBreak/>
        <w:t>Mitigating risks to p</w:t>
      </w:r>
      <w:r w:rsidR="004252A9" w:rsidRPr="000F2615">
        <w:t xml:space="preserve">rotected species </w:t>
      </w:r>
      <w:r w:rsidR="004C0B8B" w:rsidRPr="000F2615">
        <w:t xml:space="preserve">and </w:t>
      </w:r>
      <w:r w:rsidR="00090921" w:rsidRPr="000F2615">
        <w:t>communities</w:t>
      </w:r>
      <w:bookmarkEnd w:id="41"/>
    </w:p>
    <w:p w14:paraId="248DBE2B" w14:textId="2B191D97" w:rsidR="004B4F70" w:rsidRPr="004B4F70" w:rsidRDefault="004B4F70" w:rsidP="004B4F70">
      <w:pPr>
        <w:rPr>
          <w:i/>
          <w:iCs/>
        </w:rPr>
      </w:pPr>
      <w:r>
        <w:rPr>
          <w:i/>
          <w:iCs/>
        </w:rPr>
        <w:t>Protected Species</w:t>
      </w:r>
    </w:p>
    <w:p w14:paraId="6BF8920B" w14:textId="4779BE7E" w:rsidR="004B4F70" w:rsidRDefault="004B4F70" w:rsidP="004B4F70">
      <w:r>
        <w:t>Within the fishery’s Operational Guide, diver</w:t>
      </w:r>
      <w:r w:rsidRPr="003D13EF">
        <w:t xml:space="preserve">s are </w:t>
      </w:r>
      <w:r>
        <w:t xml:space="preserve">provided information about what to do if they encounter Threatened, Endangered, or Protected Species (TEPS). Divers are </w:t>
      </w:r>
      <w:r w:rsidRPr="003D13EF">
        <w:t xml:space="preserve">requested to contact </w:t>
      </w:r>
      <w:r>
        <w:t xml:space="preserve">NRE </w:t>
      </w:r>
      <w:proofErr w:type="spellStart"/>
      <w:r>
        <w:t>Tas’</w:t>
      </w:r>
      <w:proofErr w:type="spellEnd"/>
      <w:r w:rsidRPr="003D13EF">
        <w:t xml:space="preserve"> 24-hour Marine Wildlife (Whale) Hotline to report sightings and stranding</w:t>
      </w:r>
      <w:r>
        <w:t>s</w:t>
      </w:r>
      <w:r w:rsidRPr="003D13EF">
        <w:t xml:space="preserve"> of whales and dolphins, or interactions with whales, dolphins, seals, or seabirds. Guidelines </w:t>
      </w:r>
      <w:r>
        <w:t xml:space="preserve">are also provided in the Operational Guide </w:t>
      </w:r>
      <w:r w:rsidRPr="003D13EF">
        <w:t>for viewing and approaching whales and dolphins</w:t>
      </w:r>
      <w:r>
        <w:t>, based on those</w:t>
      </w:r>
      <w:r w:rsidRPr="003D13EF">
        <w:t xml:space="preserve"> provided </w:t>
      </w:r>
      <w:r>
        <w:t xml:space="preserve">by NRE Tas Marine Conservation Section </w:t>
      </w:r>
      <w:r w:rsidRPr="003D13EF">
        <w:t>for all water users including commercial operators and recreational boaters</w:t>
      </w:r>
      <w:r>
        <w:t>.</w:t>
      </w:r>
    </w:p>
    <w:p w14:paraId="22C1481F" w14:textId="3A07A675" w:rsidR="004B4F70" w:rsidRDefault="004B4F70" w:rsidP="004B4F70">
      <w:r w:rsidRPr="003D13EF">
        <w:t xml:space="preserve">The only </w:t>
      </w:r>
      <w:r>
        <w:t>TEPs</w:t>
      </w:r>
      <w:r w:rsidRPr="003D13EF">
        <w:t xml:space="preserve"> that are</w:t>
      </w:r>
      <w:r>
        <w:t xml:space="preserve"> regularly</w:t>
      </w:r>
      <w:r w:rsidRPr="003D13EF">
        <w:t xml:space="preserve"> sighted in the fishery </w:t>
      </w:r>
      <w:r>
        <w:t>are sharks, including</w:t>
      </w:r>
      <w:r w:rsidRPr="003D13EF">
        <w:t xml:space="preserve"> white sharks</w:t>
      </w:r>
      <w:r>
        <w:t xml:space="preserve"> </w:t>
      </w:r>
      <w:r w:rsidRPr="003D13EF">
        <w:t>and grey nurse sharks. Overall, the threat to the diver is greater than the threat to the shark</w:t>
      </w:r>
      <w:r>
        <w:t>.</w:t>
      </w:r>
    </w:p>
    <w:p w14:paraId="3DEEA4DB" w14:textId="3F51BA90" w:rsidR="004B4F70" w:rsidRPr="004B4F70" w:rsidRDefault="004B4F70" w:rsidP="009972F4">
      <w:pPr>
        <w:rPr>
          <w:i/>
          <w:iCs/>
        </w:rPr>
      </w:pPr>
      <w:r>
        <w:rPr>
          <w:i/>
          <w:iCs/>
        </w:rPr>
        <w:t>Protected Communities</w:t>
      </w:r>
    </w:p>
    <w:p w14:paraId="11240E65" w14:textId="31B5F567" w:rsidR="004B4F70" w:rsidRDefault="004B4F70" w:rsidP="009972F4">
      <w:r>
        <w:t xml:space="preserve">Abalone are often found </w:t>
      </w:r>
      <w:proofErr w:type="gramStart"/>
      <w:r>
        <w:t>in close proximity to</w:t>
      </w:r>
      <w:proofErr w:type="gramEnd"/>
      <w:r>
        <w:t xml:space="preserve"> seagrass beds, but not within them, and thus divers avoid seagrass communities. </w:t>
      </w:r>
      <w:r w:rsidRPr="004B4F70">
        <w:t xml:space="preserve">Sponges and corals are found near abalone habitats but are not targeted by divers. </w:t>
      </w:r>
    </w:p>
    <w:p w14:paraId="0E4E044B" w14:textId="0D0C547C" w:rsidR="004B4F70" w:rsidRDefault="000F2615" w:rsidP="004B4F70">
      <w:hyperlink r:id="rId66" w:history="1">
        <w:r w:rsidRPr="0048499E">
          <w:rPr>
            <w:rStyle w:val="Hyperlink"/>
          </w:rPr>
          <w:t xml:space="preserve">The Giant Kelp Marine Forests of </w:t>
        </w:r>
        <w:proofErr w:type="gramStart"/>
        <w:r w:rsidRPr="0048499E">
          <w:rPr>
            <w:rStyle w:val="Hyperlink"/>
          </w:rPr>
          <w:t>South East</w:t>
        </w:r>
        <w:proofErr w:type="gramEnd"/>
        <w:r w:rsidRPr="0048499E">
          <w:rPr>
            <w:rStyle w:val="Hyperlink"/>
          </w:rPr>
          <w:t xml:space="preserve"> Australia ecological community</w:t>
        </w:r>
      </w:hyperlink>
      <w:r>
        <w:rPr>
          <w:rStyle w:val="Hyperlink"/>
        </w:rPr>
        <w:t xml:space="preserve"> are listed</w:t>
      </w:r>
      <w:r w:rsidR="004B4F70">
        <w:t xml:space="preserve"> under the Threatened Species Action Plan. The abalone fishery is unlikely to operate in giant kelp forest due to the harvest method being hookah assisted diving</w:t>
      </w:r>
      <w:r>
        <w:t xml:space="preserve">, with a real risk of entanglement to divers if they were to operate within the forests. </w:t>
      </w:r>
    </w:p>
    <w:p w14:paraId="4F512874" w14:textId="2A3A7462" w:rsidR="000F2615" w:rsidRDefault="000F2615" w:rsidP="000F2615">
      <w:r>
        <w:t>Some Tasmanian abalone divers are contracted to assist with giant kelp restoration efforts led by IMAS, The Nature Conservancy (TNC), and Eaglehawk Dive Centre (EDC). After attending training, divers assist with clearing of other marine plant species and outplanting of lines seeded with baby giant kelp plants. Operators within the Tasmanian Abalone Dive fishery are, therefore, highly cognisant and involved in the protection and restoration of giant kelp communities.</w:t>
      </w:r>
    </w:p>
    <w:p w14:paraId="2514E2CD" w14:textId="7F71DA0A" w:rsidR="000307A8" w:rsidRDefault="009449E1" w:rsidP="000307A8">
      <w:pPr>
        <w:pStyle w:val="Heading2"/>
      </w:pPr>
      <w:bookmarkStart w:id="42" w:name="_Toc203488101"/>
      <w:r w:rsidRPr="000307A8">
        <w:t>CITES</w:t>
      </w:r>
      <w:r>
        <w:t>-</w:t>
      </w:r>
      <w:r w:rsidR="000307A8" w:rsidRPr="000307A8">
        <w:t>listed species</w:t>
      </w:r>
      <w:bookmarkEnd w:id="42"/>
    </w:p>
    <w:p w14:paraId="5A9C7300" w14:textId="77777777" w:rsidR="00E516C9" w:rsidRPr="00C315D9" w:rsidRDefault="00E516C9" w:rsidP="00E516C9">
      <w:r w:rsidRPr="00C315D9">
        <w:t>Not applicable. The fishery does not harvest CITES-listed species.</w:t>
      </w:r>
    </w:p>
    <w:p w14:paraId="54E54C08" w14:textId="3A79A556" w:rsidR="00C10962" w:rsidRPr="00527876" w:rsidRDefault="00C10962" w:rsidP="00314F4F">
      <w:pPr>
        <w:pStyle w:val="Heading1"/>
        <w:rPr>
          <w:b w:val="0"/>
          <w:bCs/>
          <w:sz w:val="36"/>
          <w:szCs w:val="36"/>
        </w:rPr>
      </w:pPr>
      <w:bookmarkStart w:id="43" w:name="_Toc203488102"/>
      <w:r w:rsidRPr="00527876">
        <w:rPr>
          <w:bCs/>
          <w:sz w:val="36"/>
          <w:szCs w:val="36"/>
        </w:rPr>
        <w:t>Ecosystem</w:t>
      </w:r>
      <w:bookmarkEnd w:id="43"/>
    </w:p>
    <w:p w14:paraId="2317A763" w14:textId="4454ACB1" w:rsidR="00973658" w:rsidRPr="0055419B" w:rsidRDefault="0055419B" w:rsidP="0055419B">
      <w:pPr>
        <w:pStyle w:val="Heading2"/>
      </w:pPr>
      <w:bookmarkStart w:id="44" w:name="_Toc203488103"/>
      <w:r w:rsidRPr="0055419B">
        <w:t>Ecosystem m</w:t>
      </w:r>
      <w:r w:rsidR="00973658" w:rsidRPr="0055419B">
        <w:t>anagement actions</w:t>
      </w:r>
      <w:bookmarkEnd w:id="44"/>
    </w:p>
    <w:p w14:paraId="4E853331" w14:textId="11D30217" w:rsidR="00CC3B77" w:rsidRDefault="00CC3B77" w:rsidP="003E197A">
      <w:bookmarkStart w:id="45" w:name="_Hlk202173247"/>
      <w:r w:rsidRPr="00E516C9">
        <w:t xml:space="preserve">There are </w:t>
      </w:r>
      <w:r w:rsidR="00142BB4">
        <w:t>minimal</w:t>
      </w:r>
      <w:r w:rsidRPr="00E516C9">
        <w:t xml:space="preserve"> concerns relating to ecosystem impacts from harvesting </w:t>
      </w:r>
      <w:r w:rsidR="00E516C9" w:rsidRPr="00E516C9">
        <w:t>within this fishery</w:t>
      </w:r>
      <w:r w:rsidR="00155F32">
        <w:t>, while catches are managed to sustainable levels</w:t>
      </w:r>
      <w:r w:rsidR="00E516C9" w:rsidRPr="00E516C9">
        <w:t>.</w:t>
      </w:r>
    </w:p>
    <w:p w14:paraId="59E3EE87" w14:textId="7346B1DE" w:rsidR="00142BB4" w:rsidRDefault="00142BB4" w:rsidP="003E197A">
      <w:r>
        <w:t xml:space="preserve">Abalone </w:t>
      </w:r>
      <w:r w:rsidRPr="00142BB4">
        <w:t>divers must not intentionally damage other organism</w:t>
      </w:r>
      <w:r>
        <w:t xml:space="preserve">s, and they must </w:t>
      </w:r>
      <w:r w:rsidRPr="00142BB4">
        <w:t>avoid dragging catch bag</w:t>
      </w:r>
      <w:r>
        <w:t>s</w:t>
      </w:r>
      <w:r w:rsidRPr="00142BB4">
        <w:t xml:space="preserve"> along the bottom or onto boulders</w:t>
      </w:r>
      <w:r>
        <w:t xml:space="preserve">. This is outlined in the </w:t>
      </w:r>
      <w:hyperlink r:id="rId67" w:history="1">
        <w:r w:rsidRPr="00142BB4">
          <w:rPr>
            <w:rStyle w:val="Hyperlink"/>
          </w:rPr>
          <w:t>Australian</w:t>
        </w:r>
        <w:r>
          <w:rPr>
            <w:rStyle w:val="Hyperlink"/>
          </w:rPr>
          <w:t xml:space="preserve"> </w:t>
        </w:r>
        <w:r w:rsidRPr="00142BB4">
          <w:rPr>
            <w:rStyle w:val="Hyperlink"/>
          </w:rPr>
          <w:t>Wild</w:t>
        </w:r>
        <w:r>
          <w:rPr>
            <w:rStyle w:val="Hyperlink"/>
          </w:rPr>
          <w:t xml:space="preserve"> </w:t>
        </w:r>
        <w:r w:rsidRPr="00142BB4">
          <w:rPr>
            <w:rStyle w:val="Hyperlink"/>
          </w:rPr>
          <w:t>Abalone</w:t>
        </w:r>
        <w:r>
          <w:rPr>
            <w:rStyle w:val="Hyperlink"/>
          </w:rPr>
          <w:t xml:space="preserve"> </w:t>
        </w:r>
        <w:r w:rsidRPr="00142BB4">
          <w:rPr>
            <w:rStyle w:val="Hyperlink"/>
          </w:rPr>
          <w:t>Quality</w:t>
        </w:r>
        <w:r>
          <w:rPr>
            <w:rStyle w:val="Hyperlink"/>
          </w:rPr>
          <w:t xml:space="preserve"> </w:t>
        </w:r>
        <w:r w:rsidRPr="00142BB4">
          <w:rPr>
            <w:rStyle w:val="Hyperlink"/>
          </w:rPr>
          <w:t>Assurance</w:t>
        </w:r>
        <w:r>
          <w:rPr>
            <w:rStyle w:val="Hyperlink"/>
          </w:rPr>
          <w:t xml:space="preserve"> </w:t>
        </w:r>
        <w:r w:rsidRPr="00142BB4">
          <w:rPr>
            <w:rStyle w:val="Hyperlink"/>
          </w:rPr>
          <w:t>Code</w:t>
        </w:r>
        <w:r>
          <w:rPr>
            <w:rStyle w:val="Hyperlink"/>
          </w:rPr>
          <w:t xml:space="preserve"> </w:t>
        </w:r>
        <w:r w:rsidRPr="00142BB4">
          <w:rPr>
            <w:rStyle w:val="Hyperlink"/>
          </w:rPr>
          <w:t>of</w:t>
        </w:r>
        <w:r>
          <w:rPr>
            <w:rStyle w:val="Hyperlink"/>
          </w:rPr>
          <w:t xml:space="preserve"> </w:t>
        </w:r>
        <w:r w:rsidRPr="00142BB4">
          <w:rPr>
            <w:rStyle w:val="Hyperlink"/>
          </w:rPr>
          <w:t>Practice</w:t>
        </w:r>
        <w:r>
          <w:rPr>
            <w:rStyle w:val="Hyperlink"/>
          </w:rPr>
          <w:t xml:space="preserve"> </w:t>
        </w:r>
        <w:r w:rsidRPr="00142BB4">
          <w:rPr>
            <w:rStyle w:val="Hyperlink"/>
          </w:rPr>
          <w:t>Master</w:t>
        </w:r>
        <w:r>
          <w:rPr>
            <w:rStyle w:val="Hyperlink"/>
          </w:rPr>
          <w:t xml:space="preserve"> </w:t>
        </w:r>
        <w:r w:rsidRPr="00142BB4">
          <w:rPr>
            <w:rStyle w:val="Hyperlink"/>
          </w:rPr>
          <w:t>Manual</w:t>
        </w:r>
      </w:hyperlink>
      <w:r w:rsidR="001765AC">
        <w:t>, to which divers must adhere.</w:t>
      </w:r>
    </w:p>
    <w:bookmarkEnd w:id="45"/>
    <w:p w14:paraId="4C38C9B1" w14:textId="7B40B735" w:rsidR="00D865A5" w:rsidRDefault="00155F32" w:rsidP="00D865A5">
      <w:r>
        <w:t>A</w:t>
      </w:r>
      <w:hyperlink r:id="rId68" w:history="1">
        <w:r>
          <w:rPr>
            <w:rStyle w:val="Hyperlink"/>
          </w:rPr>
          <w:t xml:space="preserve"> </w:t>
        </w:r>
        <w:r w:rsidR="001765AC" w:rsidRPr="001765AC">
          <w:rPr>
            <w:rStyle w:val="Hyperlink"/>
          </w:rPr>
          <w:t xml:space="preserve">review of </w:t>
        </w:r>
        <w:r w:rsidR="00D865A5" w:rsidRPr="001765AC">
          <w:rPr>
            <w:rStyle w:val="Hyperlink"/>
          </w:rPr>
          <w:t>ecosystem impacts of abalone fishing</w:t>
        </w:r>
      </w:hyperlink>
      <w:r w:rsidR="001765AC">
        <w:t xml:space="preserve"> was published in 2004 by Gregory Jenkins, which found that</w:t>
      </w:r>
      <w:r w:rsidR="00D865A5">
        <w:t xml:space="preserve"> impacts are relatively minimal compared to the effects of trawling and dredging, with no significant bycatch or discards. </w:t>
      </w:r>
      <w:r w:rsidR="001765AC">
        <w:t xml:space="preserve">In 2010, Joseph Valentine published an </w:t>
      </w:r>
      <w:hyperlink r:id="rId69" w:history="1">
        <w:r w:rsidR="00D865A5" w:rsidRPr="00155F32">
          <w:rPr>
            <w:rStyle w:val="Hyperlink"/>
          </w:rPr>
          <w:t>investigat</w:t>
        </w:r>
        <w:r w:rsidR="001765AC" w:rsidRPr="00155F32">
          <w:rPr>
            <w:rStyle w:val="Hyperlink"/>
          </w:rPr>
          <w:t>ion</w:t>
        </w:r>
      </w:hyperlink>
      <w:r w:rsidR="001765AC">
        <w:t xml:space="preserve"> into</w:t>
      </w:r>
      <w:r w:rsidR="00D865A5">
        <w:t xml:space="preserve"> the potential interactions between benthic</w:t>
      </w:r>
      <w:r>
        <w:t xml:space="preserve"> under-storey</w:t>
      </w:r>
      <w:r w:rsidR="00D865A5">
        <w:t xml:space="preserve"> organisms and </w:t>
      </w:r>
      <w:r w:rsidR="00D865A5" w:rsidRPr="001765AC">
        <w:rPr>
          <w:i/>
          <w:iCs/>
        </w:rPr>
        <w:t>Haliotis rubra</w:t>
      </w:r>
      <w:r w:rsidR="00D865A5">
        <w:t>,</w:t>
      </w:r>
      <w:r>
        <w:t xml:space="preserve"> </w:t>
      </w:r>
      <w:r w:rsidR="00D865A5">
        <w:t xml:space="preserve">in south-eastern Australia. </w:t>
      </w:r>
      <w:r>
        <w:t>T</w:t>
      </w:r>
      <w:r w:rsidR="00D865A5">
        <w:t xml:space="preserve">he available correlative evidence of the study suggests limited ecosystem effects of </w:t>
      </w:r>
      <w:r>
        <w:t>Blacklip Abalone</w:t>
      </w:r>
      <w:r w:rsidR="00D865A5">
        <w:t xml:space="preserve"> depletion at the scale of individual reefs.</w:t>
      </w:r>
    </w:p>
    <w:p w14:paraId="34EF92C0" w14:textId="2380E371" w:rsidR="00973658" w:rsidRPr="0040486C" w:rsidRDefault="00431587" w:rsidP="0040486C">
      <w:pPr>
        <w:pStyle w:val="Heading2"/>
      </w:pPr>
      <w:bookmarkStart w:id="46" w:name="_Toc203488104"/>
      <w:r w:rsidRPr="0040486C">
        <w:lastRenderedPageBreak/>
        <w:t>M</w:t>
      </w:r>
      <w:r w:rsidR="00973658" w:rsidRPr="0040486C">
        <w:t>anagement responses</w:t>
      </w:r>
      <w:bookmarkEnd w:id="46"/>
      <w:r w:rsidR="00973658" w:rsidRPr="0040486C">
        <w:t xml:space="preserve"> </w:t>
      </w:r>
    </w:p>
    <w:p w14:paraId="660F175D" w14:textId="77777777" w:rsidR="00CC3B77" w:rsidRPr="00F75253" w:rsidRDefault="00CC3B77" w:rsidP="00CC3B77">
      <w:r w:rsidRPr="00F75253">
        <w:t>There are no formal decision rules</w:t>
      </w:r>
      <w:r>
        <w:t xml:space="preserve"> that trigger management responses when monitoring detects significant impacts on associated ecosystems. How</w:t>
      </w:r>
      <w:r w:rsidRPr="00F75253">
        <w:t xml:space="preserve">ever, harvest conditions are reviewed </w:t>
      </w:r>
      <w:proofErr w:type="gramStart"/>
      <w:r w:rsidRPr="00F75253">
        <w:t>annually</w:t>
      </w:r>
      <w:proofErr w:type="gramEnd"/>
      <w:r w:rsidRPr="00F75253">
        <w:t xml:space="preserve"> and spatial/temporal closures </w:t>
      </w:r>
      <w:r>
        <w:t>would be implemented in the first instance if detrimental ecosystem impacts were reasonably suspected or detected</w:t>
      </w:r>
      <w:r w:rsidRPr="00F75253">
        <w:t>.</w:t>
      </w:r>
    </w:p>
    <w:p w14:paraId="6422CC06" w14:textId="17D6B8EC" w:rsidR="00973658" w:rsidRPr="0040486C" w:rsidRDefault="0040486C" w:rsidP="0040486C">
      <w:pPr>
        <w:pStyle w:val="Heading2"/>
      </w:pPr>
      <w:bookmarkStart w:id="47" w:name="_Toc203488105"/>
      <w:r w:rsidRPr="0040486C">
        <w:t>M</w:t>
      </w:r>
      <w:r w:rsidR="00973658" w:rsidRPr="0040486C">
        <w:t>arine bioregional plans</w:t>
      </w:r>
      <w:bookmarkEnd w:id="47"/>
    </w:p>
    <w:p w14:paraId="72DEC248" w14:textId="77777777" w:rsidR="00CC3B77" w:rsidRPr="00904893" w:rsidRDefault="00CC3B77" w:rsidP="00CC3B77">
      <w:r>
        <w:t>The fishery operates within Tasmanian waters, however, u</w:t>
      </w:r>
      <w:r w:rsidRPr="00904893">
        <w:t>nder an Offshore Constitutional Settlement</w:t>
      </w:r>
      <w:r>
        <w:t xml:space="preserve"> (OCS) agreement the boundary extends into Commonwealth waters of the </w:t>
      </w:r>
      <w:hyperlink r:id="rId70" w:anchor=":~:text=Marine%20bioregional%20plans%20have%20been,by%20our%20marine%2Dbased%20industries." w:history="1">
        <w:r w:rsidRPr="00904893">
          <w:rPr>
            <w:rStyle w:val="Hyperlink"/>
          </w:rPr>
          <w:t>South-East Marine Bioregion</w:t>
        </w:r>
      </w:hyperlink>
      <w:r>
        <w:t>. This bioregion is not currently subject to a bioregional plan, and any catch from within the South-East Marine Bioregion would be negligible owing to natural diver-depth limits (i.e., divers cannot realistically harvest below 30 metres depth).</w:t>
      </w:r>
    </w:p>
    <w:p w14:paraId="23FE96AE" w14:textId="5784175A" w:rsidR="00362AE6" w:rsidRDefault="00F86EF0" w:rsidP="00F86EF0">
      <w:pPr>
        <w:pStyle w:val="Heading1"/>
        <w:rPr>
          <w:b w:val="0"/>
          <w:bCs/>
          <w:sz w:val="36"/>
          <w:szCs w:val="36"/>
        </w:rPr>
      </w:pPr>
      <w:bookmarkStart w:id="48" w:name="_Toc203488106"/>
      <w:r w:rsidRPr="00F86EF0">
        <w:rPr>
          <w:bCs/>
          <w:sz w:val="36"/>
          <w:szCs w:val="36"/>
        </w:rPr>
        <w:t>Research</w:t>
      </w:r>
      <w:bookmarkEnd w:id="48"/>
    </w:p>
    <w:p w14:paraId="4839856C" w14:textId="3E0965AC" w:rsidR="00D865A5" w:rsidRDefault="00EB7E9D" w:rsidP="00D865A5">
      <w:r w:rsidRPr="002E1F3A">
        <w:t xml:space="preserve">The </w:t>
      </w:r>
      <w:hyperlink r:id="rId71" w:history="1">
        <w:r w:rsidRPr="002E1F3A">
          <w:rPr>
            <w:rStyle w:val="Hyperlink"/>
            <w:rFonts w:cstheme="minorHAnsi"/>
          </w:rPr>
          <w:t>Abalone Industry Reinvestment Fund</w:t>
        </w:r>
      </w:hyperlink>
      <w:r w:rsidRPr="002E1F3A">
        <w:t xml:space="preserve"> (AIRF) continues as a joint initiative between NRE Tas and the Tasmanian Abalone Council Limited (TACL) to fund abalone and longspined sea urchin projects. Please visit the webpage </w:t>
      </w:r>
      <w:r w:rsidR="00012C19">
        <w:t xml:space="preserve">to view the complete table of abalone fishery projects funded by the AIRF, </w:t>
      </w:r>
      <w:r w:rsidR="00D865A5">
        <w:t xml:space="preserve">with linked project outlines for current projects and final reports for completed projects. </w:t>
      </w:r>
      <w:r w:rsidR="00012C19">
        <w:t xml:space="preserve">The AIRF is due to end in July 2026. </w:t>
      </w:r>
      <w:r w:rsidR="00D865A5">
        <w:t>The most significant projects for management purposes include:</w:t>
      </w:r>
    </w:p>
    <w:p w14:paraId="71A803AE" w14:textId="2E09B3E6" w:rsidR="00D865A5" w:rsidRDefault="00D865A5" w:rsidP="00D865A5">
      <w:pPr>
        <w:pStyle w:val="ListParagraph"/>
        <w:numPr>
          <w:ilvl w:val="0"/>
          <w:numId w:val="27"/>
        </w:numPr>
      </w:pPr>
      <w:r>
        <w:t xml:space="preserve">Development of a voluntary </w:t>
      </w:r>
      <w:hyperlink r:id="rId72" w:history="1">
        <w:r w:rsidRPr="00D865A5">
          <w:rPr>
            <w:rStyle w:val="Hyperlink"/>
          </w:rPr>
          <w:t>Recreational Catch Reporting and Fishing Tas App</w:t>
        </w:r>
      </w:hyperlink>
      <w:r w:rsidRPr="00D865A5">
        <w:t> </w:t>
      </w:r>
    </w:p>
    <w:p w14:paraId="585CC2CF" w14:textId="41309A37" w:rsidR="00D865A5" w:rsidRDefault="00D865A5" w:rsidP="00D865A5">
      <w:pPr>
        <w:pStyle w:val="ListParagraph"/>
        <w:numPr>
          <w:ilvl w:val="0"/>
          <w:numId w:val="27"/>
        </w:numPr>
      </w:pPr>
      <w:hyperlink r:id="rId73" w:history="1">
        <w:r w:rsidRPr="00D865A5">
          <w:rPr>
            <w:rStyle w:val="Hyperlink"/>
          </w:rPr>
          <w:t>Marine Stewardship Council Certification for commercial abalone industry</w:t>
        </w:r>
      </w:hyperlink>
    </w:p>
    <w:p w14:paraId="08E9DCAC" w14:textId="3FA08415" w:rsidR="00D865A5" w:rsidRDefault="00D865A5" w:rsidP="00D865A5">
      <w:pPr>
        <w:pStyle w:val="ListParagraph"/>
        <w:numPr>
          <w:ilvl w:val="0"/>
          <w:numId w:val="27"/>
        </w:numPr>
      </w:pPr>
      <w:hyperlink r:id="rId74" w:history="1">
        <w:r w:rsidRPr="00D865A5">
          <w:rPr>
            <w:rStyle w:val="Hyperlink"/>
          </w:rPr>
          <w:t xml:space="preserve">Testing size limits in </w:t>
        </w:r>
        <w:r>
          <w:rPr>
            <w:rStyle w:val="Hyperlink"/>
          </w:rPr>
          <w:t>the abalone fi</w:t>
        </w:r>
        <w:r w:rsidRPr="00D865A5">
          <w:rPr>
            <w:rStyle w:val="Hyperlink"/>
          </w:rPr>
          <w:t>shery</w:t>
        </w:r>
        <w:r>
          <w:rPr>
            <w:rStyle w:val="Hyperlink"/>
          </w:rPr>
          <w:t xml:space="preserve"> which has</w:t>
        </w:r>
        <w:r w:rsidRPr="00D865A5">
          <w:rPr>
            <w:rStyle w:val="Hyperlink"/>
          </w:rPr>
          <w:t xml:space="preserve"> high heterogenous growth and productivity</w:t>
        </w:r>
      </w:hyperlink>
      <w:r w:rsidRPr="00D865A5">
        <w:t> </w:t>
      </w:r>
    </w:p>
    <w:p w14:paraId="6A831A1F" w14:textId="570E207E" w:rsidR="00D865A5" w:rsidRDefault="00D865A5" w:rsidP="00D865A5">
      <w:pPr>
        <w:pStyle w:val="ListParagraph"/>
        <w:numPr>
          <w:ilvl w:val="0"/>
          <w:numId w:val="27"/>
        </w:numPr>
      </w:pPr>
      <w:hyperlink r:id="rId75" w:history="1">
        <w:r w:rsidRPr="00D865A5">
          <w:rPr>
            <w:rStyle w:val="Hyperlink"/>
          </w:rPr>
          <w:t xml:space="preserve">Assessing growth dynamics and connectivity of </w:t>
        </w:r>
        <w:proofErr w:type="spellStart"/>
        <w:r w:rsidRPr="00D865A5">
          <w:rPr>
            <w:rStyle w:val="Hyperlink"/>
          </w:rPr>
          <w:t>blacklip</w:t>
        </w:r>
        <w:proofErr w:type="spellEnd"/>
        <w:r w:rsidRPr="00D865A5">
          <w:rPr>
            <w:rStyle w:val="Hyperlink"/>
          </w:rPr>
          <w:t xml:space="preserve"> abalone populations</w:t>
        </w:r>
      </w:hyperlink>
    </w:p>
    <w:p w14:paraId="5EBDBC4D" w14:textId="01FCC866" w:rsidR="00D865A5" w:rsidRDefault="00D865A5" w:rsidP="00D865A5">
      <w:pPr>
        <w:pStyle w:val="ListParagraph"/>
        <w:numPr>
          <w:ilvl w:val="0"/>
          <w:numId w:val="27"/>
        </w:numPr>
      </w:pPr>
      <w:hyperlink r:id="rId76" w:history="1">
        <w:r w:rsidRPr="00D865A5">
          <w:rPr>
            <w:rStyle w:val="Hyperlink"/>
          </w:rPr>
          <w:t xml:space="preserve">Extensions to the </w:t>
        </w:r>
        <w:proofErr w:type="spellStart"/>
        <w:r w:rsidRPr="00D865A5">
          <w:rPr>
            <w:rStyle w:val="Hyperlink"/>
          </w:rPr>
          <w:t>aMSE</w:t>
        </w:r>
        <w:proofErr w:type="spellEnd"/>
        <w:r w:rsidRPr="00D865A5">
          <w:rPr>
            <w:rStyle w:val="Hyperlink"/>
          </w:rPr>
          <w:t xml:space="preserve"> Management Strategy Evaluation software to address specific Tasmanian needs</w:t>
        </w:r>
      </w:hyperlink>
      <w:r w:rsidRPr="00D865A5">
        <w:t> </w:t>
      </w:r>
      <w:r>
        <w:t>(i.e., improvements to the empirical abalone harvest strategy)</w:t>
      </w:r>
    </w:p>
    <w:p w14:paraId="05082DBD" w14:textId="7BAA8F59" w:rsidR="00D865A5" w:rsidRDefault="00D865A5" w:rsidP="00D865A5">
      <w:pPr>
        <w:pStyle w:val="ListParagraph"/>
        <w:numPr>
          <w:ilvl w:val="0"/>
          <w:numId w:val="27"/>
        </w:numPr>
      </w:pPr>
      <w:r>
        <w:t xml:space="preserve">A 3 year </w:t>
      </w:r>
      <w:hyperlink r:id="rId77" w:history="1">
        <w:r w:rsidRPr="00D865A5">
          <w:rPr>
            <w:rStyle w:val="Hyperlink"/>
          </w:rPr>
          <w:t>Toxins in Abalone Industry PhD Program 2024-27</w:t>
        </w:r>
      </w:hyperlink>
      <w:r w:rsidRPr="00D865A5">
        <w:t> </w:t>
      </w:r>
    </w:p>
    <w:p w14:paraId="2AB6ABF6" w14:textId="26E77CBB" w:rsidR="00D865A5" w:rsidRDefault="00D865A5" w:rsidP="00D865A5">
      <w:pPr>
        <w:pStyle w:val="ListParagraph"/>
        <w:numPr>
          <w:ilvl w:val="0"/>
          <w:numId w:val="27"/>
        </w:numPr>
      </w:pPr>
      <w:r>
        <w:t xml:space="preserve">Assessment of </w:t>
      </w:r>
      <w:hyperlink r:id="rId78" w:history="1">
        <w:r w:rsidRPr="00D865A5">
          <w:rPr>
            <w:rStyle w:val="Hyperlink"/>
          </w:rPr>
          <w:t>Abalone fleet behaviour: does spatial structure of fishing follow stable patterns or do management changes significantly alter spatial structure of effort</w:t>
        </w:r>
      </w:hyperlink>
    </w:p>
    <w:p w14:paraId="57549F4D" w14:textId="5B5E82B4" w:rsidR="00D865A5" w:rsidRDefault="00D865A5" w:rsidP="00D865A5">
      <w:pPr>
        <w:pStyle w:val="ListParagraph"/>
        <w:numPr>
          <w:ilvl w:val="0"/>
          <w:numId w:val="27"/>
        </w:numPr>
      </w:pPr>
      <w:hyperlink r:id="rId79" w:history="1">
        <w:r w:rsidRPr="00D865A5">
          <w:rPr>
            <w:rStyle w:val="Hyperlink"/>
          </w:rPr>
          <w:t>Quantifying potential of the IMAS Timed-Swim program to detect change in stock levels</w:t>
        </w:r>
      </w:hyperlink>
    </w:p>
    <w:p w14:paraId="4906E3EE" w14:textId="1575F0AB" w:rsidR="00EB7E9D" w:rsidRPr="00D16765" w:rsidRDefault="00D865A5" w:rsidP="00EB7E9D">
      <w:pPr>
        <w:rPr>
          <w:color w:val="4000A6"/>
        </w:rPr>
      </w:pPr>
      <w:r w:rsidRPr="00D865A5">
        <w:t xml:space="preserve">A range of projects </w:t>
      </w:r>
      <w:r>
        <w:t xml:space="preserve">related to are also underway with funding from the Fisheries Research and Development Corporation (FRDC), for both </w:t>
      </w:r>
      <w:hyperlink r:id="rId80" w:history="1">
        <w:r w:rsidRPr="00D865A5">
          <w:rPr>
            <w:rStyle w:val="Hyperlink"/>
          </w:rPr>
          <w:t>Blacklip Abalone</w:t>
        </w:r>
      </w:hyperlink>
      <w:r>
        <w:t xml:space="preserve"> and </w:t>
      </w:r>
      <w:hyperlink r:id="rId81" w:history="1">
        <w:r w:rsidRPr="00D865A5">
          <w:rPr>
            <w:rStyle w:val="Hyperlink"/>
          </w:rPr>
          <w:t>Greenlip Abalone</w:t>
        </w:r>
      </w:hyperlink>
      <w:r>
        <w:t>.</w:t>
      </w:r>
    </w:p>
    <w:p w14:paraId="5FFDFA07" w14:textId="257C64BA" w:rsidR="00952E61" w:rsidRDefault="00952E61" w:rsidP="00647FF6">
      <w:pPr>
        <w:pStyle w:val="Heading1"/>
        <w:rPr>
          <w:b w:val="0"/>
          <w:bCs/>
          <w:sz w:val="36"/>
          <w:szCs w:val="36"/>
        </w:rPr>
      </w:pPr>
      <w:bookmarkStart w:id="49" w:name="_Toc203488107"/>
      <w:r w:rsidRPr="00A664AF">
        <w:rPr>
          <w:bCs/>
          <w:sz w:val="36"/>
          <w:szCs w:val="36"/>
        </w:rPr>
        <w:t>P</w:t>
      </w:r>
      <w:r w:rsidR="00DE18DD" w:rsidRPr="00A664AF">
        <w:rPr>
          <w:bCs/>
          <w:sz w:val="36"/>
          <w:szCs w:val="36"/>
        </w:rPr>
        <w:t xml:space="preserve">rogress </w:t>
      </w:r>
      <w:r w:rsidR="00E037BC">
        <w:rPr>
          <w:bCs/>
          <w:sz w:val="36"/>
          <w:szCs w:val="36"/>
        </w:rPr>
        <w:t>A</w:t>
      </w:r>
      <w:r w:rsidR="00DE18DD" w:rsidRPr="00A664AF">
        <w:rPr>
          <w:bCs/>
          <w:sz w:val="36"/>
          <w:szCs w:val="36"/>
        </w:rPr>
        <w:t xml:space="preserve">gainst </w:t>
      </w:r>
      <w:r w:rsidR="00E037BC">
        <w:rPr>
          <w:bCs/>
          <w:sz w:val="36"/>
          <w:szCs w:val="36"/>
        </w:rPr>
        <w:t>Cu</w:t>
      </w:r>
      <w:r w:rsidR="000F0946">
        <w:rPr>
          <w:bCs/>
          <w:sz w:val="36"/>
          <w:szCs w:val="36"/>
        </w:rPr>
        <w:t>rrent</w:t>
      </w:r>
      <w:r w:rsidR="00DE18DD" w:rsidRPr="00A664AF">
        <w:rPr>
          <w:bCs/>
          <w:sz w:val="36"/>
          <w:szCs w:val="36"/>
        </w:rPr>
        <w:t xml:space="preserve"> Conditions</w:t>
      </w:r>
      <w:bookmarkEnd w:id="49"/>
    </w:p>
    <w:p w14:paraId="218D1D0E" w14:textId="19A440F1" w:rsidR="006A4438" w:rsidRDefault="006A4438" w:rsidP="006A4438">
      <w:pPr>
        <w:rPr>
          <w:rFonts w:cs="Arial"/>
          <w:sz w:val="20"/>
          <w:szCs w:val="18"/>
        </w:rPr>
      </w:pPr>
      <w:bookmarkStart w:id="50" w:name="_Hlk202169123"/>
      <w:r w:rsidRPr="00B6625D">
        <w:rPr>
          <w:rFonts w:cs="Arial"/>
          <w:sz w:val="20"/>
          <w:szCs w:val="18"/>
        </w:rPr>
        <w:t xml:space="preserve">Table </w:t>
      </w:r>
      <w:r w:rsidR="00B6625D" w:rsidRPr="00B6625D">
        <w:rPr>
          <w:rFonts w:cs="Arial"/>
          <w:sz w:val="20"/>
          <w:szCs w:val="18"/>
        </w:rPr>
        <w:t>2</w:t>
      </w:r>
      <w:r w:rsidRPr="00B6625D">
        <w:rPr>
          <w:rFonts w:cs="Arial"/>
          <w:sz w:val="20"/>
          <w:szCs w:val="18"/>
        </w:rPr>
        <w:t xml:space="preserve">: Progress on conditions and/or recommendations since the last assessment. </w:t>
      </w:r>
    </w:p>
    <w:tbl>
      <w:tblPr>
        <w:tblStyle w:val="TableGrid"/>
        <w:tblW w:w="8784" w:type="dxa"/>
        <w:tblLook w:val="04A0" w:firstRow="1" w:lastRow="0" w:firstColumn="1" w:lastColumn="0" w:noHBand="0" w:noVBand="1"/>
      </w:tblPr>
      <w:tblGrid>
        <w:gridCol w:w="3681"/>
        <w:gridCol w:w="1559"/>
        <w:gridCol w:w="3544"/>
      </w:tblGrid>
      <w:tr w:rsidR="006A4438" w:rsidRPr="0094772D" w14:paraId="7CDC4449" w14:textId="77777777" w:rsidTr="003570DB">
        <w:tc>
          <w:tcPr>
            <w:tcW w:w="3681" w:type="dxa"/>
          </w:tcPr>
          <w:bookmarkEnd w:id="50"/>
          <w:p w14:paraId="2D86FB4B" w14:textId="1FF3262F" w:rsidR="006A4438" w:rsidRPr="0094772D" w:rsidRDefault="006A4438" w:rsidP="003570DB">
            <w:pPr>
              <w:rPr>
                <w:b/>
                <w:bCs/>
                <w:sz w:val="20"/>
                <w:szCs w:val="20"/>
              </w:rPr>
            </w:pPr>
            <w:r w:rsidRPr="0094772D">
              <w:rPr>
                <w:b/>
                <w:bCs/>
                <w:sz w:val="20"/>
                <w:szCs w:val="20"/>
              </w:rPr>
              <w:t>CONDITIONS FOR TASMANIAN ABALONE FISHERY</w:t>
            </w:r>
          </w:p>
        </w:tc>
        <w:tc>
          <w:tcPr>
            <w:tcW w:w="1559" w:type="dxa"/>
          </w:tcPr>
          <w:p w14:paraId="2E632677" w14:textId="77777777" w:rsidR="006A4438" w:rsidRPr="0094772D" w:rsidRDefault="006A4438" w:rsidP="003570DB">
            <w:pPr>
              <w:rPr>
                <w:b/>
                <w:bCs/>
                <w:sz w:val="20"/>
                <w:szCs w:val="20"/>
              </w:rPr>
            </w:pPr>
            <w:r w:rsidRPr="0094772D">
              <w:rPr>
                <w:b/>
                <w:bCs/>
                <w:sz w:val="20"/>
                <w:szCs w:val="20"/>
              </w:rPr>
              <w:t>DUE DATE</w:t>
            </w:r>
          </w:p>
        </w:tc>
        <w:tc>
          <w:tcPr>
            <w:tcW w:w="3544" w:type="dxa"/>
          </w:tcPr>
          <w:p w14:paraId="2CC7823E" w14:textId="77777777" w:rsidR="006A4438" w:rsidRPr="0094772D" w:rsidRDefault="006A4438" w:rsidP="003570DB">
            <w:pPr>
              <w:rPr>
                <w:b/>
                <w:bCs/>
                <w:sz w:val="20"/>
                <w:szCs w:val="20"/>
              </w:rPr>
            </w:pPr>
            <w:r w:rsidRPr="0094772D">
              <w:rPr>
                <w:b/>
                <w:bCs/>
                <w:sz w:val="20"/>
                <w:szCs w:val="20"/>
              </w:rPr>
              <w:t>PROGRESS AGAINST THE CONDITION AS OF JULY 2025</w:t>
            </w:r>
          </w:p>
        </w:tc>
      </w:tr>
      <w:tr w:rsidR="006A4438" w:rsidRPr="0094772D" w14:paraId="26774A11" w14:textId="77777777" w:rsidTr="003570DB">
        <w:tc>
          <w:tcPr>
            <w:tcW w:w="3681" w:type="dxa"/>
          </w:tcPr>
          <w:p w14:paraId="29349477" w14:textId="5968C3D2" w:rsidR="006A4438" w:rsidRPr="0094772D" w:rsidRDefault="006A4438" w:rsidP="003570DB">
            <w:pPr>
              <w:rPr>
                <w:sz w:val="20"/>
                <w:szCs w:val="20"/>
              </w:rPr>
            </w:pPr>
            <w:r w:rsidRPr="0094772D">
              <w:rPr>
                <w:sz w:val="20"/>
                <w:szCs w:val="20"/>
              </w:rPr>
              <w:t xml:space="preserve">The harvest from the Tasmanian Abalone Fishery will be carried out in accordance with the </w:t>
            </w:r>
            <w:r w:rsidRPr="0094772D">
              <w:rPr>
                <w:i/>
                <w:iCs/>
                <w:sz w:val="20"/>
                <w:szCs w:val="20"/>
              </w:rPr>
              <w:t xml:space="preserve">Fisheries (Abalone) Rules 2017 </w:t>
            </w:r>
            <w:r w:rsidRPr="0094772D">
              <w:rPr>
                <w:sz w:val="20"/>
                <w:szCs w:val="20"/>
              </w:rPr>
              <w:t xml:space="preserve">(Tas) in force under the </w:t>
            </w:r>
            <w:r w:rsidRPr="0094772D">
              <w:rPr>
                <w:i/>
                <w:iCs/>
                <w:sz w:val="20"/>
                <w:szCs w:val="20"/>
              </w:rPr>
              <w:t xml:space="preserve">Living Marine Resources Management Act 1995 </w:t>
            </w:r>
            <w:r w:rsidRPr="0094772D">
              <w:rPr>
                <w:sz w:val="20"/>
                <w:szCs w:val="20"/>
              </w:rPr>
              <w:t>(Tas).</w:t>
            </w:r>
          </w:p>
          <w:p w14:paraId="61305B17" w14:textId="77777777" w:rsidR="006A4438" w:rsidRPr="0094772D" w:rsidRDefault="006A4438" w:rsidP="003570DB">
            <w:pPr>
              <w:rPr>
                <w:sz w:val="20"/>
                <w:szCs w:val="20"/>
              </w:rPr>
            </w:pPr>
          </w:p>
        </w:tc>
        <w:tc>
          <w:tcPr>
            <w:tcW w:w="1559" w:type="dxa"/>
          </w:tcPr>
          <w:p w14:paraId="17237499" w14:textId="77777777" w:rsidR="006A4438" w:rsidRPr="0094772D" w:rsidRDefault="006A4438" w:rsidP="003570DB">
            <w:pPr>
              <w:rPr>
                <w:sz w:val="20"/>
                <w:szCs w:val="20"/>
              </w:rPr>
            </w:pPr>
            <w:r w:rsidRPr="0094772D">
              <w:rPr>
                <w:sz w:val="20"/>
                <w:szCs w:val="20"/>
              </w:rPr>
              <w:t xml:space="preserve">Unclear. Have aligned report with end of fishing season for data consistency. </w:t>
            </w:r>
          </w:p>
        </w:tc>
        <w:tc>
          <w:tcPr>
            <w:tcW w:w="3544" w:type="dxa"/>
          </w:tcPr>
          <w:p w14:paraId="463CD2FF" w14:textId="6AB69267" w:rsidR="006A4438" w:rsidRPr="0094772D" w:rsidRDefault="006A4438" w:rsidP="003570DB">
            <w:pPr>
              <w:rPr>
                <w:sz w:val="20"/>
                <w:szCs w:val="20"/>
              </w:rPr>
            </w:pPr>
            <w:r w:rsidRPr="0094772D">
              <w:rPr>
                <w:sz w:val="20"/>
                <w:szCs w:val="20"/>
              </w:rPr>
              <w:t xml:space="preserve">The operation of the abalone fishery has continued to be carried out in full accordance with the </w:t>
            </w:r>
            <w:r w:rsidRPr="0094772D">
              <w:rPr>
                <w:i/>
                <w:iCs/>
                <w:sz w:val="20"/>
                <w:szCs w:val="20"/>
              </w:rPr>
              <w:t>Fisheries (Abalone) Rules 2017</w:t>
            </w:r>
            <w:r w:rsidRPr="0094772D">
              <w:rPr>
                <w:sz w:val="20"/>
                <w:szCs w:val="20"/>
              </w:rPr>
              <w:t xml:space="preserve"> (Tas) in force under the </w:t>
            </w:r>
            <w:r w:rsidRPr="0094772D">
              <w:rPr>
                <w:i/>
                <w:iCs/>
                <w:sz w:val="20"/>
                <w:szCs w:val="20"/>
              </w:rPr>
              <w:t xml:space="preserve">Living Marine Resources Management Act 1995 </w:t>
            </w:r>
            <w:r w:rsidRPr="0094772D">
              <w:rPr>
                <w:sz w:val="20"/>
                <w:szCs w:val="20"/>
              </w:rPr>
              <w:t>(Tas).</w:t>
            </w:r>
          </w:p>
        </w:tc>
      </w:tr>
      <w:tr w:rsidR="006A4438" w:rsidRPr="0094772D" w14:paraId="29BD1371" w14:textId="77777777" w:rsidTr="003570DB">
        <w:tc>
          <w:tcPr>
            <w:tcW w:w="3681" w:type="dxa"/>
          </w:tcPr>
          <w:p w14:paraId="49614850" w14:textId="5E5CEE3B" w:rsidR="006A4438" w:rsidRPr="0094772D" w:rsidRDefault="006A4438" w:rsidP="003570DB">
            <w:pPr>
              <w:rPr>
                <w:sz w:val="20"/>
                <w:szCs w:val="20"/>
              </w:rPr>
            </w:pPr>
            <w:r w:rsidRPr="0094772D">
              <w:rPr>
                <w:sz w:val="20"/>
                <w:szCs w:val="20"/>
              </w:rPr>
              <w:t xml:space="preserve">The NRE Tas to advise [DCCEEW] of any intended amendments to the abalone fishery management arrangements that </w:t>
            </w:r>
            <w:r w:rsidRPr="0094772D">
              <w:rPr>
                <w:sz w:val="20"/>
                <w:szCs w:val="20"/>
              </w:rPr>
              <w:lastRenderedPageBreak/>
              <w:t>could affect the criteria on which EPBC Act decisions are based, within three months of that change being made.</w:t>
            </w:r>
          </w:p>
        </w:tc>
        <w:tc>
          <w:tcPr>
            <w:tcW w:w="1559" w:type="dxa"/>
          </w:tcPr>
          <w:p w14:paraId="3420129C" w14:textId="77777777" w:rsidR="006A4438" w:rsidRPr="0094772D" w:rsidRDefault="006A4438" w:rsidP="003570DB">
            <w:pPr>
              <w:rPr>
                <w:sz w:val="20"/>
                <w:szCs w:val="20"/>
              </w:rPr>
            </w:pPr>
            <w:r w:rsidRPr="0094772D">
              <w:rPr>
                <w:sz w:val="20"/>
                <w:szCs w:val="20"/>
              </w:rPr>
              <w:lastRenderedPageBreak/>
              <w:t xml:space="preserve">Unclear. Have aligned report with end of </w:t>
            </w:r>
            <w:r w:rsidRPr="0094772D">
              <w:rPr>
                <w:sz w:val="20"/>
                <w:szCs w:val="20"/>
              </w:rPr>
              <w:lastRenderedPageBreak/>
              <w:t>fishing season for data consistency.</w:t>
            </w:r>
          </w:p>
        </w:tc>
        <w:tc>
          <w:tcPr>
            <w:tcW w:w="3544" w:type="dxa"/>
          </w:tcPr>
          <w:p w14:paraId="4D76B394" w14:textId="16F8C4FE" w:rsidR="006A4438" w:rsidRPr="0094772D" w:rsidRDefault="006A4438" w:rsidP="003570DB">
            <w:pPr>
              <w:rPr>
                <w:sz w:val="20"/>
                <w:szCs w:val="20"/>
              </w:rPr>
            </w:pPr>
            <w:r w:rsidRPr="0094772D">
              <w:rPr>
                <w:sz w:val="20"/>
                <w:szCs w:val="20"/>
              </w:rPr>
              <w:lastRenderedPageBreak/>
              <w:t xml:space="preserve">Any material changes within the Tasmanian abalone fishery management arrangements, which may affect the </w:t>
            </w:r>
            <w:r w:rsidRPr="0094772D">
              <w:rPr>
                <w:sz w:val="20"/>
                <w:szCs w:val="20"/>
              </w:rPr>
              <w:lastRenderedPageBreak/>
              <w:t xml:space="preserve">assessment against which </w:t>
            </w:r>
            <w:r w:rsidRPr="0094772D">
              <w:rPr>
                <w:i/>
                <w:iCs/>
                <w:sz w:val="20"/>
                <w:szCs w:val="20"/>
              </w:rPr>
              <w:t>Environment Protection and Biodiversity Conservation Act 1999</w:t>
            </w:r>
            <w:r w:rsidRPr="0094772D">
              <w:rPr>
                <w:sz w:val="20"/>
                <w:szCs w:val="20"/>
              </w:rPr>
              <w:t xml:space="preserve"> (</w:t>
            </w:r>
            <w:proofErr w:type="spellStart"/>
            <w:r w:rsidRPr="0094772D">
              <w:rPr>
                <w:sz w:val="20"/>
                <w:szCs w:val="20"/>
              </w:rPr>
              <w:t>Cth</w:t>
            </w:r>
            <w:proofErr w:type="spellEnd"/>
            <w:r w:rsidRPr="0094772D">
              <w:rPr>
                <w:sz w:val="20"/>
                <w:szCs w:val="20"/>
              </w:rPr>
              <w:t>) decisions are made, have been outlined within this document and have been made to strengthen fishery arrangements and improve stocks.</w:t>
            </w:r>
          </w:p>
          <w:p w14:paraId="5DD4047D" w14:textId="77777777" w:rsidR="006A4438" w:rsidRPr="0094772D" w:rsidRDefault="006A4438" w:rsidP="003570DB">
            <w:pPr>
              <w:rPr>
                <w:sz w:val="20"/>
                <w:szCs w:val="20"/>
              </w:rPr>
            </w:pPr>
          </w:p>
        </w:tc>
      </w:tr>
      <w:tr w:rsidR="006A4438" w:rsidRPr="0094772D" w14:paraId="53FC1088" w14:textId="77777777" w:rsidTr="003570DB">
        <w:tc>
          <w:tcPr>
            <w:tcW w:w="3681" w:type="dxa"/>
          </w:tcPr>
          <w:p w14:paraId="559F9C55" w14:textId="77777777" w:rsidR="006A4438" w:rsidRPr="0094772D" w:rsidRDefault="006A4438" w:rsidP="003570DB">
            <w:pPr>
              <w:rPr>
                <w:sz w:val="20"/>
                <w:szCs w:val="20"/>
              </w:rPr>
            </w:pPr>
            <w:r w:rsidRPr="0094772D">
              <w:rPr>
                <w:sz w:val="20"/>
                <w:szCs w:val="20"/>
              </w:rPr>
              <w:lastRenderedPageBreak/>
              <w:t xml:space="preserve">Reports to be produced and presented to [DCCEEW] annually, as per Appendix B to the </w:t>
            </w:r>
            <w:r w:rsidRPr="0094772D">
              <w:rPr>
                <w:i/>
                <w:iCs/>
                <w:sz w:val="20"/>
                <w:szCs w:val="20"/>
              </w:rPr>
              <w:t>Guidelines for the Ecological Sustainable Management of Fisheries – 2nd Edition</w:t>
            </w:r>
            <w:r w:rsidRPr="0094772D">
              <w:rPr>
                <w:sz w:val="20"/>
                <w:szCs w:val="20"/>
              </w:rPr>
              <w:t>.</w:t>
            </w:r>
          </w:p>
          <w:p w14:paraId="673D5140" w14:textId="77777777" w:rsidR="006A4438" w:rsidRPr="0094772D" w:rsidRDefault="006A4438" w:rsidP="003570DB">
            <w:pPr>
              <w:rPr>
                <w:sz w:val="20"/>
                <w:szCs w:val="20"/>
              </w:rPr>
            </w:pPr>
          </w:p>
        </w:tc>
        <w:tc>
          <w:tcPr>
            <w:tcW w:w="1559" w:type="dxa"/>
          </w:tcPr>
          <w:p w14:paraId="3663056D" w14:textId="77777777" w:rsidR="006A4438" w:rsidRPr="0094772D" w:rsidRDefault="006A4438" w:rsidP="003570DB">
            <w:pPr>
              <w:rPr>
                <w:sz w:val="20"/>
                <w:szCs w:val="20"/>
              </w:rPr>
            </w:pPr>
            <w:r w:rsidRPr="0094772D">
              <w:rPr>
                <w:sz w:val="20"/>
                <w:szCs w:val="20"/>
              </w:rPr>
              <w:t>Unclear. Have aligned report with end of fishing season for data consistency.</w:t>
            </w:r>
          </w:p>
        </w:tc>
        <w:tc>
          <w:tcPr>
            <w:tcW w:w="3544" w:type="dxa"/>
          </w:tcPr>
          <w:p w14:paraId="0FD40622" w14:textId="47A305B7" w:rsidR="006A4438" w:rsidRPr="0094772D" w:rsidRDefault="006A4438" w:rsidP="003570DB">
            <w:pPr>
              <w:rPr>
                <w:sz w:val="20"/>
                <w:szCs w:val="20"/>
              </w:rPr>
            </w:pPr>
            <w:r w:rsidRPr="0094772D">
              <w:rPr>
                <w:sz w:val="20"/>
                <w:szCs w:val="20"/>
              </w:rPr>
              <w:t>Annual submissions have been made and accepted.</w:t>
            </w:r>
          </w:p>
        </w:tc>
      </w:tr>
      <w:tr w:rsidR="006A4438" w:rsidRPr="0094772D" w14:paraId="07C99912" w14:textId="77777777" w:rsidTr="003570DB">
        <w:tc>
          <w:tcPr>
            <w:tcW w:w="3681" w:type="dxa"/>
          </w:tcPr>
          <w:p w14:paraId="0B913FA1" w14:textId="2974C52A" w:rsidR="006A4438" w:rsidRPr="0094772D" w:rsidRDefault="006A4438" w:rsidP="00EB7E9D">
            <w:pPr>
              <w:rPr>
                <w:sz w:val="20"/>
                <w:szCs w:val="20"/>
              </w:rPr>
            </w:pPr>
            <w:r w:rsidRPr="0094772D">
              <w:rPr>
                <w:sz w:val="20"/>
                <w:szCs w:val="20"/>
              </w:rPr>
              <w:t xml:space="preserve">The Tasmanian Abalone Fishery targets stocks that were previously classed as 'transitional-depleting'. Changes to the fishery's management regime should be positive for recovering abalone, and to ensure the new management regime is successful in reversing the negative trend in abalone stocks, [NRE Tas] should </w:t>
            </w:r>
            <w:r w:rsidR="00EB7E9D" w:rsidRPr="0094772D">
              <w:rPr>
                <w:sz w:val="20"/>
                <w:szCs w:val="20"/>
              </w:rPr>
              <w:t>r</w:t>
            </w:r>
            <w:r w:rsidRPr="0094772D">
              <w:rPr>
                <w:sz w:val="20"/>
                <w:szCs w:val="20"/>
              </w:rPr>
              <w:t>eview the performance of the Tasmanian Abalone Fishery</w:t>
            </w:r>
            <w:r w:rsidR="00EB7E9D" w:rsidRPr="0094772D">
              <w:rPr>
                <w:sz w:val="20"/>
                <w:szCs w:val="20"/>
              </w:rPr>
              <w:t xml:space="preserve"> </w:t>
            </w:r>
            <w:r w:rsidRPr="0094772D">
              <w:rPr>
                <w:sz w:val="20"/>
                <w:szCs w:val="20"/>
              </w:rPr>
              <w:t xml:space="preserve">within the next few years. Recognising the need to evaluate success of the revised management arrangements, </w:t>
            </w:r>
            <w:r w:rsidR="00EB7E9D" w:rsidRPr="0094772D">
              <w:rPr>
                <w:sz w:val="20"/>
                <w:szCs w:val="20"/>
              </w:rPr>
              <w:t xml:space="preserve">[NRE Tas] will </w:t>
            </w:r>
            <w:r w:rsidRPr="0094772D">
              <w:rPr>
                <w:sz w:val="20"/>
                <w:szCs w:val="20"/>
              </w:rPr>
              <w:t xml:space="preserve">conduct a review of the Abalone Fishery in 2020 and provide a report of the results to </w:t>
            </w:r>
            <w:r w:rsidR="00EB7E9D" w:rsidRPr="0094772D">
              <w:rPr>
                <w:sz w:val="20"/>
                <w:szCs w:val="20"/>
              </w:rPr>
              <w:t>[DCCEEW]</w:t>
            </w:r>
            <w:r w:rsidRPr="0094772D">
              <w:rPr>
                <w:sz w:val="20"/>
                <w:szCs w:val="20"/>
              </w:rPr>
              <w:t xml:space="preserve">. </w:t>
            </w:r>
            <w:r w:rsidR="00EB7E9D" w:rsidRPr="0094772D">
              <w:rPr>
                <w:sz w:val="20"/>
                <w:szCs w:val="20"/>
              </w:rPr>
              <w:t>M</w:t>
            </w:r>
            <w:r w:rsidRPr="0094772D">
              <w:rPr>
                <w:sz w:val="20"/>
                <w:szCs w:val="20"/>
              </w:rPr>
              <w:t>aintaining export approval until 2026 is conditional on this 2020 review and report being completed, as the review will substantiate progress from the recent management developments and help ensure the Tasmanian Abalone Fishery continues to be sustainable in the long term.</w:t>
            </w:r>
          </w:p>
        </w:tc>
        <w:tc>
          <w:tcPr>
            <w:tcW w:w="1559" w:type="dxa"/>
          </w:tcPr>
          <w:p w14:paraId="5E42C68C" w14:textId="2CDCF527" w:rsidR="006A4438" w:rsidRPr="0094772D" w:rsidRDefault="00EB7E9D" w:rsidP="003570DB">
            <w:pPr>
              <w:rPr>
                <w:sz w:val="20"/>
                <w:szCs w:val="20"/>
              </w:rPr>
            </w:pPr>
            <w:r w:rsidRPr="0094772D">
              <w:rPr>
                <w:sz w:val="20"/>
                <w:szCs w:val="20"/>
              </w:rPr>
              <w:t>2020</w:t>
            </w:r>
          </w:p>
        </w:tc>
        <w:tc>
          <w:tcPr>
            <w:tcW w:w="3544" w:type="dxa"/>
          </w:tcPr>
          <w:p w14:paraId="42C7D881" w14:textId="48F6E890" w:rsidR="006A4438" w:rsidRPr="0094772D" w:rsidRDefault="00EB7E9D" w:rsidP="003570DB">
            <w:pPr>
              <w:rPr>
                <w:sz w:val="20"/>
                <w:szCs w:val="20"/>
              </w:rPr>
            </w:pPr>
            <w:r w:rsidRPr="0094772D">
              <w:rPr>
                <w:sz w:val="20"/>
                <w:szCs w:val="20"/>
              </w:rPr>
              <w:t>The report was made and accepted, with export approval ongoing.</w:t>
            </w:r>
          </w:p>
        </w:tc>
      </w:tr>
    </w:tbl>
    <w:p w14:paraId="6703F471" w14:textId="77777777" w:rsidR="0094772D" w:rsidRDefault="0094772D" w:rsidP="0094772D">
      <w:pPr>
        <w:rPr>
          <w:rStyle w:val="Heading1Char"/>
        </w:rPr>
      </w:pPr>
    </w:p>
    <w:p w14:paraId="692D1670" w14:textId="1D913752" w:rsidR="00DA4ADF" w:rsidRPr="006143BD" w:rsidRDefault="00DA4ADF" w:rsidP="0094772D">
      <w:bookmarkStart w:id="51" w:name="_Toc203488108"/>
      <w:r w:rsidRPr="006143BD">
        <w:rPr>
          <w:rStyle w:val="Heading1Char"/>
        </w:rPr>
        <w:t>References</w:t>
      </w:r>
      <w:bookmarkEnd w:id="51"/>
    </w:p>
    <w:p w14:paraId="58362340" w14:textId="2264C5EB" w:rsidR="006143BD" w:rsidRPr="0094772D" w:rsidRDefault="0094772D" w:rsidP="00647FF6">
      <w:r w:rsidRPr="0094772D">
        <w:t>Please use the links provided throughout the report.</w:t>
      </w:r>
    </w:p>
    <w:p w14:paraId="2C22AC26" w14:textId="77777777" w:rsidR="006143BD" w:rsidRDefault="006143BD" w:rsidP="00647FF6">
      <w:pPr>
        <w:rPr>
          <w:color w:val="4000A6"/>
        </w:rPr>
      </w:pPr>
      <w:r>
        <w:rPr>
          <w:color w:val="4000A6"/>
        </w:rPr>
        <w:br w:type="page"/>
      </w:r>
    </w:p>
    <w:p w14:paraId="57FBC021" w14:textId="0FFB2BA3" w:rsidR="0027650A" w:rsidRDefault="00B07F7B" w:rsidP="006571DA">
      <w:pPr>
        <w:pStyle w:val="Heading1"/>
      </w:pPr>
      <w:bookmarkStart w:id="52" w:name="_Toc203488109"/>
      <w:r w:rsidRPr="006143BD">
        <w:lastRenderedPageBreak/>
        <w:t>Append</w:t>
      </w:r>
      <w:r>
        <w:t>ed Data Tables</w:t>
      </w:r>
      <w:bookmarkEnd w:id="52"/>
    </w:p>
    <w:p w14:paraId="4C5799F0" w14:textId="77777777" w:rsidR="00B45BEB" w:rsidRDefault="00B45BEB" w:rsidP="00B45BEB">
      <w:pPr>
        <w:pStyle w:val="Heading2"/>
      </w:pPr>
      <w:bookmarkStart w:id="53" w:name="_Toc203488110"/>
      <w:r w:rsidRPr="00352F2D">
        <w:t>APPENDIX 1</w:t>
      </w:r>
      <w:r>
        <w:t xml:space="preserve"> – Retained catch data (target and byproduct species)</w:t>
      </w:r>
      <w:bookmarkEnd w:id="53"/>
    </w:p>
    <w:p w14:paraId="5D2704C3" w14:textId="05FEEB46" w:rsidR="009916EB" w:rsidRDefault="00E944B6" w:rsidP="00E944B6">
      <w:pPr>
        <w:rPr>
          <w:rFonts w:cs="Arial"/>
          <w:sz w:val="20"/>
          <w:szCs w:val="18"/>
        </w:rPr>
      </w:pPr>
      <w:r w:rsidRPr="00B6625D">
        <w:rPr>
          <w:rFonts w:cs="Arial"/>
          <w:sz w:val="20"/>
          <w:szCs w:val="18"/>
        </w:rPr>
        <w:t xml:space="preserve">Table </w:t>
      </w:r>
      <w:r w:rsidR="00B6625D" w:rsidRPr="00B6625D">
        <w:rPr>
          <w:rFonts w:cs="Arial"/>
          <w:sz w:val="20"/>
          <w:szCs w:val="18"/>
        </w:rPr>
        <w:t>3</w:t>
      </w:r>
      <w:r w:rsidRPr="00B6625D">
        <w:rPr>
          <w:rFonts w:cs="Arial"/>
          <w:sz w:val="20"/>
          <w:szCs w:val="18"/>
        </w:rPr>
        <w:t>: Comparison</w:t>
      </w:r>
      <w:r w:rsidRPr="00856AE6">
        <w:rPr>
          <w:rFonts w:cs="Arial"/>
          <w:sz w:val="20"/>
          <w:szCs w:val="18"/>
        </w:rPr>
        <w:t xml:space="preserve"> of</w:t>
      </w:r>
      <w:r w:rsidR="00F24A9B">
        <w:rPr>
          <w:rFonts w:cs="Arial"/>
          <w:sz w:val="20"/>
          <w:szCs w:val="18"/>
        </w:rPr>
        <w:t xml:space="preserve"> commercial</w:t>
      </w:r>
      <w:r w:rsidRPr="00856AE6">
        <w:rPr>
          <w:rFonts w:cs="Arial"/>
          <w:sz w:val="20"/>
          <w:szCs w:val="18"/>
        </w:rPr>
        <w:t xml:space="preserve"> </w:t>
      </w:r>
      <w:r>
        <w:rPr>
          <w:rFonts w:cs="Arial"/>
          <w:sz w:val="20"/>
          <w:szCs w:val="18"/>
        </w:rPr>
        <w:t xml:space="preserve">Tasmanian Abalone Dive Fishery </w:t>
      </w:r>
      <w:r w:rsidRPr="00856AE6">
        <w:rPr>
          <w:rFonts w:cs="Arial"/>
          <w:sz w:val="20"/>
          <w:szCs w:val="18"/>
        </w:rPr>
        <w:t xml:space="preserve">harvests across recent seasons, noting that a season runs from 1 </w:t>
      </w:r>
      <w:r>
        <w:rPr>
          <w:rFonts w:cs="Arial"/>
          <w:sz w:val="20"/>
          <w:szCs w:val="18"/>
        </w:rPr>
        <w:t>January</w:t>
      </w:r>
      <w:r w:rsidRPr="00856AE6">
        <w:rPr>
          <w:rFonts w:cs="Arial"/>
          <w:sz w:val="20"/>
          <w:szCs w:val="18"/>
        </w:rPr>
        <w:t xml:space="preserve"> to 31 </w:t>
      </w:r>
      <w:r>
        <w:rPr>
          <w:rFonts w:cs="Arial"/>
          <w:sz w:val="20"/>
          <w:szCs w:val="18"/>
        </w:rPr>
        <w:t>December of a calendar year</w:t>
      </w:r>
      <w:r w:rsidRPr="00856AE6">
        <w:rPr>
          <w:rFonts w:cs="Arial"/>
          <w:sz w:val="20"/>
          <w:szCs w:val="18"/>
        </w:rPr>
        <w:t>, and the reported unit is kilograms.</w:t>
      </w:r>
      <w:r>
        <w:rPr>
          <w:rFonts w:cs="Arial"/>
          <w:sz w:val="20"/>
          <w:szCs w:val="18"/>
        </w:rPr>
        <w:t xml:space="preserve"> </w:t>
      </w:r>
      <w:r w:rsidR="00295C25">
        <w:rPr>
          <w:rFonts w:cs="Arial"/>
          <w:sz w:val="20"/>
          <w:szCs w:val="18"/>
        </w:rPr>
        <w:t xml:space="preserve">The TACC is in italics under the total catch, with </w:t>
      </w:r>
      <w:r w:rsidR="00452668">
        <w:rPr>
          <w:rFonts w:cs="Arial"/>
          <w:sz w:val="20"/>
          <w:szCs w:val="18"/>
        </w:rPr>
        <w:t>over-catch shaded yellow and under-catch shaded green.</w:t>
      </w:r>
    </w:p>
    <w:tbl>
      <w:tblPr>
        <w:tblStyle w:val="TableGrid"/>
        <w:tblW w:w="0" w:type="auto"/>
        <w:tblLayout w:type="fixed"/>
        <w:tblLook w:val="04A0" w:firstRow="1" w:lastRow="0" w:firstColumn="1" w:lastColumn="0" w:noHBand="0" w:noVBand="1"/>
      </w:tblPr>
      <w:tblGrid>
        <w:gridCol w:w="473"/>
        <w:gridCol w:w="2357"/>
        <w:gridCol w:w="1031"/>
        <w:gridCol w:w="1031"/>
        <w:gridCol w:w="1031"/>
        <w:gridCol w:w="1031"/>
        <w:gridCol w:w="1031"/>
        <w:gridCol w:w="1031"/>
      </w:tblGrid>
      <w:tr w:rsidR="00E944B6" w:rsidRPr="006E0E48" w14:paraId="31024AC9" w14:textId="77777777" w:rsidTr="00A677A3">
        <w:trPr>
          <w:trHeight w:val="375"/>
        </w:trPr>
        <w:tc>
          <w:tcPr>
            <w:tcW w:w="473" w:type="dxa"/>
          </w:tcPr>
          <w:p w14:paraId="15223C90" w14:textId="77777777" w:rsidR="00E944B6" w:rsidRPr="006E0E48" w:rsidRDefault="00E944B6" w:rsidP="00502766">
            <w:pPr>
              <w:jc w:val="center"/>
              <w:rPr>
                <w:rFonts w:cs="Arial"/>
                <w:b/>
                <w:sz w:val="20"/>
                <w:szCs w:val="18"/>
              </w:rPr>
            </w:pPr>
          </w:p>
        </w:tc>
        <w:tc>
          <w:tcPr>
            <w:tcW w:w="8543" w:type="dxa"/>
            <w:gridSpan w:val="7"/>
          </w:tcPr>
          <w:p w14:paraId="5D7A1EF3" w14:textId="223A765A" w:rsidR="00E944B6" w:rsidRPr="006E0E48" w:rsidRDefault="00E944B6" w:rsidP="00502766">
            <w:pPr>
              <w:jc w:val="center"/>
              <w:rPr>
                <w:rFonts w:cs="Arial"/>
                <w:b/>
                <w:sz w:val="20"/>
                <w:szCs w:val="18"/>
              </w:rPr>
            </w:pPr>
            <w:r w:rsidRPr="006E0E48">
              <w:rPr>
                <w:rFonts w:cs="Arial"/>
                <w:b/>
                <w:sz w:val="20"/>
                <w:szCs w:val="18"/>
              </w:rPr>
              <w:t xml:space="preserve">Season (1 </w:t>
            </w:r>
            <w:r>
              <w:rPr>
                <w:rFonts w:cs="Arial"/>
                <w:b/>
                <w:sz w:val="20"/>
                <w:szCs w:val="18"/>
              </w:rPr>
              <w:t>Jan – 31 Dec</w:t>
            </w:r>
            <w:r w:rsidRPr="006E0E48">
              <w:rPr>
                <w:rFonts w:cs="Arial"/>
                <w:b/>
                <w:sz w:val="20"/>
                <w:szCs w:val="18"/>
              </w:rPr>
              <w:t>)</w:t>
            </w:r>
            <w:r w:rsidR="009916EB">
              <w:rPr>
                <w:rFonts w:cs="Arial"/>
                <w:b/>
                <w:sz w:val="20"/>
                <w:szCs w:val="18"/>
              </w:rPr>
              <w:t xml:space="preserve"> Catch and TACCs in kilograms</w:t>
            </w:r>
          </w:p>
        </w:tc>
      </w:tr>
      <w:tr w:rsidR="00F24A9B" w:rsidRPr="006E0E48" w14:paraId="11E99503" w14:textId="77777777" w:rsidTr="00A677A3">
        <w:tc>
          <w:tcPr>
            <w:tcW w:w="473" w:type="dxa"/>
            <w:vMerge w:val="restart"/>
            <w:textDirection w:val="btLr"/>
          </w:tcPr>
          <w:p w14:paraId="1C758602" w14:textId="77777777" w:rsidR="00F24A9B" w:rsidRPr="006E0E48" w:rsidRDefault="00F24A9B" w:rsidP="00E944B6">
            <w:pPr>
              <w:ind w:left="113" w:right="113"/>
              <w:jc w:val="center"/>
              <w:rPr>
                <w:rFonts w:cs="Arial"/>
                <w:b/>
                <w:sz w:val="20"/>
                <w:szCs w:val="18"/>
              </w:rPr>
            </w:pPr>
            <w:r w:rsidRPr="006E0E48">
              <w:rPr>
                <w:rFonts w:cs="Arial"/>
                <w:b/>
                <w:sz w:val="20"/>
                <w:szCs w:val="18"/>
              </w:rPr>
              <w:t>Species</w:t>
            </w:r>
          </w:p>
          <w:p w14:paraId="3FFBDA2F" w14:textId="24CD067D" w:rsidR="00F24A9B" w:rsidRPr="006E0E48" w:rsidRDefault="00F24A9B" w:rsidP="00502766">
            <w:pPr>
              <w:ind w:left="113" w:right="113"/>
              <w:rPr>
                <w:rFonts w:cs="Arial"/>
                <w:b/>
                <w:sz w:val="20"/>
                <w:szCs w:val="18"/>
              </w:rPr>
            </w:pPr>
          </w:p>
        </w:tc>
        <w:tc>
          <w:tcPr>
            <w:tcW w:w="2357" w:type="dxa"/>
          </w:tcPr>
          <w:p w14:paraId="3BEE1CC2" w14:textId="77777777" w:rsidR="00F24A9B" w:rsidRPr="006E0E48" w:rsidRDefault="00F24A9B" w:rsidP="00502766">
            <w:pPr>
              <w:rPr>
                <w:rFonts w:cs="Arial"/>
                <w:b/>
                <w:sz w:val="20"/>
                <w:szCs w:val="18"/>
              </w:rPr>
            </w:pPr>
          </w:p>
        </w:tc>
        <w:tc>
          <w:tcPr>
            <w:tcW w:w="1031" w:type="dxa"/>
          </w:tcPr>
          <w:p w14:paraId="38D21698" w14:textId="04B17271" w:rsidR="00F24A9B" w:rsidRPr="006E0E48" w:rsidRDefault="00F24A9B" w:rsidP="00292DC2">
            <w:pPr>
              <w:jc w:val="center"/>
              <w:rPr>
                <w:rFonts w:cs="Arial"/>
                <w:b/>
                <w:sz w:val="20"/>
                <w:szCs w:val="18"/>
              </w:rPr>
            </w:pPr>
            <w:r w:rsidRPr="006E0E48">
              <w:rPr>
                <w:rFonts w:cs="Arial"/>
                <w:b/>
                <w:sz w:val="20"/>
                <w:szCs w:val="18"/>
              </w:rPr>
              <w:t>2019</w:t>
            </w:r>
          </w:p>
        </w:tc>
        <w:tc>
          <w:tcPr>
            <w:tcW w:w="1031" w:type="dxa"/>
          </w:tcPr>
          <w:p w14:paraId="6EB99012" w14:textId="3073FB31" w:rsidR="00F24A9B" w:rsidRPr="006E0E48" w:rsidRDefault="00F24A9B" w:rsidP="00292DC2">
            <w:pPr>
              <w:jc w:val="center"/>
              <w:rPr>
                <w:rFonts w:cs="Arial"/>
                <w:b/>
                <w:sz w:val="20"/>
                <w:szCs w:val="18"/>
              </w:rPr>
            </w:pPr>
            <w:r w:rsidRPr="006E0E48">
              <w:rPr>
                <w:rFonts w:cs="Arial"/>
                <w:b/>
                <w:sz w:val="20"/>
                <w:szCs w:val="18"/>
              </w:rPr>
              <w:t>2020</w:t>
            </w:r>
          </w:p>
        </w:tc>
        <w:tc>
          <w:tcPr>
            <w:tcW w:w="1031" w:type="dxa"/>
          </w:tcPr>
          <w:p w14:paraId="5FD8EDFC" w14:textId="344155F7" w:rsidR="00F24A9B" w:rsidRPr="006E0E48" w:rsidRDefault="00F24A9B" w:rsidP="00292DC2">
            <w:pPr>
              <w:jc w:val="center"/>
              <w:rPr>
                <w:rFonts w:cs="Arial"/>
                <w:b/>
                <w:sz w:val="20"/>
                <w:szCs w:val="18"/>
              </w:rPr>
            </w:pPr>
            <w:r w:rsidRPr="006E0E48">
              <w:rPr>
                <w:rFonts w:cs="Arial"/>
                <w:b/>
                <w:sz w:val="20"/>
                <w:szCs w:val="18"/>
              </w:rPr>
              <w:t>202</w:t>
            </w:r>
            <w:r>
              <w:rPr>
                <w:rFonts w:cs="Arial"/>
                <w:b/>
                <w:sz w:val="20"/>
                <w:szCs w:val="18"/>
              </w:rPr>
              <w:t>1</w:t>
            </w:r>
          </w:p>
        </w:tc>
        <w:tc>
          <w:tcPr>
            <w:tcW w:w="1031" w:type="dxa"/>
          </w:tcPr>
          <w:p w14:paraId="202EC8AC" w14:textId="7EB7F7D5" w:rsidR="00F24A9B" w:rsidRPr="006E0E48" w:rsidRDefault="00F24A9B" w:rsidP="00292DC2">
            <w:pPr>
              <w:jc w:val="center"/>
              <w:rPr>
                <w:rFonts w:cs="Arial"/>
                <w:b/>
                <w:sz w:val="20"/>
                <w:szCs w:val="18"/>
              </w:rPr>
            </w:pPr>
            <w:r w:rsidRPr="006E0E48">
              <w:rPr>
                <w:rFonts w:cs="Arial"/>
                <w:b/>
                <w:sz w:val="20"/>
                <w:szCs w:val="18"/>
              </w:rPr>
              <w:t>202</w:t>
            </w:r>
            <w:r>
              <w:rPr>
                <w:rFonts w:cs="Arial"/>
                <w:b/>
                <w:sz w:val="20"/>
                <w:szCs w:val="18"/>
              </w:rPr>
              <w:t>2</w:t>
            </w:r>
          </w:p>
        </w:tc>
        <w:tc>
          <w:tcPr>
            <w:tcW w:w="1031" w:type="dxa"/>
          </w:tcPr>
          <w:p w14:paraId="3DD52615" w14:textId="1FDA7AD7" w:rsidR="00F24A9B" w:rsidRPr="006E0E48" w:rsidRDefault="00F24A9B" w:rsidP="00292DC2">
            <w:pPr>
              <w:jc w:val="center"/>
              <w:rPr>
                <w:rFonts w:cs="Arial"/>
                <w:b/>
                <w:sz w:val="20"/>
                <w:szCs w:val="18"/>
              </w:rPr>
            </w:pPr>
            <w:r w:rsidRPr="006E0E48">
              <w:rPr>
                <w:rFonts w:cs="Arial"/>
                <w:b/>
                <w:sz w:val="20"/>
                <w:szCs w:val="18"/>
              </w:rPr>
              <w:t>2023</w:t>
            </w:r>
          </w:p>
        </w:tc>
        <w:tc>
          <w:tcPr>
            <w:tcW w:w="1031" w:type="dxa"/>
          </w:tcPr>
          <w:p w14:paraId="3522C4ED" w14:textId="07042AD7" w:rsidR="00F24A9B" w:rsidRPr="006E0E48" w:rsidRDefault="00F24A9B" w:rsidP="00292DC2">
            <w:pPr>
              <w:jc w:val="center"/>
              <w:rPr>
                <w:rFonts w:cs="Arial"/>
                <w:b/>
                <w:sz w:val="20"/>
                <w:szCs w:val="18"/>
              </w:rPr>
            </w:pPr>
            <w:r w:rsidRPr="006E0E48">
              <w:rPr>
                <w:rFonts w:cs="Arial"/>
                <w:b/>
                <w:sz w:val="20"/>
                <w:szCs w:val="18"/>
              </w:rPr>
              <w:t>2024</w:t>
            </w:r>
          </w:p>
        </w:tc>
      </w:tr>
      <w:tr w:rsidR="00F24A9B" w14:paraId="06A6E64E" w14:textId="77777777" w:rsidTr="00A677A3">
        <w:trPr>
          <w:trHeight w:val="536"/>
        </w:trPr>
        <w:tc>
          <w:tcPr>
            <w:tcW w:w="473" w:type="dxa"/>
            <w:vMerge/>
          </w:tcPr>
          <w:p w14:paraId="4906508F" w14:textId="4E61E405" w:rsidR="00F24A9B" w:rsidRPr="006E0E48" w:rsidRDefault="00F24A9B" w:rsidP="00502766">
            <w:pPr>
              <w:ind w:left="113" w:right="113"/>
              <w:rPr>
                <w:rFonts w:cs="Arial"/>
                <w:b/>
                <w:bCs/>
                <w:sz w:val="20"/>
                <w:szCs w:val="18"/>
              </w:rPr>
            </w:pPr>
          </w:p>
        </w:tc>
        <w:tc>
          <w:tcPr>
            <w:tcW w:w="2357" w:type="dxa"/>
          </w:tcPr>
          <w:p w14:paraId="124D47D5" w14:textId="69123DE6" w:rsidR="00F24A9B" w:rsidRPr="006E0E48" w:rsidRDefault="00F24A9B" w:rsidP="00502766">
            <w:pPr>
              <w:rPr>
                <w:rFonts w:cs="Arial"/>
                <w:b/>
                <w:bCs/>
                <w:sz w:val="20"/>
                <w:szCs w:val="18"/>
              </w:rPr>
            </w:pPr>
            <w:r>
              <w:rPr>
                <w:rFonts w:cs="Arial"/>
                <w:b/>
                <w:bCs/>
                <w:sz w:val="20"/>
                <w:szCs w:val="18"/>
              </w:rPr>
              <w:t xml:space="preserve">Eastern </w:t>
            </w:r>
            <w:r w:rsidR="00452668">
              <w:rPr>
                <w:rFonts w:cs="Arial"/>
                <w:b/>
                <w:bCs/>
                <w:sz w:val="20"/>
                <w:szCs w:val="18"/>
              </w:rPr>
              <w:t xml:space="preserve">Blacklip </w:t>
            </w:r>
            <w:r>
              <w:rPr>
                <w:rFonts w:cs="Arial"/>
                <w:b/>
                <w:bCs/>
                <w:sz w:val="20"/>
                <w:szCs w:val="18"/>
              </w:rPr>
              <w:t>Zone</w:t>
            </w:r>
          </w:p>
        </w:tc>
        <w:tc>
          <w:tcPr>
            <w:tcW w:w="1031" w:type="dxa"/>
            <w:shd w:val="clear" w:color="auto" w:fill="70AD47" w:themeFill="accent6"/>
          </w:tcPr>
          <w:p w14:paraId="284820F7" w14:textId="749BD7C5" w:rsidR="00F24A9B" w:rsidRDefault="009916EB" w:rsidP="00452668">
            <w:pPr>
              <w:jc w:val="center"/>
              <w:rPr>
                <w:rFonts w:cs="Arial"/>
                <w:sz w:val="20"/>
                <w:szCs w:val="18"/>
              </w:rPr>
            </w:pPr>
            <w:r>
              <w:rPr>
                <w:rFonts w:cs="Arial"/>
                <w:sz w:val="20"/>
                <w:szCs w:val="18"/>
              </w:rPr>
              <w:t>248,969</w:t>
            </w:r>
          </w:p>
          <w:p w14:paraId="5463B74B" w14:textId="1CC20B77" w:rsidR="00452668" w:rsidRPr="00295C25" w:rsidRDefault="00452668" w:rsidP="00452668">
            <w:pPr>
              <w:jc w:val="center"/>
              <w:rPr>
                <w:rFonts w:cs="Arial"/>
                <w:sz w:val="20"/>
                <w:szCs w:val="18"/>
              </w:rPr>
            </w:pPr>
            <w:r>
              <w:rPr>
                <w:rFonts w:cs="Arial"/>
                <w:sz w:val="20"/>
                <w:szCs w:val="18"/>
              </w:rPr>
              <w:t>-</w:t>
            </w:r>
          </w:p>
          <w:p w14:paraId="39C96D9A" w14:textId="3E9C2BA4" w:rsidR="00F24A9B" w:rsidRPr="00295C25" w:rsidRDefault="00F24A9B" w:rsidP="00452668">
            <w:pPr>
              <w:jc w:val="center"/>
              <w:rPr>
                <w:rFonts w:cs="Arial"/>
                <w:i/>
                <w:iCs/>
                <w:sz w:val="20"/>
                <w:szCs w:val="18"/>
              </w:rPr>
            </w:pPr>
            <w:r w:rsidRPr="00295C25">
              <w:rPr>
                <w:rFonts w:cs="Arial"/>
                <w:i/>
                <w:iCs/>
                <w:sz w:val="20"/>
                <w:szCs w:val="18"/>
              </w:rPr>
              <w:t>252,000</w:t>
            </w:r>
          </w:p>
        </w:tc>
        <w:tc>
          <w:tcPr>
            <w:tcW w:w="1031" w:type="dxa"/>
            <w:shd w:val="clear" w:color="auto" w:fill="70AD47" w:themeFill="accent6"/>
          </w:tcPr>
          <w:p w14:paraId="46D6EC2D" w14:textId="081ACF02" w:rsidR="00F24A9B" w:rsidRDefault="009916EB" w:rsidP="00452668">
            <w:pPr>
              <w:jc w:val="center"/>
              <w:rPr>
                <w:rFonts w:cs="Arial"/>
                <w:sz w:val="20"/>
                <w:szCs w:val="18"/>
              </w:rPr>
            </w:pPr>
            <w:r>
              <w:rPr>
                <w:rFonts w:cs="Arial"/>
                <w:sz w:val="20"/>
                <w:szCs w:val="18"/>
              </w:rPr>
              <w:t>220,360</w:t>
            </w:r>
          </w:p>
          <w:p w14:paraId="6F8648D3" w14:textId="5B3E9531" w:rsidR="00452668" w:rsidRPr="00295C25" w:rsidRDefault="00452668" w:rsidP="00452668">
            <w:pPr>
              <w:jc w:val="center"/>
              <w:rPr>
                <w:rFonts w:cs="Arial"/>
                <w:sz w:val="20"/>
                <w:szCs w:val="18"/>
              </w:rPr>
            </w:pPr>
            <w:r>
              <w:rPr>
                <w:rFonts w:cs="Arial"/>
                <w:sz w:val="20"/>
                <w:szCs w:val="18"/>
              </w:rPr>
              <w:t>-</w:t>
            </w:r>
          </w:p>
          <w:p w14:paraId="7F7E81C3" w14:textId="3A7BE0C0" w:rsidR="00F24A9B" w:rsidRPr="00295C25" w:rsidRDefault="00F24A9B" w:rsidP="00452668">
            <w:pPr>
              <w:jc w:val="center"/>
              <w:rPr>
                <w:rFonts w:cs="Arial"/>
                <w:i/>
                <w:iCs/>
                <w:sz w:val="20"/>
                <w:szCs w:val="18"/>
              </w:rPr>
            </w:pPr>
            <w:r w:rsidRPr="00295C25">
              <w:rPr>
                <w:rFonts w:cs="Arial"/>
                <w:i/>
                <w:iCs/>
                <w:sz w:val="20"/>
                <w:szCs w:val="18"/>
              </w:rPr>
              <w:t>220,500</w:t>
            </w:r>
          </w:p>
        </w:tc>
        <w:tc>
          <w:tcPr>
            <w:tcW w:w="1031" w:type="dxa"/>
            <w:shd w:val="clear" w:color="auto" w:fill="70AD47" w:themeFill="accent6"/>
          </w:tcPr>
          <w:p w14:paraId="3FDF0BFA" w14:textId="7E49C349" w:rsidR="00F24A9B" w:rsidRDefault="009916EB" w:rsidP="00452668">
            <w:pPr>
              <w:jc w:val="center"/>
              <w:rPr>
                <w:rFonts w:cs="Arial"/>
                <w:sz w:val="20"/>
                <w:szCs w:val="18"/>
              </w:rPr>
            </w:pPr>
            <w:r>
              <w:rPr>
                <w:rFonts w:cs="Arial"/>
                <w:sz w:val="20"/>
                <w:szCs w:val="18"/>
              </w:rPr>
              <w:t>219,025</w:t>
            </w:r>
          </w:p>
          <w:p w14:paraId="052B7435" w14:textId="0AEE6527" w:rsidR="00452668" w:rsidRPr="00295C25" w:rsidRDefault="00452668" w:rsidP="00452668">
            <w:pPr>
              <w:jc w:val="center"/>
              <w:rPr>
                <w:rFonts w:cs="Arial"/>
                <w:sz w:val="20"/>
                <w:szCs w:val="18"/>
              </w:rPr>
            </w:pPr>
            <w:r>
              <w:rPr>
                <w:rFonts w:cs="Arial"/>
                <w:sz w:val="20"/>
                <w:szCs w:val="18"/>
              </w:rPr>
              <w:t>-</w:t>
            </w:r>
          </w:p>
          <w:p w14:paraId="3345075B" w14:textId="1B1F91AC" w:rsidR="00F24A9B" w:rsidRPr="00295C25" w:rsidRDefault="00F24A9B" w:rsidP="00452668">
            <w:pPr>
              <w:jc w:val="center"/>
              <w:rPr>
                <w:rFonts w:cs="Arial"/>
                <w:i/>
                <w:iCs/>
                <w:sz w:val="20"/>
                <w:szCs w:val="18"/>
              </w:rPr>
            </w:pPr>
            <w:r w:rsidRPr="00295C25">
              <w:rPr>
                <w:rFonts w:cs="Arial"/>
                <w:i/>
                <w:iCs/>
                <w:sz w:val="20"/>
                <w:szCs w:val="18"/>
              </w:rPr>
              <w:t>220,500</w:t>
            </w:r>
          </w:p>
        </w:tc>
        <w:tc>
          <w:tcPr>
            <w:tcW w:w="1031" w:type="dxa"/>
            <w:shd w:val="clear" w:color="auto" w:fill="70AD47" w:themeFill="accent6"/>
          </w:tcPr>
          <w:p w14:paraId="48496B14" w14:textId="77777777" w:rsidR="00452668" w:rsidRDefault="009916EB" w:rsidP="00452668">
            <w:pPr>
              <w:jc w:val="center"/>
              <w:rPr>
                <w:rFonts w:cs="Arial"/>
                <w:sz w:val="20"/>
                <w:szCs w:val="18"/>
              </w:rPr>
            </w:pPr>
            <w:r>
              <w:rPr>
                <w:rFonts w:cs="Arial"/>
                <w:sz w:val="20"/>
                <w:szCs w:val="18"/>
              </w:rPr>
              <w:t>221,558</w:t>
            </w:r>
          </w:p>
          <w:p w14:paraId="15AC89F9" w14:textId="76AB2F4E" w:rsidR="00452668" w:rsidRDefault="00452668" w:rsidP="00452668">
            <w:pPr>
              <w:jc w:val="center"/>
              <w:rPr>
                <w:rFonts w:cs="Arial"/>
                <w:sz w:val="20"/>
                <w:szCs w:val="18"/>
              </w:rPr>
            </w:pPr>
            <w:r>
              <w:rPr>
                <w:rFonts w:cs="Arial"/>
                <w:sz w:val="20"/>
                <w:szCs w:val="18"/>
              </w:rPr>
              <w:t>-</w:t>
            </w:r>
          </w:p>
          <w:p w14:paraId="7A380F16" w14:textId="34660137" w:rsidR="00F24A9B" w:rsidRPr="00295C25" w:rsidRDefault="00F24A9B" w:rsidP="00452668">
            <w:pPr>
              <w:jc w:val="center"/>
              <w:rPr>
                <w:rFonts w:cs="Arial"/>
                <w:i/>
                <w:iCs/>
                <w:sz w:val="20"/>
                <w:szCs w:val="18"/>
              </w:rPr>
            </w:pPr>
            <w:r w:rsidRPr="00295C25">
              <w:rPr>
                <w:rFonts w:cs="Arial"/>
                <w:i/>
                <w:iCs/>
                <w:sz w:val="20"/>
                <w:szCs w:val="18"/>
              </w:rPr>
              <w:t>224,000</w:t>
            </w:r>
          </w:p>
        </w:tc>
        <w:tc>
          <w:tcPr>
            <w:tcW w:w="1031" w:type="dxa"/>
            <w:shd w:val="clear" w:color="auto" w:fill="70AD47" w:themeFill="accent6"/>
          </w:tcPr>
          <w:p w14:paraId="155BE202" w14:textId="2151BCC2" w:rsidR="00F24A9B" w:rsidRDefault="009916EB" w:rsidP="00452668">
            <w:pPr>
              <w:jc w:val="center"/>
              <w:rPr>
                <w:rFonts w:cs="Arial"/>
                <w:sz w:val="20"/>
                <w:szCs w:val="18"/>
              </w:rPr>
            </w:pPr>
            <w:r>
              <w:rPr>
                <w:rFonts w:cs="Arial"/>
                <w:sz w:val="20"/>
                <w:szCs w:val="18"/>
              </w:rPr>
              <w:t>225,041</w:t>
            </w:r>
          </w:p>
          <w:p w14:paraId="07DFCE2D" w14:textId="2042AEA3" w:rsidR="00452668" w:rsidRPr="00295C25" w:rsidRDefault="00452668" w:rsidP="00452668">
            <w:pPr>
              <w:jc w:val="center"/>
              <w:rPr>
                <w:rFonts w:cs="Arial"/>
                <w:sz w:val="20"/>
                <w:szCs w:val="18"/>
              </w:rPr>
            </w:pPr>
            <w:r>
              <w:rPr>
                <w:rFonts w:cs="Arial"/>
                <w:sz w:val="20"/>
                <w:szCs w:val="18"/>
              </w:rPr>
              <w:t>-</w:t>
            </w:r>
          </w:p>
          <w:p w14:paraId="53A7C7CF" w14:textId="2D48E8A2" w:rsidR="00F24A9B" w:rsidRPr="00295C25" w:rsidRDefault="00F24A9B" w:rsidP="00452668">
            <w:pPr>
              <w:jc w:val="center"/>
              <w:rPr>
                <w:rFonts w:cs="Arial"/>
                <w:i/>
                <w:iCs/>
                <w:sz w:val="20"/>
                <w:szCs w:val="18"/>
              </w:rPr>
            </w:pPr>
            <w:r w:rsidRPr="00295C25">
              <w:rPr>
                <w:rFonts w:cs="Arial"/>
                <w:i/>
                <w:iCs/>
                <w:sz w:val="20"/>
                <w:szCs w:val="18"/>
              </w:rPr>
              <w:t>227,500</w:t>
            </w:r>
          </w:p>
        </w:tc>
        <w:tc>
          <w:tcPr>
            <w:tcW w:w="1031" w:type="dxa"/>
            <w:shd w:val="clear" w:color="auto" w:fill="70AD47" w:themeFill="accent6"/>
          </w:tcPr>
          <w:p w14:paraId="00FA95E3" w14:textId="3F718DB7" w:rsidR="00F24A9B" w:rsidRDefault="00F24A9B" w:rsidP="00452668">
            <w:pPr>
              <w:jc w:val="center"/>
              <w:rPr>
                <w:rFonts w:cs="Arial"/>
                <w:sz w:val="20"/>
                <w:szCs w:val="18"/>
              </w:rPr>
            </w:pPr>
            <w:r w:rsidRPr="00295C25">
              <w:rPr>
                <w:rFonts w:cs="Arial"/>
                <w:sz w:val="20"/>
                <w:szCs w:val="18"/>
              </w:rPr>
              <w:t>227,</w:t>
            </w:r>
            <w:r w:rsidR="009916EB">
              <w:rPr>
                <w:rFonts w:cs="Arial"/>
                <w:sz w:val="20"/>
                <w:szCs w:val="18"/>
              </w:rPr>
              <w:t>578</w:t>
            </w:r>
          </w:p>
          <w:p w14:paraId="727A7CAC" w14:textId="39325AE3" w:rsidR="00452668" w:rsidRPr="00295C25" w:rsidRDefault="00452668" w:rsidP="00452668">
            <w:pPr>
              <w:jc w:val="center"/>
              <w:rPr>
                <w:rFonts w:cs="Arial"/>
                <w:sz w:val="20"/>
                <w:szCs w:val="18"/>
              </w:rPr>
            </w:pPr>
            <w:r>
              <w:rPr>
                <w:rFonts w:cs="Arial"/>
                <w:sz w:val="20"/>
                <w:szCs w:val="18"/>
              </w:rPr>
              <w:t>-</w:t>
            </w:r>
          </w:p>
          <w:p w14:paraId="66A9441C" w14:textId="3189BD6A" w:rsidR="00F24A9B" w:rsidRPr="00295C25" w:rsidRDefault="00F24A9B" w:rsidP="00452668">
            <w:pPr>
              <w:jc w:val="center"/>
              <w:rPr>
                <w:rFonts w:cs="Arial"/>
                <w:i/>
                <w:iCs/>
                <w:sz w:val="20"/>
                <w:szCs w:val="18"/>
              </w:rPr>
            </w:pPr>
            <w:r w:rsidRPr="00295C25">
              <w:rPr>
                <w:rFonts w:cs="Arial"/>
                <w:i/>
                <w:iCs/>
                <w:sz w:val="20"/>
                <w:szCs w:val="18"/>
              </w:rPr>
              <w:t>231,000</w:t>
            </w:r>
          </w:p>
        </w:tc>
      </w:tr>
      <w:tr w:rsidR="00F24A9B" w14:paraId="70AA0513" w14:textId="77777777" w:rsidTr="00A677A3">
        <w:trPr>
          <w:trHeight w:val="568"/>
        </w:trPr>
        <w:tc>
          <w:tcPr>
            <w:tcW w:w="473" w:type="dxa"/>
            <w:vMerge/>
          </w:tcPr>
          <w:p w14:paraId="4BDDE2AD" w14:textId="000A4284" w:rsidR="00F24A9B" w:rsidRPr="006E0E48" w:rsidRDefault="00F24A9B" w:rsidP="00502766">
            <w:pPr>
              <w:ind w:left="113" w:right="113"/>
              <w:rPr>
                <w:rFonts w:cs="Arial"/>
                <w:b/>
                <w:bCs/>
                <w:sz w:val="20"/>
                <w:szCs w:val="18"/>
              </w:rPr>
            </w:pPr>
          </w:p>
        </w:tc>
        <w:tc>
          <w:tcPr>
            <w:tcW w:w="2357" w:type="dxa"/>
          </w:tcPr>
          <w:p w14:paraId="1A4DE45C" w14:textId="49DDF478" w:rsidR="00F24A9B" w:rsidRPr="006E0E48" w:rsidRDefault="00F24A9B" w:rsidP="00E944B6">
            <w:pPr>
              <w:rPr>
                <w:rFonts w:cs="Arial"/>
                <w:b/>
                <w:bCs/>
                <w:sz w:val="20"/>
                <w:szCs w:val="18"/>
              </w:rPr>
            </w:pPr>
            <w:r>
              <w:rPr>
                <w:rFonts w:cs="Arial"/>
                <w:b/>
                <w:bCs/>
                <w:sz w:val="20"/>
                <w:szCs w:val="18"/>
              </w:rPr>
              <w:t>Northern</w:t>
            </w:r>
            <w:r w:rsidR="00452668">
              <w:rPr>
                <w:rFonts w:cs="Arial"/>
                <w:b/>
                <w:bCs/>
                <w:sz w:val="20"/>
                <w:szCs w:val="18"/>
              </w:rPr>
              <w:t xml:space="preserve"> Blacklip</w:t>
            </w:r>
            <w:r>
              <w:rPr>
                <w:rFonts w:cs="Arial"/>
                <w:b/>
                <w:bCs/>
                <w:sz w:val="20"/>
                <w:szCs w:val="18"/>
              </w:rPr>
              <w:t xml:space="preserve"> Zone</w:t>
            </w:r>
          </w:p>
        </w:tc>
        <w:tc>
          <w:tcPr>
            <w:tcW w:w="1031" w:type="dxa"/>
            <w:shd w:val="clear" w:color="auto" w:fill="70AD47" w:themeFill="accent6"/>
          </w:tcPr>
          <w:p w14:paraId="0AA5F280" w14:textId="07FEA264" w:rsidR="00F24A9B" w:rsidRDefault="009916EB" w:rsidP="00452668">
            <w:pPr>
              <w:jc w:val="center"/>
              <w:rPr>
                <w:rFonts w:cs="Arial"/>
                <w:sz w:val="20"/>
                <w:szCs w:val="18"/>
              </w:rPr>
            </w:pPr>
            <w:r>
              <w:rPr>
                <w:rFonts w:cs="Arial"/>
                <w:sz w:val="20"/>
                <w:szCs w:val="18"/>
              </w:rPr>
              <w:t>97,429</w:t>
            </w:r>
          </w:p>
          <w:p w14:paraId="0AA3BAEE" w14:textId="4B3CE14C" w:rsidR="00452668" w:rsidRDefault="00452668" w:rsidP="00452668">
            <w:pPr>
              <w:jc w:val="center"/>
              <w:rPr>
                <w:rFonts w:cs="Arial"/>
                <w:sz w:val="20"/>
                <w:szCs w:val="18"/>
              </w:rPr>
            </w:pPr>
            <w:r>
              <w:rPr>
                <w:rFonts w:cs="Arial"/>
                <w:sz w:val="20"/>
                <w:szCs w:val="18"/>
              </w:rPr>
              <w:t>-</w:t>
            </w:r>
          </w:p>
          <w:p w14:paraId="393E6B46" w14:textId="30E951AA" w:rsidR="00F24A9B" w:rsidRPr="00295C25" w:rsidRDefault="00F24A9B" w:rsidP="00452668">
            <w:pPr>
              <w:jc w:val="center"/>
              <w:rPr>
                <w:rFonts w:cs="Arial"/>
                <w:i/>
                <w:iCs/>
                <w:sz w:val="20"/>
                <w:szCs w:val="18"/>
              </w:rPr>
            </w:pPr>
            <w:r w:rsidRPr="00295C25">
              <w:rPr>
                <w:rFonts w:cs="Arial"/>
                <w:i/>
                <w:iCs/>
                <w:sz w:val="20"/>
                <w:szCs w:val="18"/>
              </w:rPr>
              <w:t>98,000</w:t>
            </w:r>
          </w:p>
        </w:tc>
        <w:tc>
          <w:tcPr>
            <w:tcW w:w="1031" w:type="dxa"/>
            <w:shd w:val="clear" w:color="auto" w:fill="70AD47" w:themeFill="accent6"/>
          </w:tcPr>
          <w:p w14:paraId="6E73CD89" w14:textId="05081179" w:rsidR="00F24A9B" w:rsidRDefault="009916EB" w:rsidP="00452668">
            <w:pPr>
              <w:jc w:val="center"/>
              <w:rPr>
                <w:rFonts w:cs="Arial"/>
                <w:sz w:val="20"/>
                <w:szCs w:val="18"/>
              </w:rPr>
            </w:pPr>
            <w:r>
              <w:rPr>
                <w:rFonts w:cs="Arial"/>
                <w:sz w:val="20"/>
                <w:szCs w:val="18"/>
              </w:rPr>
              <w:t>70,235</w:t>
            </w:r>
          </w:p>
          <w:p w14:paraId="2BD12BF4" w14:textId="297A0925" w:rsidR="00452668" w:rsidRDefault="00452668" w:rsidP="00452668">
            <w:pPr>
              <w:jc w:val="center"/>
              <w:rPr>
                <w:rFonts w:cs="Arial"/>
                <w:sz w:val="20"/>
                <w:szCs w:val="18"/>
              </w:rPr>
            </w:pPr>
            <w:r>
              <w:rPr>
                <w:rFonts w:cs="Arial"/>
                <w:sz w:val="20"/>
                <w:szCs w:val="18"/>
              </w:rPr>
              <w:t>-</w:t>
            </w:r>
          </w:p>
          <w:p w14:paraId="2AA62BB5" w14:textId="3113E2F0" w:rsidR="00F24A9B" w:rsidRPr="00295C25" w:rsidRDefault="00F24A9B" w:rsidP="00452668">
            <w:pPr>
              <w:jc w:val="center"/>
              <w:rPr>
                <w:rFonts w:cs="Arial"/>
                <w:i/>
                <w:iCs/>
                <w:sz w:val="20"/>
                <w:szCs w:val="18"/>
              </w:rPr>
            </w:pPr>
            <w:r w:rsidRPr="00295C25">
              <w:rPr>
                <w:rFonts w:cs="Arial"/>
                <w:i/>
                <w:iCs/>
                <w:sz w:val="20"/>
                <w:szCs w:val="18"/>
              </w:rPr>
              <w:t>73,500</w:t>
            </w:r>
          </w:p>
        </w:tc>
        <w:tc>
          <w:tcPr>
            <w:tcW w:w="1031" w:type="dxa"/>
            <w:shd w:val="clear" w:color="auto" w:fill="FFC000" w:themeFill="accent4"/>
          </w:tcPr>
          <w:p w14:paraId="36E63651" w14:textId="1D418527" w:rsidR="00F24A9B" w:rsidRDefault="009916EB" w:rsidP="00452668">
            <w:pPr>
              <w:jc w:val="center"/>
              <w:rPr>
                <w:rFonts w:cs="Arial"/>
                <w:sz w:val="20"/>
                <w:szCs w:val="18"/>
              </w:rPr>
            </w:pPr>
            <w:r>
              <w:rPr>
                <w:rFonts w:cs="Arial"/>
                <w:sz w:val="20"/>
                <w:szCs w:val="18"/>
              </w:rPr>
              <w:t>63,705</w:t>
            </w:r>
          </w:p>
          <w:p w14:paraId="397DF43B" w14:textId="0AB9D4CE" w:rsidR="00452668" w:rsidRDefault="00452668" w:rsidP="00452668">
            <w:pPr>
              <w:jc w:val="center"/>
              <w:rPr>
                <w:rFonts w:cs="Arial"/>
                <w:sz w:val="20"/>
                <w:szCs w:val="18"/>
              </w:rPr>
            </w:pPr>
            <w:r>
              <w:rPr>
                <w:rFonts w:cs="Arial"/>
                <w:sz w:val="20"/>
                <w:szCs w:val="18"/>
              </w:rPr>
              <w:t>-</w:t>
            </w:r>
          </w:p>
          <w:p w14:paraId="43E778F9" w14:textId="6CC42443" w:rsidR="00F24A9B" w:rsidRPr="00295C25" w:rsidRDefault="00F24A9B" w:rsidP="00452668">
            <w:pPr>
              <w:jc w:val="center"/>
              <w:rPr>
                <w:rFonts w:cs="Arial"/>
                <w:i/>
                <w:iCs/>
                <w:sz w:val="20"/>
                <w:szCs w:val="18"/>
              </w:rPr>
            </w:pPr>
            <w:r w:rsidRPr="00295C25">
              <w:rPr>
                <w:rFonts w:cs="Arial"/>
                <w:i/>
                <w:iCs/>
                <w:sz w:val="20"/>
                <w:szCs w:val="18"/>
              </w:rPr>
              <w:t>63,000</w:t>
            </w:r>
          </w:p>
        </w:tc>
        <w:tc>
          <w:tcPr>
            <w:tcW w:w="1031" w:type="dxa"/>
            <w:shd w:val="clear" w:color="auto" w:fill="70AD47" w:themeFill="accent6"/>
          </w:tcPr>
          <w:p w14:paraId="422F7DEF" w14:textId="70F3B2E1" w:rsidR="00F24A9B" w:rsidRDefault="00F24A9B" w:rsidP="00452668">
            <w:pPr>
              <w:jc w:val="center"/>
              <w:rPr>
                <w:rFonts w:cs="Arial"/>
                <w:sz w:val="20"/>
                <w:szCs w:val="18"/>
              </w:rPr>
            </w:pPr>
            <w:r>
              <w:rPr>
                <w:rFonts w:cs="Arial"/>
                <w:sz w:val="20"/>
                <w:szCs w:val="18"/>
              </w:rPr>
              <w:t>5</w:t>
            </w:r>
            <w:r w:rsidR="009916EB">
              <w:rPr>
                <w:rFonts w:cs="Arial"/>
                <w:sz w:val="20"/>
                <w:szCs w:val="18"/>
              </w:rPr>
              <w:t>8,625</w:t>
            </w:r>
          </w:p>
          <w:p w14:paraId="537E7BAF" w14:textId="7EF00F37" w:rsidR="00452668" w:rsidRDefault="00452668" w:rsidP="00452668">
            <w:pPr>
              <w:jc w:val="center"/>
              <w:rPr>
                <w:rFonts w:cs="Arial"/>
                <w:sz w:val="20"/>
                <w:szCs w:val="18"/>
              </w:rPr>
            </w:pPr>
            <w:r>
              <w:rPr>
                <w:rFonts w:cs="Arial"/>
                <w:sz w:val="20"/>
                <w:szCs w:val="18"/>
              </w:rPr>
              <w:t>-</w:t>
            </w:r>
          </w:p>
          <w:p w14:paraId="2218C778" w14:textId="48B1C894" w:rsidR="00F24A9B" w:rsidRPr="00295C25" w:rsidRDefault="00F24A9B" w:rsidP="00452668">
            <w:pPr>
              <w:jc w:val="center"/>
              <w:rPr>
                <w:rFonts w:cs="Arial"/>
                <w:i/>
                <w:iCs/>
                <w:sz w:val="20"/>
                <w:szCs w:val="18"/>
              </w:rPr>
            </w:pPr>
            <w:r w:rsidRPr="00295C25">
              <w:rPr>
                <w:rFonts w:cs="Arial"/>
                <w:i/>
                <w:iCs/>
                <w:sz w:val="20"/>
                <w:szCs w:val="18"/>
              </w:rPr>
              <w:t>59,500</w:t>
            </w:r>
          </w:p>
        </w:tc>
        <w:tc>
          <w:tcPr>
            <w:tcW w:w="1031" w:type="dxa"/>
            <w:shd w:val="clear" w:color="auto" w:fill="70AD47" w:themeFill="accent6"/>
          </w:tcPr>
          <w:p w14:paraId="1632288F" w14:textId="5F310AF5" w:rsidR="00F24A9B" w:rsidRDefault="00F24A9B" w:rsidP="00452668">
            <w:pPr>
              <w:jc w:val="center"/>
              <w:rPr>
                <w:rFonts w:cs="Arial"/>
                <w:sz w:val="20"/>
                <w:szCs w:val="18"/>
              </w:rPr>
            </w:pPr>
            <w:r>
              <w:rPr>
                <w:rFonts w:cs="Arial"/>
                <w:sz w:val="20"/>
                <w:szCs w:val="18"/>
              </w:rPr>
              <w:t>59,</w:t>
            </w:r>
            <w:r w:rsidR="009916EB">
              <w:rPr>
                <w:rFonts w:cs="Arial"/>
                <w:sz w:val="20"/>
                <w:szCs w:val="18"/>
              </w:rPr>
              <w:t>457</w:t>
            </w:r>
          </w:p>
          <w:p w14:paraId="7A5501A2" w14:textId="2AAC582F" w:rsidR="00452668" w:rsidRDefault="00452668" w:rsidP="00452668">
            <w:pPr>
              <w:jc w:val="center"/>
              <w:rPr>
                <w:rFonts w:cs="Arial"/>
                <w:sz w:val="20"/>
                <w:szCs w:val="18"/>
              </w:rPr>
            </w:pPr>
            <w:r>
              <w:rPr>
                <w:rFonts w:cs="Arial"/>
                <w:sz w:val="20"/>
                <w:szCs w:val="18"/>
              </w:rPr>
              <w:t>-</w:t>
            </w:r>
          </w:p>
          <w:p w14:paraId="2BA9065C" w14:textId="6E66C2CE" w:rsidR="00F24A9B" w:rsidRPr="00295C25" w:rsidRDefault="00F24A9B" w:rsidP="00452668">
            <w:pPr>
              <w:jc w:val="center"/>
              <w:rPr>
                <w:rFonts w:cs="Arial"/>
                <w:i/>
                <w:iCs/>
                <w:sz w:val="20"/>
                <w:szCs w:val="18"/>
              </w:rPr>
            </w:pPr>
            <w:r w:rsidRPr="00295C25">
              <w:rPr>
                <w:rFonts w:cs="Arial"/>
                <w:i/>
                <w:iCs/>
                <w:sz w:val="20"/>
                <w:szCs w:val="18"/>
              </w:rPr>
              <w:t>59,500</w:t>
            </w:r>
          </w:p>
        </w:tc>
        <w:tc>
          <w:tcPr>
            <w:tcW w:w="1031" w:type="dxa"/>
            <w:shd w:val="clear" w:color="auto" w:fill="70AD47" w:themeFill="accent6"/>
          </w:tcPr>
          <w:p w14:paraId="619A1AA1" w14:textId="59D6AA72" w:rsidR="00F24A9B" w:rsidRDefault="00F24A9B" w:rsidP="00452668">
            <w:pPr>
              <w:jc w:val="center"/>
              <w:rPr>
                <w:rFonts w:cs="Arial"/>
                <w:sz w:val="20"/>
                <w:szCs w:val="18"/>
              </w:rPr>
            </w:pPr>
            <w:r>
              <w:rPr>
                <w:rFonts w:cs="Arial"/>
                <w:sz w:val="20"/>
                <w:szCs w:val="18"/>
              </w:rPr>
              <w:t>62,</w:t>
            </w:r>
            <w:r w:rsidR="009916EB">
              <w:rPr>
                <w:rFonts w:cs="Arial"/>
                <w:sz w:val="20"/>
                <w:szCs w:val="18"/>
              </w:rPr>
              <w:t>801</w:t>
            </w:r>
          </w:p>
          <w:p w14:paraId="0B233B7E" w14:textId="5BD58EBB" w:rsidR="00452668" w:rsidRDefault="00452668" w:rsidP="00452668">
            <w:pPr>
              <w:jc w:val="center"/>
              <w:rPr>
                <w:rFonts w:cs="Arial"/>
                <w:sz w:val="20"/>
                <w:szCs w:val="18"/>
              </w:rPr>
            </w:pPr>
            <w:r>
              <w:rPr>
                <w:rFonts w:cs="Arial"/>
                <w:sz w:val="20"/>
                <w:szCs w:val="18"/>
              </w:rPr>
              <w:t>-</w:t>
            </w:r>
          </w:p>
          <w:p w14:paraId="0E65C101" w14:textId="41E6C23E" w:rsidR="00F24A9B" w:rsidRPr="00295C25" w:rsidRDefault="00F24A9B" w:rsidP="00452668">
            <w:pPr>
              <w:jc w:val="center"/>
              <w:rPr>
                <w:rFonts w:cs="Arial"/>
                <w:i/>
                <w:iCs/>
                <w:sz w:val="20"/>
                <w:szCs w:val="18"/>
              </w:rPr>
            </w:pPr>
            <w:r>
              <w:rPr>
                <w:rFonts w:cs="Arial"/>
                <w:i/>
                <w:iCs/>
                <w:sz w:val="20"/>
                <w:szCs w:val="18"/>
              </w:rPr>
              <w:t>63,000</w:t>
            </w:r>
          </w:p>
        </w:tc>
      </w:tr>
      <w:tr w:rsidR="00F24A9B" w:rsidRPr="006E0E48" w14:paraId="6C411A70" w14:textId="77777777" w:rsidTr="00A677A3">
        <w:trPr>
          <w:trHeight w:val="539"/>
        </w:trPr>
        <w:tc>
          <w:tcPr>
            <w:tcW w:w="473" w:type="dxa"/>
            <w:vMerge/>
            <w:textDirection w:val="btLr"/>
          </w:tcPr>
          <w:p w14:paraId="28C02CFA" w14:textId="336C2B7D" w:rsidR="00F24A9B" w:rsidRPr="006E0E48" w:rsidRDefault="00F24A9B" w:rsidP="00502766">
            <w:pPr>
              <w:ind w:left="113" w:right="113"/>
              <w:rPr>
                <w:rFonts w:cs="Arial"/>
                <w:b/>
                <w:sz w:val="20"/>
                <w:szCs w:val="18"/>
              </w:rPr>
            </w:pPr>
          </w:p>
        </w:tc>
        <w:tc>
          <w:tcPr>
            <w:tcW w:w="2357" w:type="dxa"/>
          </w:tcPr>
          <w:p w14:paraId="6F8A4ADC" w14:textId="271F0CDC" w:rsidR="00F24A9B" w:rsidRPr="006E0E48" w:rsidRDefault="00F24A9B" w:rsidP="00E944B6">
            <w:pPr>
              <w:rPr>
                <w:rFonts w:cs="Arial"/>
                <w:b/>
                <w:sz w:val="20"/>
                <w:szCs w:val="18"/>
              </w:rPr>
            </w:pPr>
            <w:r>
              <w:rPr>
                <w:rFonts w:cs="Arial"/>
                <w:b/>
                <w:bCs/>
                <w:sz w:val="20"/>
                <w:szCs w:val="18"/>
              </w:rPr>
              <w:t>Western</w:t>
            </w:r>
            <w:r w:rsidR="00452668">
              <w:rPr>
                <w:rFonts w:cs="Arial"/>
                <w:b/>
                <w:bCs/>
                <w:sz w:val="20"/>
                <w:szCs w:val="18"/>
              </w:rPr>
              <w:t xml:space="preserve"> Blacklip</w:t>
            </w:r>
            <w:r>
              <w:rPr>
                <w:rFonts w:cs="Arial"/>
                <w:b/>
                <w:bCs/>
                <w:sz w:val="20"/>
                <w:szCs w:val="18"/>
              </w:rPr>
              <w:t xml:space="preserve"> Zone</w:t>
            </w:r>
          </w:p>
        </w:tc>
        <w:tc>
          <w:tcPr>
            <w:tcW w:w="1031" w:type="dxa"/>
            <w:shd w:val="clear" w:color="auto" w:fill="70AD47" w:themeFill="accent6"/>
          </w:tcPr>
          <w:p w14:paraId="53C00F82" w14:textId="68794095" w:rsidR="00F24A9B" w:rsidRDefault="009916EB" w:rsidP="00452668">
            <w:pPr>
              <w:jc w:val="center"/>
              <w:rPr>
                <w:rFonts w:cs="Arial"/>
                <w:bCs/>
                <w:sz w:val="20"/>
                <w:szCs w:val="18"/>
              </w:rPr>
            </w:pPr>
            <w:r>
              <w:rPr>
                <w:rFonts w:cs="Arial"/>
                <w:bCs/>
                <w:sz w:val="20"/>
                <w:szCs w:val="18"/>
              </w:rPr>
              <w:t>702,612</w:t>
            </w:r>
          </w:p>
          <w:p w14:paraId="6C6CF6D7" w14:textId="799BEE75" w:rsidR="00452668" w:rsidRDefault="00452668" w:rsidP="00452668">
            <w:pPr>
              <w:jc w:val="center"/>
              <w:rPr>
                <w:rFonts w:cs="Arial"/>
                <w:bCs/>
                <w:sz w:val="20"/>
                <w:szCs w:val="18"/>
              </w:rPr>
            </w:pPr>
            <w:r>
              <w:rPr>
                <w:rFonts w:cs="Arial"/>
                <w:bCs/>
                <w:sz w:val="20"/>
                <w:szCs w:val="18"/>
              </w:rPr>
              <w:t>-</w:t>
            </w:r>
          </w:p>
          <w:p w14:paraId="2766DB2D" w14:textId="5C3576E9" w:rsidR="00F24A9B" w:rsidRPr="00295C25" w:rsidRDefault="00F24A9B" w:rsidP="00452668">
            <w:pPr>
              <w:jc w:val="center"/>
              <w:rPr>
                <w:rFonts w:cs="Arial"/>
                <w:bCs/>
                <w:i/>
                <w:iCs/>
                <w:sz w:val="20"/>
                <w:szCs w:val="18"/>
              </w:rPr>
            </w:pPr>
            <w:r w:rsidRPr="00295C25">
              <w:rPr>
                <w:rFonts w:cs="Arial"/>
                <w:bCs/>
                <w:i/>
                <w:iCs/>
                <w:sz w:val="20"/>
                <w:szCs w:val="18"/>
              </w:rPr>
              <w:t>717,500</w:t>
            </w:r>
          </w:p>
        </w:tc>
        <w:tc>
          <w:tcPr>
            <w:tcW w:w="1031" w:type="dxa"/>
            <w:shd w:val="clear" w:color="auto" w:fill="70AD47" w:themeFill="accent6"/>
          </w:tcPr>
          <w:p w14:paraId="39A512A7" w14:textId="345AB0D7" w:rsidR="00F24A9B" w:rsidRDefault="009916EB" w:rsidP="00452668">
            <w:pPr>
              <w:jc w:val="center"/>
              <w:rPr>
                <w:rFonts w:cs="Arial"/>
                <w:bCs/>
                <w:sz w:val="20"/>
                <w:szCs w:val="18"/>
              </w:rPr>
            </w:pPr>
            <w:r>
              <w:rPr>
                <w:rFonts w:cs="Arial"/>
                <w:bCs/>
                <w:sz w:val="20"/>
                <w:szCs w:val="18"/>
              </w:rPr>
              <w:t>541,826</w:t>
            </w:r>
          </w:p>
          <w:p w14:paraId="4DA80A61" w14:textId="49BDA017" w:rsidR="00452668" w:rsidRDefault="00452668" w:rsidP="00452668">
            <w:pPr>
              <w:jc w:val="center"/>
              <w:rPr>
                <w:rFonts w:cs="Arial"/>
                <w:bCs/>
                <w:sz w:val="20"/>
                <w:szCs w:val="18"/>
              </w:rPr>
            </w:pPr>
            <w:r>
              <w:rPr>
                <w:rFonts w:cs="Arial"/>
                <w:bCs/>
                <w:sz w:val="20"/>
                <w:szCs w:val="18"/>
              </w:rPr>
              <w:t>-</w:t>
            </w:r>
          </w:p>
          <w:p w14:paraId="2FF30D90" w14:textId="5D3ED409" w:rsidR="00F24A9B" w:rsidRPr="00295C25" w:rsidRDefault="00F24A9B" w:rsidP="00452668">
            <w:pPr>
              <w:jc w:val="center"/>
              <w:rPr>
                <w:rFonts w:cs="Arial"/>
                <w:bCs/>
                <w:i/>
                <w:iCs/>
                <w:sz w:val="20"/>
                <w:szCs w:val="18"/>
              </w:rPr>
            </w:pPr>
            <w:r w:rsidRPr="00295C25">
              <w:rPr>
                <w:rFonts w:cs="Arial"/>
                <w:bCs/>
                <w:i/>
                <w:iCs/>
                <w:sz w:val="20"/>
                <w:szCs w:val="18"/>
              </w:rPr>
              <w:t>549,500</w:t>
            </w:r>
          </w:p>
        </w:tc>
        <w:tc>
          <w:tcPr>
            <w:tcW w:w="1031" w:type="dxa"/>
            <w:shd w:val="clear" w:color="auto" w:fill="FFC000" w:themeFill="accent4"/>
          </w:tcPr>
          <w:p w14:paraId="15407025" w14:textId="64D4BA26" w:rsidR="00F24A9B" w:rsidRDefault="009916EB" w:rsidP="00452668">
            <w:pPr>
              <w:jc w:val="center"/>
              <w:rPr>
                <w:rFonts w:cs="Arial"/>
                <w:bCs/>
                <w:sz w:val="20"/>
                <w:szCs w:val="18"/>
              </w:rPr>
            </w:pPr>
            <w:r>
              <w:rPr>
                <w:rFonts w:cs="Arial"/>
                <w:bCs/>
                <w:sz w:val="20"/>
                <w:szCs w:val="18"/>
              </w:rPr>
              <w:t>379,007</w:t>
            </w:r>
          </w:p>
          <w:p w14:paraId="04DB2CDC" w14:textId="16259318" w:rsidR="00452668" w:rsidRDefault="00452668" w:rsidP="00452668">
            <w:pPr>
              <w:jc w:val="center"/>
              <w:rPr>
                <w:rFonts w:cs="Arial"/>
                <w:bCs/>
                <w:sz w:val="20"/>
                <w:szCs w:val="18"/>
              </w:rPr>
            </w:pPr>
            <w:r>
              <w:rPr>
                <w:rFonts w:cs="Arial"/>
                <w:bCs/>
                <w:sz w:val="20"/>
                <w:szCs w:val="18"/>
              </w:rPr>
              <w:t>-</w:t>
            </w:r>
          </w:p>
          <w:p w14:paraId="1A5C1A57" w14:textId="193491E4" w:rsidR="00F24A9B" w:rsidRPr="00295C25" w:rsidRDefault="00F24A9B" w:rsidP="00452668">
            <w:pPr>
              <w:jc w:val="center"/>
              <w:rPr>
                <w:rFonts w:cs="Arial"/>
                <w:bCs/>
                <w:i/>
                <w:iCs/>
                <w:sz w:val="20"/>
                <w:szCs w:val="18"/>
              </w:rPr>
            </w:pPr>
            <w:r w:rsidRPr="00295C25">
              <w:rPr>
                <w:rFonts w:cs="Arial"/>
                <w:bCs/>
                <w:i/>
                <w:iCs/>
                <w:sz w:val="20"/>
                <w:szCs w:val="18"/>
              </w:rPr>
              <w:t>378,000</w:t>
            </w:r>
          </w:p>
        </w:tc>
        <w:tc>
          <w:tcPr>
            <w:tcW w:w="1031" w:type="dxa"/>
            <w:shd w:val="clear" w:color="auto" w:fill="70AD47" w:themeFill="accent6"/>
          </w:tcPr>
          <w:p w14:paraId="3347CE3E" w14:textId="302F8E69" w:rsidR="00F24A9B" w:rsidRDefault="009916EB" w:rsidP="00452668">
            <w:pPr>
              <w:jc w:val="center"/>
              <w:rPr>
                <w:rFonts w:cs="Arial"/>
                <w:bCs/>
                <w:sz w:val="20"/>
                <w:szCs w:val="18"/>
              </w:rPr>
            </w:pPr>
            <w:r>
              <w:rPr>
                <w:rFonts w:cs="Arial"/>
                <w:bCs/>
                <w:sz w:val="20"/>
                <w:szCs w:val="18"/>
              </w:rPr>
              <w:t>335,844</w:t>
            </w:r>
          </w:p>
          <w:p w14:paraId="3867060B" w14:textId="5A84AF9C" w:rsidR="00452668" w:rsidRDefault="00452668" w:rsidP="00452668">
            <w:pPr>
              <w:jc w:val="center"/>
              <w:rPr>
                <w:rFonts w:cs="Arial"/>
                <w:bCs/>
                <w:sz w:val="20"/>
                <w:szCs w:val="18"/>
              </w:rPr>
            </w:pPr>
            <w:r>
              <w:rPr>
                <w:rFonts w:cs="Arial"/>
                <w:bCs/>
                <w:sz w:val="20"/>
                <w:szCs w:val="18"/>
              </w:rPr>
              <w:t>-</w:t>
            </w:r>
          </w:p>
          <w:p w14:paraId="5A6B4AF4" w14:textId="30CC3B1C" w:rsidR="00F24A9B" w:rsidRPr="00295C25" w:rsidRDefault="00F24A9B" w:rsidP="00452668">
            <w:pPr>
              <w:jc w:val="center"/>
              <w:rPr>
                <w:rFonts w:cs="Arial"/>
                <w:bCs/>
                <w:i/>
                <w:iCs/>
                <w:sz w:val="20"/>
                <w:szCs w:val="18"/>
              </w:rPr>
            </w:pPr>
            <w:r w:rsidRPr="00295C25">
              <w:rPr>
                <w:rFonts w:cs="Arial"/>
                <w:bCs/>
                <w:i/>
                <w:iCs/>
                <w:sz w:val="20"/>
                <w:szCs w:val="18"/>
              </w:rPr>
              <w:t>339,500</w:t>
            </w:r>
          </w:p>
        </w:tc>
        <w:tc>
          <w:tcPr>
            <w:tcW w:w="1031" w:type="dxa"/>
            <w:shd w:val="clear" w:color="auto" w:fill="70AD47" w:themeFill="accent6"/>
          </w:tcPr>
          <w:p w14:paraId="06A033B6" w14:textId="51C65239" w:rsidR="00F24A9B" w:rsidRDefault="009916EB" w:rsidP="00452668">
            <w:pPr>
              <w:jc w:val="center"/>
              <w:rPr>
                <w:rFonts w:cs="Arial"/>
                <w:bCs/>
                <w:sz w:val="20"/>
                <w:szCs w:val="18"/>
              </w:rPr>
            </w:pPr>
            <w:r>
              <w:rPr>
                <w:rFonts w:cs="Arial"/>
                <w:bCs/>
                <w:sz w:val="20"/>
                <w:szCs w:val="18"/>
              </w:rPr>
              <w:t>304,940</w:t>
            </w:r>
          </w:p>
          <w:p w14:paraId="66B6F245" w14:textId="30BFBCB2" w:rsidR="00452668" w:rsidRDefault="00452668" w:rsidP="00452668">
            <w:pPr>
              <w:jc w:val="center"/>
              <w:rPr>
                <w:rFonts w:cs="Arial"/>
                <w:bCs/>
                <w:sz w:val="20"/>
                <w:szCs w:val="18"/>
              </w:rPr>
            </w:pPr>
            <w:r>
              <w:rPr>
                <w:rFonts w:cs="Arial"/>
                <w:bCs/>
                <w:sz w:val="20"/>
                <w:szCs w:val="18"/>
              </w:rPr>
              <w:t>-</w:t>
            </w:r>
          </w:p>
          <w:p w14:paraId="61275A31" w14:textId="64BA2E85" w:rsidR="00F24A9B" w:rsidRPr="00295C25" w:rsidRDefault="00F24A9B" w:rsidP="00452668">
            <w:pPr>
              <w:jc w:val="center"/>
              <w:rPr>
                <w:rFonts w:cs="Arial"/>
                <w:bCs/>
                <w:i/>
                <w:iCs/>
                <w:sz w:val="20"/>
                <w:szCs w:val="18"/>
              </w:rPr>
            </w:pPr>
            <w:r w:rsidRPr="00295C25">
              <w:rPr>
                <w:rFonts w:cs="Arial"/>
                <w:bCs/>
                <w:i/>
                <w:iCs/>
                <w:sz w:val="20"/>
                <w:szCs w:val="18"/>
              </w:rPr>
              <w:t>311,500</w:t>
            </w:r>
          </w:p>
        </w:tc>
        <w:tc>
          <w:tcPr>
            <w:tcW w:w="1031" w:type="dxa"/>
            <w:shd w:val="clear" w:color="auto" w:fill="70AD47" w:themeFill="accent6"/>
          </w:tcPr>
          <w:p w14:paraId="3B8E2B3A" w14:textId="512D8D05" w:rsidR="00F24A9B" w:rsidRDefault="009916EB" w:rsidP="00452668">
            <w:pPr>
              <w:jc w:val="center"/>
              <w:rPr>
                <w:rFonts w:cs="Arial"/>
                <w:bCs/>
                <w:sz w:val="20"/>
                <w:szCs w:val="18"/>
              </w:rPr>
            </w:pPr>
            <w:r>
              <w:rPr>
                <w:rFonts w:cs="Arial"/>
                <w:bCs/>
                <w:sz w:val="20"/>
                <w:szCs w:val="18"/>
              </w:rPr>
              <w:t>290,086</w:t>
            </w:r>
          </w:p>
          <w:p w14:paraId="28DBDE84" w14:textId="2AD174BA" w:rsidR="00452668" w:rsidRDefault="00452668" w:rsidP="00452668">
            <w:pPr>
              <w:jc w:val="center"/>
              <w:rPr>
                <w:rFonts w:cs="Arial"/>
                <w:bCs/>
                <w:sz w:val="20"/>
                <w:szCs w:val="18"/>
              </w:rPr>
            </w:pPr>
            <w:r>
              <w:rPr>
                <w:rFonts w:cs="Arial"/>
                <w:bCs/>
                <w:sz w:val="20"/>
                <w:szCs w:val="18"/>
              </w:rPr>
              <w:t>-</w:t>
            </w:r>
          </w:p>
          <w:p w14:paraId="3DBBE4B0" w14:textId="11BDA612" w:rsidR="00F24A9B" w:rsidRPr="00295C25" w:rsidRDefault="00F24A9B" w:rsidP="00452668">
            <w:pPr>
              <w:jc w:val="center"/>
              <w:rPr>
                <w:rFonts w:cs="Arial"/>
                <w:bCs/>
                <w:i/>
                <w:iCs/>
                <w:sz w:val="20"/>
                <w:szCs w:val="18"/>
              </w:rPr>
            </w:pPr>
            <w:r w:rsidRPr="00295C25">
              <w:rPr>
                <w:rFonts w:cs="Arial"/>
                <w:bCs/>
                <w:i/>
                <w:iCs/>
                <w:sz w:val="20"/>
                <w:szCs w:val="18"/>
              </w:rPr>
              <w:t>294,000</w:t>
            </w:r>
          </w:p>
        </w:tc>
      </w:tr>
      <w:tr w:rsidR="00F24A9B" w14:paraId="6BD07E4B" w14:textId="77777777" w:rsidTr="00A677A3">
        <w:trPr>
          <w:trHeight w:val="536"/>
        </w:trPr>
        <w:tc>
          <w:tcPr>
            <w:tcW w:w="473" w:type="dxa"/>
            <w:vMerge/>
          </w:tcPr>
          <w:p w14:paraId="18A0271D" w14:textId="77777777" w:rsidR="00F24A9B" w:rsidRPr="006E0E48" w:rsidRDefault="00F24A9B" w:rsidP="00502766">
            <w:pPr>
              <w:rPr>
                <w:rFonts w:cs="Arial"/>
                <w:b/>
                <w:bCs/>
                <w:sz w:val="20"/>
                <w:szCs w:val="18"/>
              </w:rPr>
            </w:pPr>
          </w:p>
        </w:tc>
        <w:tc>
          <w:tcPr>
            <w:tcW w:w="2357" w:type="dxa"/>
          </w:tcPr>
          <w:p w14:paraId="229ECAA1" w14:textId="53930E98" w:rsidR="00F24A9B" w:rsidRPr="006E0E48" w:rsidRDefault="00F24A9B" w:rsidP="00502766">
            <w:pPr>
              <w:rPr>
                <w:rFonts w:cs="Arial"/>
                <w:b/>
                <w:bCs/>
                <w:sz w:val="20"/>
                <w:szCs w:val="18"/>
              </w:rPr>
            </w:pPr>
            <w:r>
              <w:rPr>
                <w:rFonts w:cs="Arial"/>
                <w:b/>
                <w:bCs/>
                <w:sz w:val="20"/>
                <w:szCs w:val="18"/>
              </w:rPr>
              <w:t xml:space="preserve">Bass Strait </w:t>
            </w:r>
            <w:r w:rsidR="00452668">
              <w:rPr>
                <w:rFonts w:cs="Arial"/>
                <w:b/>
                <w:bCs/>
                <w:sz w:val="20"/>
                <w:szCs w:val="18"/>
              </w:rPr>
              <w:t xml:space="preserve">Blacklip </w:t>
            </w:r>
            <w:r>
              <w:rPr>
                <w:rFonts w:cs="Arial"/>
                <w:b/>
                <w:bCs/>
                <w:sz w:val="20"/>
                <w:szCs w:val="18"/>
              </w:rPr>
              <w:t>Zone</w:t>
            </w:r>
          </w:p>
        </w:tc>
        <w:tc>
          <w:tcPr>
            <w:tcW w:w="1031" w:type="dxa"/>
            <w:shd w:val="clear" w:color="auto" w:fill="FFC000" w:themeFill="accent4"/>
          </w:tcPr>
          <w:p w14:paraId="79C05B5C" w14:textId="5FE8AB61" w:rsidR="00F24A9B" w:rsidRDefault="00F24A9B" w:rsidP="00452668">
            <w:pPr>
              <w:jc w:val="center"/>
              <w:rPr>
                <w:rFonts w:cs="Arial"/>
                <w:sz w:val="20"/>
                <w:szCs w:val="18"/>
              </w:rPr>
            </w:pPr>
            <w:r>
              <w:rPr>
                <w:rFonts w:cs="Arial"/>
                <w:sz w:val="20"/>
                <w:szCs w:val="18"/>
              </w:rPr>
              <w:t>91,0</w:t>
            </w:r>
            <w:r w:rsidR="009916EB">
              <w:rPr>
                <w:rFonts w:cs="Arial"/>
                <w:sz w:val="20"/>
                <w:szCs w:val="18"/>
              </w:rPr>
              <w:t>04</w:t>
            </w:r>
          </w:p>
          <w:p w14:paraId="528AE0EF" w14:textId="6E17F424" w:rsidR="00452668" w:rsidRDefault="00452668" w:rsidP="00452668">
            <w:pPr>
              <w:jc w:val="center"/>
              <w:rPr>
                <w:rFonts w:cs="Arial"/>
                <w:sz w:val="20"/>
                <w:szCs w:val="18"/>
              </w:rPr>
            </w:pPr>
            <w:r>
              <w:rPr>
                <w:rFonts w:cs="Arial"/>
                <w:sz w:val="20"/>
                <w:szCs w:val="18"/>
              </w:rPr>
              <w:t>-</w:t>
            </w:r>
          </w:p>
          <w:p w14:paraId="40D0366A" w14:textId="52798C4F" w:rsidR="00F24A9B" w:rsidRPr="001E1C93" w:rsidRDefault="00F24A9B" w:rsidP="00452668">
            <w:pPr>
              <w:jc w:val="center"/>
              <w:rPr>
                <w:rFonts w:cs="Arial"/>
                <w:i/>
                <w:iCs/>
                <w:sz w:val="20"/>
                <w:szCs w:val="18"/>
              </w:rPr>
            </w:pPr>
            <w:r w:rsidRPr="001E1C93">
              <w:rPr>
                <w:rFonts w:cs="Arial"/>
                <w:i/>
                <w:iCs/>
                <w:sz w:val="20"/>
                <w:szCs w:val="18"/>
              </w:rPr>
              <w:t>91,000</w:t>
            </w:r>
          </w:p>
        </w:tc>
        <w:tc>
          <w:tcPr>
            <w:tcW w:w="1031" w:type="dxa"/>
            <w:shd w:val="clear" w:color="auto" w:fill="FFC000" w:themeFill="accent4"/>
          </w:tcPr>
          <w:p w14:paraId="4AE3E645" w14:textId="3DC2257C" w:rsidR="00F24A9B" w:rsidRDefault="00F24A9B" w:rsidP="00452668">
            <w:pPr>
              <w:jc w:val="center"/>
              <w:rPr>
                <w:rFonts w:cs="Arial"/>
                <w:sz w:val="20"/>
                <w:szCs w:val="18"/>
              </w:rPr>
            </w:pPr>
            <w:r>
              <w:rPr>
                <w:rFonts w:cs="Arial"/>
                <w:sz w:val="20"/>
                <w:szCs w:val="18"/>
              </w:rPr>
              <w:t>9</w:t>
            </w:r>
            <w:r w:rsidR="009916EB">
              <w:rPr>
                <w:rFonts w:cs="Arial"/>
                <w:sz w:val="20"/>
                <w:szCs w:val="18"/>
              </w:rPr>
              <w:t>3,341</w:t>
            </w:r>
          </w:p>
          <w:p w14:paraId="2B1551F5" w14:textId="0AB36F6C" w:rsidR="00452668" w:rsidRDefault="00452668" w:rsidP="00452668">
            <w:pPr>
              <w:jc w:val="center"/>
              <w:rPr>
                <w:rFonts w:cs="Arial"/>
                <w:sz w:val="20"/>
                <w:szCs w:val="18"/>
              </w:rPr>
            </w:pPr>
            <w:r>
              <w:rPr>
                <w:rFonts w:cs="Arial"/>
                <w:sz w:val="20"/>
                <w:szCs w:val="18"/>
              </w:rPr>
              <w:t>-</w:t>
            </w:r>
          </w:p>
          <w:p w14:paraId="0EC455A1" w14:textId="4A8182F6" w:rsidR="00F24A9B" w:rsidRPr="001E1C93" w:rsidRDefault="00F24A9B" w:rsidP="00452668">
            <w:pPr>
              <w:jc w:val="center"/>
              <w:rPr>
                <w:rFonts w:cs="Arial"/>
                <w:i/>
                <w:iCs/>
                <w:sz w:val="20"/>
                <w:szCs w:val="18"/>
              </w:rPr>
            </w:pPr>
            <w:r w:rsidRPr="001E1C93">
              <w:rPr>
                <w:rFonts w:cs="Arial"/>
                <w:i/>
                <w:iCs/>
                <w:sz w:val="20"/>
                <w:szCs w:val="18"/>
              </w:rPr>
              <w:t>91,000</w:t>
            </w:r>
          </w:p>
        </w:tc>
        <w:tc>
          <w:tcPr>
            <w:tcW w:w="1031" w:type="dxa"/>
            <w:shd w:val="clear" w:color="auto" w:fill="FFC000" w:themeFill="accent4"/>
          </w:tcPr>
          <w:p w14:paraId="0D0DAD07" w14:textId="160EE2D1" w:rsidR="00F24A9B" w:rsidRDefault="00F24A9B" w:rsidP="00452668">
            <w:pPr>
              <w:jc w:val="center"/>
              <w:rPr>
                <w:rFonts w:cs="Arial"/>
                <w:sz w:val="20"/>
                <w:szCs w:val="18"/>
              </w:rPr>
            </w:pPr>
            <w:r>
              <w:rPr>
                <w:rFonts w:cs="Arial"/>
                <w:sz w:val="20"/>
                <w:szCs w:val="18"/>
              </w:rPr>
              <w:t>87,</w:t>
            </w:r>
            <w:r w:rsidR="009916EB">
              <w:rPr>
                <w:rFonts w:cs="Arial"/>
                <w:sz w:val="20"/>
                <w:szCs w:val="18"/>
              </w:rPr>
              <w:t>510</w:t>
            </w:r>
          </w:p>
          <w:p w14:paraId="55A549D3" w14:textId="3A88B24C" w:rsidR="00452668" w:rsidRDefault="00452668" w:rsidP="00452668">
            <w:pPr>
              <w:jc w:val="center"/>
              <w:rPr>
                <w:rFonts w:cs="Arial"/>
                <w:sz w:val="20"/>
                <w:szCs w:val="18"/>
              </w:rPr>
            </w:pPr>
            <w:r>
              <w:rPr>
                <w:rFonts w:cs="Arial"/>
                <w:sz w:val="20"/>
                <w:szCs w:val="18"/>
              </w:rPr>
              <w:t>-</w:t>
            </w:r>
          </w:p>
          <w:p w14:paraId="1D15C227" w14:textId="0AD64218" w:rsidR="00F24A9B" w:rsidRPr="001E1C93" w:rsidRDefault="00F24A9B" w:rsidP="00452668">
            <w:pPr>
              <w:jc w:val="center"/>
              <w:rPr>
                <w:rFonts w:cs="Arial"/>
                <w:i/>
                <w:iCs/>
                <w:sz w:val="20"/>
                <w:szCs w:val="18"/>
              </w:rPr>
            </w:pPr>
            <w:r w:rsidRPr="001E1C93">
              <w:rPr>
                <w:rFonts w:cs="Arial"/>
                <w:i/>
                <w:iCs/>
                <w:sz w:val="20"/>
                <w:szCs w:val="18"/>
              </w:rPr>
              <w:t>87,500</w:t>
            </w:r>
          </w:p>
        </w:tc>
        <w:tc>
          <w:tcPr>
            <w:tcW w:w="1031" w:type="dxa"/>
            <w:shd w:val="clear" w:color="auto" w:fill="FFC000" w:themeFill="accent4"/>
          </w:tcPr>
          <w:p w14:paraId="6B24166B" w14:textId="1F5017A8" w:rsidR="00F24A9B" w:rsidRDefault="009916EB" w:rsidP="00452668">
            <w:pPr>
              <w:jc w:val="center"/>
              <w:rPr>
                <w:rFonts w:cs="Arial"/>
                <w:sz w:val="20"/>
                <w:szCs w:val="18"/>
              </w:rPr>
            </w:pPr>
            <w:r>
              <w:rPr>
                <w:rFonts w:cs="Arial"/>
                <w:sz w:val="20"/>
                <w:szCs w:val="18"/>
              </w:rPr>
              <w:t>80,667</w:t>
            </w:r>
          </w:p>
          <w:p w14:paraId="4FE26688" w14:textId="2F51CC9D" w:rsidR="00452668" w:rsidRDefault="00452668" w:rsidP="00452668">
            <w:pPr>
              <w:jc w:val="center"/>
              <w:rPr>
                <w:rFonts w:cs="Arial"/>
                <w:sz w:val="20"/>
                <w:szCs w:val="18"/>
              </w:rPr>
            </w:pPr>
            <w:r>
              <w:rPr>
                <w:rFonts w:cs="Arial"/>
                <w:sz w:val="20"/>
                <w:szCs w:val="18"/>
              </w:rPr>
              <w:t>-</w:t>
            </w:r>
          </w:p>
          <w:p w14:paraId="66C622A4" w14:textId="7C9CDDCF" w:rsidR="00F24A9B" w:rsidRPr="001E1C93" w:rsidRDefault="00F24A9B" w:rsidP="00452668">
            <w:pPr>
              <w:jc w:val="center"/>
              <w:rPr>
                <w:rFonts w:cs="Arial"/>
                <w:i/>
                <w:iCs/>
                <w:sz w:val="20"/>
                <w:szCs w:val="18"/>
              </w:rPr>
            </w:pPr>
            <w:r w:rsidRPr="001E1C93">
              <w:rPr>
                <w:rFonts w:cs="Arial"/>
                <w:i/>
                <w:iCs/>
                <w:sz w:val="20"/>
                <w:szCs w:val="18"/>
              </w:rPr>
              <w:t>80,500</w:t>
            </w:r>
          </w:p>
        </w:tc>
        <w:tc>
          <w:tcPr>
            <w:tcW w:w="1031" w:type="dxa"/>
            <w:shd w:val="clear" w:color="auto" w:fill="70AD47" w:themeFill="accent6"/>
          </w:tcPr>
          <w:p w14:paraId="02FB1D0B" w14:textId="166E7203" w:rsidR="00F24A9B" w:rsidRDefault="00F24A9B" w:rsidP="00452668">
            <w:pPr>
              <w:jc w:val="center"/>
              <w:rPr>
                <w:rFonts w:cs="Arial"/>
                <w:sz w:val="20"/>
                <w:szCs w:val="18"/>
              </w:rPr>
            </w:pPr>
            <w:r>
              <w:rPr>
                <w:rFonts w:cs="Arial"/>
                <w:sz w:val="20"/>
                <w:szCs w:val="18"/>
              </w:rPr>
              <w:t>83,</w:t>
            </w:r>
            <w:r w:rsidR="009916EB">
              <w:rPr>
                <w:rFonts w:cs="Arial"/>
                <w:sz w:val="20"/>
                <w:szCs w:val="18"/>
              </w:rPr>
              <w:t>010</w:t>
            </w:r>
          </w:p>
          <w:p w14:paraId="5F172F3E" w14:textId="46B6C64A" w:rsidR="00452668" w:rsidRDefault="00452668" w:rsidP="00452668">
            <w:pPr>
              <w:jc w:val="center"/>
              <w:rPr>
                <w:rFonts w:cs="Arial"/>
                <w:sz w:val="20"/>
                <w:szCs w:val="18"/>
              </w:rPr>
            </w:pPr>
            <w:r>
              <w:rPr>
                <w:rFonts w:cs="Arial"/>
                <w:sz w:val="20"/>
                <w:szCs w:val="18"/>
              </w:rPr>
              <w:t>-</w:t>
            </w:r>
          </w:p>
          <w:p w14:paraId="5A2BCA90" w14:textId="7281A8E3" w:rsidR="00F24A9B" w:rsidRPr="001E1C93" w:rsidRDefault="00F24A9B" w:rsidP="00452668">
            <w:pPr>
              <w:jc w:val="center"/>
              <w:rPr>
                <w:rFonts w:cs="Arial"/>
                <w:i/>
                <w:iCs/>
                <w:sz w:val="20"/>
                <w:szCs w:val="18"/>
              </w:rPr>
            </w:pPr>
            <w:r w:rsidRPr="001E1C93">
              <w:rPr>
                <w:rFonts w:cs="Arial"/>
                <w:i/>
                <w:iCs/>
                <w:sz w:val="20"/>
                <w:szCs w:val="18"/>
              </w:rPr>
              <w:t>84,000</w:t>
            </w:r>
          </w:p>
        </w:tc>
        <w:tc>
          <w:tcPr>
            <w:tcW w:w="1031" w:type="dxa"/>
            <w:shd w:val="clear" w:color="auto" w:fill="FFC000" w:themeFill="accent4"/>
          </w:tcPr>
          <w:p w14:paraId="2B790515" w14:textId="47B93FB9" w:rsidR="00F24A9B" w:rsidRDefault="00F24A9B" w:rsidP="00452668">
            <w:pPr>
              <w:jc w:val="center"/>
              <w:rPr>
                <w:rFonts w:cs="Arial"/>
                <w:sz w:val="20"/>
                <w:szCs w:val="18"/>
              </w:rPr>
            </w:pPr>
            <w:r>
              <w:rPr>
                <w:rFonts w:cs="Arial"/>
                <w:sz w:val="20"/>
                <w:szCs w:val="18"/>
              </w:rPr>
              <w:t>80,</w:t>
            </w:r>
            <w:r w:rsidR="009916EB">
              <w:rPr>
                <w:rFonts w:cs="Arial"/>
                <w:sz w:val="20"/>
                <w:szCs w:val="18"/>
              </w:rPr>
              <w:t>985</w:t>
            </w:r>
          </w:p>
          <w:p w14:paraId="17F3C7F4" w14:textId="4077C06A" w:rsidR="00452668" w:rsidRDefault="00452668" w:rsidP="00452668">
            <w:pPr>
              <w:jc w:val="center"/>
              <w:rPr>
                <w:rFonts w:cs="Arial"/>
                <w:sz w:val="20"/>
                <w:szCs w:val="18"/>
              </w:rPr>
            </w:pPr>
            <w:r>
              <w:rPr>
                <w:rFonts w:cs="Arial"/>
                <w:sz w:val="20"/>
                <w:szCs w:val="18"/>
              </w:rPr>
              <w:t>-</w:t>
            </w:r>
          </w:p>
          <w:p w14:paraId="5D06E01C" w14:textId="05D5D8B6" w:rsidR="00F24A9B" w:rsidRPr="001E1C93" w:rsidRDefault="00F24A9B" w:rsidP="00452668">
            <w:pPr>
              <w:jc w:val="center"/>
              <w:rPr>
                <w:rFonts w:cs="Arial"/>
                <w:i/>
                <w:iCs/>
                <w:sz w:val="20"/>
                <w:szCs w:val="18"/>
              </w:rPr>
            </w:pPr>
            <w:r w:rsidRPr="001E1C93">
              <w:rPr>
                <w:rFonts w:cs="Arial"/>
                <w:i/>
                <w:iCs/>
                <w:sz w:val="20"/>
                <w:szCs w:val="18"/>
              </w:rPr>
              <w:t>80,500</w:t>
            </w:r>
          </w:p>
        </w:tc>
      </w:tr>
      <w:tr w:rsidR="00F24A9B" w14:paraId="164A81E1" w14:textId="77777777" w:rsidTr="00A677A3">
        <w:trPr>
          <w:trHeight w:val="568"/>
        </w:trPr>
        <w:tc>
          <w:tcPr>
            <w:tcW w:w="473" w:type="dxa"/>
            <w:vMerge/>
          </w:tcPr>
          <w:p w14:paraId="3889E135" w14:textId="77777777" w:rsidR="00F24A9B" w:rsidRPr="006E0E48" w:rsidRDefault="00F24A9B" w:rsidP="00502766">
            <w:pPr>
              <w:rPr>
                <w:rFonts w:cs="Arial"/>
                <w:b/>
                <w:bCs/>
                <w:sz w:val="20"/>
                <w:szCs w:val="18"/>
              </w:rPr>
            </w:pPr>
          </w:p>
        </w:tc>
        <w:tc>
          <w:tcPr>
            <w:tcW w:w="2357" w:type="dxa"/>
          </w:tcPr>
          <w:p w14:paraId="1C917FB4" w14:textId="316A5E02" w:rsidR="00F24A9B" w:rsidRPr="006E0E48" w:rsidRDefault="00F24A9B" w:rsidP="00502766">
            <w:pPr>
              <w:rPr>
                <w:rFonts w:cs="Arial"/>
                <w:b/>
                <w:bCs/>
                <w:sz w:val="20"/>
                <w:szCs w:val="18"/>
              </w:rPr>
            </w:pPr>
            <w:r>
              <w:rPr>
                <w:rFonts w:cs="Arial"/>
                <w:b/>
                <w:bCs/>
                <w:sz w:val="20"/>
                <w:szCs w:val="18"/>
              </w:rPr>
              <w:t>Greenlip Abalone</w:t>
            </w:r>
            <w:r w:rsidR="00452668">
              <w:rPr>
                <w:rFonts w:cs="Arial"/>
                <w:b/>
                <w:bCs/>
                <w:sz w:val="20"/>
                <w:szCs w:val="18"/>
              </w:rPr>
              <w:t xml:space="preserve"> Zone</w:t>
            </w:r>
          </w:p>
        </w:tc>
        <w:tc>
          <w:tcPr>
            <w:tcW w:w="1031" w:type="dxa"/>
            <w:shd w:val="clear" w:color="auto" w:fill="FFC000" w:themeFill="accent4"/>
          </w:tcPr>
          <w:p w14:paraId="3CB2E870" w14:textId="3A52F078" w:rsidR="00F24A9B" w:rsidRDefault="009916EB" w:rsidP="00452668">
            <w:pPr>
              <w:jc w:val="center"/>
              <w:rPr>
                <w:rFonts w:cs="Arial"/>
                <w:sz w:val="20"/>
                <w:szCs w:val="18"/>
              </w:rPr>
            </w:pPr>
            <w:r>
              <w:rPr>
                <w:rFonts w:cs="Arial"/>
                <w:sz w:val="20"/>
                <w:szCs w:val="18"/>
              </w:rPr>
              <w:t>109,194</w:t>
            </w:r>
          </w:p>
          <w:p w14:paraId="0F892ABE" w14:textId="27FDE9D0" w:rsidR="00452668" w:rsidRDefault="00452668" w:rsidP="00452668">
            <w:pPr>
              <w:jc w:val="center"/>
              <w:rPr>
                <w:rFonts w:cs="Arial"/>
                <w:sz w:val="20"/>
                <w:szCs w:val="18"/>
              </w:rPr>
            </w:pPr>
            <w:r>
              <w:rPr>
                <w:rFonts w:cs="Arial"/>
                <w:sz w:val="20"/>
                <w:szCs w:val="18"/>
              </w:rPr>
              <w:t>-</w:t>
            </w:r>
          </w:p>
          <w:p w14:paraId="14DCE0E1" w14:textId="32E162AD" w:rsidR="00F24A9B" w:rsidRPr="001E1C93" w:rsidRDefault="00F24A9B" w:rsidP="00452668">
            <w:pPr>
              <w:jc w:val="center"/>
              <w:rPr>
                <w:rFonts w:cs="Arial"/>
                <w:i/>
                <w:iCs/>
                <w:sz w:val="20"/>
                <w:szCs w:val="18"/>
              </w:rPr>
            </w:pPr>
            <w:r w:rsidRPr="001E1C93">
              <w:rPr>
                <w:rFonts w:cs="Arial"/>
                <w:i/>
                <w:iCs/>
                <w:sz w:val="20"/>
                <w:szCs w:val="18"/>
              </w:rPr>
              <w:t>108,500</w:t>
            </w:r>
          </w:p>
        </w:tc>
        <w:tc>
          <w:tcPr>
            <w:tcW w:w="1031" w:type="dxa"/>
            <w:shd w:val="clear" w:color="auto" w:fill="FFC000" w:themeFill="accent4"/>
          </w:tcPr>
          <w:p w14:paraId="6585B22D" w14:textId="2962974F" w:rsidR="00F24A9B" w:rsidRDefault="009916EB" w:rsidP="00452668">
            <w:pPr>
              <w:jc w:val="center"/>
              <w:rPr>
                <w:rFonts w:cs="Arial"/>
                <w:sz w:val="20"/>
                <w:szCs w:val="18"/>
              </w:rPr>
            </w:pPr>
            <w:r>
              <w:rPr>
                <w:rFonts w:cs="Arial"/>
                <w:sz w:val="20"/>
                <w:szCs w:val="18"/>
              </w:rPr>
              <w:t>85,439</w:t>
            </w:r>
          </w:p>
          <w:p w14:paraId="646D5DDB" w14:textId="20C62647" w:rsidR="00452668" w:rsidRDefault="00452668" w:rsidP="00452668">
            <w:pPr>
              <w:jc w:val="center"/>
              <w:rPr>
                <w:rFonts w:cs="Arial"/>
                <w:sz w:val="20"/>
                <w:szCs w:val="18"/>
              </w:rPr>
            </w:pPr>
            <w:r>
              <w:rPr>
                <w:rFonts w:cs="Arial"/>
                <w:sz w:val="20"/>
                <w:szCs w:val="18"/>
              </w:rPr>
              <w:t>-</w:t>
            </w:r>
          </w:p>
          <w:p w14:paraId="78ABCBF6" w14:textId="2A41AF14" w:rsidR="00F24A9B" w:rsidRPr="001E1C93" w:rsidRDefault="00F24A9B" w:rsidP="00452668">
            <w:pPr>
              <w:jc w:val="center"/>
              <w:rPr>
                <w:rFonts w:cs="Arial"/>
                <w:i/>
                <w:iCs/>
                <w:sz w:val="20"/>
                <w:szCs w:val="18"/>
              </w:rPr>
            </w:pPr>
            <w:r w:rsidRPr="001E1C93">
              <w:rPr>
                <w:rFonts w:cs="Arial"/>
                <w:i/>
                <w:iCs/>
                <w:sz w:val="20"/>
                <w:szCs w:val="18"/>
              </w:rPr>
              <w:t>84,000</w:t>
            </w:r>
          </w:p>
        </w:tc>
        <w:tc>
          <w:tcPr>
            <w:tcW w:w="1031" w:type="dxa"/>
            <w:shd w:val="clear" w:color="auto" w:fill="70AD47" w:themeFill="accent6"/>
          </w:tcPr>
          <w:p w14:paraId="6464E759" w14:textId="09834B82" w:rsidR="00F24A9B" w:rsidRDefault="009916EB" w:rsidP="00452668">
            <w:pPr>
              <w:jc w:val="center"/>
              <w:rPr>
                <w:rFonts w:cs="Arial"/>
                <w:sz w:val="20"/>
                <w:szCs w:val="18"/>
              </w:rPr>
            </w:pPr>
            <w:r>
              <w:rPr>
                <w:rFonts w:cs="Arial"/>
                <w:sz w:val="20"/>
                <w:szCs w:val="18"/>
              </w:rPr>
              <w:t>83,359</w:t>
            </w:r>
          </w:p>
          <w:p w14:paraId="412B4A38" w14:textId="292CD864" w:rsidR="00452668" w:rsidRDefault="00452668" w:rsidP="00452668">
            <w:pPr>
              <w:jc w:val="center"/>
              <w:rPr>
                <w:rFonts w:cs="Arial"/>
                <w:sz w:val="20"/>
                <w:szCs w:val="18"/>
              </w:rPr>
            </w:pPr>
            <w:r>
              <w:rPr>
                <w:rFonts w:cs="Arial"/>
                <w:sz w:val="20"/>
                <w:szCs w:val="18"/>
              </w:rPr>
              <w:t>-</w:t>
            </w:r>
          </w:p>
          <w:p w14:paraId="71BC8D5B" w14:textId="031A0F0A" w:rsidR="00F24A9B" w:rsidRPr="001E1C93" w:rsidRDefault="00F24A9B" w:rsidP="00452668">
            <w:pPr>
              <w:jc w:val="center"/>
              <w:rPr>
                <w:rFonts w:cs="Arial"/>
                <w:i/>
                <w:iCs/>
                <w:sz w:val="20"/>
                <w:szCs w:val="18"/>
              </w:rPr>
            </w:pPr>
            <w:r w:rsidRPr="001E1C93">
              <w:rPr>
                <w:rFonts w:cs="Arial"/>
                <w:i/>
                <w:iCs/>
                <w:sz w:val="20"/>
                <w:szCs w:val="18"/>
              </w:rPr>
              <w:t>84,000</w:t>
            </w:r>
          </w:p>
        </w:tc>
        <w:tc>
          <w:tcPr>
            <w:tcW w:w="1031" w:type="dxa"/>
            <w:shd w:val="clear" w:color="auto" w:fill="70AD47" w:themeFill="accent6"/>
          </w:tcPr>
          <w:p w14:paraId="290A05A0" w14:textId="43E7C68C" w:rsidR="00F24A9B" w:rsidRDefault="00F24A9B" w:rsidP="00452668">
            <w:pPr>
              <w:jc w:val="center"/>
              <w:rPr>
                <w:rFonts w:cs="Arial"/>
                <w:sz w:val="20"/>
                <w:szCs w:val="18"/>
              </w:rPr>
            </w:pPr>
            <w:r>
              <w:rPr>
                <w:rFonts w:cs="Arial"/>
                <w:sz w:val="20"/>
                <w:szCs w:val="18"/>
              </w:rPr>
              <w:t>90,</w:t>
            </w:r>
            <w:r w:rsidR="009916EB">
              <w:rPr>
                <w:rFonts w:cs="Arial"/>
                <w:sz w:val="20"/>
                <w:szCs w:val="18"/>
              </w:rPr>
              <w:t>073</w:t>
            </w:r>
          </w:p>
          <w:p w14:paraId="71C663EA" w14:textId="70236DD0" w:rsidR="00452668" w:rsidRDefault="00452668" w:rsidP="00452668">
            <w:pPr>
              <w:jc w:val="center"/>
              <w:rPr>
                <w:rFonts w:cs="Arial"/>
                <w:sz w:val="20"/>
                <w:szCs w:val="18"/>
              </w:rPr>
            </w:pPr>
            <w:r>
              <w:rPr>
                <w:rFonts w:cs="Arial"/>
                <w:sz w:val="20"/>
                <w:szCs w:val="18"/>
              </w:rPr>
              <w:t>-</w:t>
            </w:r>
          </w:p>
          <w:p w14:paraId="6987D8F6" w14:textId="7B079B77" w:rsidR="00F24A9B" w:rsidRPr="001E1C93" w:rsidRDefault="00F24A9B" w:rsidP="00452668">
            <w:pPr>
              <w:jc w:val="center"/>
              <w:rPr>
                <w:rFonts w:cs="Arial"/>
                <w:i/>
                <w:iCs/>
                <w:sz w:val="20"/>
                <w:szCs w:val="18"/>
              </w:rPr>
            </w:pPr>
            <w:r w:rsidRPr="001E1C93">
              <w:rPr>
                <w:rFonts w:cs="Arial"/>
                <w:i/>
                <w:iCs/>
                <w:sz w:val="20"/>
                <w:szCs w:val="18"/>
              </w:rPr>
              <w:t>91,000</w:t>
            </w:r>
          </w:p>
        </w:tc>
        <w:tc>
          <w:tcPr>
            <w:tcW w:w="1031" w:type="dxa"/>
            <w:shd w:val="clear" w:color="auto" w:fill="FFC000" w:themeFill="accent4"/>
          </w:tcPr>
          <w:p w14:paraId="0CA5724E" w14:textId="298EBF47" w:rsidR="00F24A9B" w:rsidRDefault="00F24A9B" w:rsidP="00452668">
            <w:pPr>
              <w:jc w:val="center"/>
              <w:rPr>
                <w:rFonts w:cs="Arial"/>
                <w:sz w:val="20"/>
                <w:szCs w:val="18"/>
              </w:rPr>
            </w:pPr>
            <w:r>
              <w:rPr>
                <w:rFonts w:cs="Arial"/>
                <w:sz w:val="20"/>
                <w:szCs w:val="18"/>
              </w:rPr>
              <w:t>9</w:t>
            </w:r>
            <w:r w:rsidR="009916EB">
              <w:rPr>
                <w:rFonts w:cs="Arial"/>
                <w:sz w:val="20"/>
                <w:szCs w:val="18"/>
              </w:rPr>
              <w:t>1,273</w:t>
            </w:r>
          </w:p>
          <w:p w14:paraId="4342BB86" w14:textId="6CE1E59D" w:rsidR="00452668" w:rsidRDefault="00452668" w:rsidP="00452668">
            <w:pPr>
              <w:jc w:val="center"/>
              <w:rPr>
                <w:rFonts w:cs="Arial"/>
                <w:sz w:val="20"/>
                <w:szCs w:val="18"/>
              </w:rPr>
            </w:pPr>
            <w:r>
              <w:rPr>
                <w:rFonts w:cs="Arial"/>
                <w:sz w:val="20"/>
                <w:szCs w:val="18"/>
              </w:rPr>
              <w:t>-</w:t>
            </w:r>
          </w:p>
          <w:p w14:paraId="1B9B4DC8" w14:textId="0A5E4FE5" w:rsidR="00F24A9B" w:rsidRPr="001E1C93" w:rsidRDefault="00F24A9B" w:rsidP="00452668">
            <w:pPr>
              <w:jc w:val="center"/>
              <w:rPr>
                <w:rFonts w:cs="Arial"/>
                <w:i/>
                <w:iCs/>
                <w:sz w:val="20"/>
                <w:szCs w:val="18"/>
              </w:rPr>
            </w:pPr>
            <w:r w:rsidRPr="001E1C93">
              <w:rPr>
                <w:rFonts w:cs="Arial"/>
                <w:i/>
                <w:iCs/>
                <w:sz w:val="20"/>
                <w:szCs w:val="18"/>
              </w:rPr>
              <w:t>91,000</w:t>
            </w:r>
          </w:p>
        </w:tc>
        <w:tc>
          <w:tcPr>
            <w:tcW w:w="1031" w:type="dxa"/>
            <w:shd w:val="clear" w:color="auto" w:fill="FFC000" w:themeFill="accent4"/>
          </w:tcPr>
          <w:p w14:paraId="79E009C5" w14:textId="5917F3AF" w:rsidR="00F24A9B" w:rsidRDefault="009916EB" w:rsidP="00452668">
            <w:pPr>
              <w:jc w:val="center"/>
              <w:rPr>
                <w:rFonts w:cs="Arial"/>
                <w:sz w:val="20"/>
                <w:szCs w:val="18"/>
              </w:rPr>
            </w:pPr>
            <w:r>
              <w:rPr>
                <w:rFonts w:cs="Arial"/>
                <w:sz w:val="20"/>
                <w:szCs w:val="18"/>
              </w:rPr>
              <w:t>88,836</w:t>
            </w:r>
          </w:p>
          <w:p w14:paraId="72F5DC71" w14:textId="4D1D68DD" w:rsidR="00452668" w:rsidRDefault="00452668" w:rsidP="00452668">
            <w:pPr>
              <w:jc w:val="center"/>
              <w:rPr>
                <w:rFonts w:cs="Arial"/>
                <w:sz w:val="20"/>
                <w:szCs w:val="18"/>
              </w:rPr>
            </w:pPr>
            <w:r>
              <w:rPr>
                <w:rFonts w:cs="Arial"/>
                <w:sz w:val="20"/>
                <w:szCs w:val="18"/>
              </w:rPr>
              <w:t>-</w:t>
            </w:r>
          </w:p>
          <w:p w14:paraId="3003A129" w14:textId="0C073434" w:rsidR="00F24A9B" w:rsidRPr="001E1C93" w:rsidRDefault="00F24A9B" w:rsidP="00452668">
            <w:pPr>
              <w:jc w:val="center"/>
              <w:rPr>
                <w:rFonts w:cs="Arial"/>
                <w:i/>
                <w:iCs/>
                <w:sz w:val="20"/>
                <w:szCs w:val="18"/>
              </w:rPr>
            </w:pPr>
            <w:r w:rsidRPr="001E1C93">
              <w:rPr>
                <w:rFonts w:cs="Arial"/>
                <w:i/>
                <w:iCs/>
                <w:sz w:val="20"/>
                <w:szCs w:val="18"/>
              </w:rPr>
              <w:t>87,500</w:t>
            </w:r>
          </w:p>
        </w:tc>
      </w:tr>
      <w:tr w:rsidR="00F24A9B" w:rsidRPr="006E0E48" w14:paraId="3680DFD4" w14:textId="77777777" w:rsidTr="00A677A3">
        <w:trPr>
          <w:trHeight w:val="594"/>
        </w:trPr>
        <w:tc>
          <w:tcPr>
            <w:tcW w:w="473" w:type="dxa"/>
            <w:vMerge/>
            <w:textDirection w:val="btLr"/>
          </w:tcPr>
          <w:p w14:paraId="2EA61708" w14:textId="77777777" w:rsidR="00F24A9B" w:rsidRPr="006E0E48" w:rsidRDefault="00F24A9B" w:rsidP="00502766">
            <w:pPr>
              <w:ind w:left="113" w:right="113"/>
              <w:rPr>
                <w:rFonts w:cs="Arial"/>
                <w:b/>
                <w:sz w:val="20"/>
                <w:szCs w:val="18"/>
              </w:rPr>
            </w:pPr>
          </w:p>
        </w:tc>
        <w:tc>
          <w:tcPr>
            <w:tcW w:w="2357" w:type="dxa"/>
          </w:tcPr>
          <w:p w14:paraId="34CE6859" w14:textId="3A14CE4B" w:rsidR="00F24A9B" w:rsidRPr="006E0E48" w:rsidRDefault="00F24A9B" w:rsidP="00502766">
            <w:pPr>
              <w:rPr>
                <w:rFonts w:cs="Arial"/>
                <w:b/>
                <w:sz w:val="20"/>
                <w:szCs w:val="18"/>
              </w:rPr>
            </w:pPr>
            <w:r>
              <w:rPr>
                <w:rFonts w:cs="Arial"/>
                <w:b/>
                <w:sz w:val="20"/>
                <w:szCs w:val="18"/>
              </w:rPr>
              <w:t>Totals</w:t>
            </w:r>
          </w:p>
        </w:tc>
        <w:tc>
          <w:tcPr>
            <w:tcW w:w="1031" w:type="dxa"/>
            <w:shd w:val="clear" w:color="auto" w:fill="70AD47" w:themeFill="accent6"/>
          </w:tcPr>
          <w:p w14:paraId="1498DA08" w14:textId="5BA756B6" w:rsidR="00F24A9B" w:rsidRDefault="00292DC2" w:rsidP="00452668">
            <w:pPr>
              <w:jc w:val="center"/>
              <w:rPr>
                <w:rFonts w:cs="Arial"/>
                <w:bCs/>
                <w:sz w:val="20"/>
                <w:szCs w:val="18"/>
              </w:rPr>
            </w:pPr>
            <w:r>
              <w:rPr>
                <w:rFonts w:cs="Arial"/>
                <w:bCs/>
                <w:sz w:val="20"/>
                <w:szCs w:val="18"/>
              </w:rPr>
              <w:t>1,</w:t>
            </w:r>
            <w:r w:rsidR="00703F8E">
              <w:rPr>
                <w:rFonts w:cs="Arial"/>
                <w:bCs/>
                <w:sz w:val="20"/>
                <w:szCs w:val="18"/>
              </w:rPr>
              <w:t>249,208</w:t>
            </w:r>
          </w:p>
          <w:p w14:paraId="4E6DBAD0" w14:textId="52FF9738" w:rsidR="00452668" w:rsidRDefault="00452668" w:rsidP="00452668">
            <w:pPr>
              <w:jc w:val="center"/>
              <w:rPr>
                <w:rFonts w:cs="Arial"/>
                <w:bCs/>
                <w:sz w:val="20"/>
                <w:szCs w:val="18"/>
              </w:rPr>
            </w:pPr>
            <w:r>
              <w:rPr>
                <w:rFonts w:cs="Arial"/>
                <w:bCs/>
                <w:sz w:val="20"/>
                <w:szCs w:val="18"/>
              </w:rPr>
              <w:t>-</w:t>
            </w:r>
          </w:p>
          <w:p w14:paraId="6D85DB06" w14:textId="66CB257F" w:rsidR="00292DC2" w:rsidRPr="00292DC2" w:rsidRDefault="00292DC2" w:rsidP="00452668">
            <w:pPr>
              <w:jc w:val="center"/>
              <w:rPr>
                <w:rFonts w:cs="Arial"/>
                <w:bCs/>
                <w:i/>
                <w:iCs/>
                <w:sz w:val="20"/>
                <w:szCs w:val="18"/>
              </w:rPr>
            </w:pPr>
            <w:r>
              <w:rPr>
                <w:rFonts w:cs="Arial"/>
                <w:bCs/>
                <w:i/>
                <w:iCs/>
                <w:sz w:val="20"/>
                <w:szCs w:val="18"/>
              </w:rPr>
              <w:t>1,267,000</w:t>
            </w:r>
          </w:p>
        </w:tc>
        <w:tc>
          <w:tcPr>
            <w:tcW w:w="1031" w:type="dxa"/>
            <w:shd w:val="clear" w:color="auto" w:fill="70AD47" w:themeFill="accent6"/>
          </w:tcPr>
          <w:p w14:paraId="7C3A6FC6" w14:textId="3DA3BAAD" w:rsidR="00F24A9B" w:rsidRDefault="00292DC2" w:rsidP="00452668">
            <w:pPr>
              <w:jc w:val="center"/>
              <w:rPr>
                <w:rFonts w:cs="Arial"/>
                <w:bCs/>
                <w:sz w:val="20"/>
                <w:szCs w:val="18"/>
              </w:rPr>
            </w:pPr>
            <w:r>
              <w:rPr>
                <w:rFonts w:cs="Arial"/>
                <w:bCs/>
                <w:sz w:val="20"/>
                <w:szCs w:val="18"/>
              </w:rPr>
              <w:t>1,</w:t>
            </w:r>
            <w:r w:rsidR="00703F8E">
              <w:rPr>
                <w:rFonts w:cs="Arial"/>
                <w:bCs/>
                <w:sz w:val="20"/>
                <w:szCs w:val="18"/>
              </w:rPr>
              <w:t>011,201</w:t>
            </w:r>
          </w:p>
          <w:p w14:paraId="5E2EC926" w14:textId="6CB7336E" w:rsidR="00452668" w:rsidRDefault="00452668" w:rsidP="00452668">
            <w:pPr>
              <w:jc w:val="center"/>
              <w:rPr>
                <w:rFonts w:cs="Arial"/>
                <w:bCs/>
                <w:sz w:val="20"/>
                <w:szCs w:val="18"/>
              </w:rPr>
            </w:pPr>
            <w:r>
              <w:rPr>
                <w:rFonts w:cs="Arial"/>
                <w:bCs/>
                <w:sz w:val="20"/>
                <w:szCs w:val="18"/>
              </w:rPr>
              <w:t>-</w:t>
            </w:r>
          </w:p>
          <w:p w14:paraId="433053F7" w14:textId="66C8486C" w:rsidR="00292DC2" w:rsidRPr="00292DC2" w:rsidRDefault="00292DC2" w:rsidP="00452668">
            <w:pPr>
              <w:jc w:val="center"/>
              <w:rPr>
                <w:rFonts w:cs="Arial"/>
                <w:bCs/>
                <w:i/>
                <w:iCs/>
                <w:sz w:val="20"/>
                <w:szCs w:val="18"/>
              </w:rPr>
            </w:pPr>
            <w:r>
              <w:rPr>
                <w:rFonts w:cs="Arial"/>
                <w:bCs/>
                <w:i/>
                <w:iCs/>
                <w:sz w:val="20"/>
                <w:szCs w:val="18"/>
              </w:rPr>
              <w:t>1,018,500</w:t>
            </w:r>
          </w:p>
        </w:tc>
        <w:tc>
          <w:tcPr>
            <w:tcW w:w="1031" w:type="dxa"/>
            <w:shd w:val="clear" w:color="auto" w:fill="70AD47" w:themeFill="accent6"/>
          </w:tcPr>
          <w:p w14:paraId="11FA96C9" w14:textId="755BF512" w:rsidR="00F24A9B" w:rsidRDefault="00703F8E" w:rsidP="00452668">
            <w:pPr>
              <w:jc w:val="center"/>
              <w:rPr>
                <w:rFonts w:cs="Arial"/>
                <w:bCs/>
                <w:sz w:val="20"/>
                <w:szCs w:val="18"/>
              </w:rPr>
            </w:pPr>
            <w:r>
              <w:rPr>
                <w:rFonts w:cs="Arial"/>
                <w:bCs/>
                <w:sz w:val="20"/>
                <w:szCs w:val="18"/>
              </w:rPr>
              <w:t>832,606</w:t>
            </w:r>
          </w:p>
          <w:p w14:paraId="2A760422" w14:textId="38763272" w:rsidR="00452668" w:rsidRDefault="00452668" w:rsidP="00452668">
            <w:pPr>
              <w:jc w:val="center"/>
              <w:rPr>
                <w:rFonts w:cs="Arial"/>
                <w:bCs/>
                <w:sz w:val="20"/>
                <w:szCs w:val="18"/>
              </w:rPr>
            </w:pPr>
            <w:r>
              <w:rPr>
                <w:rFonts w:cs="Arial"/>
                <w:bCs/>
                <w:sz w:val="20"/>
                <w:szCs w:val="18"/>
              </w:rPr>
              <w:t>-</w:t>
            </w:r>
          </w:p>
          <w:p w14:paraId="3011FC07" w14:textId="4FE96216" w:rsidR="00292DC2" w:rsidRPr="00292DC2" w:rsidRDefault="00292DC2" w:rsidP="00452668">
            <w:pPr>
              <w:jc w:val="center"/>
              <w:rPr>
                <w:rFonts w:cs="Arial"/>
                <w:bCs/>
                <w:i/>
                <w:iCs/>
                <w:sz w:val="20"/>
                <w:szCs w:val="18"/>
              </w:rPr>
            </w:pPr>
            <w:r>
              <w:rPr>
                <w:rFonts w:cs="Arial"/>
                <w:bCs/>
                <w:i/>
                <w:iCs/>
                <w:sz w:val="20"/>
                <w:szCs w:val="18"/>
              </w:rPr>
              <w:t>833,000</w:t>
            </w:r>
          </w:p>
        </w:tc>
        <w:tc>
          <w:tcPr>
            <w:tcW w:w="1031" w:type="dxa"/>
            <w:shd w:val="clear" w:color="auto" w:fill="70AD47" w:themeFill="accent6"/>
          </w:tcPr>
          <w:p w14:paraId="7EB8A4B4" w14:textId="289BABAF" w:rsidR="00F24A9B" w:rsidRDefault="00703F8E" w:rsidP="00452668">
            <w:pPr>
              <w:jc w:val="center"/>
              <w:rPr>
                <w:rFonts w:cs="Arial"/>
                <w:bCs/>
                <w:sz w:val="20"/>
                <w:szCs w:val="18"/>
              </w:rPr>
            </w:pPr>
            <w:r>
              <w:rPr>
                <w:rFonts w:cs="Arial"/>
                <w:bCs/>
                <w:sz w:val="20"/>
                <w:szCs w:val="18"/>
              </w:rPr>
              <w:t>786,767</w:t>
            </w:r>
          </w:p>
          <w:p w14:paraId="0D955DD0" w14:textId="1A38A90B" w:rsidR="00452668" w:rsidRDefault="00452668" w:rsidP="00452668">
            <w:pPr>
              <w:jc w:val="center"/>
              <w:rPr>
                <w:rFonts w:cs="Arial"/>
                <w:bCs/>
                <w:sz w:val="20"/>
                <w:szCs w:val="18"/>
              </w:rPr>
            </w:pPr>
            <w:r>
              <w:rPr>
                <w:rFonts w:cs="Arial"/>
                <w:bCs/>
                <w:sz w:val="20"/>
                <w:szCs w:val="18"/>
              </w:rPr>
              <w:t>-</w:t>
            </w:r>
          </w:p>
          <w:p w14:paraId="3CFE7574" w14:textId="2DA61391" w:rsidR="00292DC2" w:rsidRPr="00292DC2" w:rsidRDefault="00292DC2" w:rsidP="00452668">
            <w:pPr>
              <w:jc w:val="center"/>
              <w:rPr>
                <w:rFonts w:cs="Arial"/>
                <w:bCs/>
                <w:i/>
                <w:iCs/>
                <w:sz w:val="20"/>
                <w:szCs w:val="18"/>
              </w:rPr>
            </w:pPr>
            <w:r>
              <w:rPr>
                <w:rFonts w:cs="Arial"/>
                <w:bCs/>
                <w:i/>
                <w:iCs/>
                <w:sz w:val="20"/>
                <w:szCs w:val="18"/>
              </w:rPr>
              <w:t>794,500</w:t>
            </w:r>
          </w:p>
        </w:tc>
        <w:tc>
          <w:tcPr>
            <w:tcW w:w="1031" w:type="dxa"/>
            <w:shd w:val="clear" w:color="auto" w:fill="70AD47" w:themeFill="accent6"/>
          </w:tcPr>
          <w:p w14:paraId="385C50E7" w14:textId="7272B48F" w:rsidR="00F24A9B" w:rsidRDefault="00703F8E" w:rsidP="00452668">
            <w:pPr>
              <w:jc w:val="center"/>
              <w:rPr>
                <w:rFonts w:cs="Arial"/>
                <w:bCs/>
                <w:sz w:val="20"/>
                <w:szCs w:val="18"/>
              </w:rPr>
            </w:pPr>
            <w:r>
              <w:rPr>
                <w:rFonts w:cs="Arial"/>
                <w:bCs/>
                <w:sz w:val="20"/>
                <w:szCs w:val="18"/>
              </w:rPr>
              <w:t>763,721</w:t>
            </w:r>
          </w:p>
          <w:p w14:paraId="517A289F" w14:textId="3132A4FB" w:rsidR="00452668" w:rsidRDefault="00452668" w:rsidP="00452668">
            <w:pPr>
              <w:jc w:val="center"/>
              <w:rPr>
                <w:rFonts w:cs="Arial"/>
                <w:bCs/>
                <w:sz w:val="20"/>
                <w:szCs w:val="18"/>
              </w:rPr>
            </w:pPr>
            <w:r>
              <w:rPr>
                <w:rFonts w:cs="Arial"/>
                <w:bCs/>
                <w:sz w:val="20"/>
                <w:szCs w:val="18"/>
              </w:rPr>
              <w:t>-</w:t>
            </w:r>
          </w:p>
          <w:p w14:paraId="08ECC5FA" w14:textId="29236AEB" w:rsidR="00292DC2" w:rsidRPr="00292DC2" w:rsidRDefault="00292DC2" w:rsidP="00452668">
            <w:pPr>
              <w:jc w:val="center"/>
              <w:rPr>
                <w:rFonts w:cs="Arial"/>
                <w:bCs/>
                <w:i/>
                <w:iCs/>
                <w:sz w:val="20"/>
                <w:szCs w:val="18"/>
              </w:rPr>
            </w:pPr>
            <w:r>
              <w:rPr>
                <w:rFonts w:cs="Arial"/>
                <w:bCs/>
                <w:i/>
                <w:iCs/>
                <w:sz w:val="20"/>
                <w:szCs w:val="18"/>
              </w:rPr>
              <w:t>773,500</w:t>
            </w:r>
          </w:p>
        </w:tc>
        <w:tc>
          <w:tcPr>
            <w:tcW w:w="1031" w:type="dxa"/>
            <w:shd w:val="clear" w:color="auto" w:fill="70AD47" w:themeFill="accent6"/>
          </w:tcPr>
          <w:p w14:paraId="25EAB2C0" w14:textId="65B6A9E8" w:rsidR="00F24A9B" w:rsidRDefault="00703F8E" w:rsidP="00452668">
            <w:pPr>
              <w:jc w:val="center"/>
              <w:rPr>
                <w:rFonts w:cs="Arial"/>
                <w:bCs/>
                <w:sz w:val="20"/>
                <w:szCs w:val="18"/>
              </w:rPr>
            </w:pPr>
            <w:r>
              <w:rPr>
                <w:rFonts w:cs="Arial"/>
                <w:bCs/>
                <w:sz w:val="20"/>
                <w:szCs w:val="18"/>
              </w:rPr>
              <w:t>750,286</w:t>
            </w:r>
          </w:p>
          <w:p w14:paraId="6A56BDF3" w14:textId="7C4CD5A0" w:rsidR="00452668" w:rsidRDefault="00452668" w:rsidP="00452668">
            <w:pPr>
              <w:jc w:val="center"/>
              <w:rPr>
                <w:rFonts w:cs="Arial"/>
                <w:bCs/>
                <w:sz w:val="20"/>
                <w:szCs w:val="18"/>
              </w:rPr>
            </w:pPr>
            <w:r>
              <w:rPr>
                <w:rFonts w:cs="Arial"/>
                <w:bCs/>
                <w:sz w:val="20"/>
                <w:szCs w:val="18"/>
              </w:rPr>
              <w:t>-</w:t>
            </w:r>
          </w:p>
          <w:p w14:paraId="7E73AB55" w14:textId="77E6DB39" w:rsidR="00292DC2" w:rsidRPr="00292DC2" w:rsidRDefault="00292DC2" w:rsidP="00452668">
            <w:pPr>
              <w:jc w:val="center"/>
              <w:rPr>
                <w:rFonts w:cs="Arial"/>
                <w:bCs/>
                <w:i/>
                <w:iCs/>
                <w:sz w:val="20"/>
                <w:szCs w:val="18"/>
              </w:rPr>
            </w:pPr>
            <w:r>
              <w:rPr>
                <w:rFonts w:cs="Arial"/>
                <w:bCs/>
                <w:i/>
                <w:iCs/>
                <w:sz w:val="20"/>
                <w:szCs w:val="18"/>
              </w:rPr>
              <w:t>756,000</w:t>
            </w:r>
          </w:p>
        </w:tc>
      </w:tr>
    </w:tbl>
    <w:p w14:paraId="4B41F270" w14:textId="3727F890" w:rsidR="00E9401F" w:rsidRDefault="00E9401F" w:rsidP="00E57B7A">
      <w:r w:rsidRPr="00E9401F">
        <w:rPr>
          <w:noProof/>
        </w:rPr>
        <w:drawing>
          <wp:inline distT="0" distB="0" distL="0" distR="0" wp14:anchorId="137788DA" wp14:editId="47F927D1">
            <wp:extent cx="5731510" cy="3498215"/>
            <wp:effectExtent l="0" t="0" r="2540" b="6985"/>
            <wp:docPr id="1402618293" name="Picture 1" descr="A graph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18293" name="Picture 1" descr="A graph with lines and dots&#10;&#10;Description automatically generated"/>
                    <pic:cNvPicPr/>
                  </pic:nvPicPr>
                  <pic:blipFill>
                    <a:blip r:embed="rId82"/>
                    <a:stretch>
                      <a:fillRect/>
                    </a:stretch>
                  </pic:blipFill>
                  <pic:spPr>
                    <a:xfrm>
                      <a:off x="0" y="0"/>
                      <a:ext cx="5731510" cy="3498215"/>
                    </a:xfrm>
                    <a:prstGeom prst="rect">
                      <a:avLst/>
                    </a:prstGeom>
                  </pic:spPr>
                </pic:pic>
              </a:graphicData>
            </a:graphic>
          </wp:inline>
        </w:drawing>
      </w:r>
    </w:p>
    <w:p w14:paraId="2EF70135" w14:textId="06F34D6F" w:rsidR="00E9401F" w:rsidRPr="00E15DA1" w:rsidRDefault="00E9401F" w:rsidP="00E9401F">
      <w:pPr>
        <w:rPr>
          <w:rFonts w:cs="Arial"/>
          <w:sz w:val="20"/>
          <w:szCs w:val="18"/>
        </w:rPr>
      </w:pPr>
      <w:r w:rsidRPr="00B6625D">
        <w:rPr>
          <w:rFonts w:cs="Arial"/>
          <w:sz w:val="20"/>
          <w:szCs w:val="18"/>
        </w:rPr>
        <w:t xml:space="preserve">Figure </w:t>
      </w:r>
      <w:r w:rsidR="00B6625D" w:rsidRPr="00B6625D">
        <w:rPr>
          <w:rFonts w:cs="Arial"/>
          <w:sz w:val="20"/>
          <w:szCs w:val="18"/>
        </w:rPr>
        <w:t>1</w:t>
      </w:r>
      <w:r w:rsidRPr="00B6625D">
        <w:rPr>
          <w:rFonts w:cs="Arial"/>
          <w:sz w:val="20"/>
          <w:szCs w:val="18"/>
        </w:rPr>
        <w:t xml:space="preserve">: </w:t>
      </w:r>
      <w:r>
        <w:rPr>
          <w:rFonts w:cs="Arial"/>
          <w:sz w:val="20"/>
          <w:szCs w:val="18"/>
        </w:rPr>
        <w:t>Total catch (tonnes) of</w:t>
      </w:r>
      <w:r w:rsidRPr="00E15DA1">
        <w:rPr>
          <w:rFonts w:cs="Arial"/>
          <w:sz w:val="20"/>
          <w:szCs w:val="18"/>
        </w:rPr>
        <w:t xml:space="preserve"> </w:t>
      </w:r>
      <w:r>
        <w:rPr>
          <w:rFonts w:cs="Arial"/>
          <w:sz w:val="20"/>
          <w:szCs w:val="18"/>
        </w:rPr>
        <w:t>B</w:t>
      </w:r>
      <w:r w:rsidRPr="00E15DA1">
        <w:rPr>
          <w:rFonts w:cs="Arial"/>
          <w:sz w:val="20"/>
          <w:szCs w:val="18"/>
        </w:rPr>
        <w:t xml:space="preserve">lacklip </w:t>
      </w:r>
      <w:r>
        <w:rPr>
          <w:rFonts w:cs="Arial"/>
          <w:sz w:val="20"/>
          <w:szCs w:val="18"/>
        </w:rPr>
        <w:t>A</w:t>
      </w:r>
      <w:r w:rsidRPr="00E15DA1">
        <w:rPr>
          <w:rFonts w:cs="Arial"/>
          <w:sz w:val="20"/>
          <w:szCs w:val="18"/>
        </w:rPr>
        <w:t xml:space="preserve">balone </w:t>
      </w:r>
      <w:r>
        <w:rPr>
          <w:rFonts w:cs="Arial"/>
          <w:sz w:val="20"/>
          <w:szCs w:val="18"/>
        </w:rPr>
        <w:t>and G</w:t>
      </w:r>
      <w:r w:rsidRPr="00E15DA1">
        <w:rPr>
          <w:rFonts w:cs="Arial"/>
          <w:sz w:val="20"/>
          <w:szCs w:val="18"/>
        </w:rPr>
        <w:t xml:space="preserve">reenlip </w:t>
      </w:r>
      <w:r>
        <w:rPr>
          <w:rFonts w:cs="Arial"/>
          <w:sz w:val="20"/>
          <w:szCs w:val="18"/>
        </w:rPr>
        <w:t>A</w:t>
      </w:r>
      <w:r w:rsidRPr="00E15DA1">
        <w:rPr>
          <w:rFonts w:cs="Arial"/>
          <w:sz w:val="20"/>
          <w:szCs w:val="18"/>
        </w:rPr>
        <w:t>balone</w:t>
      </w:r>
      <w:r>
        <w:rPr>
          <w:rFonts w:cs="Arial"/>
          <w:sz w:val="20"/>
          <w:szCs w:val="18"/>
        </w:rPr>
        <w:t xml:space="preserve"> taken in the commercial Tasmanian Abalone Dive Fishery. Lines</w:t>
      </w:r>
      <w:r w:rsidRPr="00E15DA1">
        <w:rPr>
          <w:rFonts w:cs="Arial"/>
          <w:sz w:val="20"/>
          <w:szCs w:val="18"/>
        </w:rPr>
        <w:t xml:space="preserve"> colour coded by</w:t>
      </w:r>
      <w:r>
        <w:rPr>
          <w:rFonts w:cs="Arial"/>
          <w:sz w:val="20"/>
          <w:szCs w:val="18"/>
        </w:rPr>
        <w:t xml:space="preserve"> current</w:t>
      </w:r>
      <w:r w:rsidRPr="00E15DA1">
        <w:rPr>
          <w:rFonts w:cs="Arial"/>
          <w:sz w:val="20"/>
          <w:szCs w:val="18"/>
        </w:rPr>
        <w:t xml:space="preserve"> </w:t>
      </w:r>
      <w:r>
        <w:rPr>
          <w:rFonts w:cs="Arial"/>
          <w:sz w:val="20"/>
          <w:szCs w:val="18"/>
        </w:rPr>
        <w:t>zones</w:t>
      </w:r>
      <w:r w:rsidRPr="00E15DA1">
        <w:rPr>
          <w:rFonts w:cs="Arial"/>
          <w:sz w:val="20"/>
          <w:szCs w:val="18"/>
        </w:rPr>
        <w:t>.</w:t>
      </w:r>
    </w:p>
    <w:p w14:paraId="339BB10B" w14:textId="77777777" w:rsidR="0094772D" w:rsidRDefault="0094772D" w:rsidP="00E57B7A">
      <w:pPr>
        <w:rPr>
          <w:rFonts w:cs="Arial"/>
          <w:sz w:val="20"/>
          <w:szCs w:val="18"/>
        </w:rPr>
      </w:pPr>
    </w:p>
    <w:p w14:paraId="2FF798A2" w14:textId="4B666E20" w:rsidR="00F24A9B" w:rsidRPr="00F24A9B" w:rsidRDefault="00F24A9B" w:rsidP="00E57B7A">
      <w:pPr>
        <w:rPr>
          <w:rFonts w:cs="Arial"/>
          <w:sz w:val="20"/>
          <w:szCs w:val="18"/>
        </w:rPr>
      </w:pPr>
      <w:r w:rsidRPr="00B6625D">
        <w:rPr>
          <w:rFonts w:cs="Arial"/>
          <w:sz w:val="20"/>
          <w:szCs w:val="18"/>
        </w:rPr>
        <w:lastRenderedPageBreak/>
        <w:t xml:space="preserve">Table </w:t>
      </w:r>
      <w:r w:rsidR="00B6625D" w:rsidRPr="00B6625D">
        <w:rPr>
          <w:rFonts w:cs="Arial"/>
          <w:sz w:val="20"/>
          <w:szCs w:val="18"/>
        </w:rPr>
        <w:t>4</w:t>
      </w:r>
      <w:r w:rsidRPr="00B6625D">
        <w:rPr>
          <w:rFonts w:cs="Arial"/>
          <w:sz w:val="20"/>
          <w:szCs w:val="18"/>
        </w:rPr>
        <w:t>: Comparison</w:t>
      </w:r>
      <w:r w:rsidRPr="00856AE6">
        <w:rPr>
          <w:rFonts w:cs="Arial"/>
          <w:sz w:val="20"/>
          <w:szCs w:val="18"/>
        </w:rPr>
        <w:t xml:space="preserve"> of </w:t>
      </w:r>
      <w:r>
        <w:rPr>
          <w:rFonts w:cs="Arial"/>
          <w:sz w:val="20"/>
          <w:szCs w:val="18"/>
        </w:rPr>
        <w:t xml:space="preserve">estimated recreational Tasmanian Abalone Dive Fishery </w:t>
      </w:r>
      <w:r w:rsidRPr="00856AE6">
        <w:rPr>
          <w:rFonts w:cs="Arial"/>
          <w:sz w:val="20"/>
          <w:szCs w:val="18"/>
        </w:rPr>
        <w:t xml:space="preserve">harvests across recent seasons, noting that a </w:t>
      </w:r>
      <w:r>
        <w:rPr>
          <w:rFonts w:cs="Arial"/>
          <w:sz w:val="20"/>
          <w:szCs w:val="18"/>
        </w:rPr>
        <w:t xml:space="preserve">recreational fishing </w:t>
      </w:r>
      <w:r w:rsidRPr="00856AE6">
        <w:rPr>
          <w:rFonts w:cs="Arial"/>
          <w:sz w:val="20"/>
          <w:szCs w:val="18"/>
        </w:rPr>
        <w:t xml:space="preserve">season runs from 1 </w:t>
      </w:r>
      <w:r>
        <w:rPr>
          <w:rFonts w:cs="Arial"/>
          <w:sz w:val="20"/>
          <w:szCs w:val="18"/>
        </w:rPr>
        <w:t>November</w:t>
      </w:r>
      <w:r w:rsidRPr="00856AE6">
        <w:rPr>
          <w:rFonts w:cs="Arial"/>
          <w:sz w:val="20"/>
          <w:szCs w:val="18"/>
        </w:rPr>
        <w:t xml:space="preserve"> to 31 </w:t>
      </w:r>
      <w:r>
        <w:rPr>
          <w:rFonts w:cs="Arial"/>
          <w:sz w:val="20"/>
          <w:szCs w:val="18"/>
        </w:rPr>
        <w:t>October of the following year</w:t>
      </w:r>
      <w:r w:rsidRPr="00856AE6">
        <w:rPr>
          <w:rFonts w:cs="Arial"/>
          <w:sz w:val="20"/>
          <w:szCs w:val="18"/>
        </w:rPr>
        <w:t xml:space="preserve">, </w:t>
      </w:r>
      <w:r>
        <w:rPr>
          <w:rFonts w:cs="Arial"/>
          <w:sz w:val="20"/>
          <w:szCs w:val="18"/>
        </w:rPr>
        <w:t>but the telephone reporting period is inclusive of November to April. T</w:t>
      </w:r>
      <w:r w:rsidRPr="00856AE6">
        <w:rPr>
          <w:rFonts w:cs="Arial"/>
          <w:sz w:val="20"/>
          <w:szCs w:val="18"/>
        </w:rPr>
        <w:t>he reported unit is kilograms.</w:t>
      </w:r>
      <w:r>
        <w:rPr>
          <w:rFonts w:cs="Arial"/>
          <w:sz w:val="20"/>
          <w:szCs w:val="18"/>
        </w:rPr>
        <w:t xml:space="preserve"> </w:t>
      </w:r>
    </w:p>
    <w:tbl>
      <w:tblPr>
        <w:tblStyle w:val="TableGrid"/>
        <w:tblW w:w="9067" w:type="dxa"/>
        <w:tblLook w:val="04A0" w:firstRow="1" w:lastRow="0" w:firstColumn="1" w:lastColumn="0" w:noHBand="0" w:noVBand="1"/>
      </w:tblPr>
      <w:tblGrid>
        <w:gridCol w:w="473"/>
        <w:gridCol w:w="2357"/>
        <w:gridCol w:w="1276"/>
        <w:gridCol w:w="1276"/>
        <w:gridCol w:w="1276"/>
        <w:gridCol w:w="1275"/>
        <w:gridCol w:w="1134"/>
      </w:tblGrid>
      <w:tr w:rsidR="00524B21" w:rsidRPr="006E0E48" w14:paraId="017BA6A3" w14:textId="77777777" w:rsidTr="00452668">
        <w:trPr>
          <w:trHeight w:val="375"/>
        </w:trPr>
        <w:tc>
          <w:tcPr>
            <w:tcW w:w="473" w:type="dxa"/>
          </w:tcPr>
          <w:p w14:paraId="066E4922" w14:textId="77777777" w:rsidR="00524B21" w:rsidRPr="006E0E48" w:rsidRDefault="00524B21" w:rsidP="00502766">
            <w:pPr>
              <w:jc w:val="center"/>
              <w:rPr>
                <w:rFonts w:cs="Arial"/>
                <w:b/>
                <w:sz w:val="20"/>
                <w:szCs w:val="18"/>
              </w:rPr>
            </w:pPr>
          </w:p>
        </w:tc>
        <w:tc>
          <w:tcPr>
            <w:tcW w:w="8594" w:type="dxa"/>
            <w:gridSpan w:val="6"/>
          </w:tcPr>
          <w:p w14:paraId="4FF83E52" w14:textId="1D33669F" w:rsidR="00524B21" w:rsidRPr="006E0E48" w:rsidRDefault="00F24A9B" w:rsidP="00502766">
            <w:pPr>
              <w:jc w:val="center"/>
              <w:rPr>
                <w:rFonts w:cs="Arial"/>
                <w:b/>
                <w:sz w:val="20"/>
                <w:szCs w:val="18"/>
              </w:rPr>
            </w:pPr>
            <w:r>
              <w:rPr>
                <w:rFonts w:cs="Arial"/>
                <w:b/>
                <w:sz w:val="20"/>
                <w:szCs w:val="18"/>
              </w:rPr>
              <w:t xml:space="preserve">Reporting </w:t>
            </w:r>
            <w:r w:rsidR="00524B21" w:rsidRPr="006E0E48">
              <w:rPr>
                <w:rFonts w:cs="Arial"/>
                <w:b/>
                <w:sz w:val="20"/>
                <w:szCs w:val="18"/>
              </w:rPr>
              <w:t xml:space="preserve">Season (1 </w:t>
            </w:r>
            <w:r w:rsidR="00524B21">
              <w:rPr>
                <w:rFonts w:cs="Arial"/>
                <w:b/>
                <w:sz w:val="20"/>
                <w:szCs w:val="18"/>
              </w:rPr>
              <w:t xml:space="preserve">Nov – </w:t>
            </w:r>
            <w:r>
              <w:rPr>
                <w:rFonts w:cs="Arial"/>
                <w:b/>
                <w:sz w:val="20"/>
                <w:szCs w:val="18"/>
              </w:rPr>
              <w:t>30 Apr</w:t>
            </w:r>
            <w:r w:rsidR="00524B21" w:rsidRPr="006E0E48">
              <w:rPr>
                <w:rFonts w:cs="Arial"/>
                <w:b/>
                <w:sz w:val="20"/>
                <w:szCs w:val="18"/>
              </w:rPr>
              <w:t>)</w:t>
            </w:r>
          </w:p>
        </w:tc>
      </w:tr>
      <w:tr w:rsidR="00524B21" w:rsidRPr="006E0E48" w14:paraId="69B5E598" w14:textId="77777777" w:rsidTr="00452668">
        <w:trPr>
          <w:trHeight w:val="323"/>
        </w:trPr>
        <w:tc>
          <w:tcPr>
            <w:tcW w:w="473" w:type="dxa"/>
            <w:vMerge w:val="restart"/>
            <w:textDirection w:val="btLr"/>
          </w:tcPr>
          <w:p w14:paraId="7FB45C54" w14:textId="77777777" w:rsidR="00524B21" w:rsidRPr="006E0E48" w:rsidRDefault="00524B21" w:rsidP="00502766">
            <w:pPr>
              <w:ind w:left="113" w:right="113"/>
              <w:jc w:val="center"/>
              <w:rPr>
                <w:rFonts w:cs="Arial"/>
                <w:b/>
                <w:sz w:val="20"/>
                <w:szCs w:val="18"/>
              </w:rPr>
            </w:pPr>
            <w:r w:rsidRPr="006E0E48">
              <w:rPr>
                <w:rFonts w:cs="Arial"/>
                <w:b/>
                <w:sz w:val="20"/>
                <w:szCs w:val="18"/>
              </w:rPr>
              <w:t>Species</w:t>
            </w:r>
          </w:p>
          <w:p w14:paraId="45470DA9" w14:textId="77777777" w:rsidR="00524B21" w:rsidRPr="006E0E48" w:rsidRDefault="00524B21" w:rsidP="00524B21">
            <w:pPr>
              <w:ind w:left="113" w:right="113"/>
              <w:jc w:val="center"/>
              <w:rPr>
                <w:rFonts w:cs="Arial"/>
                <w:b/>
                <w:sz w:val="20"/>
                <w:szCs w:val="18"/>
              </w:rPr>
            </w:pPr>
          </w:p>
        </w:tc>
        <w:tc>
          <w:tcPr>
            <w:tcW w:w="2357" w:type="dxa"/>
          </w:tcPr>
          <w:p w14:paraId="51E3D73F" w14:textId="77777777" w:rsidR="00524B21" w:rsidRPr="006E0E48" w:rsidRDefault="00524B21" w:rsidP="00502766">
            <w:pPr>
              <w:rPr>
                <w:rFonts w:cs="Arial"/>
                <w:b/>
                <w:sz w:val="20"/>
                <w:szCs w:val="18"/>
              </w:rPr>
            </w:pPr>
          </w:p>
        </w:tc>
        <w:tc>
          <w:tcPr>
            <w:tcW w:w="1276" w:type="dxa"/>
          </w:tcPr>
          <w:p w14:paraId="2CC57756" w14:textId="7B1CFD92" w:rsidR="00524B21" w:rsidRPr="006E0E48" w:rsidRDefault="00524B21" w:rsidP="00292DC2">
            <w:pPr>
              <w:jc w:val="center"/>
              <w:rPr>
                <w:rFonts w:cs="Arial"/>
                <w:b/>
                <w:sz w:val="20"/>
                <w:szCs w:val="18"/>
              </w:rPr>
            </w:pPr>
            <w:r w:rsidRPr="006E0E48">
              <w:rPr>
                <w:rFonts w:cs="Arial"/>
                <w:b/>
                <w:sz w:val="20"/>
                <w:szCs w:val="18"/>
              </w:rPr>
              <w:t>2019</w:t>
            </w:r>
            <w:r>
              <w:rPr>
                <w:rFonts w:cs="Arial"/>
                <w:b/>
                <w:sz w:val="20"/>
                <w:szCs w:val="18"/>
              </w:rPr>
              <w:t>-20</w:t>
            </w:r>
          </w:p>
        </w:tc>
        <w:tc>
          <w:tcPr>
            <w:tcW w:w="1276" w:type="dxa"/>
          </w:tcPr>
          <w:p w14:paraId="2E7FE3DA" w14:textId="6EA4EC51" w:rsidR="00524B21" w:rsidRPr="006E0E48" w:rsidRDefault="00524B21" w:rsidP="00292DC2">
            <w:pPr>
              <w:jc w:val="center"/>
              <w:rPr>
                <w:rFonts w:cs="Arial"/>
                <w:b/>
                <w:sz w:val="20"/>
                <w:szCs w:val="18"/>
              </w:rPr>
            </w:pPr>
            <w:r w:rsidRPr="006E0E48">
              <w:rPr>
                <w:rFonts w:cs="Arial"/>
                <w:b/>
                <w:sz w:val="20"/>
                <w:szCs w:val="18"/>
              </w:rPr>
              <w:t>202</w:t>
            </w:r>
            <w:r>
              <w:rPr>
                <w:rFonts w:cs="Arial"/>
                <w:b/>
                <w:sz w:val="20"/>
                <w:szCs w:val="18"/>
              </w:rPr>
              <w:t>0-21</w:t>
            </w:r>
          </w:p>
        </w:tc>
        <w:tc>
          <w:tcPr>
            <w:tcW w:w="1276" w:type="dxa"/>
          </w:tcPr>
          <w:p w14:paraId="7B54F237" w14:textId="3708AE5D" w:rsidR="00524B21" w:rsidRPr="006E0E48" w:rsidRDefault="00524B21" w:rsidP="00292DC2">
            <w:pPr>
              <w:jc w:val="center"/>
              <w:rPr>
                <w:rFonts w:cs="Arial"/>
                <w:b/>
                <w:sz w:val="20"/>
                <w:szCs w:val="18"/>
              </w:rPr>
            </w:pPr>
            <w:r w:rsidRPr="006E0E48">
              <w:rPr>
                <w:rFonts w:cs="Arial"/>
                <w:b/>
                <w:sz w:val="20"/>
                <w:szCs w:val="18"/>
              </w:rPr>
              <w:t>202</w:t>
            </w:r>
            <w:r>
              <w:rPr>
                <w:rFonts w:cs="Arial"/>
                <w:b/>
                <w:sz w:val="20"/>
                <w:szCs w:val="18"/>
              </w:rPr>
              <w:t>1-22</w:t>
            </w:r>
          </w:p>
        </w:tc>
        <w:tc>
          <w:tcPr>
            <w:tcW w:w="1275" w:type="dxa"/>
          </w:tcPr>
          <w:p w14:paraId="04DD27E3" w14:textId="6215E88C" w:rsidR="00524B21" w:rsidRPr="006E0E48" w:rsidRDefault="00524B21" w:rsidP="00292DC2">
            <w:pPr>
              <w:jc w:val="center"/>
              <w:rPr>
                <w:rFonts w:cs="Arial"/>
                <w:b/>
                <w:sz w:val="20"/>
                <w:szCs w:val="18"/>
              </w:rPr>
            </w:pPr>
            <w:r w:rsidRPr="006E0E48">
              <w:rPr>
                <w:rFonts w:cs="Arial"/>
                <w:b/>
                <w:sz w:val="20"/>
                <w:szCs w:val="18"/>
              </w:rPr>
              <w:t>202</w:t>
            </w:r>
            <w:r>
              <w:rPr>
                <w:rFonts w:cs="Arial"/>
                <w:b/>
                <w:sz w:val="20"/>
                <w:szCs w:val="18"/>
              </w:rPr>
              <w:t>2-23</w:t>
            </w:r>
          </w:p>
        </w:tc>
        <w:tc>
          <w:tcPr>
            <w:tcW w:w="1134" w:type="dxa"/>
          </w:tcPr>
          <w:p w14:paraId="334FE557" w14:textId="4DC0E2C6" w:rsidR="00524B21" w:rsidRPr="006E0E48" w:rsidRDefault="00524B21" w:rsidP="00292DC2">
            <w:pPr>
              <w:jc w:val="center"/>
              <w:rPr>
                <w:rFonts w:cs="Arial"/>
                <w:b/>
                <w:sz w:val="20"/>
                <w:szCs w:val="18"/>
              </w:rPr>
            </w:pPr>
            <w:r w:rsidRPr="006E0E48">
              <w:rPr>
                <w:rFonts w:cs="Arial"/>
                <w:b/>
                <w:sz w:val="20"/>
                <w:szCs w:val="18"/>
              </w:rPr>
              <w:t>2023</w:t>
            </w:r>
            <w:r>
              <w:rPr>
                <w:rFonts w:cs="Arial"/>
                <w:b/>
                <w:sz w:val="20"/>
                <w:szCs w:val="18"/>
              </w:rPr>
              <w:t>-24</w:t>
            </w:r>
          </w:p>
        </w:tc>
      </w:tr>
      <w:tr w:rsidR="00524B21" w14:paraId="62943623" w14:textId="77777777" w:rsidTr="00452668">
        <w:trPr>
          <w:trHeight w:val="536"/>
        </w:trPr>
        <w:tc>
          <w:tcPr>
            <w:tcW w:w="473" w:type="dxa"/>
            <w:vMerge/>
          </w:tcPr>
          <w:p w14:paraId="0235F8CD" w14:textId="77777777" w:rsidR="00524B21" w:rsidRPr="006E0E48" w:rsidRDefault="00524B21" w:rsidP="00502766">
            <w:pPr>
              <w:ind w:left="113" w:right="113"/>
              <w:rPr>
                <w:rFonts w:cs="Arial"/>
                <w:b/>
                <w:bCs/>
                <w:sz w:val="20"/>
                <w:szCs w:val="18"/>
              </w:rPr>
            </w:pPr>
          </w:p>
        </w:tc>
        <w:tc>
          <w:tcPr>
            <w:tcW w:w="2357" w:type="dxa"/>
          </w:tcPr>
          <w:p w14:paraId="6B967842" w14:textId="3A4C012A" w:rsidR="00524B21" w:rsidRPr="006E0E48" w:rsidRDefault="00524B21" w:rsidP="00524B21">
            <w:pPr>
              <w:rPr>
                <w:rFonts w:cs="Arial"/>
                <w:b/>
                <w:bCs/>
                <w:sz w:val="20"/>
                <w:szCs w:val="18"/>
              </w:rPr>
            </w:pPr>
            <w:r>
              <w:rPr>
                <w:rFonts w:cs="Arial"/>
                <w:b/>
                <w:bCs/>
                <w:sz w:val="20"/>
                <w:szCs w:val="18"/>
              </w:rPr>
              <w:t xml:space="preserve">Blacklip Abalone </w:t>
            </w:r>
          </w:p>
          <w:p w14:paraId="06906721" w14:textId="11C9D438" w:rsidR="00524B21" w:rsidRPr="006E0E48" w:rsidRDefault="00524B21" w:rsidP="00502766">
            <w:pPr>
              <w:rPr>
                <w:rFonts w:cs="Arial"/>
                <w:b/>
                <w:bCs/>
                <w:sz w:val="20"/>
                <w:szCs w:val="18"/>
              </w:rPr>
            </w:pPr>
          </w:p>
        </w:tc>
        <w:tc>
          <w:tcPr>
            <w:tcW w:w="1276" w:type="dxa"/>
            <w:shd w:val="clear" w:color="auto" w:fill="auto"/>
          </w:tcPr>
          <w:p w14:paraId="2D711FE2" w14:textId="6C421A72" w:rsidR="00524B21" w:rsidRPr="00295C25" w:rsidRDefault="00F24A9B" w:rsidP="00502766">
            <w:pPr>
              <w:jc w:val="right"/>
              <w:rPr>
                <w:rFonts w:cs="Arial"/>
                <w:i/>
                <w:iCs/>
                <w:sz w:val="20"/>
                <w:szCs w:val="18"/>
              </w:rPr>
            </w:pPr>
            <w:r>
              <w:rPr>
                <w:rFonts w:cs="Arial"/>
                <w:sz w:val="20"/>
                <w:szCs w:val="18"/>
              </w:rPr>
              <w:t>11,340</w:t>
            </w:r>
          </w:p>
        </w:tc>
        <w:tc>
          <w:tcPr>
            <w:tcW w:w="1276" w:type="dxa"/>
            <w:shd w:val="clear" w:color="auto" w:fill="auto"/>
          </w:tcPr>
          <w:p w14:paraId="3C444A04" w14:textId="2023A859" w:rsidR="00524B21" w:rsidRPr="00295C25" w:rsidRDefault="00F24A9B" w:rsidP="00502766">
            <w:pPr>
              <w:jc w:val="right"/>
              <w:rPr>
                <w:rFonts w:cs="Arial"/>
                <w:i/>
                <w:iCs/>
                <w:sz w:val="20"/>
                <w:szCs w:val="18"/>
              </w:rPr>
            </w:pPr>
            <w:r>
              <w:rPr>
                <w:rFonts w:cs="Arial"/>
                <w:sz w:val="20"/>
                <w:szCs w:val="18"/>
              </w:rPr>
              <w:t>14,104</w:t>
            </w:r>
          </w:p>
        </w:tc>
        <w:tc>
          <w:tcPr>
            <w:tcW w:w="1276" w:type="dxa"/>
            <w:shd w:val="clear" w:color="auto" w:fill="auto"/>
          </w:tcPr>
          <w:p w14:paraId="61FC1C84" w14:textId="0EC08365" w:rsidR="00524B21" w:rsidRPr="00295C25" w:rsidRDefault="00F24A9B" w:rsidP="00502766">
            <w:pPr>
              <w:jc w:val="right"/>
              <w:rPr>
                <w:rFonts w:cs="Arial"/>
                <w:i/>
                <w:iCs/>
                <w:sz w:val="20"/>
                <w:szCs w:val="18"/>
              </w:rPr>
            </w:pPr>
            <w:r>
              <w:rPr>
                <w:rFonts w:cs="Arial"/>
                <w:sz w:val="20"/>
                <w:szCs w:val="18"/>
              </w:rPr>
              <w:t>18,291</w:t>
            </w:r>
          </w:p>
        </w:tc>
        <w:tc>
          <w:tcPr>
            <w:tcW w:w="1275" w:type="dxa"/>
            <w:shd w:val="clear" w:color="auto" w:fill="auto"/>
          </w:tcPr>
          <w:p w14:paraId="46917C7B" w14:textId="2A58FDAC" w:rsidR="00524B21" w:rsidRPr="00295C25" w:rsidRDefault="00524B21" w:rsidP="00502766">
            <w:pPr>
              <w:jc w:val="right"/>
              <w:rPr>
                <w:rFonts w:cs="Arial"/>
                <w:i/>
                <w:iCs/>
                <w:sz w:val="20"/>
                <w:szCs w:val="18"/>
              </w:rPr>
            </w:pPr>
            <w:r>
              <w:rPr>
                <w:rFonts w:cs="Arial"/>
                <w:sz w:val="20"/>
                <w:szCs w:val="18"/>
              </w:rPr>
              <w:t>20,944</w:t>
            </w:r>
          </w:p>
        </w:tc>
        <w:tc>
          <w:tcPr>
            <w:tcW w:w="1134" w:type="dxa"/>
            <w:shd w:val="clear" w:color="auto" w:fill="auto"/>
          </w:tcPr>
          <w:p w14:paraId="6E2B3367" w14:textId="7211E67A" w:rsidR="00524B21" w:rsidRPr="00295C25" w:rsidRDefault="00524B21" w:rsidP="00502766">
            <w:pPr>
              <w:jc w:val="right"/>
              <w:rPr>
                <w:rFonts w:cs="Arial"/>
                <w:i/>
                <w:iCs/>
                <w:sz w:val="20"/>
                <w:szCs w:val="18"/>
              </w:rPr>
            </w:pPr>
            <w:r>
              <w:rPr>
                <w:rFonts w:cs="Arial"/>
                <w:sz w:val="20"/>
                <w:szCs w:val="18"/>
              </w:rPr>
              <w:t>24,480</w:t>
            </w:r>
          </w:p>
        </w:tc>
      </w:tr>
      <w:tr w:rsidR="00524B21" w14:paraId="51E9E1BD" w14:textId="77777777" w:rsidTr="00452668">
        <w:trPr>
          <w:trHeight w:val="568"/>
        </w:trPr>
        <w:tc>
          <w:tcPr>
            <w:tcW w:w="473" w:type="dxa"/>
            <w:vMerge/>
          </w:tcPr>
          <w:p w14:paraId="6AEDBB7F" w14:textId="77777777" w:rsidR="00524B21" w:rsidRPr="006E0E48" w:rsidRDefault="00524B21" w:rsidP="00502766">
            <w:pPr>
              <w:ind w:left="113" w:right="113"/>
              <w:rPr>
                <w:rFonts w:cs="Arial"/>
                <w:b/>
                <w:bCs/>
                <w:sz w:val="20"/>
                <w:szCs w:val="18"/>
              </w:rPr>
            </w:pPr>
          </w:p>
        </w:tc>
        <w:tc>
          <w:tcPr>
            <w:tcW w:w="2357" w:type="dxa"/>
          </w:tcPr>
          <w:p w14:paraId="32590527" w14:textId="0A40960D" w:rsidR="00524B21" w:rsidRPr="006E0E48" w:rsidRDefault="00524B21" w:rsidP="00502766">
            <w:pPr>
              <w:rPr>
                <w:rFonts w:cs="Arial"/>
                <w:b/>
                <w:bCs/>
                <w:sz w:val="20"/>
                <w:szCs w:val="18"/>
              </w:rPr>
            </w:pPr>
            <w:r>
              <w:rPr>
                <w:rFonts w:cs="Arial"/>
                <w:b/>
                <w:bCs/>
                <w:sz w:val="20"/>
                <w:szCs w:val="18"/>
              </w:rPr>
              <w:t>Greenlip Abalone</w:t>
            </w:r>
          </w:p>
        </w:tc>
        <w:tc>
          <w:tcPr>
            <w:tcW w:w="1276" w:type="dxa"/>
            <w:shd w:val="clear" w:color="auto" w:fill="auto"/>
          </w:tcPr>
          <w:p w14:paraId="2F1100FC" w14:textId="26BAFBF5" w:rsidR="00524B21" w:rsidRPr="00295C25" w:rsidRDefault="00F24A9B" w:rsidP="00502766">
            <w:pPr>
              <w:jc w:val="right"/>
              <w:rPr>
                <w:rFonts w:cs="Arial"/>
                <w:i/>
                <w:iCs/>
                <w:sz w:val="20"/>
                <w:szCs w:val="18"/>
              </w:rPr>
            </w:pPr>
            <w:r>
              <w:rPr>
                <w:rFonts w:cs="Arial"/>
                <w:sz w:val="20"/>
                <w:szCs w:val="18"/>
              </w:rPr>
              <w:t>1,260</w:t>
            </w:r>
          </w:p>
        </w:tc>
        <w:tc>
          <w:tcPr>
            <w:tcW w:w="1276" w:type="dxa"/>
            <w:shd w:val="clear" w:color="auto" w:fill="auto"/>
          </w:tcPr>
          <w:p w14:paraId="7C7CC64E" w14:textId="45879DE9" w:rsidR="00524B21" w:rsidRPr="00295C25" w:rsidRDefault="00F24A9B" w:rsidP="00502766">
            <w:pPr>
              <w:jc w:val="right"/>
              <w:rPr>
                <w:rFonts w:cs="Arial"/>
                <w:i/>
                <w:iCs/>
                <w:sz w:val="20"/>
                <w:szCs w:val="18"/>
              </w:rPr>
            </w:pPr>
            <w:r>
              <w:rPr>
                <w:rFonts w:cs="Arial"/>
                <w:sz w:val="20"/>
                <w:szCs w:val="18"/>
              </w:rPr>
              <w:t>3,096</w:t>
            </w:r>
          </w:p>
        </w:tc>
        <w:tc>
          <w:tcPr>
            <w:tcW w:w="1276" w:type="dxa"/>
            <w:shd w:val="clear" w:color="auto" w:fill="auto"/>
          </w:tcPr>
          <w:p w14:paraId="30E3A289" w14:textId="65285842" w:rsidR="00524B21" w:rsidRPr="00295C25" w:rsidRDefault="00F24A9B" w:rsidP="00502766">
            <w:pPr>
              <w:jc w:val="right"/>
              <w:rPr>
                <w:rFonts w:cs="Arial"/>
                <w:i/>
                <w:iCs/>
                <w:sz w:val="20"/>
                <w:szCs w:val="18"/>
              </w:rPr>
            </w:pPr>
            <w:r>
              <w:rPr>
                <w:rFonts w:cs="Arial"/>
                <w:sz w:val="20"/>
                <w:szCs w:val="18"/>
              </w:rPr>
              <w:t>1,809</w:t>
            </w:r>
          </w:p>
        </w:tc>
        <w:tc>
          <w:tcPr>
            <w:tcW w:w="1275" w:type="dxa"/>
            <w:shd w:val="clear" w:color="auto" w:fill="auto"/>
          </w:tcPr>
          <w:p w14:paraId="3A85BB44" w14:textId="373771F5" w:rsidR="00524B21" w:rsidRPr="00295C25" w:rsidRDefault="00524B21" w:rsidP="00502766">
            <w:pPr>
              <w:jc w:val="right"/>
              <w:rPr>
                <w:rFonts w:cs="Arial"/>
                <w:i/>
                <w:iCs/>
                <w:sz w:val="20"/>
                <w:szCs w:val="18"/>
              </w:rPr>
            </w:pPr>
            <w:r>
              <w:rPr>
                <w:rFonts w:cs="Arial"/>
                <w:sz w:val="20"/>
                <w:szCs w:val="18"/>
              </w:rPr>
              <w:t>2,856</w:t>
            </w:r>
          </w:p>
        </w:tc>
        <w:tc>
          <w:tcPr>
            <w:tcW w:w="1134" w:type="dxa"/>
            <w:shd w:val="clear" w:color="auto" w:fill="auto"/>
          </w:tcPr>
          <w:p w14:paraId="10B1FF2E" w14:textId="24DFA20E" w:rsidR="00524B21" w:rsidRPr="00295C25" w:rsidRDefault="00524B21" w:rsidP="00502766">
            <w:pPr>
              <w:jc w:val="right"/>
              <w:rPr>
                <w:rFonts w:cs="Arial"/>
                <w:i/>
                <w:iCs/>
                <w:sz w:val="20"/>
                <w:szCs w:val="18"/>
              </w:rPr>
            </w:pPr>
            <w:r>
              <w:rPr>
                <w:rFonts w:cs="Arial"/>
                <w:sz w:val="20"/>
                <w:szCs w:val="18"/>
              </w:rPr>
              <w:t>2,720</w:t>
            </w:r>
          </w:p>
        </w:tc>
      </w:tr>
      <w:tr w:rsidR="00524B21" w:rsidRPr="006E0E48" w14:paraId="733946EC" w14:textId="77777777" w:rsidTr="00452668">
        <w:trPr>
          <w:trHeight w:val="570"/>
        </w:trPr>
        <w:tc>
          <w:tcPr>
            <w:tcW w:w="473" w:type="dxa"/>
            <w:vMerge/>
            <w:tcBorders>
              <w:bottom w:val="single" w:sz="4" w:space="0" w:color="auto"/>
            </w:tcBorders>
            <w:textDirection w:val="btLr"/>
          </w:tcPr>
          <w:p w14:paraId="5C1AB786" w14:textId="77777777" w:rsidR="00524B21" w:rsidRPr="006E0E48" w:rsidRDefault="00524B21" w:rsidP="00502766">
            <w:pPr>
              <w:ind w:left="113" w:right="113"/>
              <w:rPr>
                <w:rFonts w:cs="Arial"/>
                <w:b/>
                <w:sz w:val="20"/>
                <w:szCs w:val="18"/>
              </w:rPr>
            </w:pPr>
          </w:p>
        </w:tc>
        <w:tc>
          <w:tcPr>
            <w:tcW w:w="2357" w:type="dxa"/>
          </w:tcPr>
          <w:p w14:paraId="07FF7463" w14:textId="72B7220D" w:rsidR="00524B21" w:rsidRPr="006E0E48" w:rsidRDefault="00524B21" w:rsidP="00502766">
            <w:pPr>
              <w:rPr>
                <w:rFonts w:cs="Arial"/>
                <w:b/>
                <w:sz w:val="20"/>
                <w:szCs w:val="18"/>
              </w:rPr>
            </w:pPr>
            <w:r>
              <w:rPr>
                <w:rFonts w:cs="Arial"/>
                <w:b/>
                <w:sz w:val="20"/>
                <w:szCs w:val="18"/>
              </w:rPr>
              <w:t>Total</w:t>
            </w:r>
          </w:p>
        </w:tc>
        <w:tc>
          <w:tcPr>
            <w:tcW w:w="1276" w:type="dxa"/>
            <w:shd w:val="clear" w:color="auto" w:fill="auto"/>
          </w:tcPr>
          <w:p w14:paraId="6E20B23C" w14:textId="58E18F82" w:rsidR="00524B21" w:rsidRPr="00F24A9B" w:rsidRDefault="00F24A9B" w:rsidP="00F24A9B">
            <w:pPr>
              <w:jc w:val="right"/>
              <w:rPr>
                <w:rFonts w:cs="Arial"/>
                <w:bCs/>
                <w:sz w:val="20"/>
                <w:szCs w:val="18"/>
              </w:rPr>
            </w:pPr>
            <w:r>
              <w:rPr>
                <w:rFonts w:cs="Arial"/>
                <w:bCs/>
                <w:sz w:val="20"/>
                <w:szCs w:val="18"/>
              </w:rPr>
              <w:t>12,600</w:t>
            </w:r>
          </w:p>
        </w:tc>
        <w:tc>
          <w:tcPr>
            <w:tcW w:w="1276" w:type="dxa"/>
            <w:shd w:val="clear" w:color="auto" w:fill="auto"/>
          </w:tcPr>
          <w:p w14:paraId="77629171" w14:textId="5D7FDABE" w:rsidR="00524B21" w:rsidRPr="00F24A9B" w:rsidRDefault="00F24A9B" w:rsidP="00F24A9B">
            <w:pPr>
              <w:jc w:val="right"/>
              <w:rPr>
                <w:rFonts w:cs="Arial"/>
                <w:bCs/>
                <w:sz w:val="20"/>
                <w:szCs w:val="18"/>
              </w:rPr>
            </w:pPr>
            <w:r>
              <w:rPr>
                <w:rFonts w:cs="Arial"/>
                <w:bCs/>
                <w:sz w:val="20"/>
                <w:szCs w:val="18"/>
              </w:rPr>
              <w:t>17,200</w:t>
            </w:r>
          </w:p>
        </w:tc>
        <w:tc>
          <w:tcPr>
            <w:tcW w:w="1276" w:type="dxa"/>
            <w:shd w:val="clear" w:color="auto" w:fill="auto"/>
          </w:tcPr>
          <w:p w14:paraId="1B72A0C0" w14:textId="02627750" w:rsidR="00524B21" w:rsidRPr="00F24A9B" w:rsidRDefault="00F24A9B" w:rsidP="00F24A9B">
            <w:pPr>
              <w:jc w:val="right"/>
              <w:rPr>
                <w:rFonts w:cs="Arial"/>
                <w:bCs/>
                <w:sz w:val="20"/>
                <w:szCs w:val="18"/>
              </w:rPr>
            </w:pPr>
            <w:r>
              <w:rPr>
                <w:rFonts w:cs="Arial"/>
                <w:bCs/>
                <w:sz w:val="20"/>
                <w:szCs w:val="18"/>
              </w:rPr>
              <w:t>20,100</w:t>
            </w:r>
          </w:p>
        </w:tc>
        <w:tc>
          <w:tcPr>
            <w:tcW w:w="1275" w:type="dxa"/>
            <w:shd w:val="clear" w:color="auto" w:fill="auto"/>
          </w:tcPr>
          <w:p w14:paraId="178DB39A" w14:textId="764035DB" w:rsidR="00524B21" w:rsidRPr="00F24A9B" w:rsidRDefault="00F24A9B" w:rsidP="00F24A9B">
            <w:pPr>
              <w:jc w:val="right"/>
              <w:rPr>
                <w:rFonts w:cs="Arial"/>
                <w:bCs/>
                <w:sz w:val="20"/>
                <w:szCs w:val="18"/>
              </w:rPr>
            </w:pPr>
            <w:r w:rsidRPr="00F24A9B">
              <w:rPr>
                <w:rFonts w:cs="Arial"/>
                <w:bCs/>
                <w:sz w:val="20"/>
                <w:szCs w:val="18"/>
              </w:rPr>
              <w:t>23,800</w:t>
            </w:r>
          </w:p>
        </w:tc>
        <w:tc>
          <w:tcPr>
            <w:tcW w:w="1134" w:type="dxa"/>
            <w:shd w:val="clear" w:color="auto" w:fill="auto"/>
          </w:tcPr>
          <w:p w14:paraId="322FEA38" w14:textId="40A459AC" w:rsidR="00524B21" w:rsidRPr="00F24A9B" w:rsidRDefault="00F24A9B" w:rsidP="00F24A9B">
            <w:pPr>
              <w:jc w:val="right"/>
              <w:rPr>
                <w:rFonts w:cs="Arial"/>
                <w:bCs/>
                <w:sz w:val="20"/>
                <w:szCs w:val="18"/>
              </w:rPr>
            </w:pPr>
            <w:r>
              <w:rPr>
                <w:rFonts w:cs="Arial"/>
                <w:bCs/>
                <w:sz w:val="20"/>
                <w:szCs w:val="18"/>
              </w:rPr>
              <w:t>27,200</w:t>
            </w:r>
          </w:p>
        </w:tc>
      </w:tr>
    </w:tbl>
    <w:p w14:paraId="3AC082FF" w14:textId="77777777" w:rsidR="00524B21" w:rsidRPr="00B07F7B" w:rsidRDefault="00524B21" w:rsidP="00E57B7A"/>
    <w:p w14:paraId="54E241DC" w14:textId="76734C09" w:rsidR="0027650A" w:rsidRDefault="0027650A" w:rsidP="006571DA">
      <w:pPr>
        <w:pStyle w:val="Heading2"/>
      </w:pPr>
      <w:bookmarkStart w:id="54" w:name="_Toc203488111"/>
      <w:r>
        <w:t xml:space="preserve">APPENDIX 2 – </w:t>
      </w:r>
      <w:r w:rsidR="00633FDE">
        <w:t xml:space="preserve">Discarded </w:t>
      </w:r>
      <w:r w:rsidR="00685ED0">
        <w:t>c</w:t>
      </w:r>
      <w:r w:rsidR="00633FDE">
        <w:t xml:space="preserve">atch </w:t>
      </w:r>
      <w:r w:rsidR="00685ED0">
        <w:t>d</w:t>
      </w:r>
      <w:r w:rsidR="00633FDE">
        <w:t>ata (target and non-target species)</w:t>
      </w:r>
      <w:bookmarkEnd w:id="54"/>
    </w:p>
    <w:p w14:paraId="6AB5B53E" w14:textId="35A80A1B" w:rsidR="00B45BEB" w:rsidRDefault="00E944B6" w:rsidP="00B45BEB">
      <w:r w:rsidRPr="004A0B06">
        <w:t>This section is not applicable in this fishery.</w:t>
      </w:r>
    </w:p>
    <w:p w14:paraId="5E1643BD" w14:textId="6F12C585" w:rsidR="00E037BC" w:rsidRDefault="00E037BC" w:rsidP="00E037BC">
      <w:r>
        <w:t xml:space="preserve">Being a dive fishery with targeted hand collection and no quota, bycatch including discards (i.e. high-grading) is negligible to nil. </w:t>
      </w:r>
    </w:p>
    <w:p w14:paraId="60BD6D48" w14:textId="77777777" w:rsidR="00E037BC" w:rsidRPr="00B07F7B" w:rsidRDefault="00E037BC" w:rsidP="00B45BEB"/>
    <w:p w14:paraId="39706847" w14:textId="4F21EDEE" w:rsidR="000352CC" w:rsidRDefault="0027650A" w:rsidP="006571DA">
      <w:pPr>
        <w:pStyle w:val="Heading2"/>
      </w:pPr>
      <w:bookmarkStart w:id="55" w:name="_Toc203488112"/>
      <w:r>
        <w:t xml:space="preserve">APPENDIX 3 – </w:t>
      </w:r>
      <w:r w:rsidR="00695FC5">
        <w:t xml:space="preserve">Protected </w:t>
      </w:r>
      <w:r w:rsidR="00CB4E8B">
        <w:t>s</w:t>
      </w:r>
      <w:r w:rsidR="00695FC5">
        <w:t xml:space="preserve">pecies </w:t>
      </w:r>
      <w:r w:rsidR="00CB4E8B">
        <w:t>i</w:t>
      </w:r>
      <w:r w:rsidR="00AE5AE8">
        <w:t>nteraction</w:t>
      </w:r>
      <w:r w:rsidR="00695FC5">
        <w:t xml:space="preserve"> </w:t>
      </w:r>
      <w:r w:rsidR="00CB4E8B">
        <w:t>d</w:t>
      </w:r>
      <w:r w:rsidR="00AE5AE8">
        <w:t>ata</w:t>
      </w:r>
      <w:bookmarkEnd w:id="55"/>
    </w:p>
    <w:p w14:paraId="23E771DC" w14:textId="77777777" w:rsidR="006D5D6C" w:rsidRDefault="00E944B6" w:rsidP="00E944B6">
      <w:bookmarkStart w:id="56" w:name="_Hlk202182420"/>
      <w:r>
        <w:t xml:space="preserve">Interactions would be limited to </w:t>
      </w:r>
      <w:r w:rsidR="006D5D6C">
        <w:t>vessel</w:t>
      </w:r>
      <w:r>
        <w:t>-strikes</w:t>
      </w:r>
      <w:r w:rsidR="006D5D6C">
        <w:t xml:space="preserve"> or hookah-line entanglement, the latter of which poses greater risk to divers than other species;</w:t>
      </w:r>
      <w:r>
        <w:t xml:space="preserve"> there have been no such reports. </w:t>
      </w:r>
    </w:p>
    <w:p w14:paraId="6945B483" w14:textId="48955ACE" w:rsidR="00E944B6" w:rsidRPr="004A0B06" w:rsidRDefault="006D5D6C" w:rsidP="00E944B6">
      <w:r w:rsidRPr="006D5D6C">
        <w:t>Th</w:t>
      </w:r>
      <w:r>
        <w:t xml:space="preserve">e </w:t>
      </w:r>
      <w:r w:rsidRPr="006D5D6C">
        <w:t xml:space="preserve">risk of vessels striking </w:t>
      </w:r>
      <w:r>
        <w:t>TEPS</w:t>
      </w:r>
      <w:r w:rsidRPr="006D5D6C">
        <w:t xml:space="preserve"> is no greater than any other water users and the risk of hookah air-hose entanglements </w:t>
      </w:r>
      <w:r>
        <w:t>is</w:t>
      </w:r>
      <w:r w:rsidRPr="006D5D6C">
        <w:t xml:space="preserve"> negligible</w:t>
      </w:r>
      <w:r>
        <w:t>.</w:t>
      </w:r>
    </w:p>
    <w:p w14:paraId="70E57C3B" w14:textId="67F7261A" w:rsidR="0027650A" w:rsidRDefault="0027650A" w:rsidP="00C329F4">
      <w:pPr>
        <w:pStyle w:val="Heading2"/>
      </w:pPr>
      <w:bookmarkStart w:id="57" w:name="_Toc203488113"/>
      <w:bookmarkEnd w:id="56"/>
      <w:r>
        <w:t>APPENDIX 4</w:t>
      </w:r>
      <w:r w:rsidR="006571DA">
        <w:t xml:space="preserve"> </w:t>
      </w:r>
      <w:r w:rsidR="00D020EB">
        <w:t>–</w:t>
      </w:r>
      <w:r w:rsidR="006571DA">
        <w:t xml:space="preserve"> </w:t>
      </w:r>
      <w:r w:rsidR="00D020EB">
        <w:t xml:space="preserve">Fishing </w:t>
      </w:r>
      <w:r w:rsidR="00CB4E8B">
        <w:t>e</w:t>
      </w:r>
      <w:r w:rsidR="00D020EB">
        <w:t>ffort</w:t>
      </w:r>
      <w:bookmarkEnd w:id="57"/>
    </w:p>
    <w:p w14:paraId="5AAC05F1" w14:textId="65E4EC98" w:rsidR="00452668" w:rsidRDefault="00452668" w:rsidP="00452668">
      <w:pPr>
        <w:rPr>
          <w:rFonts w:cs="Arial"/>
          <w:sz w:val="20"/>
          <w:szCs w:val="18"/>
        </w:rPr>
      </w:pPr>
      <w:r w:rsidRPr="00B6625D">
        <w:rPr>
          <w:rFonts w:cs="Arial"/>
          <w:sz w:val="20"/>
          <w:szCs w:val="18"/>
        </w:rPr>
        <w:t xml:space="preserve">Table </w:t>
      </w:r>
      <w:r w:rsidR="00B6625D" w:rsidRPr="00B6625D">
        <w:rPr>
          <w:rFonts w:cs="Arial"/>
          <w:sz w:val="20"/>
          <w:szCs w:val="18"/>
        </w:rPr>
        <w:t>5</w:t>
      </w:r>
      <w:r w:rsidRPr="00B6625D">
        <w:rPr>
          <w:rFonts w:cs="Arial"/>
          <w:sz w:val="20"/>
          <w:szCs w:val="18"/>
        </w:rPr>
        <w:t xml:space="preserve">: Summary of total </w:t>
      </w:r>
      <w:r w:rsidR="00E15DA1" w:rsidRPr="00B6625D">
        <w:rPr>
          <w:rFonts w:cs="Arial"/>
          <w:sz w:val="20"/>
          <w:szCs w:val="18"/>
        </w:rPr>
        <w:t xml:space="preserve">hours fished (rounded to nearest whole hour) </w:t>
      </w:r>
      <w:r w:rsidRPr="00B6625D">
        <w:rPr>
          <w:rFonts w:cs="Arial"/>
          <w:sz w:val="20"/>
          <w:szCs w:val="18"/>
        </w:rPr>
        <w:t>by zone in the commercial Tasmanian Abalone Dive Fishery, noting that a season runs from 1 January to 31 December of a calendar year</w:t>
      </w:r>
      <w:r>
        <w:rPr>
          <w:rFonts w:cs="Arial"/>
          <w:sz w:val="20"/>
          <w:szCs w:val="18"/>
        </w:rPr>
        <w:t xml:space="preserve">. </w:t>
      </w:r>
    </w:p>
    <w:tbl>
      <w:tblPr>
        <w:tblStyle w:val="TableGrid"/>
        <w:tblW w:w="0" w:type="auto"/>
        <w:tblLayout w:type="fixed"/>
        <w:tblLook w:val="04A0" w:firstRow="1" w:lastRow="0" w:firstColumn="1" w:lastColumn="0" w:noHBand="0" w:noVBand="1"/>
      </w:tblPr>
      <w:tblGrid>
        <w:gridCol w:w="473"/>
        <w:gridCol w:w="2357"/>
        <w:gridCol w:w="1031"/>
        <w:gridCol w:w="1031"/>
        <w:gridCol w:w="1031"/>
        <w:gridCol w:w="1031"/>
        <w:gridCol w:w="1031"/>
        <w:gridCol w:w="1031"/>
      </w:tblGrid>
      <w:tr w:rsidR="00452668" w:rsidRPr="006E0E48" w14:paraId="7B9CA8E6" w14:textId="77777777" w:rsidTr="00860E1F">
        <w:trPr>
          <w:trHeight w:val="375"/>
        </w:trPr>
        <w:tc>
          <w:tcPr>
            <w:tcW w:w="473" w:type="dxa"/>
          </w:tcPr>
          <w:p w14:paraId="245AEA81" w14:textId="77777777" w:rsidR="00452668" w:rsidRPr="006E0E48" w:rsidRDefault="00452668" w:rsidP="00860E1F">
            <w:pPr>
              <w:jc w:val="center"/>
              <w:rPr>
                <w:rFonts w:cs="Arial"/>
                <w:b/>
                <w:sz w:val="20"/>
                <w:szCs w:val="18"/>
              </w:rPr>
            </w:pPr>
          </w:p>
        </w:tc>
        <w:tc>
          <w:tcPr>
            <w:tcW w:w="8543" w:type="dxa"/>
            <w:gridSpan w:val="7"/>
          </w:tcPr>
          <w:p w14:paraId="4EE328AF" w14:textId="77777777" w:rsidR="00452668" w:rsidRPr="006E0E48" w:rsidRDefault="00452668" w:rsidP="00860E1F">
            <w:pPr>
              <w:jc w:val="center"/>
              <w:rPr>
                <w:rFonts w:cs="Arial"/>
                <w:b/>
                <w:sz w:val="20"/>
                <w:szCs w:val="18"/>
              </w:rPr>
            </w:pPr>
            <w:r w:rsidRPr="006E0E48">
              <w:rPr>
                <w:rFonts w:cs="Arial"/>
                <w:b/>
                <w:sz w:val="20"/>
                <w:szCs w:val="18"/>
              </w:rPr>
              <w:t xml:space="preserve">Season (1 </w:t>
            </w:r>
            <w:r>
              <w:rPr>
                <w:rFonts w:cs="Arial"/>
                <w:b/>
                <w:sz w:val="20"/>
                <w:szCs w:val="18"/>
              </w:rPr>
              <w:t>Jan – 31 Dec</w:t>
            </w:r>
            <w:r w:rsidRPr="006E0E48">
              <w:rPr>
                <w:rFonts w:cs="Arial"/>
                <w:b/>
                <w:sz w:val="20"/>
                <w:szCs w:val="18"/>
              </w:rPr>
              <w:t>)</w:t>
            </w:r>
            <w:r>
              <w:rPr>
                <w:rFonts w:cs="Arial"/>
                <w:b/>
                <w:sz w:val="20"/>
                <w:szCs w:val="18"/>
              </w:rPr>
              <w:t xml:space="preserve"> Catch and TACCs in kilograms</w:t>
            </w:r>
          </w:p>
        </w:tc>
      </w:tr>
      <w:tr w:rsidR="00452668" w:rsidRPr="006E0E48" w14:paraId="4D8F4AEC" w14:textId="77777777" w:rsidTr="00860E1F">
        <w:tc>
          <w:tcPr>
            <w:tcW w:w="473" w:type="dxa"/>
            <w:vMerge w:val="restart"/>
            <w:textDirection w:val="btLr"/>
          </w:tcPr>
          <w:p w14:paraId="44086BE7" w14:textId="77777777" w:rsidR="00452668" w:rsidRPr="006E0E48" w:rsidRDefault="00452668" w:rsidP="00860E1F">
            <w:pPr>
              <w:ind w:left="113" w:right="113"/>
              <w:jc w:val="center"/>
              <w:rPr>
                <w:rFonts w:cs="Arial"/>
                <w:b/>
                <w:sz w:val="20"/>
                <w:szCs w:val="18"/>
              </w:rPr>
            </w:pPr>
            <w:r w:rsidRPr="006E0E48">
              <w:rPr>
                <w:rFonts w:cs="Arial"/>
                <w:b/>
                <w:sz w:val="20"/>
                <w:szCs w:val="18"/>
              </w:rPr>
              <w:t>Species</w:t>
            </w:r>
          </w:p>
          <w:p w14:paraId="12204993" w14:textId="77777777" w:rsidR="00452668" w:rsidRPr="006E0E48" w:rsidRDefault="00452668" w:rsidP="00860E1F">
            <w:pPr>
              <w:ind w:left="113" w:right="113"/>
              <w:rPr>
                <w:rFonts w:cs="Arial"/>
                <w:b/>
                <w:sz w:val="20"/>
                <w:szCs w:val="18"/>
              </w:rPr>
            </w:pPr>
          </w:p>
        </w:tc>
        <w:tc>
          <w:tcPr>
            <w:tcW w:w="2357" w:type="dxa"/>
          </w:tcPr>
          <w:p w14:paraId="7BB338E8" w14:textId="77777777" w:rsidR="00452668" w:rsidRPr="006E0E48" w:rsidRDefault="00452668" w:rsidP="00860E1F">
            <w:pPr>
              <w:rPr>
                <w:rFonts w:cs="Arial"/>
                <w:b/>
                <w:sz w:val="20"/>
                <w:szCs w:val="18"/>
              </w:rPr>
            </w:pPr>
          </w:p>
        </w:tc>
        <w:tc>
          <w:tcPr>
            <w:tcW w:w="1031" w:type="dxa"/>
          </w:tcPr>
          <w:p w14:paraId="259B1870" w14:textId="77777777" w:rsidR="00452668" w:rsidRPr="006E0E48" w:rsidRDefault="00452668" w:rsidP="00860E1F">
            <w:pPr>
              <w:jc w:val="center"/>
              <w:rPr>
                <w:rFonts w:cs="Arial"/>
                <w:b/>
                <w:sz w:val="20"/>
                <w:szCs w:val="18"/>
              </w:rPr>
            </w:pPr>
            <w:r w:rsidRPr="006E0E48">
              <w:rPr>
                <w:rFonts w:cs="Arial"/>
                <w:b/>
                <w:sz w:val="20"/>
                <w:szCs w:val="18"/>
              </w:rPr>
              <w:t>2019</w:t>
            </w:r>
          </w:p>
        </w:tc>
        <w:tc>
          <w:tcPr>
            <w:tcW w:w="1031" w:type="dxa"/>
          </w:tcPr>
          <w:p w14:paraId="4A0559C7" w14:textId="77777777" w:rsidR="00452668" w:rsidRPr="006E0E48" w:rsidRDefault="00452668" w:rsidP="00860E1F">
            <w:pPr>
              <w:jc w:val="center"/>
              <w:rPr>
                <w:rFonts w:cs="Arial"/>
                <w:b/>
                <w:sz w:val="20"/>
                <w:szCs w:val="18"/>
              </w:rPr>
            </w:pPr>
            <w:r w:rsidRPr="006E0E48">
              <w:rPr>
                <w:rFonts w:cs="Arial"/>
                <w:b/>
                <w:sz w:val="20"/>
                <w:szCs w:val="18"/>
              </w:rPr>
              <w:t>2020</w:t>
            </w:r>
          </w:p>
        </w:tc>
        <w:tc>
          <w:tcPr>
            <w:tcW w:w="1031" w:type="dxa"/>
          </w:tcPr>
          <w:p w14:paraId="4A520002" w14:textId="77777777" w:rsidR="00452668" w:rsidRPr="006E0E48" w:rsidRDefault="00452668" w:rsidP="00860E1F">
            <w:pPr>
              <w:jc w:val="center"/>
              <w:rPr>
                <w:rFonts w:cs="Arial"/>
                <w:b/>
                <w:sz w:val="20"/>
                <w:szCs w:val="18"/>
              </w:rPr>
            </w:pPr>
            <w:r w:rsidRPr="006E0E48">
              <w:rPr>
                <w:rFonts w:cs="Arial"/>
                <w:b/>
                <w:sz w:val="20"/>
                <w:szCs w:val="18"/>
              </w:rPr>
              <w:t>202</w:t>
            </w:r>
            <w:r>
              <w:rPr>
                <w:rFonts w:cs="Arial"/>
                <w:b/>
                <w:sz w:val="20"/>
                <w:szCs w:val="18"/>
              </w:rPr>
              <w:t>1</w:t>
            </w:r>
          </w:p>
        </w:tc>
        <w:tc>
          <w:tcPr>
            <w:tcW w:w="1031" w:type="dxa"/>
          </w:tcPr>
          <w:p w14:paraId="46D728F7" w14:textId="77777777" w:rsidR="00452668" w:rsidRPr="006E0E48" w:rsidRDefault="00452668" w:rsidP="00860E1F">
            <w:pPr>
              <w:jc w:val="center"/>
              <w:rPr>
                <w:rFonts w:cs="Arial"/>
                <w:b/>
                <w:sz w:val="20"/>
                <w:szCs w:val="18"/>
              </w:rPr>
            </w:pPr>
            <w:r w:rsidRPr="006E0E48">
              <w:rPr>
                <w:rFonts w:cs="Arial"/>
                <w:b/>
                <w:sz w:val="20"/>
                <w:szCs w:val="18"/>
              </w:rPr>
              <w:t>202</w:t>
            </w:r>
            <w:r>
              <w:rPr>
                <w:rFonts w:cs="Arial"/>
                <w:b/>
                <w:sz w:val="20"/>
                <w:szCs w:val="18"/>
              </w:rPr>
              <w:t>2</w:t>
            </w:r>
          </w:p>
        </w:tc>
        <w:tc>
          <w:tcPr>
            <w:tcW w:w="1031" w:type="dxa"/>
          </w:tcPr>
          <w:p w14:paraId="474B5636" w14:textId="77777777" w:rsidR="00452668" w:rsidRPr="006E0E48" w:rsidRDefault="00452668" w:rsidP="00860E1F">
            <w:pPr>
              <w:jc w:val="center"/>
              <w:rPr>
                <w:rFonts w:cs="Arial"/>
                <w:b/>
                <w:sz w:val="20"/>
                <w:szCs w:val="18"/>
              </w:rPr>
            </w:pPr>
            <w:r w:rsidRPr="006E0E48">
              <w:rPr>
                <w:rFonts w:cs="Arial"/>
                <w:b/>
                <w:sz w:val="20"/>
                <w:szCs w:val="18"/>
              </w:rPr>
              <w:t>2023</w:t>
            </w:r>
          </w:p>
        </w:tc>
        <w:tc>
          <w:tcPr>
            <w:tcW w:w="1031" w:type="dxa"/>
          </w:tcPr>
          <w:p w14:paraId="30371E39" w14:textId="77777777" w:rsidR="00452668" w:rsidRPr="006E0E48" w:rsidRDefault="00452668" w:rsidP="00860E1F">
            <w:pPr>
              <w:jc w:val="center"/>
              <w:rPr>
                <w:rFonts w:cs="Arial"/>
                <w:b/>
                <w:sz w:val="20"/>
                <w:szCs w:val="18"/>
              </w:rPr>
            </w:pPr>
            <w:r w:rsidRPr="006E0E48">
              <w:rPr>
                <w:rFonts w:cs="Arial"/>
                <w:b/>
                <w:sz w:val="20"/>
                <w:szCs w:val="18"/>
              </w:rPr>
              <w:t>2024</w:t>
            </w:r>
          </w:p>
        </w:tc>
      </w:tr>
      <w:tr w:rsidR="00452668" w14:paraId="4D9BDA03" w14:textId="77777777" w:rsidTr="00452668">
        <w:trPr>
          <w:trHeight w:val="536"/>
        </w:trPr>
        <w:tc>
          <w:tcPr>
            <w:tcW w:w="473" w:type="dxa"/>
            <w:vMerge/>
          </w:tcPr>
          <w:p w14:paraId="0D3A0DE3" w14:textId="77777777" w:rsidR="00452668" w:rsidRPr="006E0E48" w:rsidRDefault="00452668" w:rsidP="00860E1F">
            <w:pPr>
              <w:ind w:left="113" w:right="113"/>
              <w:rPr>
                <w:rFonts w:cs="Arial"/>
                <w:b/>
                <w:bCs/>
                <w:sz w:val="20"/>
                <w:szCs w:val="18"/>
              </w:rPr>
            </w:pPr>
          </w:p>
        </w:tc>
        <w:tc>
          <w:tcPr>
            <w:tcW w:w="2357" w:type="dxa"/>
          </w:tcPr>
          <w:p w14:paraId="07338241" w14:textId="77777777" w:rsidR="00452668" w:rsidRPr="006E0E48" w:rsidRDefault="00452668" w:rsidP="00860E1F">
            <w:pPr>
              <w:rPr>
                <w:rFonts w:cs="Arial"/>
                <w:b/>
                <w:bCs/>
                <w:sz w:val="20"/>
                <w:szCs w:val="18"/>
              </w:rPr>
            </w:pPr>
            <w:r>
              <w:rPr>
                <w:rFonts w:cs="Arial"/>
                <w:b/>
                <w:bCs/>
                <w:sz w:val="20"/>
                <w:szCs w:val="18"/>
              </w:rPr>
              <w:t>Eastern Blacklip Zone</w:t>
            </w:r>
          </w:p>
        </w:tc>
        <w:tc>
          <w:tcPr>
            <w:tcW w:w="1031" w:type="dxa"/>
            <w:shd w:val="clear" w:color="auto" w:fill="auto"/>
          </w:tcPr>
          <w:p w14:paraId="06EA1726" w14:textId="37A84CDD" w:rsidR="00452668" w:rsidRPr="00E15DA1" w:rsidRDefault="00452668" w:rsidP="00E15DA1">
            <w:pPr>
              <w:jc w:val="center"/>
              <w:rPr>
                <w:rFonts w:cs="Arial"/>
                <w:sz w:val="20"/>
                <w:szCs w:val="18"/>
              </w:rPr>
            </w:pPr>
            <w:r>
              <w:rPr>
                <w:rFonts w:cs="Arial"/>
                <w:sz w:val="20"/>
                <w:szCs w:val="18"/>
              </w:rPr>
              <w:t>4,181</w:t>
            </w:r>
          </w:p>
        </w:tc>
        <w:tc>
          <w:tcPr>
            <w:tcW w:w="1031" w:type="dxa"/>
            <w:shd w:val="clear" w:color="auto" w:fill="auto"/>
          </w:tcPr>
          <w:p w14:paraId="5D86D0C3" w14:textId="01F0B38C" w:rsidR="00E15DA1" w:rsidRPr="00295C25" w:rsidRDefault="00452668" w:rsidP="00E15DA1">
            <w:pPr>
              <w:jc w:val="center"/>
              <w:rPr>
                <w:rFonts w:cs="Arial"/>
                <w:i/>
                <w:iCs/>
                <w:sz w:val="20"/>
                <w:szCs w:val="18"/>
              </w:rPr>
            </w:pPr>
            <w:r>
              <w:rPr>
                <w:rFonts w:cs="Arial"/>
                <w:sz w:val="20"/>
                <w:szCs w:val="18"/>
              </w:rPr>
              <w:t>2,817</w:t>
            </w:r>
          </w:p>
          <w:p w14:paraId="62D1AD59" w14:textId="540A0972" w:rsidR="00452668" w:rsidRPr="00295C25" w:rsidRDefault="00452668" w:rsidP="00860E1F">
            <w:pPr>
              <w:jc w:val="center"/>
              <w:rPr>
                <w:rFonts w:cs="Arial"/>
                <w:i/>
                <w:iCs/>
                <w:sz w:val="20"/>
                <w:szCs w:val="18"/>
              </w:rPr>
            </w:pPr>
          </w:p>
        </w:tc>
        <w:tc>
          <w:tcPr>
            <w:tcW w:w="1031" w:type="dxa"/>
            <w:shd w:val="clear" w:color="auto" w:fill="auto"/>
          </w:tcPr>
          <w:p w14:paraId="20F4299E" w14:textId="2C4C8705" w:rsidR="00E15DA1" w:rsidRPr="00295C25" w:rsidRDefault="00452668" w:rsidP="00E15DA1">
            <w:pPr>
              <w:jc w:val="center"/>
              <w:rPr>
                <w:rFonts w:cs="Arial"/>
                <w:i/>
                <w:iCs/>
                <w:sz w:val="20"/>
                <w:szCs w:val="18"/>
              </w:rPr>
            </w:pPr>
            <w:r>
              <w:rPr>
                <w:rFonts w:cs="Arial"/>
                <w:sz w:val="20"/>
                <w:szCs w:val="18"/>
              </w:rPr>
              <w:t>2,570</w:t>
            </w:r>
          </w:p>
          <w:p w14:paraId="19225715" w14:textId="0A24BD22" w:rsidR="00452668" w:rsidRPr="00295C25" w:rsidRDefault="00452668" w:rsidP="00860E1F">
            <w:pPr>
              <w:jc w:val="center"/>
              <w:rPr>
                <w:rFonts w:cs="Arial"/>
                <w:i/>
                <w:iCs/>
                <w:sz w:val="20"/>
                <w:szCs w:val="18"/>
              </w:rPr>
            </w:pPr>
          </w:p>
        </w:tc>
        <w:tc>
          <w:tcPr>
            <w:tcW w:w="1031" w:type="dxa"/>
            <w:shd w:val="clear" w:color="auto" w:fill="auto"/>
          </w:tcPr>
          <w:p w14:paraId="55737142" w14:textId="31426868" w:rsidR="00E15DA1" w:rsidRPr="00295C25" w:rsidRDefault="00452668" w:rsidP="00E15DA1">
            <w:pPr>
              <w:jc w:val="center"/>
              <w:rPr>
                <w:rFonts w:cs="Arial"/>
                <w:i/>
                <w:iCs/>
                <w:sz w:val="20"/>
                <w:szCs w:val="18"/>
              </w:rPr>
            </w:pPr>
            <w:r>
              <w:rPr>
                <w:rFonts w:cs="Arial"/>
                <w:sz w:val="20"/>
                <w:szCs w:val="18"/>
              </w:rPr>
              <w:t>2,873</w:t>
            </w:r>
          </w:p>
          <w:p w14:paraId="72E3ED3A" w14:textId="0EE4A7A8" w:rsidR="00452668" w:rsidRPr="00295C25" w:rsidRDefault="00452668" w:rsidP="00860E1F">
            <w:pPr>
              <w:jc w:val="center"/>
              <w:rPr>
                <w:rFonts w:cs="Arial"/>
                <w:i/>
                <w:iCs/>
                <w:sz w:val="20"/>
                <w:szCs w:val="18"/>
              </w:rPr>
            </w:pPr>
          </w:p>
        </w:tc>
        <w:tc>
          <w:tcPr>
            <w:tcW w:w="1031" w:type="dxa"/>
            <w:shd w:val="clear" w:color="auto" w:fill="auto"/>
          </w:tcPr>
          <w:p w14:paraId="2D10B06D" w14:textId="6064A2AF" w:rsidR="00E15DA1" w:rsidRPr="00295C25" w:rsidRDefault="00452668" w:rsidP="00E15DA1">
            <w:pPr>
              <w:jc w:val="center"/>
              <w:rPr>
                <w:rFonts w:cs="Arial"/>
                <w:i/>
                <w:iCs/>
                <w:sz w:val="20"/>
                <w:szCs w:val="18"/>
              </w:rPr>
            </w:pPr>
            <w:r>
              <w:rPr>
                <w:rFonts w:cs="Arial"/>
                <w:sz w:val="20"/>
                <w:szCs w:val="18"/>
              </w:rPr>
              <w:t>2,528</w:t>
            </w:r>
          </w:p>
          <w:p w14:paraId="48B4174C" w14:textId="5BAC3B11" w:rsidR="00452668" w:rsidRPr="00295C25" w:rsidRDefault="00452668" w:rsidP="00860E1F">
            <w:pPr>
              <w:jc w:val="center"/>
              <w:rPr>
                <w:rFonts w:cs="Arial"/>
                <w:i/>
                <w:iCs/>
                <w:sz w:val="20"/>
                <w:szCs w:val="18"/>
              </w:rPr>
            </w:pPr>
          </w:p>
        </w:tc>
        <w:tc>
          <w:tcPr>
            <w:tcW w:w="1031" w:type="dxa"/>
            <w:shd w:val="clear" w:color="auto" w:fill="auto"/>
          </w:tcPr>
          <w:p w14:paraId="3FEE9CF2" w14:textId="525CA6CA" w:rsidR="00E15DA1" w:rsidRPr="00295C25" w:rsidRDefault="00452668" w:rsidP="00E15DA1">
            <w:pPr>
              <w:jc w:val="center"/>
              <w:rPr>
                <w:rFonts w:cs="Arial"/>
                <w:i/>
                <w:iCs/>
                <w:sz w:val="20"/>
                <w:szCs w:val="18"/>
              </w:rPr>
            </w:pPr>
            <w:r>
              <w:rPr>
                <w:rFonts w:cs="Arial"/>
                <w:sz w:val="20"/>
                <w:szCs w:val="18"/>
              </w:rPr>
              <w:t>3,094</w:t>
            </w:r>
          </w:p>
          <w:p w14:paraId="0404F79C" w14:textId="0FC1F31C" w:rsidR="00452668" w:rsidRPr="00295C25" w:rsidRDefault="00452668" w:rsidP="00860E1F">
            <w:pPr>
              <w:jc w:val="center"/>
              <w:rPr>
                <w:rFonts w:cs="Arial"/>
                <w:i/>
                <w:iCs/>
                <w:sz w:val="20"/>
                <w:szCs w:val="18"/>
              </w:rPr>
            </w:pPr>
          </w:p>
        </w:tc>
      </w:tr>
      <w:tr w:rsidR="00452668" w14:paraId="4B31CDCE" w14:textId="77777777" w:rsidTr="00452668">
        <w:trPr>
          <w:trHeight w:val="568"/>
        </w:trPr>
        <w:tc>
          <w:tcPr>
            <w:tcW w:w="473" w:type="dxa"/>
            <w:vMerge/>
          </w:tcPr>
          <w:p w14:paraId="6F0783B9" w14:textId="77777777" w:rsidR="00452668" w:rsidRPr="006E0E48" w:rsidRDefault="00452668" w:rsidP="00860E1F">
            <w:pPr>
              <w:ind w:left="113" w:right="113"/>
              <w:rPr>
                <w:rFonts w:cs="Arial"/>
                <w:b/>
                <w:bCs/>
                <w:sz w:val="20"/>
                <w:szCs w:val="18"/>
              </w:rPr>
            </w:pPr>
          </w:p>
        </w:tc>
        <w:tc>
          <w:tcPr>
            <w:tcW w:w="2357" w:type="dxa"/>
          </w:tcPr>
          <w:p w14:paraId="0E5539DC" w14:textId="77777777" w:rsidR="00452668" w:rsidRPr="006E0E48" w:rsidRDefault="00452668" w:rsidP="00860E1F">
            <w:pPr>
              <w:rPr>
                <w:rFonts w:cs="Arial"/>
                <w:b/>
                <w:bCs/>
                <w:sz w:val="20"/>
                <w:szCs w:val="18"/>
              </w:rPr>
            </w:pPr>
            <w:r>
              <w:rPr>
                <w:rFonts w:cs="Arial"/>
                <w:b/>
                <w:bCs/>
                <w:sz w:val="20"/>
                <w:szCs w:val="18"/>
              </w:rPr>
              <w:t>Northern Blacklip Zone</w:t>
            </w:r>
          </w:p>
        </w:tc>
        <w:tc>
          <w:tcPr>
            <w:tcW w:w="1031" w:type="dxa"/>
            <w:shd w:val="clear" w:color="auto" w:fill="auto"/>
          </w:tcPr>
          <w:p w14:paraId="769964E4" w14:textId="24A67507" w:rsidR="00E15DA1" w:rsidRPr="00295C25" w:rsidRDefault="00452668" w:rsidP="00E15DA1">
            <w:pPr>
              <w:jc w:val="center"/>
              <w:rPr>
                <w:rFonts w:cs="Arial"/>
                <w:i/>
                <w:iCs/>
                <w:sz w:val="20"/>
                <w:szCs w:val="18"/>
              </w:rPr>
            </w:pPr>
            <w:r>
              <w:rPr>
                <w:rFonts w:cs="Arial"/>
                <w:sz w:val="20"/>
                <w:szCs w:val="18"/>
              </w:rPr>
              <w:t>3,754</w:t>
            </w:r>
          </w:p>
          <w:p w14:paraId="73075C8C" w14:textId="47777E15" w:rsidR="00452668" w:rsidRPr="00295C25" w:rsidRDefault="00452668" w:rsidP="00860E1F">
            <w:pPr>
              <w:jc w:val="center"/>
              <w:rPr>
                <w:rFonts w:cs="Arial"/>
                <w:i/>
                <w:iCs/>
                <w:sz w:val="20"/>
                <w:szCs w:val="18"/>
              </w:rPr>
            </w:pPr>
          </w:p>
        </w:tc>
        <w:tc>
          <w:tcPr>
            <w:tcW w:w="1031" w:type="dxa"/>
            <w:shd w:val="clear" w:color="auto" w:fill="auto"/>
          </w:tcPr>
          <w:p w14:paraId="7C765992" w14:textId="12C0BCBA" w:rsidR="00E15DA1" w:rsidRPr="00295C25" w:rsidRDefault="00452668" w:rsidP="00E15DA1">
            <w:pPr>
              <w:jc w:val="center"/>
              <w:rPr>
                <w:rFonts w:cs="Arial"/>
                <w:i/>
                <w:iCs/>
                <w:sz w:val="20"/>
                <w:szCs w:val="18"/>
              </w:rPr>
            </w:pPr>
            <w:r>
              <w:rPr>
                <w:rFonts w:cs="Arial"/>
                <w:sz w:val="20"/>
                <w:szCs w:val="18"/>
              </w:rPr>
              <w:t>1,346</w:t>
            </w:r>
          </w:p>
          <w:p w14:paraId="2452B411" w14:textId="20E46357" w:rsidR="00452668" w:rsidRPr="00295C25" w:rsidRDefault="00452668" w:rsidP="00860E1F">
            <w:pPr>
              <w:jc w:val="center"/>
              <w:rPr>
                <w:rFonts w:cs="Arial"/>
                <w:i/>
                <w:iCs/>
                <w:sz w:val="20"/>
                <w:szCs w:val="18"/>
              </w:rPr>
            </w:pPr>
          </w:p>
        </w:tc>
        <w:tc>
          <w:tcPr>
            <w:tcW w:w="1031" w:type="dxa"/>
            <w:shd w:val="clear" w:color="auto" w:fill="auto"/>
          </w:tcPr>
          <w:p w14:paraId="13D2A42E" w14:textId="5C0BEFAC" w:rsidR="00E15DA1" w:rsidRPr="00295C25" w:rsidRDefault="00452668" w:rsidP="00E15DA1">
            <w:pPr>
              <w:jc w:val="center"/>
              <w:rPr>
                <w:rFonts w:cs="Arial"/>
                <w:i/>
                <w:iCs/>
                <w:sz w:val="20"/>
                <w:szCs w:val="18"/>
              </w:rPr>
            </w:pPr>
            <w:r>
              <w:rPr>
                <w:rFonts w:cs="Arial"/>
                <w:sz w:val="20"/>
                <w:szCs w:val="18"/>
              </w:rPr>
              <w:t>1,197</w:t>
            </w:r>
          </w:p>
          <w:p w14:paraId="498F3B3B" w14:textId="0714E5A5" w:rsidR="00452668" w:rsidRPr="00295C25" w:rsidRDefault="00452668" w:rsidP="00860E1F">
            <w:pPr>
              <w:jc w:val="center"/>
              <w:rPr>
                <w:rFonts w:cs="Arial"/>
                <w:i/>
                <w:iCs/>
                <w:sz w:val="20"/>
                <w:szCs w:val="18"/>
              </w:rPr>
            </w:pPr>
          </w:p>
        </w:tc>
        <w:tc>
          <w:tcPr>
            <w:tcW w:w="1031" w:type="dxa"/>
            <w:shd w:val="clear" w:color="auto" w:fill="auto"/>
          </w:tcPr>
          <w:p w14:paraId="16E01749" w14:textId="48CA42E1" w:rsidR="00E15DA1" w:rsidRPr="00295C25" w:rsidRDefault="00452668" w:rsidP="00E15DA1">
            <w:pPr>
              <w:jc w:val="center"/>
              <w:rPr>
                <w:rFonts w:cs="Arial"/>
                <w:i/>
                <w:iCs/>
                <w:sz w:val="20"/>
                <w:szCs w:val="18"/>
              </w:rPr>
            </w:pPr>
            <w:r>
              <w:rPr>
                <w:rFonts w:cs="Arial"/>
                <w:sz w:val="20"/>
                <w:szCs w:val="18"/>
              </w:rPr>
              <w:t>931</w:t>
            </w:r>
          </w:p>
          <w:p w14:paraId="04D9EEF6" w14:textId="50F688AD" w:rsidR="00452668" w:rsidRPr="00295C25" w:rsidRDefault="00452668" w:rsidP="00860E1F">
            <w:pPr>
              <w:jc w:val="center"/>
              <w:rPr>
                <w:rFonts w:cs="Arial"/>
                <w:i/>
                <w:iCs/>
                <w:sz w:val="20"/>
                <w:szCs w:val="18"/>
              </w:rPr>
            </w:pPr>
          </w:p>
        </w:tc>
        <w:tc>
          <w:tcPr>
            <w:tcW w:w="1031" w:type="dxa"/>
            <w:shd w:val="clear" w:color="auto" w:fill="auto"/>
          </w:tcPr>
          <w:p w14:paraId="37B0F4A3" w14:textId="5D78292E" w:rsidR="00E15DA1" w:rsidRPr="00295C25" w:rsidRDefault="00452668" w:rsidP="00E15DA1">
            <w:pPr>
              <w:jc w:val="center"/>
              <w:rPr>
                <w:rFonts w:cs="Arial"/>
                <w:i/>
                <w:iCs/>
                <w:sz w:val="20"/>
                <w:szCs w:val="18"/>
              </w:rPr>
            </w:pPr>
            <w:r>
              <w:rPr>
                <w:rFonts w:cs="Arial"/>
                <w:sz w:val="20"/>
                <w:szCs w:val="18"/>
              </w:rPr>
              <w:t>955</w:t>
            </w:r>
          </w:p>
          <w:p w14:paraId="6831E109" w14:textId="12749E03" w:rsidR="00452668" w:rsidRPr="00295C25" w:rsidRDefault="00452668" w:rsidP="00860E1F">
            <w:pPr>
              <w:jc w:val="center"/>
              <w:rPr>
                <w:rFonts w:cs="Arial"/>
                <w:i/>
                <w:iCs/>
                <w:sz w:val="20"/>
                <w:szCs w:val="18"/>
              </w:rPr>
            </w:pPr>
          </w:p>
        </w:tc>
        <w:tc>
          <w:tcPr>
            <w:tcW w:w="1031" w:type="dxa"/>
            <w:shd w:val="clear" w:color="auto" w:fill="auto"/>
          </w:tcPr>
          <w:p w14:paraId="5C92FC8C" w14:textId="0E9E2802" w:rsidR="00E15DA1" w:rsidRPr="00295C25" w:rsidRDefault="00452668" w:rsidP="00E15DA1">
            <w:pPr>
              <w:jc w:val="center"/>
              <w:rPr>
                <w:rFonts w:cs="Arial"/>
                <w:i/>
                <w:iCs/>
                <w:sz w:val="20"/>
                <w:szCs w:val="18"/>
              </w:rPr>
            </w:pPr>
            <w:r>
              <w:rPr>
                <w:rFonts w:cs="Arial"/>
                <w:sz w:val="20"/>
                <w:szCs w:val="18"/>
              </w:rPr>
              <w:t>867</w:t>
            </w:r>
          </w:p>
          <w:p w14:paraId="330468B6" w14:textId="65D0A75F" w:rsidR="00452668" w:rsidRPr="00295C25" w:rsidRDefault="00452668" w:rsidP="00860E1F">
            <w:pPr>
              <w:jc w:val="center"/>
              <w:rPr>
                <w:rFonts w:cs="Arial"/>
                <w:i/>
                <w:iCs/>
                <w:sz w:val="20"/>
                <w:szCs w:val="18"/>
              </w:rPr>
            </w:pPr>
          </w:p>
        </w:tc>
      </w:tr>
      <w:tr w:rsidR="00452668" w:rsidRPr="006E0E48" w14:paraId="422FADC2" w14:textId="77777777" w:rsidTr="00452668">
        <w:trPr>
          <w:trHeight w:val="539"/>
        </w:trPr>
        <w:tc>
          <w:tcPr>
            <w:tcW w:w="473" w:type="dxa"/>
            <w:vMerge/>
            <w:textDirection w:val="btLr"/>
          </w:tcPr>
          <w:p w14:paraId="50B140CF" w14:textId="77777777" w:rsidR="00452668" w:rsidRPr="006E0E48" w:rsidRDefault="00452668" w:rsidP="00860E1F">
            <w:pPr>
              <w:ind w:left="113" w:right="113"/>
              <w:rPr>
                <w:rFonts w:cs="Arial"/>
                <w:b/>
                <w:sz w:val="20"/>
                <w:szCs w:val="18"/>
              </w:rPr>
            </w:pPr>
          </w:p>
        </w:tc>
        <w:tc>
          <w:tcPr>
            <w:tcW w:w="2357" w:type="dxa"/>
          </w:tcPr>
          <w:p w14:paraId="3B103165" w14:textId="77777777" w:rsidR="00452668" w:rsidRPr="006E0E48" w:rsidRDefault="00452668" w:rsidP="00860E1F">
            <w:pPr>
              <w:rPr>
                <w:rFonts w:cs="Arial"/>
                <w:b/>
                <w:sz w:val="20"/>
                <w:szCs w:val="18"/>
              </w:rPr>
            </w:pPr>
            <w:r>
              <w:rPr>
                <w:rFonts w:cs="Arial"/>
                <w:b/>
                <w:bCs/>
                <w:sz w:val="20"/>
                <w:szCs w:val="18"/>
              </w:rPr>
              <w:t>Western Blacklip Zone</w:t>
            </w:r>
          </w:p>
        </w:tc>
        <w:tc>
          <w:tcPr>
            <w:tcW w:w="1031" w:type="dxa"/>
            <w:shd w:val="clear" w:color="auto" w:fill="auto"/>
          </w:tcPr>
          <w:p w14:paraId="7743D49E" w14:textId="79611C3F" w:rsidR="00E15DA1" w:rsidRPr="00295C25" w:rsidRDefault="00452668" w:rsidP="00E15DA1">
            <w:pPr>
              <w:jc w:val="center"/>
              <w:rPr>
                <w:rFonts w:cs="Arial"/>
                <w:bCs/>
                <w:i/>
                <w:iCs/>
                <w:sz w:val="20"/>
                <w:szCs w:val="18"/>
              </w:rPr>
            </w:pPr>
            <w:r>
              <w:rPr>
                <w:rFonts w:cs="Arial"/>
                <w:bCs/>
                <w:sz w:val="20"/>
                <w:szCs w:val="18"/>
              </w:rPr>
              <w:t>7,932</w:t>
            </w:r>
          </w:p>
          <w:p w14:paraId="4B04689F" w14:textId="5069B3C4" w:rsidR="00452668" w:rsidRPr="00295C25" w:rsidRDefault="00452668" w:rsidP="00860E1F">
            <w:pPr>
              <w:jc w:val="center"/>
              <w:rPr>
                <w:rFonts w:cs="Arial"/>
                <w:bCs/>
                <w:i/>
                <w:iCs/>
                <w:sz w:val="20"/>
                <w:szCs w:val="18"/>
              </w:rPr>
            </w:pPr>
          </w:p>
        </w:tc>
        <w:tc>
          <w:tcPr>
            <w:tcW w:w="1031" w:type="dxa"/>
            <w:shd w:val="clear" w:color="auto" w:fill="auto"/>
          </w:tcPr>
          <w:p w14:paraId="032E8903" w14:textId="6B8E629B" w:rsidR="00E15DA1" w:rsidRPr="00295C25" w:rsidRDefault="00452668" w:rsidP="00E15DA1">
            <w:pPr>
              <w:jc w:val="center"/>
              <w:rPr>
                <w:rFonts w:cs="Arial"/>
                <w:bCs/>
                <w:i/>
                <w:iCs/>
                <w:sz w:val="20"/>
                <w:szCs w:val="18"/>
              </w:rPr>
            </w:pPr>
            <w:r>
              <w:rPr>
                <w:rFonts w:cs="Arial"/>
                <w:bCs/>
                <w:sz w:val="20"/>
                <w:szCs w:val="18"/>
              </w:rPr>
              <w:t>5,865</w:t>
            </w:r>
          </w:p>
          <w:p w14:paraId="756C9DA3" w14:textId="114D819E" w:rsidR="00452668" w:rsidRPr="00295C25" w:rsidRDefault="00452668" w:rsidP="00860E1F">
            <w:pPr>
              <w:jc w:val="center"/>
              <w:rPr>
                <w:rFonts w:cs="Arial"/>
                <w:bCs/>
                <w:i/>
                <w:iCs/>
                <w:sz w:val="20"/>
                <w:szCs w:val="18"/>
              </w:rPr>
            </w:pPr>
          </w:p>
        </w:tc>
        <w:tc>
          <w:tcPr>
            <w:tcW w:w="1031" w:type="dxa"/>
            <w:shd w:val="clear" w:color="auto" w:fill="auto"/>
          </w:tcPr>
          <w:p w14:paraId="62E87E22" w14:textId="238DC865" w:rsidR="00E15DA1" w:rsidRPr="00295C25" w:rsidRDefault="00452668" w:rsidP="00E15DA1">
            <w:pPr>
              <w:jc w:val="center"/>
              <w:rPr>
                <w:rFonts w:cs="Arial"/>
                <w:bCs/>
                <w:i/>
                <w:iCs/>
                <w:sz w:val="20"/>
                <w:szCs w:val="18"/>
              </w:rPr>
            </w:pPr>
            <w:r>
              <w:rPr>
                <w:rFonts w:cs="Arial"/>
                <w:bCs/>
                <w:sz w:val="20"/>
                <w:szCs w:val="18"/>
              </w:rPr>
              <w:t>3,889</w:t>
            </w:r>
          </w:p>
          <w:p w14:paraId="6CF5E05D" w14:textId="349955C3" w:rsidR="00452668" w:rsidRPr="00295C25" w:rsidRDefault="00452668" w:rsidP="00860E1F">
            <w:pPr>
              <w:jc w:val="center"/>
              <w:rPr>
                <w:rFonts w:cs="Arial"/>
                <w:bCs/>
                <w:i/>
                <w:iCs/>
                <w:sz w:val="20"/>
                <w:szCs w:val="18"/>
              </w:rPr>
            </w:pPr>
          </w:p>
        </w:tc>
        <w:tc>
          <w:tcPr>
            <w:tcW w:w="1031" w:type="dxa"/>
            <w:shd w:val="clear" w:color="auto" w:fill="auto"/>
          </w:tcPr>
          <w:p w14:paraId="2FAD3C5C" w14:textId="572153D1" w:rsidR="00E15DA1" w:rsidRPr="00295C25" w:rsidRDefault="00452668" w:rsidP="00E15DA1">
            <w:pPr>
              <w:jc w:val="center"/>
              <w:rPr>
                <w:rFonts w:cs="Arial"/>
                <w:bCs/>
                <w:i/>
                <w:iCs/>
                <w:sz w:val="20"/>
                <w:szCs w:val="18"/>
              </w:rPr>
            </w:pPr>
            <w:r>
              <w:rPr>
                <w:rFonts w:cs="Arial"/>
                <w:bCs/>
                <w:sz w:val="20"/>
                <w:szCs w:val="18"/>
              </w:rPr>
              <w:t>3,235</w:t>
            </w:r>
          </w:p>
          <w:p w14:paraId="7BABA408" w14:textId="03FEF4FA" w:rsidR="00452668" w:rsidRPr="00295C25" w:rsidRDefault="00452668" w:rsidP="00860E1F">
            <w:pPr>
              <w:jc w:val="center"/>
              <w:rPr>
                <w:rFonts w:cs="Arial"/>
                <w:bCs/>
                <w:i/>
                <w:iCs/>
                <w:sz w:val="20"/>
                <w:szCs w:val="18"/>
              </w:rPr>
            </w:pPr>
          </w:p>
        </w:tc>
        <w:tc>
          <w:tcPr>
            <w:tcW w:w="1031" w:type="dxa"/>
            <w:shd w:val="clear" w:color="auto" w:fill="auto"/>
          </w:tcPr>
          <w:p w14:paraId="02C0C850" w14:textId="380DC9AE" w:rsidR="00E15DA1" w:rsidRPr="00295C25" w:rsidRDefault="00452668" w:rsidP="00E15DA1">
            <w:pPr>
              <w:jc w:val="center"/>
              <w:rPr>
                <w:rFonts w:cs="Arial"/>
                <w:bCs/>
                <w:i/>
                <w:iCs/>
                <w:sz w:val="20"/>
                <w:szCs w:val="18"/>
              </w:rPr>
            </w:pPr>
            <w:r>
              <w:rPr>
                <w:rFonts w:cs="Arial"/>
                <w:bCs/>
                <w:sz w:val="20"/>
                <w:szCs w:val="18"/>
              </w:rPr>
              <w:t>2,569</w:t>
            </w:r>
          </w:p>
          <w:p w14:paraId="507E0BFB" w14:textId="7B78D8F7" w:rsidR="00452668" w:rsidRPr="00295C25" w:rsidRDefault="00452668" w:rsidP="00860E1F">
            <w:pPr>
              <w:jc w:val="center"/>
              <w:rPr>
                <w:rFonts w:cs="Arial"/>
                <w:bCs/>
                <w:i/>
                <w:iCs/>
                <w:sz w:val="20"/>
                <w:szCs w:val="18"/>
              </w:rPr>
            </w:pPr>
          </w:p>
        </w:tc>
        <w:tc>
          <w:tcPr>
            <w:tcW w:w="1031" w:type="dxa"/>
            <w:shd w:val="clear" w:color="auto" w:fill="auto"/>
          </w:tcPr>
          <w:p w14:paraId="0E9E834A" w14:textId="3AD43EC5" w:rsidR="00E15DA1" w:rsidRPr="00295C25" w:rsidRDefault="00452668" w:rsidP="00E15DA1">
            <w:pPr>
              <w:jc w:val="center"/>
              <w:rPr>
                <w:rFonts w:cs="Arial"/>
                <w:bCs/>
                <w:i/>
                <w:iCs/>
                <w:sz w:val="20"/>
                <w:szCs w:val="18"/>
              </w:rPr>
            </w:pPr>
            <w:r>
              <w:rPr>
                <w:rFonts w:cs="Arial"/>
                <w:bCs/>
                <w:sz w:val="20"/>
                <w:szCs w:val="18"/>
              </w:rPr>
              <w:t>2,515</w:t>
            </w:r>
          </w:p>
          <w:p w14:paraId="388ADC3C" w14:textId="64718FB1" w:rsidR="00452668" w:rsidRPr="00295C25" w:rsidRDefault="00452668" w:rsidP="00860E1F">
            <w:pPr>
              <w:jc w:val="center"/>
              <w:rPr>
                <w:rFonts w:cs="Arial"/>
                <w:bCs/>
                <w:i/>
                <w:iCs/>
                <w:sz w:val="20"/>
                <w:szCs w:val="18"/>
              </w:rPr>
            </w:pPr>
          </w:p>
        </w:tc>
      </w:tr>
      <w:tr w:rsidR="00452668" w14:paraId="70A6A0F3" w14:textId="77777777" w:rsidTr="00452668">
        <w:trPr>
          <w:trHeight w:val="536"/>
        </w:trPr>
        <w:tc>
          <w:tcPr>
            <w:tcW w:w="473" w:type="dxa"/>
            <w:vMerge/>
          </w:tcPr>
          <w:p w14:paraId="3A29BBA7" w14:textId="77777777" w:rsidR="00452668" w:rsidRPr="006E0E48" w:rsidRDefault="00452668" w:rsidP="00860E1F">
            <w:pPr>
              <w:rPr>
                <w:rFonts w:cs="Arial"/>
                <w:b/>
                <w:bCs/>
                <w:sz w:val="20"/>
                <w:szCs w:val="18"/>
              </w:rPr>
            </w:pPr>
          </w:p>
        </w:tc>
        <w:tc>
          <w:tcPr>
            <w:tcW w:w="2357" w:type="dxa"/>
          </w:tcPr>
          <w:p w14:paraId="6E10B6C7" w14:textId="77777777" w:rsidR="00452668" w:rsidRPr="006E0E48" w:rsidRDefault="00452668" w:rsidP="00860E1F">
            <w:pPr>
              <w:rPr>
                <w:rFonts w:cs="Arial"/>
                <w:b/>
                <w:bCs/>
                <w:sz w:val="20"/>
                <w:szCs w:val="18"/>
              </w:rPr>
            </w:pPr>
            <w:r>
              <w:rPr>
                <w:rFonts w:cs="Arial"/>
                <w:b/>
                <w:bCs/>
                <w:sz w:val="20"/>
                <w:szCs w:val="18"/>
              </w:rPr>
              <w:t>Bass Strait Blacklip Zone</w:t>
            </w:r>
          </w:p>
        </w:tc>
        <w:tc>
          <w:tcPr>
            <w:tcW w:w="1031" w:type="dxa"/>
            <w:shd w:val="clear" w:color="auto" w:fill="auto"/>
          </w:tcPr>
          <w:p w14:paraId="7E657639" w14:textId="3593D734" w:rsidR="00452668" w:rsidRPr="00E15DA1" w:rsidRDefault="00452668" w:rsidP="00E15DA1">
            <w:pPr>
              <w:jc w:val="center"/>
              <w:rPr>
                <w:rFonts w:cs="Arial"/>
                <w:sz w:val="20"/>
                <w:szCs w:val="18"/>
              </w:rPr>
            </w:pPr>
            <w:r>
              <w:rPr>
                <w:rFonts w:cs="Arial"/>
                <w:sz w:val="20"/>
                <w:szCs w:val="18"/>
              </w:rPr>
              <w:t>1,882</w:t>
            </w:r>
          </w:p>
        </w:tc>
        <w:tc>
          <w:tcPr>
            <w:tcW w:w="1031" w:type="dxa"/>
            <w:shd w:val="clear" w:color="auto" w:fill="auto"/>
          </w:tcPr>
          <w:p w14:paraId="15756611" w14:textId="7CE04D49" w:rsidR="00E15DA1" w:rsidRPr="001E1C93" w:rsidRDefault="00452668" w:rsidP="00E15DA1">
            <w:pPr>
              <w:jc w:val="center"/>
              <w:rPr>
                <w:rFonts w:cs="Arial"/>
                <w:i/>
                <w:iCs/>
                <w:sz w:val="20"/>
                <w:szCs w:val="18"/>
              </w:rPr>
            </w:pPr>
            <w:r>
              <w:rPr>
                <w:rFonts w:cs="Arial"/>
                <w:sz w:val="20"/>
                <w:szCs w:val="18"/>
              </w:rPr>
              <w:t>1,723</w:t>
            </w:r>
          </w:p>
          <w:p w14:paraId="51DE18D7" w14:textId="03B3B7CB" w:rsidR="00452668" w:rsidRPr="001E1C93" w:rsidRDefault="00452668" w:rsidP="00860E1F">
            <w:pPr>
              <w:jc w:val="center"/>
              <w:rPr>
                <w:rFonts w:cs="Arial"/>
                <w:i/>
                <w:iCs/>
                <w:sz w:val="20"/>
                <w:szCs w:val="18"/>
              </w:rPr>
            </w:pPr>
          </w:p>
        </w:tc>
        <w:tc>
          <w:tcPr>
            <w:tcW w:w="1031" w:type="dxa"/>
            <w:shd w:val="clear" w:color="auto" w:fill="auto"/>
          </w:tcPr>
          <w:p w14:paraId="506BD256" w14:textId="1D59D4C9" w:rsidR="00E15DA1" w:rsidRPr="001E1C93" w:rsidRDefault="00452668" w:rsidP="00E15DA1">
            <w:pPr>
              <w:jc w:val="center"/>
              <w:rPr>
                <w:rFonts w:cs="Arial"/>
                <w:i/>
                <w:iCs/>
                <w:sz w:val="20"/>
                <w:szCs w:val="18"/>
              </w:rPr>
            </w:pPr>
            <w:r>
              <w:rPr>
                <w:rFonts w:cs="Arial"/>
                <w:sz w:val="20"/>
                <w:szCs w:val="18"/>
              </w:rPr>
              <w:t>1,167</w:t>
            </w:r>
          </w:p>
          <w:p w14:paraId="32EA19A3" w14:textId="4401DCC2" w:rsidR="00452668" w:rsidRPr="001E1C93" w:rsidRDefault="00452668" w:rsidP="00860E1F">
            <w:pPr>
              <w:jc w:val="center"/>
              <w:rPr>
                <w:rFonts w:cs="Arial"/>
                <w:i/>
                <w:iCs/>
                <w:sz w:val="20"/>
                <w:szCs w:val="18"/>
              </w:rPr>
            </w:pPr>
          </w:p>
        </w:tc>
        <w:tc>
          <w:tcPr>
            <w:tcW w:w="1031" w:type="dxa"/>
            <w:shd w:val="clear" w:color="auto" w:fill="auto"/>
          </w:tcPr>
          <w:p w14:paraId="59E65409" w14:textId="2FA9A933" w:rsidR="00E15DA1" w:rsidRPr="001E1C93" w:rsidRDefault="00452668" w:rsidP="00E15DA1">
            <w:pPr>
              <w:jc w:val="center"/>
              <w:rPr>
                <w:rFonts w:cs="Arial"/>
                <w:i/>
                <w:iCs/>
                <w:sz w:val="20"/>
                <w:szCs w:val="18"/>
              </w:rPr>
            </w:pPr>
            <w:r>
              <w:rPr>
                <w:rFonts w:cs="Arial"/>
                <w:sz w:val="20"/>
                <w:szCs w:val="18"/>
              </w:rPr>
              <w:t>1,104</w:t>
            </w:r>
          </w:p>
          <w:p w14:paraId="5AACE790" w14:textId="1A44F4EB" w:rsidR="00452668" w:rsidRPr="001E1C93" w:rsidRDefault="00452668" w:rsidP="00860E1F">
            <w:pPr>
              <w:jc w:val="center"/>
              <w:rPr>
                <w:rFonts w:cs="Arial"/>
                <w:i/>
                <w:iCs/>
                <w:sz w:val="20"/>
                <w:szCs w:val="18"/>
              </w:rPr>
            </w:pPr>
          </w:p>
        </w:tc>
        <w:tc>
          <w:tcPr>
            <w:tcW w:w="1031" w:type="dxa"/>
            <w:shd w:val="clear" w:color="auto" w:fill="auto"/>
          </w:tcPr>
          <w:p w14:paraId="363C7254" w14:textId="181BE899" w:rsidR="00E15DA1" w:rsidRPr="001E1C93" w:rsidRDefault="00452668" w:rsidP="00E15DA1">
            <w:pPr>
              <w:jc w:val="center"/>
              <w:rPr>
                <w:rFonts w:cs="Arial"/>
                <w:i/>
                <w:iCs/>
                <w:sz w:val="20"/>
                <w:szCs w:val="18"/>
              </w:rPr>
            </w:pPr>
            <w:r>
              <w:rPr>
                <w:rFonts w:cs="Arial"/>
                <w:sz w:val="20"/>
                <w:szCs w:val="18"/>
              </w:rPr>
              <w:t>1,163</w:t>
            </w:r>
          </w:p>
          <w:p w14:paraId="7C8C52C1" w14:textId="1ACCD668" w:rsidR="00452668" w:rsidRPr="001E1C93" w:rsidRDefault="00452668" w:rsidP="00860E1F">
            <w:pPr>
              <w:jc w:val="center"/>
              <w:rPr>
                <w:rFonts w:cs="Arial"/>
                <w:i/>
                <w:iCs/>
                <w:sz w:val="20"/>
                <w:szCs w:val="18"/>
              </w:rPr>
            </w:pPr>
          </w:p>
        </w:tc>
        <w:tc>
          <w:tcPr>
            <w:tcW w:w="1031" w:type="dxa"/>
            <w:shd w:val="clear" w:color="auto" w:fill="auto"/>
          </w:tcPr>
          <w:p w14:paraId="2E4FB57E" w14:textId="1ECC4438" w:rsidR="00E15DA1" w:rsidRPr="001E1C93" w:rsidRDefault="00452668" w:rsidP="00E15DA1">
            <w:pPr>
              <w:jc w:val="center"/>
              <w:rPr>
                <w:rFonts w:cs="Arial"/>
                <w:i/>
                <w:iCs/>
                <w:sz w:val="20"/>
                <w:szCs w:val="18"/>
              </w:rPr>
            </w:pPr>
            <w:r>
              <w:rPr>
                <w:rFonts w:cs="Arial"/>
                <w:sz w:val="20"/>
                <w:szCs w:val="18"/>
              </w:rPr>
              <w:t>1,023</w:t>
            </w:r>
          </w:p>
          <w:p w14:paraId="6A6CF2AC" w14:textId="01B6E95D" w:rsidR="00452668" w:rsidRPr="001E1C93" w:rsidRDefault="00452668" w:rsidP="00860E1F">
            <w:pPr>
              <w:jc w:val="center"/>
              <w:rPr>
                <w:rFonts w:cs="Arial"/>
                <w:i/>
                <w:iCs/>
                <w:sz w:val="20"/>
                <w:szCs w:val="18"/>
              </w:rPr>
            </w:pPr>
          </w:p>
        </w:tc>
      </w:tr>
      <w:tr w:rsidR="00452668" w14:paraId="36A23495" w14:textId="77777777" w:rsidTr="00452668">
        <w:trPr>
          <w:trHeight w:val="568"/>
        </w:trPr>
        <w:tc>
          <w:tcPr>
            <w:tcW w:w="473" w:type="dxa"/>
            <w:vMerge/>
          </w:tcPr>
          <w:p w14:paraId="43797CC5" w14:textId="77777777" w:rsidR="00452668" w:rsidRPr="006E0E48" w:rsidRDefault="00452668" w:rsidP="00860E1F">
            <w:pPr>
              <w:rPr>
                <w:rFonts w:cs="Arial"/>
                <w:b/>
                <w:bCs/>
                <w:sz w:val="20"/>
                <w:szCs w:val="18"/>
              </w:rPr>
            </w:pPr>
          </w:p>
        </w:tc>
        <w:tc>
          <w:tcPr>
            <w:tcW w:w="2357" w:type="dxa"/>
          </w:tcPr>
          <w:p w14:paraId="26B45A06" w14:textId="77777777" w:rsidR="00452668" w:rsidRPr="006E0E48" w:rsidRDefault="00452668" w:rsidP="00860E1F">
            <w:pPr>
              <w:rPr>
                <w:rFonts w:cs="Arial"/>
                <w:b/>
                <w:bCs/>
                <w:sz w:val="20"/>
                <w:szCs w:val="18"/>
              </w:rPr>
            </w:pPr>
            <w:r>
              <w:rPr>
                <w:rFonts w:cs="Arial"/>
                <w:b/>
                <w:bCs/>
                <w:sz w:val="20"/>
                <w:szCs w:val="18"/>
              </w:rPr>
              <w:t>Greenlip Abalone Zone</w:t>
            </w:r>
          </w:p>
        </w:tc>
        <w:tc>
          <w:tcPr>
            <w:tcW w:w="1031" w:type="dxa"/>
            <w:shd w:val="clear" w:color="auto" w:fill="auto"/>
          </w:tcPr>
          <w:p w14:paraId="6FEE6474" w14:textId="431E6F0A" w:rsidR="00E15DA1" w:rsidRPr="001E1C93" w:rsidRDefault="00452668" w:rsidP="00E15DA1">
            <w:pPr>
              <w:jc w:val="center"/>
              <w:rPr>
                <w:rFonts w:cs="Arial"/>
                <w:i/>
                <w:iCs/>
                <w:sz w:val="20"/>
                <w:szCs w:val="18"/>
              </w:rPr>
            </w:pPr>
            <w:r>
              <w:rPr>
                <w:rFonts w:cs="Arial"/>
                <w:sz w:val="20"/>
                <w:szCs w:val="18"/>
              </w:rPr>
              <w:t>4,328</w:t>
            </w:r>
          </w:p>
          <w:p w14:paraId="752BE5A9" w14:textId="4B9FE5FB" w:rsidR="00452668" w:rsidRPr="001E1C93" w:rsidRDefault="00452668" w:rsidP="00860E1F">
            <w:pPr>
              <w:jc w:val="center"/>
              <w:rPr>
                <w:rFonts w:cs="Arial"/>
                <w:i/>
                <w:iCs/>
                <w:sz w:val="20"/>
                <w:szCs w:val="18"/>
              </w:rPr>
            </w:pPr>
          </w:p>
        </w:tc>
        <w:tc>
          <w:tcPr>
            <w:tcW w:w="1031" w:type="dxa"/>
            <w:shd w:val="clear" w:color="auto" w:fill="auto"/>
          </w:tcPr>
          <w:p w14:paraId="301688DE" w14:textId="1A01A191" w:rsidR="00E15DA1" w:rsidRPr="001E1C93" w:rsidRDefault="00452668" w:rsidP="00E15DA1">
            <w:pPr>
              <w:jc w:val="center"/>
              <w:rPr>
                <w:rFonts w:cs="Arial"/>
                <w:i/>
                <w:iCs/>
                <w:sz w:val="20"/>
                <w:szCs w:val="18"/>
              </w:rPr>
            </w:pPr>
            <w:r>
              <w:rPr>
                <w:rFonts w:cs="Arial"/>
                <w:sz w:val="20"/>
                <w:szCs w:val="18"/>
              </w:rPr>
              <w:t>2,267</w:t>
            </w:r>
          </w:p>
          <w:p w14:paraId="303C31C6" w14:textId="63B28CE8" w:rsidR="00452668" w:rsidRPr="001E1C93" w:rsidRDefault="00452668" w:rsidP="00860E1F">
            <w:pPr>
              <w:jc w:val="center"/>
              <w:rPr>
                <w:rFonts w:cs="Arial"/>
                <w:i/>
                <w:iCs/>
                <w:sz w:val="20"/>
                <w:szCs w:val="18"/>
              </w:rPr>
            </w:pPr>
          </w:p>
        </w:tc>
        <w:tc>
          <w:tcPr>
            <w:tcW w:w="1031" w:type="dxa"/>
            <w:shd w:val="clear" w:color="auto" w:fill="auto"/>
          </w:tcPr>
          <w:p w14:paraId="11FAA409" w14:textId="444D473B" w:rsidR="00E15DA1" w:rsidRPr="001E1C93" w:rsidRDefault="00E15DA1" w:rsidP="00E15DA1">
            <w:pPr>
              <w:jc w:val="center"/>
              <w:rPr>
                <w:rFonts w:cs="Arial"/>
                <w:i/>
                <w:iCs/>
                <w:sz w:val="20"/>
                <w:szCs w:val="18"/>
              </w:rPr>
            </w:pPr>
            <w:r>
              <w:rPr>
                <w:rFonts w:cs="Arial"/>
                <w:sz w:val="20"/>
                <w:szCs w:val="18"/>
              </w:rPr>
              <w:t>1,740</w:t>
            </w:r>
          </w:p>
          <w:p w14:paraId="5FE4CC19" w14:textId="17B54C23" w:rsidR="00452668" w:rsidRPr="001E1C93" w:rsidRDefault="00452668" w:rsidP="00E15DA1">
            <w:pPr>
              <w:jc w:val="center"/>
              <w:rPr>
                <w:rFonts w:cs="Arial"/>
                <w:i/>
                <w:iCs/>
                <w:sz w:val="20"/>
                <w:szCs w:val="18"/>
              </w:rPr>
            </w:pPr>
          </w:p>
        </w:tc>
        <w:tc>
          <w:tcPr>
            <w:tcW w:w="1031" w:type="dxa"/>
            <w:shd w:val="clear" w:color="auto" w:fill="auto"/>
          </w:tcPr>
          <w:p w14:paraId="6776B465" w14:textId="717E5CA6" w:rsidR="00E15DA1" w:rsidRPr="001E1C93" w:rsidRDefault="00E15DA1" w:rsidP="00E15DA1">
            <w:pPr>
              <w:jc w:val="center"/>
              <w:rPr>
                <w:rFonts w:cs="Arial"/>
                <w:i/>
                <w:iCs/>
                <w:sz w:val="20"/>
                <w:szCs w:val="18"/>
              </w:rPr>
            </w:pPr>
            <w:r>
              <w:rPr>
                <w:rFonts w:cs="Arial"/>
                <w:sz w:val="20"/>
                <w:szCs w:val="18"/>
              </w:rPr>
              <w:t>1,598</w:t>
            </w:r>
          </w:p>
          <w:p w14:paraId="49C1F0F0" w14:textId="6E05AA78" w:rsidR="00452668" w:rsidRPr="001E1C93" w:rsidRDefault="00452668" w:rsidP="00860E1F">
            <w:pPr>
              <w:jc w:val="center"/>
              <w:rPr>
                <w:rFonts w:cs="Arial"/>
                <w:i/>
                <w:iCs/>
                <w:sz w:val="20"/>
                <w:szCs w:val="18"/>
              </w:rPr>
            </w:pPr>
          </w:p>
        </w:tc>
        <w:tc>
          <w:tcPr>
            <w:tcW w:w="1031" w:type="dxa"/>
            <w:shd w:val="clear" w:color="auto" w:fill="auto"/>
          </w:tcPr>
          <w:p w14:paraId="3044F2CB" w14:textId="6204D253" w:rsidR="00E15DA1" w:rsidRPr="001E1C93" w:rsidRDefault="00E15DA1" w:rsidP="00E15DA1">
            <w:pPr>
              <w:jc w:val="center"/>
              <w:rPr>
                <w:rFonts w:cs="Arial"/>
                <w:i/>
                <w:iCs/>
                <w:sz w:val="20"/>
                <w:szCs w:val="18"/>
              </w:rPr>
            </w:pPr>
            <w:r>
              <w:rPr>
                <w:rFonts w:cs="Arial"/>
                <w:sz w:val="20"/>
                <w:szCs w:val="18"/>
              </w:rPr>
              <w:t>1,808</w:t>
            </w:r>
          </w:p>
          <w:p w14:paraId="3CBAEF25" w14:textId="5DAE2993" w:rsidR="00452668" w:rsidRPr="001E1C93" w:rsidRDefault="00452668" w:rsidP="00860E1F">
            <w:pPr>
              <w:jc w:val="center"/>
              <w:rPr>
                <w:rFonts w:cs="Arial"/>
                <w:i/>
                <w:iCs/>
                <w:sz w:val="20"/>
                <w:szCs w:val="18"/>
              </w:rPr>
            </w:pPr>
          </w:p>
        </w:tc>
        <w:tc>
          <w:tcPr>
            <w:tcW w:w="1031" w:type="dxa"/>
            <w:shd w:val="clear" w:color="auto" w:fill="auto"/>
          </w:tcPr>
          <w:p w14:paraId="6A753235" w14:textId="5E14C3F3" w:rsidR="00E15DA1" w:rsidRPr="001E1C93" w:rsidRDefault="00E15DA1" w:rsidP="00E15DA1">
            <w:pPr>
              <w:jc w:val="center"/>
              <w:rPr>
                <w:rFonts w:cs="Arial"/>
                <w:i/>
                <w:iCs/>
                <w:sz w:val="20"/>
                <w:szCs w:val="18"/>
              </w:rPr>
            </w:pPr>
            <w:r>
              <w:rPr>
                <w:rFonts w:cs="Arial"/>
                <w:sz w:val="20"/>
                <w:szCs w:val="18"/>
              </w:rPr>
              <w:t>1,542</w:t>
            </w:r>
          </w:p>
          <w:p w14:paraId="77DB6442" w14:textId="1D61D8B6" w:rsidR="00452668" w:rsidRPr="001E1C93" w:rsidRDefault="00452668" w:rsidP="00860E1F">
            <w:pPr>
              <w:jc w:val="center"/>
              <w:rPr>
                <w:rFonts w:cs="Arial"/>
                <w:i/>
                <w:iCs/>
                <w:sz w:val="20"/>
                <w:szCs w:val="18"/>
              </w:rPr>
            </w:pPr>
          </w:p>
        </w:tc>
      </w:tr>
      <w:tr w:rsidR="00452668" w:rsidRPr="006E0E48" w14:paraId="643DFB5F" w14:textId="77777777" w:rsidTr="00452668">
        <w:trPr>
          <w:trHeight w:val="594"/>
        </w:trPr>
        <w:tc>
          <w:tcPr>
            <w:tcW w:w="473" w:type="dxa"/>
            <w:vMerge/>
            <w:textDirection w:val="btLr"/>
          </w:tcPr>
          <w:p w14:paraId="07C814AB" w14:textId="77777777" w:rsidR="00452668" w:rsidRPr="006E0E48" w:rsidRDefault="00452668" w:rsidP="00860E1F">
            <w:pPr>
              <w:ind w:left="113" w:right="113"/>
              <w:rPr>
                <w:rFonts w:cs="Arial"/>
                <w:b/>
                <w:sz w:val="20"/>
                <w:szCs w:val="18"/>
              </w:rPr>
            </w:pPr>
          </w:p>
        </w:tc>
        <w:tc>
          <w:tcPr>
            <w:tcW w:w="2357" w:type="dxa"/>
          </w:tcPr>
          <w:p w14:paraId="21CDA41D" w14:textId="77777777" w:rsidR="00452668" w:rsidRPr="006E0E48" w:rsidRDefault="00452668" w:rsidP="00860E1F">
            <w:pPr>
              <w:rPr>
                <w:rFonts w:cs="Arial"/>
                <w:b/>
                <w:sz w:val="20"/>
                <w:szCs w:val="18"/>
              </w:rPr>
            </w:pPr>
            <w:r>
              <w:rPr>
                <w:rFonts w:cs="Arial"/>
                <w:b/>
                <w:sz w:val="20"/>
                <w:szCs w:val="18"/>
              </w:rPr>
              <w:t>Totals</w:t>
            </w:r>
          </w:p>
        </w:tc>
        <w:tc>
          <w:tcPr>
            <w:tcW w:w="1031" w:type="dxa"/>
            <w:shd w:val="clear" w:color="auto" w:fill="auto"/>
          </w:tcPr>
          <w:p w14:paraId="691DA4A7" w14:textId="090B4392" w:rsidR="00E15DA1" w:rsidRPr="00292DC2" w:rsidRDefault="00E15DA1" w:rsidP="00E15DA1">
            <w:pPr>
              <w:jc w:val="center"/>
              <w:rPr>
                <w:rFonts w:cs="Arial"/>
                <w:bCs/>
                <w:i/>
                <w:iCs/>
                <w:sz w:val="20"/>
                <w:szCs w:val="18"/>
              </w:rPr>
            </w:pPr>
            <w:r>
              <w:rPr>
                <w:rFonts w:cs="Arial"/>
                <w:bCs/>
                <w:sz w:val="20"/>
                <w:szCs w:val="18"/>
              </w:rPr>
              <w:t>22,078</w:t>
            </w:r>
          </w:p>
          <w:p w14:paraId="63840B73" w14:textId="0196AD60" w:rsidR="00452668" w:rsidRPr="00292DC2" w:rsidRDefault="00452668" w:rsidP="00860E1F">
            <w:pPr>
              <w:jc w:val="center"/>
              <w:rPr>
                <w:rFonts w:cs="Arial"/>
                <w:bCs/>
                <w:i/>
                <w:iCs/>
                <w:sz w:val="20"/>
                <w:szCs w:val="18"/>
              </w:rPr>
            </w:pPr>
          </w:p>
        </w:tc>
        <w:tc>
          <w:tcPr>
            <w:tcW w:w="1031" w:type="dxa"/>
            <w:shd w:val="clear" w:color="auto" w:fill="auto"/>
          </w:tcPr>
          <w:p w14:paraId="5BB8203B" w14:textId="73C41E1E" w:rsidR="00E15DA1" w:rsidRPr="00292DC2" w:rsidRDefault="00E15DA1" w:rsidP="00E15DA1">
            <w:pPr>
              <w:jc w:val="center"/>
              <w:rPr>
                <w:rFonts w:cs="Arial"/>
                <w:bCs/>
                <w:i/>
                <w:iCs/>
                <w:sz w:val="20"/>
                <w:szCs w:val="18"/>
              </w:rPr>
            </w:pPr>
            <w:r>
              <w:rPr>
                <w:rFonts w:cs="Arial"/>
                <w:bCs/>
                <w:sz w:val="20"/>
                <w:szCs w:val="18"/>
              </w:rPr>
              <w:t>14,019</w:t>
            </w:r>
          </w:p>
          <w:p w14:paraId="7D197FFA" w14:textId="102BEFE7" w:rsidR="00452668" w:rsidRPr="00292DC2" w:rsidRDefault="00452668" w:rsidP="00860E1F">
            <w:pPr>
              <w:jc w:val="center"/>
              <w:rPr>
                <w:rFonts w:cs="Arial"/>
                <w:bCs/>
                <w:i/>
                <w:iCs/>
                <w:sz w:val="20"/>
                <w:szCs w:val="18"/>
              </w:rPr>
            </w:pPr>
          </w:p>
        </w:tc>
        <w:tc>
          <w:tcPr>
            <w:tcW w:w="1031" w:type="dxa"/>
            <w:shd w:val="clear" w:color="auto" w:fill="auto"/>
          </w:tcPr>
          <w:p w14:paraId="564FA21D" w14:textId="3BC97462" w:rsidR="00E15DA1" w:rsidRPr="00292DC2" w:rsidRDefault="00E15DA1" w:rsidP="00E15DA1">
            <w:pPr>
              <w:jc w:val="center"/>
              <w:rPr>
                <w:rFonts w:cs="Arial"/>
                <w:bCs/>
                <w:i/>
                <w:iCs/>
                <w:sz w:val="20"/>
                <w:szCs w:val="18"/>
              </w:rPr>
            </w:pPr>
            <w:r>
              <w:rPr>
                <w:rFonts w:cs="Arial"/>
                <w:bCs/>
                <w:sz w:val="20"/>
                <w:szCs w:val="18"/>
              </w:rPr>
              <w:t>10,563</w:t>
            </w:r>
          </w:p>
          <w:p w14:paraId="6D3C75A5" w14:textId="45C4490B" w:rsidR="00452668" w:rsidRPr="00292DC2" w:rsidRDefault="00452668" w:rsidP="00860E1F">
            <w:pPr>
              <w:jc w:val="center"/>
              <w:rPr>
                <w:rFonts w:cs="Arial"/>
                <w:bCs/>
                <w:i/>
                <w:iCs/>
                <w:sz w:val="20"/>
                <w:szCs w:val="18"/>
              </w:rPr>
            </w:pPr>
          </w:p>
        </w:tc>
        <w:tc>
          <w:tcPr>
            <w:tcW w:w="1031" w:type="dxa"/>
            <w:shd w:val="clear" w:color="auto" w:fill="auto"/>
          </w:tcPr>
          <w:p w14:paraId="437A2D82" w14:textId="0FF0E8C2" w:rsidR="00E15DA1" w:rsidRPr="00292DC2" w:rsidRDefault="00E15DA1" w:rsidP="00E15DA1">
            <w:pPr>
              <w:jc w:val="center"/>
              <w:rPr>
                <w:rFonts w:cs="Arial"/>
                <w:bCs/>
                <w:i/>
                <w:iCs/>
                <w:sz w:val="20"/>
                <w:szCs w:val="18"/>
              </w:rPr>
            </w:pPr>
            <w:r>
              <w:rPr>
                <w:rFonts w:cs="Arial"/>
                <w:bCs/>
                <w:sz w:val="20"/>
                <w:szCs w:val="18"/>
              </w:rPr>
              <w:t>9,742</w:t>
            </w:r>
          </w:p>
          <w:p w14:paraId="0205E5B3" w14:textId="3A82AF64" w:rsidR="00452668" w:rsidRPr="00292DC2" w:rsidRDefault="00452668" w:rsidP="00860E1F">
            <w:pPr>
              <w:jc w:val="center"/>
              <w:rPr>
                <w:rFonts w:cs="Arial"/>
                <w:bCs/>
                <w:i/>
                <w:iCs/>
                <w:sz w:val="20"/>
                <w:szCs w:val="18"/>
              </w:rPr>
            </w:pPr>
          </w:p>
        </w:tc>
        <w:tc>
          <w:tcPr>
            <w:tcW w:w="1031" w:type="dxa"/>
            <w:shd w:val="clear" w:color="auto" w:fill="auto"/>
          </w:tcPr>
          <w:p w14:paraId="3749B050" w14:textId="6DE64E2F" w:rsidR="00E15DA1" w:rsidRPr="00292DC2" w:rsidRDefault="00E15DA1" w:rsidP="00E15DA1">
            <w:pPr>
              <w:jc w:val="center"/>
              <w:rPr>
                <w:rFonts w:cs="Arial"/>
                <w:bCs/>
                <w:i/>
                <w:iCs/>
                <w:sz w:val="20"/>
                <w:szCs w:val="18"/>
              </w:rPr>
            </w:pPr>
            <w:r>
              <w:rPr>
                <w:rFonts w:cs="Arial"/>
                <w:bCs/>
                <w:sz w:val="20"/>
                <w:szCs w:val="18"/>
              </w:rPr>
              <w:t>9,024</w:t>
            </w:r>
          </w:p>
          <w:p w14:paraId="3F073FA9" w14:textId="281E0C15" w:rsidR="00452668" w:rsidRPr="00292DC2" w:rsidRDefault="00452668" w:rsidP="00860E1F">
            <w:pPr>
              <w:jc w:val="center"/>
              <w:rPr>
                <w:rFonts w:cs="Arial"/>
                <w:bCs/>
                <w:i/>
                <w:iCs/>
                <w:sz w:val="20"/>
                <w:szCs w:val="18"/>
              </w:rPr>
            </w:pPr>
          </w:p>
        </w:tc>
        <w:tc>
          <w:tcPr>
            <w:tcW w:w="1031" w:type="dxa"/>
            <w:shd w:val="clear" w:color="auto" w:fill="auto"/>
          </w:tcPr>
          <w:p w14:paraId="1421FDF4" w14:textId="714C671A" w:rsidR="00E15DA1" w:rsidRPr="00292DC2" w:rsidRDefault="00E15DA1" w:rsidP="00E15DA1">
            <w:pPr>
              <w:jc w:val="center"/>
              <w:rPr>
                <w:rFonts w:cs="Arial"/>
                <w:bCs/>
                <w:i/>
                <w:iCs/>
                <w:sz w:val="20"/>
                <w:szCs w:val="18"/>
              </w:rPr>
            </w:pPr>
            <w:r>
              <w:rPr>
                <w:rFonts w:cs="Arial"/>
                <w:bCs/>
                <w:sz w:val="20"/>
                <w:szCs w:val="18"/>
              </w:rPr>
              <w:t>9,041</w:t>
            </w:r>
          </w:p>
          <w:p w14:paraId="7836AAA9" w14:textId="37524C4C" w:rsidR="00452668" w:rsidRPr="00292DC2" w:rsidRDefault="00452668" w:rsidP="00860E1F">
            <w:pPr>
              <w:jc w:val="center"/>
              <w:rPr>
                <w:rFonts w:cs="Arial"/>
                <w:bCs/>
                <w:i/>
                <w:iCs/>
                <w:sz w:val="20"/>
                <w:szCs w:val="18"/>
              </w:rPr>
            </w:pPr>
          </w:p>
        </w:tc>
      </w:tr>
    </w:tbl>
    <w:p w14:paraId="5F63789E" w14:textId="7B1724DE" w:rsidR="00E944B6" w:rsidRDefault="00E15DA1" w:rsidP="00BF27B2">
      <w:r w:rsidRPr="00E15DA1">
        <w:rPr>
          <w:noProof/>
        </w:rPr>
        <w:lastRenderedPageBreak/>
        <w:drawing>
          <wp:inline distT="0" distB="0" distL="0" distR="0" wp14:anchorId="41EE46DE" wp14:editId="35B0DF44">
            <wp:extent cx="4985653" cy="3180522"/>
            <wp:effectExtent l="0" t="0" r="5715" b="1270"/>
            <wp:docPr id="1345791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791698" name=""/>
                    <pic:cNvPicPr/>
                  </pic:nvPicPr>
                  <pic:blipFill>
                    <a:blip r:embed="rId83"/>
                    <a:stretch>
                      <a:fillRect/>
                    </a:stretch>
                  </pic:blipFill>
                  <pic:spPr>
                    <a:xfrm>
                      <a:off x="0" y="0"/>
                      <a:ext cx="4992346" cy="3184792"/>
                    </a:xfrm>
                    <a:prstGeom prst="rect">
                      <a:avLst/>
                    </a:prstGeom>
                  </pic:spPr>
                </pic:pic>
              </a:graphicData>
            </a:graphic>
          </wp:inline>
        </w:drawing>
      </w:r>
    </w:p>
    <w:p w14:paraId="26D3C0D9" w14:textId="2BBBDDFD" w:rsidR="00E15DA1" w:rsidRDefault="00E15DA1" w:rsidP="00E15DA1">
      <w:pPr>
        <w:rPr>
          <w:rFonts w:cs="Arial"/>
          <w:sz w:val="20"/>
          <w:szCs w:val="18"/>
        </w:rPr>
      </w:pPr>
      <w:r w:rsidRPr="00B6625D">
        <w:rPr>
          <w:rFonts w:cs="Arial"/>
          <w:sz w:val="20"/>
          <w:szCs w:val="18"/>
        </w:rPr>
        <w:t xml:space="preserve">Figure </w:t>
      </w:r>
      <w:r w:rsidR="00B6625D" w:rsidRPr="00B6625D">
        <w:rPr>
          <w:rFonts w:cs="Arial"/>
          <w:sz w:val="20"/>
          <w:szCs w:val="18"/>
        </w:rPr>
        <w:t>2</w:t>
      </w:r>
      <w:r w:rsidRPr="00B6625D">
        <w:rPr>
          <w:rFonts w:cs="Arial"/>
          <w:sz w:val="20"/>
          <w:szCs w:val="18"/>
        </w:rPr>
        <w:t xml:space="preserve">: </w:t>
      </w:r>
      <w:r w:rsidRPr="00E15DA1">
        <w:rPr>
          <w:rFonts w:cs="Arial"/>
          <w:sz w:val="20"/>
          <w:szCs w:val="18"/>
        </w:rPr>
        <w:t xml:space="preserve">Annual hours fished for </w:t>
      </w:r>
      <w:r>
        <w:rPr>
          <w:rFonts w:cs="Arial"/>
          <w:sz w:val="20"/>
          <w:szCs w:val="18"/>
        </w:rPr>
        <w:t>B</w:t>
      </w:r>
      <w:r w:rsidRPr="00E15DA1">
        <w:rPr>
          <w:rFonts w:cs="Arial"/>
          <w:sz w:val="20"/>
          <w:szCs w:val="18"/>
        </w:rPr>
        <w:t xml:space="preserve">lacklip </w:t>
      </w:r>
      <w:r>
        <w:rPr>
          <w:rFonts w:cs="Arial"/>
          <w:sz w:val="20"/>
          <w:szCs w:val="18"/>
        </w:rPr>
        <w:t>A</w:t>
      </w:r>
      <w:r w:rsidRPr="00E15DA1">
        <w:rPr>
          <w:rFonts w:cs="Arial"/>
          <w:sz w:val="20"/>
          <w:szCs w:val="18"/>
        </w:rPr>
        <w:t xml:space="preserve">balone </w:t>
      </w:r>
      <w:r>
        <w:rPr>
          <w:rFonts w:cs="Arial"/>
          <w:sz w:val="20"/>
          <w:szCs w:val="18"/>
        </w:rPr>
        <w:t>and G</w:t>
      </w:r>
      <w:r w:rsidRPr="00E15DA1">
        <w:rPr>
          <w:rFonts w:cs="Arial"/>
          <w:sz w:val="20"/>
          <w:szCs w:val="18"/>
        </w:rPr>
        <w:t xml:space="preserve">reenlip </w:t>
      </w:r>
      <w:r>
        <w:rPr>
          <w:rFonts w:cs="Arial"/>
          <w:sz w:val="20"/>
          <w:szCs w:val="18"/>
        </w:rPr>
        <w:t>A</w:t>
      </w:r>
      <w:r w:rsidRPr="00E15DA1">
        <w:rPr>
          <w:rFonts w:cs="Arial"/>
          <w:sz w:val="20"/>
          <w:szCs w:val="18"/>
        </w:rPr>
        <w:t>balone</w:t>
      </w:r>
      <w:r>
        <w:rPr>
          <w:rFonts w:cs="Arial"/>
          <w:sz w:val="20"/>
          <w:szCs w:val="18"/>
        </w:rPr>
        <w:t xml:space="preserve"> in the commercial Tasmanian Abalone Dive Fishery. </w:t>
      </w:r>
      <w:r w:rsidR="00E9401F">
        <w:rPr>
          <w:rFonts w:cs="Arial"/>
          <w:sz w:val="20"/>
          <w:szCs w:val="18"/>
        </w:rPr>
        <w:t>Lines</w:t>
      </w:r>
      <w:r w:rsidRPr="00E15DA1">
        <w:rPr>
          <w:rFonts w:cs="Arial"/>
          <w:sz w:val="20"/>
          <w:szCs w:val="18"/>
        </w:rPr>
        <w:t xml:space="preserve"> colour coded by</w:t>
      </w:r>
      <w:r w:rsidR="00E9401F">
        <w:rPr>
          <w:rFonts w:cs="Arial"/>
          <w:sz w:val="20"/>
          <w:szCs w:val="18"/>
        </w:rPr>
        <w:t xml:space="preserve"> current</w:t>
      </w:r>
      <w:r w:rsidRPr="00E15DA1">
        <w:rPr>
          <w:rFonts w:cs="Arial"/>
          <w:sz w:val="20"/>
          <w:szCs w:val="18"/>
        </w:rPr>
        <w:t xml:space="preserve"> </w:t>
      </w:r>
      <w:r>
        <w:rPr>
          <w:rFonts w:cs="Arial"/>
          <w:sz w:val="20"/>
          <w:szCs w:val="18"/>
        </w:rPr>
        <w:t>zones</w:t>
      </w:r>
      <w:r w:rsidRPr="00E15DA1">
        <w:rPr>
          <w:rFonts w:cs="Arial"/>
          <w:sz w:val="20"/>
          <w:szCs w:val="18"/>
        </w:rPr>
        <w:t>.</w:t>
      </w:r>
    </w:p>
    <w:p w14:paraId="71006C10" w14:textId="716B8535" w:rsidR="00E9401F" w:rsidRPr="00E15DA1" w:rsidRDefault="00E9401F" w:rsidP="00E9401F">
      <w:pPr>
        <w:rPr>
          <w:rFonts w:cs="Arial"/>
          <w:sz w:val="20"/>
          <w:szCs w:val="18"/>
        </w:rPr>
      </w:pPr>
      <w:r w:rsidRPr="00B6625D">
        <w:rPr>
          <w:rFonts w:cs="Arial"/>
          <w:sz w:val="20"/>
          <w:szCs w:val="18"/>
        </w:rPr>
        <w:t xml:space="preserve">Table </w:t>
      </w:r>
      <w:r w:rsidR="00B6625D">
        <w:rPr>
          <w:rFonts w:cs="Arial"/>
          <w:sz w:val="20"/>
          <w:szCs w:val="18"/>
        </w:rPr>
        <w:t>6</w:t>
      </w:r>
      <w:r w:rsidRPr="00B6625D">
        <w:rPr>
          <w:rFonts w:cs="Arial"/>
          <w:sz w:val="20"/>
          <w:szCs w:val="18"/>
        </w:rPr>
        <w:t>: Summary of</w:t>
      </w:r>
      <w:r>
        <w:rPr>
          <w:rFonts w:cs="Arial"/>
          <w:sz w:val="20"/>
          <w:szCs w:val="18"/>
        </w:rPr>
        <w:t xml:space="preserve"> the number of active divers in the commercial Tasmanian Abalone Dive Fishery, noting </w:t>
      </w:r>
      <w:r w:rsidRPr="00856AE6">
        <w:rPr>
          <w:rFonts w:cs="Arial"/>
          <w:sz w:val="20"/>
          <w:szCs w:val="18"/>
        </w:rPr>
        <w:t xml:space="preserve">that a season runs from 1 </w:t>
      </w:r>
      <w:r>
        <w:rPr>
          <w:rFonts w:cs="Arial"/>
          <w:sz w:val="20"/>
          <w:szCs w:val="18"/>
        </w:rPr>
        <w:t>January</w:t>
      </w:r>
      <w:r w:rsidRPr="00856AE6">
        <w:rPr>
          <w:rFonts w:cs="Arial"/>
          <w:sz w:val="20"/>
          <w:szCs w:val="18"/>
        </w:rPr>
        <w:t xml:space="preserve"> to 31 </w:t>
      </w:r>
      <w:r>
        <w:rPr>
          <w:rFonts w:cs="Arial"/>
          <w:sz w:val="20"/>
          <w:szCs w:val="18"/>
        </w:rPr>
        <w:t>December of a calendar year.</w:t>
      </w:r>
    </w:p>
    <w:tbl>
      <w:tblPr>
        <w:tblStyle w:val="TableGrid"/>
        <w:tblW w:w="0" w:type="auto"/>
        <w:tblLook w:val="04A0" w:firstRow="1" w:lastRow="0" w:firstColumn="1" w:lastColumn="0" w:noHBand="0" w:noVBand="1"/>
      </w:tblPr>
      <w:tblGrid>
        <w:gridCol w:w="1129"/>
        <w:gridCol w:w="1843"/>
        <w:gridCol w:w="1843"/>
      </w:tblGrid>
      <w:tr w:rsidR="00E9401F" w14:paraId="09A3B059" w14:textId="77777777" w:rsidTr="00860E1F">
        <w:trPr>
          <w:trHeight w:val="474"/>
        </w:trPr>
        <w:tc>
          <w:tcPr>
            <w:tcW w:w="1129" w:type="dxa"/>
          </w:tcPr>
          <w:p w14:paraId="383E967A" w14:textId="77777777" w:rsidR="00E9401F" w:rsidRPr="00E15DA1" w:rsidRDefault="00E9401F" w:rsidP="00860E1F">
            <w:pPr>
              <w:rPr>
                <w:b/>
                <w:bCs/>
              </w:rPr>
            </w:pPr>
            <w:r w:rsidRPr="00E15DA1">
              <w:rPr>
                <w:b/>
                <w:bCs/>
              </w:rPr>
              <w:t>Year</w:t>
            </w:r>
          </w:p>
        </w:tc>
        <w:tc>
          <w:tcPr>
            <w:tcW w:w="1843" w:type="dxa"/>
          </w:tcPr>
          <w:p w14:paraId="541F991D" w14:textId="77777777" w:rsidR="00E9401F" w:rsidRPr="00E15DA1" w:rsidRDefault="00E9401F" w:rsidP="00860E1F">
            <w:pPr>
              <w:rPr>
                <w:b/>
                <w:bCs/>
              </w:rPr>
            </w:pPr>
            <w:r w:rsidRPr="00E15DA1">
              <w:rPr>
                <w:b/>
                <w:bCs/>
              </w:rPr>
              <w:t>Blacklip Abalone</w:t>
            </w:r>
          </w:p>
        </w:tc>
        <w:tc>
          <w:tcPr>
            <w:tcW w:w="1843" w:type="dxa"/>
          </w:tcPr>
          <w:p w14:paraId="5B41E2B9" w14:textId="77777777" w:rsidR="00E9401F" w:rsidRPr="00E15DA1" w:rsidRDefault="00E9401F" w:rsidP="00860E1F">
            <w:pPr>
              <w:rPr>
                <w:b/>
                <w:bCs/>
              </w:rPr>
            </w:pPr>
            <w:r w:rsidRPr="00E15DA1">
              <w:rPr>
                <w:b/>
                <w:bCs/>
              </w:rPr>
              <w:t>Greenlip Abalone</w:t>
            </w:r>
          </w:p>
        </w:tc>
      </w:tr>
      <w:tr w:rsidR="00E9401F" w14:paraId="44B96DBB" w14:textId="77777777" w:rsidTr="00860E1F">
        <w:tc>
          <w:tcPr>
            <w:tcW w:w="1129" w:type="dxa"/>
          </w:tcPr>
          <w:p w14:paraId="67B0F157" w14:textId="77777777" w:rsidR="00E9401F" w:rsidRPr="00E15DA1" w:rsidRDefault="00E9401F" w:rsidP="00860E1F">
            <w:pPr>
              <w:rPr>
                <w:b/>
                <w:bCs/>
              </w:rPr>
            </w:pPr>
            <w:r w:rsidRPr="00E15DA1">
              <w:rPr>
                <w:b/>
                <w:bCs/>
              </w:rPr>
              <w:t>2019</w:t>
            </w:r>
          </w:p>
        </w:tc>
        <w:tc>
          <w:tcPr>
            <w:tcW w:w="1843" w:type="dxa"/>
          </w:tcPr>
          <w:p w14:paraId="0A277A7D" w14:textId="77777777" w:rsidR="00E9401F" w:rsidRDefault="00E9401F" w:rsidP="00860E1F">
            <w:r>
              <w:t>87</w:t>
            </w:r>
          </w:p>
        </w:tc>
        <w:tc>
          <w:tcPr>
            <w:tcW w:w="1843" w:type="dxa"/>
          </w:tcPr>
          <w:p w14:paraId="2792C5C2" w14:textId="77777777" w:rsidR="00E9401F" w:rsidRDefault="00E9401F" w:rsidP="00860E1F">
            <w:r>
              <w:t>53</w:t>
            </w:r>
          </w:p>
        </w:tc>
      </w:tr>
      <w:tr w:rsidR="00E9401F" w14:paraId="65203813" w14:textId="77777777" w:rsidTr="00860E1F">
        <w:tc>
          <w:tcPr>
            <w:tcW w:w="1129" w:type="dxa"/>
          </w:tcPr>
          <w:p w14:paraId="18B37900" w14:textId="77777777" w:rsidR="00E9401F" w:rsidRPr="00E15DA1" w:rsidRDefault="00E9401F" w:rsidP="00860E1F">
            <w:pPr>
              <w:rPr>
                <w:b/>
                <w:bCs/>
              </w:rPr>
            </w:pPr>
            <w:r w:rsidRPr="00E15DA1">
              <w:rPr>
                <w:b/>
                <w:bCs/>
              </w:rPr>
              <w:t>2020</w:t>
            </w:r>
          </w:p>
        </w:tc>
        <w:tc>
          <w:tcPr>
            <w:tcW w:w="1843" w:type="dxa"/>
          </w:tcPr>
          <w:p w14:paraId="3835B537" w14:textId="77777777" w:rsidR="00E9401F" w:rsidRDefault="00E9401F" w:rsidP="00860E1F">
            <w:r>
              <w:t>85</w:t>
            </w:r>
          </w:p>
        </w:tc>
        <w:tc>
          <w:tcPr>
            <w:tcW w:w="1843" w:type="dxa"/>
          </w:tcPr>
          <w:p w14:paraId="7F75CC01" w14:textId="77777777" w:rsidR="00E9401F" w:rsidRDefault="00E9401F" w:rsidP="00860E1F">
            <w:r>
              <w:t>50</w:t>
            </w:r>
          </w:p>
        </w:tc>
      </w:tr>
      <w:tr w:rsidR="00E9401F" w14:paraId="4069869F" w14:textId="77777777" w:rsidTr="00860E1F">
        <w:tc>
          <w:tcPr>
            <w:tcW w:w="1129" w:type="dxa"/>
          </w:tcPr>
          <w:p w14:paraId="20141888" w14:textId="77777777" w:rsidR="00E9401F" w:rsidRPr="00E15DA1" w:rsidRDefault="00E9401F" w:rsidP="00860E1F">
            <w:pPr>
              <w:rPr>
                <w:b/>
                <w:bCs/>
              </w:rPr>
            </w:pPr>
            <w:r w:rsidRPr="00E15DA1">
              <w:rPr>
                <w:b/>
                <w:bCs/>
              </w:rPr>
              <w:t>2021</w:t>
            </w:r>
          </w:p>
        </w:tc>
        <w:tc>
          <w:tcPr>
            <w:tcW w:w="1843" w:type="dxa"/>
          </w:tcPr>
          <w:p w14:paraId="3DFDD4E6" w14:textId="77777777" w:rsidR="00E9401F" w:rsidRDefault="00E9401F" w:rsidP="00860E1F">
            <w:r>
              <w:t>77</w:t>
            </w:r>
          </w:p>
        </w:tc>
        <w:tc>
          <w:tcPr>
            <w:tcW w:w="1843" w:type="dxa"/>
          </w:tcPr>
          <w:p w14:paraId="4DDD5DEF" w14:textId="77777777" w:rsidR="00E9401F" w:rsidRDefault="00E9401F" w:rsidP="00860E1F">
            <w:r>
              <w:t>51</w:t>
            </w:r>
          </w:p>
        </w:tc>
      </w:tr>
      <w:tr w:rsidR="00E9401F" w14:paraId="6B29FAD7" w14:textId="77777777" w:rsidTr="00860E1F">
        <w:tc>
          <w:tcPr>
            <w:tcW w:w="1129" w:type="dxa"/>
          </w:tcPr>
          <w:p w14:paraId="2B5E51B6" w14:textId="77777777" w:rsidR="00E9401F" w:rsidRPr="00E15DA1" w:rsidRDefault="00E9401F" w:rsidP="00860E1F">
            <w:pPr>
              <w:rPr>
                <w:b/>
                <w:bCs/>
              </w:rPr>
            </w:pPr>
            <w:r w:rsidRPr="00E15DA1">
              <w:rPr>
                <w:b/>
                <w:bCs/>
              </w:rPr>
              <w:t>2022</w:t>
            </w:r>
          </w:p>
        </w:tc>
        <w:tc>
          <w:tcPr>
            <w:tcW w:w="1843" w:type="dxa"/>
          </w:tcPr>
          <w:p w14:paraId="5C7185B0" w14:textId="77777777" w:rsidR="00E9401F" w:rsidRDefault="00E9401F" w:rsidP="00860E1F">
            <w:r>
              <w:t>71</w:t>
            </w:r>
          </w:p>
        </w:tc>
        <w:tc>
          <w:tcPr>
            <w:tcW w:w="1843" w:type="dxa"/>
          </w:tcPr>
          <w:p w14:paraId="0A229139" w14:textId="77777777" w:rsidR="00E9401F" w:rsidRDefault="00E9401F" w:rsidP="00860E1F">
            <w:r>
              <w:t>51</w:t>
            </w:r>
          </w:p>
        </w:tc>
      </w:tr>
      <w:tr w:rsidR="00E9401F" w14:paraId="38237715" w14:textId="77777777" w:rsidTr="00860E1F">
        <w:tc>
          <w:tcPr>
            <w:tcW w:w="1129" w:type="dxa"/>
          </w:tcPr>
          <w:p w14:paraId="448900B8" w14:textId="77777777" w:rsidR="00E9401F" w:rsidRPr="00E15DA1" w:rsidRDefault="00E9401F" w:rsidP="00860E1F">
            <w:pPr>
              <w:rPr>
                <w:b/>
                <w:bCs/>
              </w:rPr>
            </w:pPr>
            <w:r w:rsidRPr="00E15DA1">
              <w:rPr>
                <w:b/>
                <w:bCs/>
              </w:rPr>
              <w:t>2023</w:t>
            </w:r>
          </w:p>
        </w:tc>
        <w:tc>
          <w:tcPr>
            <w:tcW w:w="1843" w:type="dxa"/>
          </w:tcPr>
          <w:p w14:paraId="56ED5B00" w14:textId="77777777" w:rsidR="00E9401F" w:rsidRDefault="00E9401F" w:rsidP="00860E1F">
            <w:r>
              <w:t>70</w:t>
            </w:r>
          </w:p>
        </w:tc>
        <w:tc>
          <w:tcPr>
            <w:tcW w:w="1843" w:type="dxa"/>
          </w:tcPr>
          <w:p w14:paraId="6AC8E5C4" w14:textId="77777777" w:rsidR="00E9401F" w:rsidRDefault="00E9401F" w:rsidP="00860E1F">
            <w:r>
              <w:t>49</w:t>
            </w:r>
          </w:p>
        </w:tc>
      </w:tr>
      <w:tr w:rsidR="00E9401F" w14:paraId="08670117" w14:textId="77777777" w:rsidTr="00860E1F">
        <w:tc>
          <w:tcPr>
            <w:tcW w:w="1129" w:type="dxa"/>
          </w:tcPr>
          <w:p w14:paraId="439C233E" w14:textId="77777777" w:rsidR="00E9401F" w:rsidRPr="00E15DA1" w:rsidRDefault="00E9401F" w:rsidP="00860E1F">
            <w:pPr>
              <w:rPr>
                <w:b/>
                <w:bCs/>
              </w:rPr>
            </w:pPr>
            <w:r w:rsidRPr="00E15DA1">
              <w:rPr>
                <w:b/>
                <w:bCs/>
              </w:rPr>
              <w:t>2024</w:t>
            </w:r>
          </w:p>
        </w:tc>
        <w:tc>
          <w:tcPr>
            <w:tcW w:w="1843" w:type="dxa"/>
          </w:tcPr>
          <w:p w14:paraId="5800C75B" w14:textId="77777777" w:rsidR="00E9401F" w:rsidRDefault="00E9401F" w:rsidP="00860E1F">
            <w:r>
              <w:t>68</w:t>
            </w:r>
          </w:p>
        </w:tc>
        <w:tc>
          <w:tcPr>
            <w:tcW w:w="1843" w:type="dxa"/>
          </w:tcPr>
          <w:p w14:paraId="30ECD2FD" w14:textId="77777777" w:rsidR="00E9401F" w:rsidRDefault="00E9401F" w:rsidP="00860E1F">
            <w:r>
              <w:t>44</w:t>
            </w:r>
          </w:p>
        </w:tc>
      </w:tr>
    </w:tbl>
    <w:p w14:paraId="3DA01B61" w14:textId="69C97A72" w:rsidR="00E9401F" w:rsidRDefault="00E9401F" w:rsidP="00AB04BF">
      <w:r w:rsidRPr="00E9401F">
        <w:rPr>
          <w:noProof/>
        </w:rPr>
        <w:drawing>
          <wp:inline distT="0" distB="0" distL="0" distR="0" wp14:anchorId="355EF6F7" wp14:editId="5215D814">
            <wp:extent cx="5038897" cy="3077155"/>
            <wp:effectExtent l="0" t="0" r="0" b="9525"/>
            <wp:docPr id="1320907864" name="Picture 1" descr="A graph of the ye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907864" name="Picture 1" descr="A graph of the year&#10;&#10;Description automatically generated with medium confidence"/>
                    <pic:cNvPicPr/>
                  </pic:nvPicPr>
                  <pic:blipFill>
                    <a:blip r:embed="rId84"/>
                    <a:stretch>
                      <a:fillRect/>
                    </a:stretch>
                  </pic:blipFill>
                  <pic:spPr>
                    <a:xfrm>
                      <a:off x="0" y="0"/>
                      <a:ext cx="5044413" cy="3080524"/>
                    </a:xfrm>
                    <a:prstGeom prst="rect">
                      <a:avLst/>
                    </a:prstGeom>
                  </pic:spPr>
                </pic:pic>
              </a:graphicData>
            </a:graphic>
          </wp:inline>
        </w:drawing>
      </w:r>
    </w:p>
    <w:p w14:paraId="7900757C" w14:textId="1A54E469" w:rsidR="00E9401F" w:rsidRPr="00E15DA1" w:rsidRDefault="00E9401F" w:rsidP="00E9401F">
      <w:pPr>
        <w:rPr>
          <w:rFonts w:cs="Arial"/>
          <w:sz w:val="20"/>
          <w:szCs w:val="18"/>
        </w:rPr>
      </w:pPr>
      <w:r w:rsidRPr="00B6625D">
        <w:rPr>
          <w:rFonts w:cs="Arial"/>
          <w:sz w:val="20"/>
          <w:szCs w:val="18"/>
        </w:rPr>
        <w:t xml:space="preserve">Figure </w:t>
      </w:r>
      <w:r w:rsidR="00B6625D">
        <w:rPr>
          <w:rFonts w:cs="Arial"/>
          <w:sz w:val="20"/>
          <w:szCs w:val="18"/>
        </w:rPr>
        <w:t>3</w:t>
      </w:r>
      <w:r w:rsidRPr="00B6625D">
        <w:rPr>
          <w:rFonts w:cs="Arial"/>
          <w:sz w:val="20"/>
          <w:szCs w:val="18"/>
        </w:rPr>
        <w:t xml:space="preserve">: </w:t>
      </w:r>
      <w:r w:rsidRPr="00E9401F">
        <w:rPr>
          <w:rFonts w:cs="Arial"/>
          <w:sz w:val="20"/>
          <w:szCs w:val="18"/>
        </w:rPr>
        <w:t xml:space="preserve">Annual number of individual divers actively fishing for </w:t>
      </w:r>
      <w:r>
        <w:rPr>
          <w:rFonts w:cs="Arial"/>
          <w:sz w:val="20"/>
          <w:szCs w:val="18"/>
        </w:rPr>
        <w:t>B</w:t>
      </w:r>
      <w:r w:rsidRPr="00E15DA1">
        <w:rPr>
          <w:rFonts w:cs="Arial"/>
          <w:sz w:val="20"/>
          <w:szCs w:val="18"/>
        </w:rPr>
        <w:t xml:space="preserve">lacklip </w:t>
      </w:r>
      <w:r>
        <w:rPr>
          <w:rFonts w:cs="Arial"/>
          <w:sz w:val="20"/>
          <w:szCs w:val="18"/>
        </w:rPr>
        <w:t>A</w:t>
      </w:r>
      <w:r w:rsidRPr="00E15DA1">
        <w:rPr>
          <w:rFonts w:cs="Arial"/>
          <w:sz w:val="20"/>
          <w:szCs w:val="18"/>
        </w:rPr>
        <w:t xml:space="preserve">balone </w:t>
      </w:r>
      <w:r>
        <w:rPr>
          <w:rFonts w:cs="Arial"/>
          <w:sz w:val="20"/>
          <w:szCs w:val="18"/>
        </w:rPr>
        <w:t>and G</w:t>
      </w:r>
      <w:r w:rsidRPr="00E15DA1">
        <w:rPr>
          <w:rFonts w:cs="Arial"/>
          <w:sz w:val="20"/>
          <w:szCs w:val="18"/>
        </w:rPr>
        <w:t xml:space="preserve">reenlip </w:t>
      </w:r>
      <w:r>
        <w:rPr>
          <w:rFonts w:cs="Arial"/>
          <w:sz w:val="20"/>
          <w:szCs w:val="18"/>
        </w:rPr>
        <w:t>A</w:t>
      </w:r>
      <w:r w:rsidRPr="00E15DA1">
        <w:rPr>
          <w:rFonts w:cs="Arial"/>
          <w:sz w:val="20"/>
          <w:szCs w:val="18"/>
        </w:rPr>
        <w:t>balone</w:t>
      </w:r>
      <w:r>
        <w:rPr>
          <w:rFonts w:cs="Arial"/>
          <w:sz w:val="20"/>
          <w:szCs w:val="18"/>
        </w:rPr>
        <w:t xml:space="preserve"> in the commercial Tasmanian Abalone Dive Fishery. Lines</w:t>
      </w:r>
      <w:r w:rsidRPr="00E15DA1">
        <w:rPr>
          <w:rFonts w:cs="Arial"/>
          <w:sz w:val="20"/>
          <w:szCs w:val="18"/>
        </w:rPr>
        <w:t xml:space="preserve"> colour coded by</w:t>
      </w:r>
      <w:r>
        <w:rPr>
          <w:rFonts w:cs="Arial"/>
          <w:sz w:val="20"/>
          <w:szCs w:val="18"/>
        </w:rPr>
        <w:t xml:space="preserve"> current</w:t>
      </w:r>
      <w:r w:rsidRPr="00E15DA1">
        <w:rPr>
          <w:rFonts w:cs="Arial"/>
          <w:sz w:val="20"/>
          <w:szCs w:val="18"/>
        </w:rPr>
        <w:t xml:space="preserve"> </w:t>
      </w:r>
      <w:r>
        <w:rPr>
          <w:rFonts w:cs="Arial"/>
          <w:sz w:val="20"/>
          <w:szCs w:val="18"/>
        </w:rPr>
        <w:t>zones</w:t>
      </w:r>
      <w:r w:rsidRPr="00E15DA1">
        <w:rPr>
          <w:rFonts w:cs="Arial"/>
          <w:sz w:val="20"/>
          <w:szCs w:val="18"/>
        </w:rPr>
        <w:t>.</w:t>
      </w:r>
    </w:p>
    <w:p w14:paraId="733794C2" w14:textId="0BFE80CE" w:rsidR="001B42E8" w:rsidRDefault="001B42E8" w:rsidP="001B42E8">
      <w:pPr>
        <w:pStyle w:val="Heading2"/>
      </w:pPr>
      <w:bookmarkStart w:id="58" w:name="_Toc203488114"/>
      <w:r>
        <w:lastRenderedPageBreak/>
        <w:t>APPENDIX 5 – Fishing maps</w:t>
      </w:r>
      <w:bookmarkEnd w:id="58"/>
    </w:p>
    <w:p w14:paraId="71235317" w14:textId="170B092E" w:rsidR="001B42E8" w:rsidRDefault="001B42E8" w:rsidP="00BF27B2">
      <w:r>
        <w:rPr>
          <w:noProof/>
        </w:rPr>
        <w:drawing>
          <wp:inline distT="0" distB="0" distL="0" distR="0" wp14:anchorId="31262509" wp14:editId="2121058D">
            <wp:extent cx="5731510" cy="8100695"/>
            <wp:effectExtent l="0" t="0" r="2540" b="0"/>
            <wp:docPr id="1250316029" name="Picture 23" descr="A map of australia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316029" name="Picture 23" descr="A map of australia with different colored squares&#10;&#10;Description automatically generated"/>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731510" cy="8100695"/>
                    </a:xfrm>
                    <a:prstGeom prst="rect">
                      <a:avLst/>
                    </a:prstGeom>
                    <a:noFill/>
                    <a:ln>
                      <a:noFill/>
                    </a:ln>
                  </pic:spPr>
                </pic:pic>
              </a:graphicData>
            </a:graphic>
          </wp:inline>
        </w:drawing>
      </w:r>
    </w:p>
    <w:p w14:paraId="3BD1AF0F" w14:textId="17DA787E" w:rsidR="001B42E8" w:rsidRPr="00441E26" w:rsidRDefault="001B42E8" w:rsidP="00BF27B2">
      <w:pPr>
        <w:rPr>
          <w:sz w:val="20"/>
          <w:szCs w:val="20"/>
        </w:rPr>
      </w:pPr>
      <w:r w:rsidRPr="00B6625D">
        <w:rPr>
          <w:sz w:val="20"/>
          <w:szCs w:val="20"/>
        </w:rPr>
        <w:t xml:space="preserve">Figure </w:t>
      </w:r>
      <w:r w:rsidR="00B6625D" w:rsidRPr="00B6625D">
        <w:rPr>
          <w:sz w:val="20"/>
          <w:szCs w:val="20"/>
        </w:rPr>
        <w:t>4</w:t>
      </w:r>
      <w:r w:rsidRPr="00B6625D">
        <w:rPr>
          <w:sz w:val="20"/>
          <w:szCs w:val="20"/>
        </w:rPr>
        <w:t xml:space="preserve">. Map of the five </w:t>
      </w:r>
      <w:r w:rsidR="00B6625D">
        <w:rPr>
          <w:sz w:val="20"/>
          <w:szCs w:val="20"/>
        </w:rPr>
        <w:t xml:space="preserve">current </w:t>
      </w:r>
      <w:r w:rsidRPr="00B6625D">
        <w:rPr>
          <w:sz w:val="20"/>
          <w:szCs w:val="20"/>
        </w:rPr>
        <w:t>Tasmanian Commercial Abalone fishery parts.</w:t>
      </w:r>
    </w:p>
    <w:p w14:paraId="6BC545F4" w14:textId="05408607" w:rsidR="00721738" w:rsidRDefault="00721738" w:rsidP="00721738">
      <w:pPr>
        <w:pStyle w:val="Heading2"/>
      </w:pPr>
      <w:bookmarkStart w:id="59" w:name="_Toc203488115"/>
      <w:r>
        <w:lastRenderedPageBreak/>
        <w:t>APPENDIX 6 – Approved Logbooks</w:t>
      </w:r>
      <w:bookmarkEnd w:id="59"/>
    </w:p>
    <w:p w14:paraId="594983A2" w14:textId="05CDED91" w:rsidR="00441E26" w:rsidRDefault="00441E26" w:rsidP="00BF27B2">
      <w:r>
        <w:rPr>
          <w:noProof/>
        </w:rPr>
        <w:drawing>
          <wp:inline distT="0" distB="0" distL="0" distR="0" wp14:anchorId="6F57D3AB" wp14:editId="02C7D3C2">
            <wp:extent cx="4969510" cy="7991061"/>
            <wp:effectExtent l="0" t="0" r="2540" b="0"/>
            <wp:docPr id="191906065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970937" cy="7993356"/>
                    </a:xfrm>
                    <a:prstGeom prst="rect">
                      <a:avLst/>
                    </a:prstGeom>
                    <a:noFill/>
                    <a:ln>
                      <a:noFill/>
                    </a:ln>
                  </pic:spPr>
                </pic:pic>
              </a:graphicData>
            </a:graphic>
          </wp:inline>
        </w:drawing>
      </w:r>
    </w:p>
    <w:p w14:paraId="71A06374" w14:textId="341B32EC" w:rsidR="00441E26" w:rsidRPr="00FF4CFF" w:rsidRDefault="00441E26" w:rsidP="00441E26">
      <w:pPr>
        <w:rPr>
          <w:sz w:val="20"/>
          <w:szCs w:val="20"/>
        </w:rPr>
      </w:pPr>
      <w:r w:rsidRPr="00B6625D">
        <w:rPr>
          <w:sz w:val="20"/>
          <w:szCs w:val="20"/>
        </w:rPr>
        <w:t xml:space="preserve">Figure </w:t>
      </w:r>
      <w:r w:rsidR="00B6625D" w:rsidRPr="00B6625D">
        <w:rPr>
          <w:sz w:val="20"/>
          <w:szCs w:val="20"/>
        </w:rPr>
        <w:t>5</w:t>
      </w:r>
      <w:r w:rsidRPr="00B6625D">
        <w:rPr>
          <w:sz w:val="20"/>
          <w:szCs w:val="20"/>
        </w:rPr>
        <w:t xml:space="preserve">.  Copy of the </w:t>
      </w:r>
      <w:bookmarkStart w:id="60" w:name="_Hlk201843637"/>
      <w:r w:rsidRPr="00B6625D">
        <w:rPr>
          <w:sz w:val="20"/>
          <w:szCs w:val="20"/>
        </w:rPr>
        <w:t xml:space="preserve">Commercial Abalone Dive Docket and Diving Team Docket </w:t>
      </w:r>
      <w:bookmarkEnd w:id="60"/>
      <w:r w:rsidRPr="00B6625D">
        <w:rPr>
          <w:sz w:val="20"/>
          <w:szCs w:val="20"/>
        </w:rPr>
        <w:t>to capture fishing data upon receipt at a licenced fish processing premises. One book per fishing zone is issued to individual divers.</w:t>
      </w:r>
    </w:p>
    <w:p w14:paraId="2CB6D682" w14:textId="05FEE8AF" w:rsidR="00441E26" w:rsidRDefault="00441E26" w:rsidP="00BF27B2">
      <w:r w:rsidRPr="00441E26">
        <w:rPr>
          <w:noProof/>
        </w:rPr>
        <w:lastRenderedPageBreak/>
        <w:drawing>
          <wp:inline distT="0" distB="0" distL="0" distR="0" wp14:anchorId="1F31484F" wp14:editId="6B5EC8FE">
            <wp:extent cx="5731510" cy="6387465"/>
            <wp:effectExtent l="0" t="0" r="2540" b="0"/>
            <wp:docPr id="972793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793074" name=""/>
                    <pic:cNvPicPr/>
                  </pic:nvPicPr>
                  <pic:blipFill>
                    <a:blip r:embed="rId87"/>
                    <a:stretch>
                      <a:fillRect/>
                    </a:stretch>
                  </pic:blipFill>
                  <pic:spPr>
                    <a:xfrm>
                      <a:off x="0" y="0"/>
                      <a:ext cx="5731510" cy="6387465"/>
                    </a:xfrm>
                    <a:prstGeom prst="rect">
                      <a:avLst/>
                    </a:prstGeom>
                  </pic:spPr>
                </pic:pic>
              </a:graphicData>
            </a:graphic>
          </wp:inline>
        </w:drawing>
      </w:r>
    </w:p>
    <w:p w14:paraId="4AFBCDA7" w14:textId="586C96C0" w:rsidR="00441E26" w:rsidRPr="00FF4CFF" w:rsidRDefault="00441E26" w:rsidP="00441E26">
      <w:pPr>
        <w:rPr>
          <w:sz w:val="20"/>
          <w:szCs w:val="20"/>
        </w:rPr>
      </w:pPr>
      <w:r w:rsidRPr="00B6625D">
        <w:rPr>
          <w:sz w:val="20"/>
          <w:szCs w:val="20"/>
        </w:rPr>
        <w:t xml:space="preserve">Figure </w:t>
      </w:r>
      <w:r w:rsidR="00B6625D" w:rsidRPr="00B6625D">
        <w:rPr>
          <w:sz w:val="20"/>
          <w:szCs w:val="20"/>
        </w:rPr>
        <w:t>6</w:t>
      </w:r>
      <w:r w:rsidRPr="00B6625D">
        <w:rPr>
          <w:sz w:val="20"/>
          <w:szCs w:val="20"/>
        </w:rPr>
        <w:t>.  Copy of the approved Abalone Processor Monthly Return to capture fishing data upon receipt at a licenced fish processing premises.</w:t>
      </w:r>
    </w:p>
    <w:p w14:paraId="036B6B30" w14:textId="77777777" w:rsidR="00441E26" w:rsidRPr="0027650A" w:rsidRDefault="00441E26" w:rsidP="00BF27B2"/>
    <w:sectPr w:rsidR="00441E26" w:rsidRPr="0027650A" w:rsidSect="003C4D27">
      <w:headerReference w:type="even" r:id="rId88"/>
      <w:footerReference w:type="even" r:id="rId89"/>
      <w:footerReference w:type="default" r:id="rId90"/>
      <w:pgSz w:w="11906" w:h="16838"/>
      <w:pgMar w:top="993"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3BBCB" w14:textId="77777777" w:rsidR="00F25201" w:rsidRDefault="00F25201" w:rsidP="00B91365">
      <w:pPr>
        <w:spacing w:after="0" w:line="240" w:lineRule="auto"/>
      </w:pPr>
      <w:r>
        <w:separator/>
      </w:r>
    </w:p>
  </w:endnote>
  <w:endnote w:type="continuationSeparator" w:id="0">
    <w:p w14:paraId="2A365BAD" w14:textId="77777777" w:rsidR="00F25201" w:rsidRDefault="00F25201" w:rsidP="00B91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99F10" w14:textId="6A28599A" w:rsidR="007775F4" w:rsidRDefault="007775F4">
    <w:pPr>
      <w:pStyle w:val="Footer"/>
    </w:pPr>
    <w:r>
      <w:rPr>
        <w:noProof/>
      </w:rPr>
      <mc:AlternateContent>
        <mc:Choice Requires="wps">
          <w:drawing>
            <wp:anchor distT="0" distB="0" distL="0" distR="0" simplePos="0" relativeHeight="251658241" behindDoc="0" locked="0" layoutInCell="1" allowOverlap="1" wp14:anchorId="29025DAF" wp14:editId="28FADB98">
              <wp:simplePos x="635" y="635"/>
              <wp:positionH relativeFrom="page">
                <wp:align>center</wp:align>
              </wp:positionH>
              <wp:positionV relativeFrom="page">
                <wp:align>bottom</wp:align>
              </wp:positionV>
              <wp:extent cx="551815" cy="391160"/>
              <wp:effectExtent l="0" t="0" r="635" b="0"/>
              <wp:wrapNone/>
              <wp:docPr id="95653803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F150A51" w14:textId="6539B943" w:rsidR="007775F4" w:rsidRPr="007775F4" w:rsidRDefault="007775F4" w:rsidP="007775F4">
                          <w:pPr>
                            <w:spacing w:after="0"/>
                            <w:rPr>
                              <w:rFonts w:ascii="Calibri" w:eastAsia="Calibri" w:hAnsi="Calibri" w:cs="Calibri"/>
                              <w:noProof/>
                              <w:color w:val="FF0000"/>
                              <w:sz w:val="24"/>
                              <w:szCs w:val="24"/>
                            </w:rPr>
                          </w:pPr>
                          <w:r w:rsidRPr="007775F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025DAF"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fill o:detectmouseclick="t"/>
              <v:textbox style="mso-fit-shape-to-text:t" inset="0,0,0,15pt">
                <w:txbxContent>
                  <w:p w14:paraId="7F150A51" w14:textId="6539B943" w:rsidR="007775F4" w:rsidRPr="007775F4" w:rsidRDefault="007775F4" w:rsidP="007775F4">
                    <w:pPr>
                      <w:spacing w:after="0"/>
                      <w:rPr>
                        <w:rFonts w:ascii="Calibri" w:eastAsia="Calibri" w:hAnsi="Calibri" w:cs="Calibri"/>
                        <w:noProof/>
                        <w:color w:val="FF0000"/>
                        <w:sz w:val="24"/>
                        <w:szCs w:val="24"/>
                      </w:rPr>
                    </w:pPr>
                    <w:r w:rsidRPr="007775F4">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101F7" w14:textId="0A999C85" w:rsidR="00741433" w:rsidRDefault="00000000">
    <w:pPr>
      <w:pStyle w:val="Footer"/>
      <w:jc w:val="right"/>
    </w:pPr>
    <w:sdt>
      <w:sdtPr>
        <w:id w:val="2097201482"/>
        <w:docPartObj>
          <w:docPartGallery w:val="Page Numbers (Bottom of Page)"/>
          <w:docPartUnique/>
        </w:docPartObj>
      </w:sdtPr>
      <w:sdtEndPr>
        <w:rPr>
          <w:noProof/>
        </w:rPr>
      </w:sdtEndPr>
      <w:sdtContent>
        <w:r w:rsidR="00741433">
          <w:fldChar w:fldCharType="begin"/>
        </w:r>
        <w:r w:rsidR="00741433">
          <w:instrText xml:space="preserve"> PAGE   \* MERGEFORMAT </w:instrText>
        </w:r>
        <w:r w:rsidR="00741433">
          <w:fldChar w:fldCharType="separate"/>
        </w:r>
        <w:r w:rsidR="00741433">
          <w:rPr>
            <w:noProof/>
          </w:rPr>
          <w:t>2</w:t>
        </w:r>
        <w:r w:rsidR="00741433">
          <w:rPr>
            <w:noProof/>
          </w:rPr>
          <w:fldChar w:fldCharType="end"/>
        </w:r>
      </w:sdtContent>
    </w:sdt>
  </w:p>
  <w:p w14:paraId="1F1B7DA3" w14:textId="77777777" w:rsidR="00741433" w:rsidRDefault="00741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118D1" w14:textId="77777777" w:rsidR="00F25201" w:rsidRDefault="00F25201" w:rsidP="00B91365">
      <w:pPr>
        <w:spacing w:after="0" w:line="240" w:lineRule="auto"/>
      </w:pPr>
      <w:r>
        <w:separator/>
      </w:r>
    </w:p>
  </w:footnote>
  <w:footnote w:type="continuationSeparator" w:id="0">
    <w:p w14:paraId="0C36498F" w14:textId="77777777" w:rsidR="00F25201" w:rsidRDefault="00F25201" w:rsidP="00B91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93C38" w14:textId="583FF92E" w:rsidR="007775F4" w:rsidRDefault="007775F4">
    <w:pPr>
      <w:pStyle w:val="Header"/>
    </w:pPr>
    <w:r>
      <w:rPr>
        <w:noProof/>
      </w:rPr>
      <mc:AlternateContent>
        <mc:Choice Requires="wps">
          <w:drawing>
            <wp:anchor distT="0" distB="0" distL="0" distR="0" simplePos="0" relativeHeight="251658240" behindDoc="0" locked="0" layoutInCell="1" allowOverlap="1" wp14:anchorId="29474622" wp14:editId="413C8031">
              <wp:simplePos x="635" y="635"/>
              <wp:positionH relativeFrom="page">
                <wp:align>center</wp:align>
              </wp:positionH>
              <wp:positionV relativeFrom="page">
                <wp:align>top</wp:align>
              </wp:positionV>
              <wp:extent cx="551815" cy="391160"/>
              <wp:effectExtent l="0" t="0" r="635" b="8890"/>
              <wp:wrapNone/>
              <wp:docPr id="108742422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FFC17A5" w14:textId="5523C352" w:rsidR="007775F4" w:rsidRPr="007775F4" w:rsidRDefault="007775F4" w:rsidP="007775F4">
                          <w:pPr>
                            <w:spacing w:after="0"/>
                            <w:rPr>
                              <w:rFonts w:ascii="Calibri" w:eastAsia="Calibri" w:hAnsi="Calibri" w:cs="Calibri"/>
                              <w:noProof/>
                              <w:color w:val="FF0000"/>
                              <w:sz w:val="24"/>
                              <w:szCs w:val="24"/>
                            </w:rPr>
                          </w:pPr>
                          <w:r w:rsidRPr="007775F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474622"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0FFC17A5" w14:textId="5523C352" w:rsidR="007775F4" w:rsidRPr="007775F4" w:rsidRDefault="007775F4" w:rsidP="007775F4">
                    <w:pPr>
                      <w:spacing w:after="0"/>
                      <w:rPr>
                        <w:rFonts w:ascii="Calibri" w:eastAsia="Calibri" w:hAnsi="Calibri" w:cs="Calibri"/>
                        <w:noProof/>
                        <w:color w:val="FF0000"/>
                        <w:sz w:val="24"/>
                        <w:szCs w:val="24"/>
                      </w:rPr>
                    </w:pPr>
                    <w:r w:rsidRPr="007775F4">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0660"/>
    <w:multiLevelType w:val="hybridMultilevel"/>
    <w:tmpl w:val="CEF66A7E"/>
    <w:lvl w:ilvl="0" w:tplc="BD7243D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471C2"/>
    <w:multiLevelType w:val="hybridMultilevel"/>
    <w:tmpl w:val="F26A52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3202382"/>
    <w:multiLevelType w:val="hybridMultilevel"/>
    <w:tmpl w:val="EB141D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38C4E10"/>
    <w:multiLevelType w:val="hybridMultilevel"/>
    <w:tmpl w:val="88BAC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9D48E6"/>
    <w:multiLevelType w:val="hybridMultilevel"/>
    <w:tmpl w:val="9E96705A"/>
    <w:lvl w:ilvl="0" w:tplc="7C92878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C7750B"/>
    <w:multiLevelType w:val="hybridMultilevel"/>
    <w:tmpl w:val="DD6E825C"/>
    <w:lvl w:ilvl="0" w:tplc="FFFFFFFF">
      <w:start w:val="1"/>
      <w:numFmt w:val="decimal"/>
      <w:lvlText w:val="%1."/>
      <w:lvlJc w:val="left"/>
      <w:pPr>
        <w:ind w:left="720" w:hanging="360"/>
      </w:pPr>
    </w:lvl>
    <w:lvl w:ilvl="1" w:tplc="EB98D90C">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8A5AFB"/>
    <w:multiLevelType w:val="hybridMultilevel"/>
    <w:tmpl w:val="33605244"/>
    <w:lvl w:ilvl="0" w:tplc="EB98D90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2E6F53"/>
    <w:multiLevelType w:val="hybridMultilevel"/>
    <w:tmpl w:val="3E2223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5F1A43"/>
    <w:multiLevelType w:val="hybridMultilevel"/>
    <w:tmpl w:val="D610E3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334B28"/>
    <w:multiLevelType w:val="hybridMultilevel"/>
    <w:tmpl w:val="B69043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3F0514"/>
    <w:multiLevelType w:val="hybridMultilevel"/>
    <w:tmpl w:val="E4A8BC84"/>
    <w:lvl w:ilvl="0" w:tplc="FFFFFFFF">
      <w:start w:val="1"/>
      <w:numFmt w:val="decimal"/>
      <w:lvlText w:val="%1."/>
      <w:lvlJc w:val="left"/>
      <w:pPr>
        <w:ind w:left="720" w:hanging="360"/>
      </w:pPr>
    </w:lvl>
    <w:lvl w:ilvl="1" w:tplc="EB98D90C">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E95BC9"/>
    <w:multiLevelType w:val="hybridMultilevel"/>
    <w:tmpl w:val="114AC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5C23F4"/>
    <w:multiLevelType w:val="hybridMultilevel"/>
    <w:tmpl w:val="E3028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1D79FA"/>
    <w:multiLevelType w:val="hybridMultilevel"/>
    <w:tmpl w:val="689EC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0D5CEA"/>
    <w:multiLevelType w:val="hybridMultilevel"/>
    <w:tmpl w:val="F07C705E"/>
    <w:lvl w:ilvl="0" w:tplc="B1EC2092">
      <w:start w:val="1"/>
      <w:numFmt w:val="decimal"/>
      <w:lvlText w:val="%1."/>
      <w:lvlJc w:val="left"/>
      <w:pPr>
        <w:ind w:left="720" w:hanging="360"/>
      </w:pPr>
      <w:rPr>
        <w:rFonts w:cs="Times New Roman" w:hint="default"/>
        <w:b/>
        <w:sz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AB521A"/>
    <w:multiLevelType w:val="hybridMultilevel"/>
    <w:tmpl w:val="1DBE7AEA"/>
    <w:lvl w:ilvl="0" w:tplc="FFFFFFFF">
      <w:start w:val="1"/>
      <w:numFmt w:val="decimal"/>
      <w:lvlText w:val="%1."/>
      <w:lvlJc w:val="left"/>
      <w:pPr>
        <w:ind w:left="720" w:hanging="360"/>
      </w:pPr>
    </w:lvl>
    <w:lvl w:ilvl="1" w:tplc="EB98D90C">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DE785D"/>
    <w:multiLevelType w:val="hybridMultilevel"/>
    <w:tmpl w:val="BEC05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802F6B"/>
    <w:multiLevelType w:val="hybridMultilevel"/>
    <w:tmpl w:val="B5F61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7C546E"/>
    <w:multiLevelType w:val="hybridMultilevel"/>
    <w:tmpl w:val="A5D8C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B265C8"/>
    <w:multiLevelType w:val="hybridMultilevel"/>
    <w:tmpl w:val="0ED0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9A2956"/>
    <w:multiLevelType w:val="hybridMultilevel"/>
    <w:tmpl w:val="F13AB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EE701B"/>
    <w:multiLevelType w:val="multilevel"/>
    <w:tmpl w:val="F3F0D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6612F2"/>
    <w:multiLevelType w:val="hybridMultilevel"/>
    <w:tmpl w:val="F864D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FE3D96"/>
    <w:multiLevelType w:val="hybridMultilevel"/>
    <w:tmpl w:val="57FCF3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E033C18"/>
    <w:multiLevelType w:val="hybridMultilevel"/>
    <w:tmpl w:val="3E2223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DA7C2A"/>
    <w:multiLevelType w:val="hybridMultilevel"/>
    <w:tmpl w:val="30D4BF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3057F5"/>
    <w:multiLevelType w:val="hybridMultilevel"/>
    <w:tmpl w:val="17FA2B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F1111"/>
    <w:multiLevelType w:val="hybridMultilevel"/>
    <w:tmpl w:val="C804F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B82DF2"/>
    <w:multiLevelType w:val="hybridMultilevel"/>
    <w:tmpl w:val="BB60D6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71649870">
    <w:abstractNumId w:val="25"/>
  </w:num>
  <w:num w:numId="2" w16cid:durableId="2040156587">
    <w:abstractNumId w:val="14"/>
  </w:num>
  <w:num w:numId="3" w16cid:durableId="861744690">
    <w:abstractNumId w:val="27"/>
  </w:num>
  <w:num w:numId="4" w16cid:durableId="798301850">
    <w:abstractNumId w:val="13"/>
  </w:num>
  <w:num w:numId="5" w16cid:durableId="361633214">
    <w:abstractNumId w:val="0"/>
  </w:num>
  <w:num w:numId="6" w16cid:durableId="167672903">
    <w:abstractNumId w:val="1"/>
  </w:num>
  <w:num w:numId="7" w16cid:durableId="1494299569">
    <w:abstractNumId w:val="17"/>
  </w:num>
  <w:num w:numId="8" w16cid:durableId="297495264">
    <w:abstractNumId w:val="19"/>
  </w:num>
  <w:num w:numId="9" w16cid:durableId="432555774">
    <w:abstractNumId w:val="4"/>
  </w:num>
  <w:num w:numId="10" w16cid:durableId="709693853">
    <w:abstractNumId w:val="18"/>
  </w:num>
  <w:num w:numId="11" w16cid:durableId="1135832976">
    <w:abstractNumId w:val="11"/>
  </w:num>
  <w:num w:numId="12" w16cid:durableId="325977861">
    <w:abstractNumId w:val="6"/>
  </w:num>
  <w:num w:numId="13" w16cid:durableId="2047216683">
    <w:abstractNumId w:val="28"/>
  </w:num>
  <w:num w:numId="14" w16cid:durableId="749159233">
    <w:abstractNumId w:val="9"/>
  </w:num>
  <w:num w:numId="15" w16cid:durableId="2083135349">
    <w:abstractNumId w:val="15"/>
  </w:num>
  <w:num w:numId="16" w16cid:durableId="2075812339">
    <w:abstractNumId w:val="5"/>
  </w:num>
  <w:num w:numId="17" w16cid:durableId="180779462">
    <w:abstractNumId w:val="10"/>
  </w:num>
  <w:num w:numId="18" w16cid:durableId="1295912082">
    <w:abstractNumId w:val="21"/>
  </w:num>
  <w:num w:numId="19" w16cid:durableId="510069935">
    <w:abstractNumId w:val="12"/>
  </w:num>
  <w:num w:numId="20" w16cid:durableId="880554050">
    <w:abstractNumId w:val="3"/>
  </w:num>
  <w:num w:numId="21" w16cid:durableId="1100951616">
    <w:abstractNumId w:val="16"/>
  </w:num>
  <w:num w:numId="22" w16cid:durableId="620187888">
    <w:abstractNumId w:val="20"/>
  </w:num>
  <w:num w:numId="23" w16cid:durableId="1789860107">
    <w:abstractNumId w:val="2"/>
  </w:num>
  <w:num w:numId="24" w16cid:durableId="594871968">
    <w:abstractNumId w:val="22"/>
  </w:num>
  <w:num w:numId="25" w16cid:durableId="1908759544">
    <w:abstractNumId w:val="26"/>
  </w:num>
  <w:num w:numId="26" w16cid:durableId="1669793074">
    <w:abstractNumId w:val="23"/>
  </w:num>
  <w:num w:numId="27" w16cid:durableId="1787116920">
    <w:abstractNumId w:val="8"/>
  </w:num>
  <w:num w:numId="28" w16cid:durableId="1845123114">
    <w:abstractNumId w:val="7"/>
  </w:num>
  <w:num w:numId="29" w16cid:durableId="5613272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FD"/>
    <w:rsid w:val="0000098B"/>
    <w:rsid w:val="00010FA5"/>
    <w:rsid w:val="00012C19"/>
    <w:rsid w:val="00013CFC"/>
    <w:rsid w:val="00020924"/>
    <w:rsid w:val="000244B1"/>
    <w:rsid w:val="00030584"/>
    <w:rsid w:val="000307A8"/>
    <w:rsid w:val="00034726"/>
    <w:rsid w:val="000352CC"/>
    <w:rsid w:val="0003551D"/>
    <w:rsid w:val="00035D43"/>
    <w:rsid w:val="00037528"/>
    <w:rsid w:val="00046E76"/>
    <w:rsid w:val="000524FD"/>
    <w:rsid w:val="00054C9F"/>
    <w:rsid w:val="00055D4A"/>
    <w:rsid w:val="00056C87"/>
    <w:rsid w:val="00060456"/>
    <w:rsid w:val="00067889"/>
    <w:rsid w:val="000706E3"/>
    <w:rsid w:val="0007276F"/>
    <w:rsid w:val="000736F2"/>
    <w:rsid w:val="00077008"/>
    <w:rsid w:val="00082C4A"/>
    <w:rsid w:val="0008348D"/>
    <w:rsid w:val="0008369B"/>
    <w:rsid w:val="00083A91"/>
    <w:rsid w:val="00090921"/>
    <w:rsid w:val="00091967"/>
    <w:rsid w:val="00092C81"/>
    <w:rsid w:val="00094B95"/>
    <w:rsid w:val="000A3698"/>
    <w:rsid w:val="000B0CC4"/>
    <w:rsid w:val="000B1E49"/>
    <w:rsid w:val="000B6C05"/>
    <w:rsid w:val="000B77EE"/>
    <w:rsid w:val="000C2583"/>
    <w:rsid w:val="000C2691"/>
    <w:rsid w:val="000C4167"/>
    <w:rsid w:val="000C4C1E"/>
    <w:rsid w:val="000C7DE4"/>
    <w:rsid w:val="000D0DE8"/>
    <w:rsid w:val="000D3F96"/>
    <w:rsid w:val="000D5180"/>
    <w:rsid w:val="000E460D"/>
    <w:rsid w:val="000E5E77"/>
    <w:rsid w:val="000E77BE"/>
    <w:rsid w:val="000E7DD8"/>
    <w:rsid w:val="000F0946"/>
    <w:rsid w:val="000F2615"/>
    <w:rsid w:val="000F5837"/>
    <w:rsid w:val="001017DE"/>
    <w:rsid w:val="00103988"/>
    <w:rsid w:val="00104533"/>
    <w:rsid w:val="001051CF"/>
    <w:rsid w:val="0010590C"/>
    <w:rsid w:val="00105DC1"/>
    <w:rsid w:val="001130C6"/>
    <w:rsid w:val="00114691"/>
    <w:rsid w:val="00116C41"/>
    <w:rsid w:val="00122664"/>
    <w:rsid w:val="001226C6"/>
    <w:rsid w:val="001227B1"/>
    <w:rsid w:val="00125CBE"/>
    <w:rsid w:val="001265CD"/>
    <w:rsid w:val="00134926"/>
    <w:rsid w:val="00135AB3"/>
    <w:rsid w:val="001413BB"/>
    <w:rsid w:val="001413F7"/>
    <w:rsid w:val="0014164E"/>
    <w:rsid w:val="00142BB4"/>
    <w:rsid w:val="00143183"/>
    <w:rsid w:val="0014673A"/>
    <w:rsid w:val="00155F32"/>
    <w:rsid w:val="00156188"/>
    <w:rsid w:val="00162E32"/>
    <w:rsid w:val="0016539D"/>
    <w:rsid w:val="00172254"/>
    <w:rsid w:val="0017359A"/>
    <w:rsid w:val="001741A3"/>
    <w:rsid w:val="00174954"/>
    <w:rsid w:val="0017606A"/>
    <w:rsid w:val="00176580"/>
    <w:rsid w:val="001765AC"/>
    <w:rsid w:val="00177F2E"/>
    <w:rsid w:val="0018409A"/>
    <w:rsid w:val="00185A07"/>
    <w:rsid w:val="00186515"/>
    <w:rsid w:val="00190D44"/>
    <w:rsid w:val="0019298D"/>
    <w:rsid w:val="00195CE5"/>
    <w:rsid w:val="001966CB"/>
    <w:rsid w:val="001A225A"/>
    <w:rsid w:val="001A618D"/>
    <w:rsid w:val="001B107F"/>
    <w:rsid w:val="001B2FF8"/>
    <w:rsid w:val="001B3563"/>
    <w:rsid w:val="001B387D"/>
    <w:rsid w:val="001B42E8"/>
    <w:rsid w:val="001B4C17"/>
    <w:rsid w:val="001B4F3E"/>
    <w:rsid w:val="001B5614"/>
    <w:rsid w:val="001B61D9"/>
    <w:rsid w:val="001C55B3"/>
    <w:rsid w:val="001C7334"/>
    <w:rsid w:val="001D33A1"/>
    <w:rsid w:val="001D7784"/>
    <w:rsid w:val="001E1C93"/>
    <w:rsid w:val="001E29BD"/>
    <w:rsid w:val="001E5602"/>
    <w:rsid w:val="001E5B23"/>
    <w:rsid w:val="001E6EDD"/>
    <w:rsid w:val="001E6FA3"/>
    <w:rsid w:val="001E7F9E"/>
    <w:rsid w:val="001F04DC"/>
    <w:rsid w:val="001F0C58"/>
    <w:rsid w:val="001F35D5"/>
    <w:rsid w:val="001F49A8"/>
    <w:rsid w:val="001F7743"/>
    <w:rsid w:val="00201B34"/>
    <w:rsid w:val="002064A2"/>
    <w:rsid w:val="00206861"/>
    <w:rsid w:val="002105AA"/>
    <w:rsid w:val="00210B7C"/>
    <w:rsid w:val="00210BE3"/>
    <w:rsid w:val="0021230A"/>
    <w:rsid w:val="00213359"/>
    <w:rsid w:val="00215489"/>
    <w:rsid w:val="00220F0C"/>
    <w:rsid w:val="00222850"/>
    <w:rsid w:val="00222E97"/>
    <w:rsid w:val="0023291D"/>
    <w:rsid w:val="00232FB2"/>
    <w:rsid w:val="00235D38"/>
    <w:rsid w:val="00241A0D"/>
    <w:rsid w:val="00242791"/>
    <w:rsid w:val="00247CA4"/>
    <w:rsid w:val="00255334"/>
    <w:rsid w:val="0026139B"/>
    <w:rsid w:val="0026313B"/>
    <w:rsid w:val="00263DA4"/>
    <w:rsid w:val="0026448C"/>
    <w:rsid w:val="00270ABF"/>
    <w:rsid w:val="00272188"/>
    <w:rsid w:val="002742CC"/>
    <w:rsid w:val="00274F7E"/>
    <w:rsid w:val="0027650A"/>
    <w:rsid w:val="002801BD"/>
    <w:rsid w:val="0028067E"/>
    <w:rsid w:val="00285A56"/>
    <w:rsid w:val="00286A4C"/>
    <w:rsid w:val="002925B6"/>
    <w:rsid w:val="00292DC2"/>
    <w:rsid w:val="00295C25"/>
    <w:rsid w:val="00297BBD"/>
    <w:rsid w:val="002A0643"/>
    <w:rsid w:val="002A128C"/>
    <w:rsid w:val="002A1DED"/>
    <w:rsid w:val="002A40AB"/>
    <w:rsid w:val="002A5CE6"/>
    <w:rsid w:val="002A6603"/>
    <w:rsid w:val="002A6FD6"/>
    <w:rsid w:val="002A78B1"/>
    <w:rsid w:val="002A7962"/>
    <w:rsid w:val="002B42F1"/>
    <w:rsid w:val="002B4A47"/>
    <w:rsid w:val="002B54EF"/>
    <w:rsid w:val="002B69D8"/>
    <w:rsid w:val="002C4BA8"/>
    <w:rsid w:val="002D7242"/>
    <w:rsid w:val="002E1E79"/>
    <w:rsid w:val="002E37BD"/>
    <w:rsid w:val="002E3BCE"/>
    <w:rsid w:val="002E6830"/>
    <w:rsid w:val="003038D3"/>
    <w:rsid w:val="0031055C"/>
    <w:rsid w:val="00314F4F"/>
    <w:rsid w:val="00315782"/>
    <w:rsid w:val="003174DC"/>
    <w:rsid w:val="00317EC2"/>
    <w:rsid w:val="00320B05"/>
    <w:rsid w:val="003248D1"/>
    <w:rsid w:val="00324B09"/>
    <w:rsid w:val="00326AB9"/>
    <w:rsid w:val="0032754B"/>
    <w:rsid w:val="00331F02"/>
    <w:rsid w:val="00334F9A"/>
    <w:rsid w:val="0033591E"/>
    <w:rsid w:val="0034327D"/>
    <w:rsid w:val="00347E10"/>
    <w:rsid w:val="00350FCE"/>
    <w:rsid w:val="00351C1B"/>
    <w:rsid w:val="00352F2D"/>
    <w:rsid w:val="0035373A"/>
    <w:rsid w:val="00355EBE"/>
    <w:rsid w:val="00356157"/>
    <w:rsid w:val="00360FFF"/>
    <w:rsid w:val="00362AE6"/>
    <w:rsid w:val="00362E36"/>
    <w:rsid w:val="003632DE"/>
    <w:rsid w:val="003667B5"/>
    <w:rsid w:val="003777A0"/>
    <w:rsid w:val="00377FFD"/>
    <w:rsid w:val="003816B6"/>
    <w:rsid w:val="00383945"/>
    <w:rsid w:val="00394506"/>
    <w:rsid w:val="00395440"/>
    <w:rsid w:val="00395797"/>
    <w:rsid w:val="00397DE0"/>
    <w:rsid w:val="003A34F6"/>
    <w:rsid w:val="003A5465"/>
    <w:rsid w:val="003A682C"/>
    <w:rsid w:val="003B251F"/>
    <w:rsid w:val="003B69D3"/>
    <w:rsid w:val="003B7CC6"/>
    <w:rsid w:val="003C4A88"/>
    <w:rsid w:val="003C4D27"/>
    <w:rsid w:val="003C62E8"/>
    <w:rsid w:val="003D0F5C"/>
    <w:rsid w:val="003D191F"/>
    <w:rsid w:val="003D1EC6"/>
    <w:rsid w:val="003D1F1C"/>
    <w:rsid w:val="003D26F9"/>
    <w:rsid w:val="003D71AF"/>
    <w:rsid w:val="003E197A"/>
    <w:rsid w:val="003E733B"/>
    <w:rsid w:val="003F0A70"/>
    <w:rsid w:val="003F106C"/>
    <w:rsid w:val="003F1B97"/>
    <w:rsid w:val="003F5994"/>
    <w:rsid w:val="00400240"/>
    <w:rsid w:val="00402E98"/>
    <w:rsid w:val="004033EE"/>
    <w:rsid w:val="0040486C"/>
    <w:rsid w:val="00406C7E"/>
    <w:rsid w:val="004116DC"/>
    <w:rsid w:val="00414004"/>
    <w:rsid w:val="0042395D"/>
    <w:rsid w:val="004252A9"/>
    <w:rsid w:val="00431587"/>
    <w:rsid w:val="00431618"/>
    <w:rsid w:val="00432203"/>
    <w:rsid w:val="00432BD1"/>
    <w:rsid w:val="00434368"/>
    <w:rsid w:val="004356B5"/>
    <w:rsid w:val="00435723"/>
    <w:rsid w:val="00440600"/>
    <w:rsid w:val="004415BA"/>
    <w:rsid w:val="00441E26"/>
    <w:rsid w:val="0044543A"/>
    <w:rsid w:val="00445DEF"/>
    <w:rsid w:val="00445F7B"/>
    <w:rsid w:val="00446EB7"/>
    <w:rsid w:val="00452668"/>
    <w:rsid w:val="004549FD"/>
    <w:rsid w:val="00454E90"/>
    <w:rsid w:val="00455E13"/>
    <w:rsid w:val="00455F1F"/>
    <w:rsid w:val="0046021D"/>
    <w:rsid w:val="004605E3"/>
    <w:rsid w:val="00461BCE"/>
    <w:rsid w:val="00462755"/>
    <w:rsid w:val="004640E2"/>
    <w:rsid w:val="004657F1"/>
    <w:rsid w:val="00471DB3"/>
    <w:rsid w:val="00471E2E"/>
    <w:rsid w:val="0048146D"/>
    <w:rsid w:val="00481CE0"/>
    <w:rsid w:val="00482421"/>
    <w:rsid w:val="00486D86"/>
    <w:rsid w:val="00487503"/>
    <w:rsid w:val="00487E3F"/>
    <w:rsid w:val="004944FD"/>
    <w:rsid w:val="0049544B"/>
    <w:rsid w:val="004A1FC9"/>
    <w:rsid w:val="004A61D0"/>
    <w:rsid w:val="004B05AE"/>
    <w:rsid w:val="004B1900"/>
    <w:rsid w:val="004B4287"/>
    <w:rsid w:val="004B48A9"/>
    <w:rsid w:val="004B4F70"/>
    <w:rsid w:val="004B566D"/>
    <w:rsid w:val="004B6865"/>
    <w:rsid w:val="004B77FB"/>
    <w:rsid w:val="004C0B8B"/>
    <w:rsid w:val="004C1B16"/>
    <w:rsid w:val="004C5BB9"/>
    <w:rsid w:val="004C6021"/>
    <w:rsid w:val="004C7C0D"/>
    <w:rsid w:val="004E20F5"/>
    <w:rsid w:val="004E2F54"/>
    <w:rsid w:val="004E3085"/>
    <w:rsid w:val="004E752A"/>
    <w:rsid w:val="004F3889"/>
    <w:rsid w:val="004F4F7E"/>
    <w:rsid w:val="004F7AED"/>
    <w:rsid w:val="00503D9F"/>
    <w:rsid w:val="0051348C"/>
    <w:rsid w:val="00514185"/>
    <w:rsid w:val="00515AA6"/>
    <w:rsid w:val="005165D0"/>
    <w:rsid w:val="00520211"/>
    <w:rsid w:val="00524B21"/>
    <w:rsid w:val="005252A7"/>
    <w:rsid w:val="00527876"/>
    <w:rsid w:val="005311C9"/>
    <w:rsid w:val="00536EB0"/>
    <w:rsid w:val="00542132"/>
    <w:rsid w:val="005426D4"/>
    <w:rsid w:val="00543AEB"/>
    <w:rsid w:val="0054705A"/>
    <w:rsid w:val="0055419B"/>
    <w:rsid w:val="00554F3B"/>
    <w:rsid w:val="00560C36"/>
    <w:rsid w:val="00565AD6"/>
    <w:rsid w:val="00565B85"/>
    <w:rsid w:val="00570858"/>
    <w:rsid w:val="00571BDD"/>
    <w:rsid w:val="00573BF5"/>
    <w:rsid w:val="0057484A"/>
    <w:rsid w:val="00577825"/>
    <w:rsid w:val="00581BE2"/>
    <w:rsid w:val="00583529"/>
    <w:rsid w:val="005871E0"/>
    <w:rsid w:val="005878D0"/>
    <w:rsid w:val="00590014"/>
    <w:rsid w:val="005A02EA"/>
    <w:rsid w:val="005A05E3"/>
    <w:rsid w:val="005A45E4"/>
    <w:rsid w:val="005A5922"/>
    <w:rsid w:val="005A5BA4"/>
    <w:rsid w:val="005B10E9"/>
    <w:rsid w:val="005B11D1"/>
    <w:rsid w:val="005B121E"/>
    <w:rsid w:val="005B143B"/>
    <w:rsid w:val="005B316B"/>
    <w:rsid w:val="005B7079"/>
    <w:rsid w:val="005B7193"/>
    <w:rsid w:val="005C1AC9"/>
    <w:rsid w:val="005C1DAC"/>
    <w:rsid w:val="005C431E"/>
    <w:rsid w:val="005D0E57"/>
    <w:rsid w:val="005D2251"/>
    <w:rsid w:val="005E1EE1"/>
    <w:rsid w:val="005E2529"/>
    <w:rsid w:val="005E311D"/>
    <w:rsid w:val="005E3124"/>
    <w:rsid w:val="005E4896"/>
    <w:rsid w:val="005F11E4"/>
    <w:rsid w:val="005F4C57"/>
    <w:rsid w:val="005F65C8"/>
    <w:rsid w:val="005F719E"/>
    <w:rsid w:val="006004E3"/>
    <w:rsid w:val="00600CF2"/>
    <w:rsid w:val="00601AA8"/>
    <w:rsid w:val="00602AA6"/>
    <w:rsid w:val="00603750"/>
    <w:rsid w:val="006058E7"/>
    <w:rsid w:val="00607795"/>
    <w:rsid w:val="006110CB"/>
    <w:rsid w:val="00611A57"/>
    <w:rsid w:val="00611BA9"/>
    <w:rsid w:val="00612239"/>
    <w:rsid w:val="006143BD"/>
    <w:rsid w:val="00614761"/>
    <w:rsid w:val="00621261"/>
    <w:rsid w:val="00622EEA"/>
    <w:rsid w:val="0062391F"/>
    <w:rsid w:val="00623A42"/>
    <w:rsid w:val="00624AC1"/>
    <w:rsid w:val="00624C59"/>
    <w:rsid w:val="00630C6E"/>
    <w:rsid w:val="00630EAA"/>
    <w:rsid w:val="006335D5"/>
    <w:rsid w:val="00633EEF"/>
    <w:rsid w:val="00633FDE"/>
    <w:rsid w:val="00634724"/>
    <w:rsid w:val="006348B0"/>
    <w:rsid w:val="00637108"/>
    <w:rsid w:val="00642884"/>
    <w:rsid w:val="006439DF"/>
    <w:rsid w:val="006457E4"/>
    <w:rsid w:val="00645ED7"/>
    <w:rsid w:val="00647FF6"/>
    <w:rsid w:val="00650605"/>
    <w:rsid w:val="0065102F"/>
    <w:rsid w:val="00653E17"/>
    <w:rsid w:val="00656165"/>
    <w:rsid w:val="006571DA"/>
    <w:rsid w:val="00662DDB"/>
    <w:rsid w:val="00663299"/>
    <w:rsid w:val="00664297"/>
    <w:rsid w:val="00673122"/>
    <w:rsid w:val="006820E0"/>
    <w:rsid w:val="006854F8"/>
    <w:rsid w:val="00685B88"/>
    <w:rsid w:val="00685ED0"/>
    <w:rsid w:val="0069314A"/>
    <w:rsid w:val="0069547F"/>
    <w:rsid w:val="00695FC5"/>
    <w:rsid w:val="0069701D"/>
    <w:rsid w:val="006A0B97"/>
    <w:rsid w:val="006A1159"/>
    <w:rsid w:val="006A20D9"/>
    <w:rsid w:val="006A4438"/>
    <w:rsid w:val="006A5347"/>
    <w:rsid w:val="006A6011"/>
    <w:rsid w:val="006B21FC"/>
    <w:rsid w:val="006B2F3F"/>
    <w:rsid w:val="006B5080"/>
    <w:rsid w:val="006B5DE3"/>
    <w:rsid w:val="006B5F8C"/>
    <w:rsid w:val="006B723A"/>
    <w:rsid w:val="006C43B9"/>
    <w:rsid w:val="006C4B20"/>
    <w:rsid w:val="006C74DB"/>
    <w:rsid w:val="006C7826"/>
    <w:rsid w:val="006D0EF2"/>
    <w:rsid w:val="006D2645"/>
    <w:rsid w:val="006D5477"/>
    <w:rsid w:val="006D5D6C"/>
    <w:rsid w:val="006D5F6F"/>
    <w:rsid w:val="006D6160"/>
    <w:rsid w:val="006E1E1F"/>
    <w:rsid w:val="006E4D9D"/>
    <w:rsid w:val="006E6CA3"/>
    <w:rsid w:val="006E781B"/>
    <w:rsid w:val="006F3582"/>
    <w:rsid w:val="006F3C71"/>
    <w:rsid w:val="006F5125"/>
    <w:rsid w:val="006F54AE"/>
    <w:rsid w:val="006F578C"/>
    <w:rsid w:val="006F7B42"/>
    <w:rsid w:val="00703F8E"/>
    <w:rsid w:val="0070449F"/>
    <w:rsid w:val="00704DBB"/>
    <w:rsid w:val="0071150E"/>
    <w:rsid w:val="007141E8"/>
    <w:rsid w:val="00716F49"/>
    <w:rsid w:val="007177E8"/>
    <w:rsid w:val="00721738"/>
    <w:rsid w:val="007230C1"/>
    <w:rsid w:val="007235E8"/>
    <w:rsid w:val="00723A24"/>
    <w:rsid w:val="0072489D"/>
    <w:rsid w:val="00726108"/>
    <w:rsid w:val="00731B40"/>
    <w:rsid w:val="00736443"/>
    <w:rsid w:val="00741433"/>
    <w:rsid w:val="00742BD8"/>
    <w:rsid w:val="007436E8"/>
    <w:rsid w:val="00746F21"/>
    <w:rsid w:val="007470BF"/>
    <w:rsid w:val="0075117B"/>
    <w:rsid w:val="00752AE0"/>
    <w:rsid w:val="00752D11"/>
    <w:rsid w:val="00756A29"/>
    <w:rsid w:val="00756C49"/>
    <w:rsid w:val="0076131B"/>
    <w:rsid w:val="00764E51"/>
    <w:rsid w:val="00765E1F"/>
    <w:rsid w:val="00765EC1"/>
    <w:rsid w:val="0076610D"/>
    <w:rsid w:val="00766CA0"/>
    <w:rsid w:val="00773240"/>
    <w:rsid w:val="007775F4"/>
    <w:rsid w:val="00784741"/>
    <w:rsid w:val="00787EDD"/>
    <w:rsid w:val="007A08CD"/>
    <w:rsid w:val="007A38E1"/>
    <w:rsid w:val="007A5D00"/>
    <w:rsid w:val="007A6AF1"/>
    <w:rsid w:val="007B079F"/>
    <w:rsid w:val="007B27EE"/>
    <w:rsid w:val="007B4233"/>
    <w:rsid w:val="007B4392"/>
    <w:rsid w:val="007C1411"/>
    <w:rsid w:val="007C3845"/>
    <w:rsid w:val="007C6BDD"/>
    <w:rsid w:val="007D1784"/>
    <w:rsid w:val="007D689C"/>
    <w:rsid w:val="007E0DCE"/>
    <w:rsid w:val="007E1A93"/>
    <w:rsid w:val="007E435C"/>
    <w:rsid w:val="007E51CB"/>
    <w:rsid w:val="007E62B7"/>
    <w:rsid w:val="007E6F28"/>
    <w:rsid w:val="007E7D49"/>
    <w:rsid w:val="007E7E5F"/>
    <w:rsid w:val="007F3127"/>
    <w:rsid w:val="007F39F9"/>
    <w:rsid w:val="007F5744"/>
    <w:rsid w:val="007F5988"/>
    <w:rsid w:val="007F5C88"/>
    <w:rsid w:val="007F7303"/>
    <w:rsid w:val="00811968"/>
    <w:rsid w:val="00813B2E"/>
    <w:rsid w:val="0081589F"/>
    <w:rsid w:val="008164E1"/>
    <w:rsid w:val="008178A3"/>
    <w:rsid w:val="00817DFE"/>
    <w:rsid w:val="00823E26"/>
    <w:rsid w:val="00827B68"/>
    <w:rsid w:val="00831E3F"/>
    <w:rsid w:val="00835B61"/>
    <w:rsid w:val="0083628A"/>
    <w:rsid w:val="0083648B"/>
    <w:rsid w:val="00836AF5"/>
    <w:rsid w:val="0084290C"/>
    <w:rsid w:val="00844B68"/>
    <w:rsid w:val="00846B4F"/>
    <w:rsid w:val="00855975"/>
    <w:rsid w:val="00860A50"/>
    <w:rsid w:val="00861565"/>
    <w:rsid w:val="008623E7"/>
    <w:rsid w:val="008657B0"/>
    <w:rsid w:val="00873610"/>
    <w:rsid w:val="00874F24"/>
    <w:rsid w:val="008768F9"/>
    <w:rsid w:val="0088018D"/>
    <w:rsid w:val="00882E98"/>
    <w:rsid w:val="00884B3C"/>
    <w:rsid w:val="008862A8"/>
    <w:rsid w:val="00887DD6"/>
    <w:rsid w:val="00890D00"/>
    <w:rsid w:val="0089229F"/>
    <w:rsid w:val="008946F1"/>
    <w:rsid w:val="008950F6"/>
    <w:rsid w:val="008962D0"/>
    <w:rsid w:val="00896AE3"/>
    <w:rsid w:val="008A2857"/>
    <w:rsid w:val="008A2D1B"/>
    <w:rsid w:val="008A4A14"/>
    <w:rsid w:val="008A5E48"/>
    <w:rsid w:val="008A6CEF"/>
    <w:rsid w:val="008B0431"/>
    <w:rsid w:val="008C1A45"/>
    <w:rsid w:val="008C4BAD"/>
    <w:rsid w:val="008D27FA"/>
    <w:rsid w:val="008D2875"/>
    <w:rsid w:val="008D2B81"/>
    <w:rsid w:val="008D7F6F"/>
    <w:rsid w:val="008E187A"/>
    <w:rsid w:val="008E6CFB"/>
    <w:rsid w:val="008F0123"/>
    <w:rsid w:val="008F3045"/>
    <w:rsid w:val="008F43CC"/>
    <w:rsid w:val="008F6CDC"/>
    <w:rsid w:val="008F6CE0"/>
    <w:rsid w:val="00906715"/>
    <w:rsid w:val="00910CDE"/>
    <w:rsid w:val="0091533A"/>
    <w:rsid w:val="009169D1"/>
    <w:rsid w:val="00917F8E"/>
    <w:rsid w:val="009235E8"/>
    <w:rsid w:val="00924DBF"/>
    <w:rsid w:val="00925DBE"/>
    <w:rsid w:val="00930C5D"/>
    <w:rsid w:val="009349CF"/>
    <w:rsid w:val="009375BC"/>
    <w:rsid w:val="00940173"/>
    <w:rsid w:val="009449E1"/>
    <w:rsid w:val="0094772D"/>
    <w:rsid w:val="00947A91"/>
    <w:rsid w:val="0095250F"/>
    <w:rsid w:val="00952E61"/>
    <w:rsid w:val="009538CB"/>
    <w:rsid w:val="00953B46"/>
    <w:rsid w:val="0096103A"/>
    <w:rsid w:val="00961986"/>
    <w:rsid w:val="00962308"/>
    <w:rsid w:val="00964351"/>
    <w:rsid w:val="00964426"/>
    <w:rsid w:val="00965E30"/>
    <w:rsid w:val="00970D15"/>
    <w:rsid w:val="009710C9"/>
    <w:rsid w:val="00971DD8"/>
    <w:rsid w:val="00973658"/>
    <w:rsid w:val="00974E26"/>
    <w:rsid w:val="00980755"/>
    <w:rsid w:val="009824EB"/>
    <w:rsid w:val="009834A7"/>
    <w:rsid w:val="00984AA9"/>
    <w:rsid w:val="0099103D"/>
    <w:rsid w:val="009916EB"/>
    <w:rsid w:val="009917C5"/>
    <w:rsid w:val="0099282F"/>
    <w:rsid w:val="0099714E"/>
    <w:rsid w:val="009972F4"/>
    <w:rsid w:val="009A01D8"/>
    <w:rsid w:val="009A60AD"/>
    <w:rsid w:val="009B4C5C"/>
    <w:rsid w:val="009B5352"/>
    <w:rsid w:val="009C0A31"/>
    <w:rsid w:val="009C14FE"/>
    <w:rsid w:val="009C1CEC"/>
    <w:rsid w:val="009C2DEB"/>
    <w:rsid w:val="009C3676"/>
    <w:rsid w:val="009C40AE"/>
    <w:rsid w:val="009C7219"/>
    <w:rsid w:val="009D5100"/>
    <w:rsid w:val="009D60D4"/>
    <w:rsid w:val="009D70F4"/>
    <w:rsid w:val="009E2610"/>
    <w:rsid w:val="009E2C43"/>
    <w:rsid w:val="009E5657"/>
    <w:rsid w:val="009E6517"/>
    <w:rsid w:val="009F1B2A"/>
    <w:rsid w:val="009F756A"/>
    <w:rsid w:val="00A004AE"/>
    <w:rsid w:val="00A00600"/>
    <w:rsid w:val="00A0188A"/>
    <w:rsid w:val="00A01C0E"/>
    <w:rsid w:val="00A034ED"/>
    <w:rsid w:val="00A06953"/>
    <w:rsid w:val="00A0743C"/>
    <w:rsid w:val="00A1287F"/>
    <w:rsid w:val="00A15CFC"/>
    <w:rsid w:val="00A1725D"/>
    <w:rsid w:val="00A2171B"/>
    <w:rsid w:val="00A27AE2"/>
    <w:rsid w:val="00A3097C"/>
    <w:rsid w:val="00A31E94"/>
    <w:rsid w:val="00A34B5D"/>
    <w:rsid w:val="00A36048"/>
    <w:rsid w:val="00A374E1"/>
    <w:rsid w:val="00A375AF"/>
    <w:rsid w:val="00A40F40"/>
    <w:rsid w:val="00A4100C"/>
    <w:rsid w:val="00A41BFE"/>
    <w:rsid w:val="00A50318"/>
    <w:rsid w:val="00A505E5"/>
    <w:rsid w:val="00A517A0"/>
    <w:rsid w:val="00A52121"/>
    <w:rsid w:val="00A5375C"/>
    <w:rsid w:val="00A664AF"/>
    <w:rsid w:val="00A677A3"/>
    <w:rsid w:val="00A706D2"/>
    <w:rsid w:val="00A72FAE"/>
    <w:rsid w:val="00A75C37"/>
    <w:rsid w:val="00A80884"/>
    <w:rsid w:val="00A82E31"/>
    <w:rsid w:val="00A832D4"/>
    <w:rsid w:val="00A84ECD"/>
    <w:rsid w:val="00A85478"/>
    <w:rsid w:val="00A91A12"/>
    <w:rsid w:val="00A91BBC"/>
    <w:rsid w:val="00A94F0B"/>
    <w:rsid w:val="00A9573B"/>
    <w:rsid w:val="00A95DC8"/>
    <w:rsid w:val="00A96DCC"/>
    <w:rsid w:val="00AA0235"/>
    <w:rsid w:val="00AA0C5D"/>
    <w:rsid w:val="00AA2F87"/>
    <w:rsid w:val="00AA31B0"/>
    <w:rsid w:val="00AA53DC"/>
    <w:rsid w:val="00AA5E71"/>
    <w:rsid w:val="00AA74EB"/>
    <w:rsid w:val="00AB04BF"/>
    <w:rsid w:val="00AB150E"/>
    <w:rsid w:val="00AB30B8"/>
    <w:rsid w:val="00AB5516"/>
    <w:rsid w:val="00AC3E19"/>
    <w:rsid w:val="00AC4E35"/>
    <w:rsid w:val="00AC5F28"/>
    <w:rsid w:val="00AC6F72"/>
    <w:rsid w:val="00AD0D49"/>
    <w:rsid w:val="00AD1536"/>
    <w:rsid w:val="00AD6C26"/>
    <w:rsid w:val="00AD7486"/>
    <w:rsid w:val="00AD7F83"/>
    <w:rsid w:val="00AE279D"/>
    <w:rsid w:val="00AE345B"/>
    <w:rsid w:val="00AE5AE8"/>
    <w:rsid w:val="00AE5CD4"/>
    <w:rsid w:val="00AE6040"/>
    <w:rsid w:val="00AF1DD0"/>
    <w:rsid w:val="00B02C5C"/>
    <w:rsid w:val="00B0384E"/>
    <w:rsid w:val="00B046DE"/>
    <w:rsid w:val="00B06BDA"/>
    <w:rsid w:val="00B075E9"/>
    <w:rsid w:val="00B07F7B"/>
    <w:rsid w:val="00B138AB"/>
    <w:rsid w:val="00B15521"/>
    <w:rsid w:val="00B1702C"/>
    <w:rsid w:val="00B17334"/>
    <w:rsid w:val="00B20D96"/>
    <w:rsid w:val="00B216C2"/>
    <w:rsid w:val="00B220CF"/>
    <w:rsid w:val="00B262E3"/>
    <w:rsid w:val="00B30733"/>
    <w:rsid w:val="00B31325"/>
    <w:rsid w:val="00B3304C"/>
    <w:rsid w:val="00B36663"/>
    <w:rsid w:val="00B36732"/>
    <w:rsid w:val="00B40E4A"/>
    <w:rsid w:val="00B42962"/>
    <w:rsid w:val="00B45BEB"/>
    <w:rsid w:val="00B46C86"/>
    <w:rsid w:val="00B5295D"/>
    <w:rsid w:val="00B56980"/>
    <w:rsid w:val="00B578AB"/>
    <w:rsid w:val="00B6030F"/>
    <w:rsid w:val="00B62819"/>
    <w:rsid w:val="00B62D45"/>
    <w:rsid w:val="00B65C8F"/>
    <w:rsid w:val="00B6625D"/>
    <w:rsid w:val="00B675F2"/>
    <w:rsid w:val="00B67E5B"/>
    <w:rsid w:val="00B70D10"/>
    <w:rsid w:val="00B73D6E"/>
    <w:rsid w:val="00B74EF7"/>
    <w:rsid w:val="00B76C8B"/>
    <w:rsid w:val="00B807E1"/>
    <w:rsid w:val="00B84BE8"/>
    <w:rsid w:val="00B9094A"/>
    <w:rsid w:val="00B91365"/>
    <w:rsid w:val="00B915B9"/>
    <w:rsid w:val="00B920D1"/>
    <w:rsid w:val="00B92640"/>
    <w:rsid w:val="00B95712"/>
    <w:rsid w:val="00B976E9"/>
    <w:rsid w:val="00BA4FF5"/>
    <w:rsid w:val="00BA7809"/>
    <w:rsid w:val="00BB6C23"/>
    <w:rsid w:val="00BB7161"/>
    <w:rsid w:val="00BC3A63"/>
    <w:rsid w:val="00BD3691"/>
    <w:rsid w:val="00BD3A93"/>
    <w:rsid w:val="00BD5372"/>
    <w:rsid w:val="00BD5A7B"/>
    <w:rsid w:val="00BD5AF1"/>
    <w:rsid w:val="00BD6900"/>
    <w:rsid w:val="00BE298F"/>
    <w:rsid w:val="00BE4EA8"/>
    <w:rsid w:val="00BE5588"/>
    <w:rsid w:val="00BE6B72"/>
    <w:rsid w:val="00BE7A17"/>
    <w:rsid w:val="00BF04ED"/>
    <w:rsid w:val="00BF27B2"/>
    <w:rsid w:val="00BF3199"/>
    <w:rsid w:val="00BF5ED4"/>
    <w:rsid w:val="00BF662D"/>
    <w:rsid w:val="00C00C2A"/>
    <w:rsid w:val="00C022AD"/>
    <w:rsid w:val="00C02DCF"/>
    <w:rsid w:val="00C050F3"/>
    <w:rsid w:val="00C10962"/>
    <w:rsid w:val="00C12DA7"/>
    <w:rsid w:val="00C13862"/>
    <w:rsid w:val="00C14CD1"/>
    <w:rsid w:val="00C15394"/>
    <w:rsid w:val="00C16329"/>
    <w:rsid w:val="00C2539A"/>
    <w:rsid w:val="00C329F4"/>
    <w:rsid w:val="00C338A7"/>
    <w:rsid w:val="00C358D7"/>
    <w:rsid w:val="00C36451"/>
    <w:rsid w:val="00C376F0"/>
    <w:rsid w:val="00C41389"/>
    <w:rsid w:val="00C4166C"/>
    <w:rsid w:val="00C420E6"/>
    <w:rsid w:val="00C437D5"/>
    <w:rsid w:val="00C440C0"/>
    <w:rsid w:val="00C4566B"/>
    <w:rsid w:val="00C51C46"/>
    <w:rsid w:val="00C563CF"/>
    <w:rsid w:val="00C57E87"/>
    <w:rsid w:val="00C62E1C"/>
    <w:rsid w:val="00C64433"/>
    <w:rsid w:val="00C64B41"/>
    <w:rsid w:val="00C701AF"/>
    <w:rsid w:val="00C70A57"/>
    <w:rsid w:val="00C7204A"/>
    <w:rsid w:val="00C81DCE"/>
    <w:rsid w:val="00C83994"/>
    <w:rsid w:val="00C871B6"/>
    <w:rsid w:val="00C90AA8"/>
    <w:rsid w:val="00C91B07"/>
    <w:rsid w:val="00C975AC"/>
    <w:rsid w:val="00CA30DC"/>
    <w:rsid w:val="00CA4937"/>
    <w:rsid w:val="00CA75CE"/>
    <w:rsid w:val="00CB4D31"/>
    <w:rsid w:val="00CB4E8B"/>
    <w:rsid w:val="00CC10D2"/>
    <w:rsid w:val="00CC2B50"/>
    <w:rsid w:val="00CC3B77"/>
    <w:rsid w:val="00CC586E"/>
    <w:rsid w:val="00CC7E42"/>
    <w:rsid w:val="00CD54CE"/>
    <w:rsid w:val="00CE0DE4"/>
    <w:rsid w:val="00CE1FB9"/>
    <w:rsid w:val="00CE538C"/>
    <w:rsid w:val="00CE70F8"/>
    <w:rsid w:val="00CF53A6"/>
    <w:rsid w:val="00D020EB"/>
    <w:rsid w:val="00D06C3F"/>
    <w:rsid w:val="00D113F0"/>
    <w:rsid w:val="00D12C95"/>
    <w:rsid w:val="00D14180"/>
    <w:rsid w:val="00D16765"/>
    <w:rsid w:val="00D167CD"/>
    <w:rsid w:val="00D24341"/>
    <w:rsid w:val="00D24B21"/>
    <w:rsid w:val="00D301C0"/>
    <w:rsid w:val="00D31C99"/>
    <w:rsid w:val="00D34EC9"/>
    <w:rsid w:val="00D35C69"/>
    <w:rsid w:val="00D35FE0"/>
    <w:rsid w:val="00D368E2"/>
    <w:rsid w:val="00D426DA"/>
    <w:rsid w:val="00D44519"/>
    <w:rsid w:val="00D44A40"/>
    <w:rsid w:val="00D454FE"/>
    <w:rsid w:val="00D53B42"/>
    <w:rsid w:val="00D57C40"/>
    <w:rsid w:val="00D608DB"/>
    <w:rsid w:val="00D64176"/>
    <w:rsid w:val="00D64209"/>
    <w:rsid w:val="00D661C7"/>
    <w:rsid w:val="00D7343C"/>
    <w:rsid w:val="00D73599"/>
    <w:rsid w:val="00D77568"/>
    <w:rsid w:val="00D77FD4"/>
    <w:rsid w:val="00D81A71"/>
    <w:rsid w:val="00D852DF"/>
    <w:rsid w:val="00D865A5"/>
    <w:rsid w:val="00D91341"/>
    <w:rsid w:val="00D97215"/>
    <w:rsid w:val="00DA06D2"/>
    <w:rsid w:val="00DA1A9B"/>
    <w:rsid w:val="00DA2DAB"/>
    <w:rsid w:val="00DA4ADF"/>
    <w:rsid w:val="00DB6439"/>
    <w:rsid w:val="00DB7389"/>
    <w:rsid w:val="00DC0007"/>
    <w:rsid w:val="00DC0541"/>
    <w:rsid w:val="00DC084F"/>
    <w:rsid w:val="00DC1CEE"/>
    <w:rsid w:val="00DC1E91"/>
    <w:rsid w:val="00DC3217"/>
    <w:rsid w:val="00DD1679"/>
    <w:rsid w:val="00DD2B3F"/>
    <w:rsid w:val="00DD2BE0"/>
    <w:rsid w:val="00DD46A9"/>
    <w:rsid w:val="00DE0C99"/>
    <w:rsid w:val="00DE0FD2"/>
    <w:rsid w:val="00DE18AD"/>
    <w:rsid w:val="00DE18DD"/>
    <w:rsid w:val="00DE44B2"/>
    <w:rsid w:val="00DE62C0"/>
    <w:rsid w:val="00DF0D97"/>
    <w:rsid w:val="00DF33CE"/>
    <w:rsid w:val="00DF37FD"/>
    <w:rsid w:val="00DF68F9"/>
    <w:rsid w:val="00DF799F"/>
    <w:rsid w:val="00DF7A90"/>
    <w:rsid w:val="00E00A47"/>
    <w:rsid w:val="00E033A4"/>
    <w:rsid w:val="00E037BC"/>
    <w:rsid w:val="00E06C51"/>
    <w:rsid w:val="00E10691"/>
    <w:rsid w:val="00E12AF6"/>
    <w:rsid w:val="00E12C6B"/>
    <w:rsid w:val="00E12CCE"/>
    <w:rsid w:val="00E15DA1"/>
    <w:rsid w:val="00E24D9E"/>
    <w:rsid w:val="00E30231"/>
    <w:rsid w:val="00E33A80"/>
    <w:rsid w:val="00E37280"/>
    <w:rsid w:val="00E507D4"/>
    <w:rsid w:val="00E516C9"/>
    <w:rsid w:val="00E52A67"/>
    <w:rsid w:val="00E54B60"/>
    <w:rsid w:val="00E5785E"/>
    <w:rsid w:val="00E57AA4"/>
    <w:rsid w:val="00E57B7A"/>
    <w:rsid w:val="00E62C67"/>
    <w:rsid w:val="00E639BF"/>
    <w:rsid w:val="00E703E1"/>
    <w:rsid w:val="00E71ED4"/>
    <w:rsid w:val="00E72E0B"/>
    <w:rsid w:val="00E73030"/>
    <w:rsid w:val="00E75223"/>
    <w:rsid w:val="00E76043"/>
    <w:rsid w:val="00E77045"/>
    <w:rsid w:val="00E8278F"/>
    <w:rsid w:val="00E83203"/>
    <w:rsid w:val="00E8372C"/>
    <w:rsid w:val="00E85961"/>
    <w:rsid w:val="00E85A10"/>
    <w:rsid w:val="00E931B1"/>
    <w:rsid w:val="00E9401F"/>
    <w:rsid w:val="00E941FB"/>
    <w:rsid w:val="00E944B6"/>
    <w:rsid w:val="00E97988"/>
    <w:rsid w:val="00EA1F77"/>
    <w:rsid w:val="00EA2EFD"/>
    <w:rsid w:val="00EA496A"/>
    <w:rsid w:val="00EA4E98"/>
    <w:rsid w:val="00EA5568"/>
    <w:rsid w:val="00EB0DA0"/>
    <w:rsid w:val="00EB1D31"/>
    <w:rsid w:val="00EB720C"/>
    <w:rsid w:val="00EB7E9D"/>
    <w:rsid w:val="00EC04B7"/>
    <w:rsid w:val="00EC385B"/>
    <w:rsid w:val="00EC4E1E"/>
    <w:rsid w:val="00EC5F01"/>
    <w:rsid w:val="00ED0486"/>
    <w:rsid w:val="00ED1748"/>
    <w:rsid w:val="00ED1ACC"/>
    <w:rsid w:val="00ED3207"/>
    <w:rsid w:val="00ED3B8F"/>
    <w:rsid w:val="00ED3E6A"/>
    <w:rsid w:val="00ED4525"/>
    <w:rsid w:val="00EE14E1"/>
    <w:rsid w:val="00EF0729"/>
    <w:rsid w:val="00EF1B61"/>
    <w:rsid w:val="00EF272A"/>
    <w:rsid w:val="00EF35EC"/>
    <w:rsid w:val="00EF45F0"/>
    <w:rsid w:val="00EF60A8"/>
    <w:rsid w:val="00F0141E"/>
    <w:rsid w:val="00F014E4"/>
    <w:rsid w:val="00F04C35"/>
    <w:rsid w:val="00F04DFD"/>
    <w:rsid w:val="00F0742E"/>
    <w:rsid w:val="00F10855"/>
    <w:rsid w:val="00F130C6"/>
    <w:rsid w:val="00F13304"/>
    <w:rsid w:val="00F1487F"/>
    <w:rsid w:val="00F23922"/>
    <w:rsid w:val="00F24A9B"/>
    <w:rsid w:val="00F25201"/>
    <w:rsid w:val="00F268C6"/>
    <w:rsid w:val="00F27E97"/>
    <w:rsid w:val="00F3051B"/>
    <w:rsid w:val="00F33F83"/>
    <w:rsid w:val="00F350CC"/>
    <w:rsid w:val="00F3518E"/>
    <w:rsid w:val="00F3640F"/>
    <w:rsid w:val="00F368F9"/>
    <w:rsid w:val="00F43655"/>
    <w:rsid w:val="00F43DAC"/>
    <w:rsid w:val="00F44B84"/>
    <w:rsid w:val="00F44BA4"/>
    <w:rsid w:val="00F471A4"/>
    <w:rsid w:val="00F5219C"/>
    <w:rsid w:val="00F52B9F"/>
    <w:rsid w:val="00F52F00"/>
    <w:rsid w:val="00F5304E"/>
    <w:rsid w:val="00F576E2"/>
    <w:rsid w:val="00F63239"/>
    <w:rsid w:val="00F65A8D"/>
    <w:rsid w:val="00F670C5"/>
    <w:rsid w:val="00F67A37"/>
    <w:rsid w:val="00F72513"/>
    <w:rsid w:val="00F74503"/>
    <w:rsid w:val="00F813B9"/>
    <w:rsid w:val="00F81E76"/>
    <w:rsid w:val="00F846DD"/>
    <w:rsid w:val="00F84F4C"/>
    <w:rsid w:val="00F86EF0"/>
    <w:rsid w:val="00F92243"/>
    <w:rsid w:val="00F94AA8"/>
    <w:rsid w:val="00FA103F"/>
    <w:rsid w:val="00FA4E12"/>
    <w:rsid w:val="00FB03C3"/>
    <w:rsid w:val="00FB1262"/>
    <w:rsid w:val="00FB3414"/>
    <w:rsid w:val="00FB5BDE"/>
    <w:rsid w:val="00FB73AF"/>
    <w:rsid w:val="00FC0FCF"/>
    <w:rsid w:val="00FC12C2"/>
    <w:rsid w:val="00FC1AB9"/>
    <w:rsid w:val="00FC2C2E"/>
    <w:rsid w:val="00FC63BE"/>
    <w:rsid w:val="00FD0F44"/>
    <w:rsid w:val="00FD24DF"/>
    <w:rsid w:val="00FD265F"/>
    <w:rsid w:val="00FD2967"/>
    <w:rsid w:val="00FD2CAB"/>
    <w:rsid w:val="00FE0892"/>
    <w:rsid w:val="00FE71C5"/>
    <w:rsid w:val="00FF3FBB"/>
    <w:rsid w:val="00FF3FF6"/>
    <w:rsid w:val="00FF4A78"/>
    <w:rsid w:val="00FF7A4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90557"/>
  <w15:chartTrackingRefBased/>
  <w15:docId w15:val="{50286948-8EB2-4F33-8227-FF3F49C3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1F"/>
  </w:style>
  <w:style w:type="paragraph" w:styleId="Heading1">
    <w:name w:val="heading 1"/>
    <w:basedOn w:val="Normal"/>
    <w:next w:val="Normal"/>
    <w:link w:val="Heading1Char"/>
    <w:uiPriority w:val="9"/>
    <w:qFormat/>
    <w:rsid w:val="003B7CC6"/>
    <w:pPr>
      <w:keepNext/>
      <w:keepLines/>
      <w:pBdr>
        <w:bottom w:val="single" w:sz="4" w:space="1" w:color="auto"/>
      </w:pBdr>
      <w:spacing w:before="240" w:after="12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3B7CC6"/>
    <w:pPr>
      <w:keepNext/>
      <w:keepLines/>
      <w:spacing w:before="240" w:after="120"/>
      <w:ind w:left="17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3D1E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D1AC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7FD"/>
    <w:pPr>
      <w:ind w:left="720"/>
      <w:contextualSpacing/>
    </w:pPr>
  </w:style>
  <w:style w:type="character" w:customStyle="1" w:styleId="Heading1Char">
    <w:name w:val="Heading 1 Char"/>
    <w:basedOn w:val="DefaultParagraphFont"/>
    <w:link w:val="Heading1"/>
    <w:uiPriority w:val="9"/>
    <w:rsid w:val="003B7CC6"/>
    <w:rPr>
      <w:rFonts w:asciiTheme="majorHAnsi" w:eastAsiaTheme="majorEastAsia" w:hAnsiTheme="majorHAnsi" w:cstheme="majorBidi"/>
      <w:b/>
      <w:color w:val="000000" w:themeColor="text1"/>
      <w:sz w:val="32"/>
      <w:szCs w:val="32"/>
    </w:rPr>
  </w:style>
  <w:style w:type="paragraph" w:styleId="TOCHeading">
    <w:name w:val="TOC Heading"/>
    <w:basedOn w:val="Heading1"/>
    <w:next w:val="Normal"/>
    <w:uiPriority w:val="39"/>
    <w:unhideWhenUsed/>
    <w:qFormat/>
    <w:rsid w:val="00973658"/>
    <w:pPr>
      <w:outlineLvl w:val="9"/>
    </w:pPr>
    <w:rPr>
      <w:lang w:val="en-US"/>
    </w:rPr>
  </w:style>
  <w:style w:type="paragraph" w:styleId="TOC2">
    <w:name w:val="toc 2"/>
    <w:basedOn w:val="Normal"/>
    <w:next w:val="Normal"/>
    <w:autoRedefine/>
    <w:uiPriority w:val="39"/>
    <w:unhideWhenUsed/>
    <w:rsid w:val="009449E1"/>
    <w:pPr>
      <w:spacing w:after="0"/>
      <w:ind w:left="220"/>
    </w:pPr>
    <w:rPr>
      <w:rFonts w:cstheme="minorHAnsi"/>
      <w:smallCaps/>
      <w:sz w:val="20"/>
      <w:szCs w:val="24"/>
    </w:rPr>
  </w:style>
  <w:style w:type="paragraph" w:styleId="TOC1">
    <w:name w:val="toc 1"/>
    <w:basedOn w:val="Normal"/>
    <w:next w:val="Normal"/>
    <w:autoRedefine/>
    <w:uiPriority w:val="39"/>
    <w:unhideWhenUsed/>
    <w:rsid w:val="00487503"/>
    <w:pPr>
      <w:tabs>
        <w:tab w:val="right" w:leader="dot" w:pos="9016"/>
      </w:tabs>
      <w:spacing w:before="60" w:after="60"/>
    </w:pPr>
    <w:rPr>
      <w:rFonts w:cstheme="minorHAnsi"/>
      <w:b/>
      <w:bCs/>
      <w:caps/>
      <w:sz w:val="20"/>
      <w:szCs w:val="24"/>
    </w:rPr>
  </w:style>
  <w:style w:type="paragraph" w:styleId="TOC3">
    <w:name w:val="toc 3"/>
    <w:basedOn w:val="Normal"/>
    <w:next w:val="Normal"/>
    <w:autoRedefine/>
    <w:uiPriority w:val="39"/>
    <w:unhideWhenUsed/>
    <w:rsid w:val="00973658"/>
    <w:pPr>
      <w:spacing w:after="0"/>
      <w:ind w:left="440"/>
    </w:pPr>
    <w:rPr>
      <w:rFonts w:cstheme="minorHAnsi"/>
      <w:i/>
      <w:iCs/>
      <w:sz w:val="20"/>
      <w:szCs w:val="24"/>
    </w:rPr>
  </w:style>
  <w:style w:type="character" w:styleId="Hyperlink">
    <w:name w:val="Hyperlink"/>
    <w:basedOn w:val="DefaultParagraphFont"/>
    <w:uiPriority w:val="99"/>
    <w:unhideWhenUsed/>
    <w:rsid w:val="003D1EC6"/>
    <w:rPr>
      <w:color w:val="0563C1" w:themeColor="hyperlink"/>
      <w:u w:val="single"/>
    </w:rPr>
  </w:style>
  <w:style w:type="character" w:customStyle="1" w:styleId="Heading2Char">
    <w:name w:val="Heading 2 Char"/>
    <w:basedOn w:val="DefaultParagraphFont"/>
    <w:link w:val="Heading2"/>
    <w:uiPriority w:val="9"/>
    <w:rsid w:val="003B7CC6"/>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3D1EC6"/>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D97215"/>
    <w:rPr>
      <w:color w:val="605E5C"/>
      <w:shd w:val="clear" w:color="auto" w:fill="E1DFDD"/>
    </w:rPr>
  </w:style>
  <w:style w:type="paragraph" w:styleId="NoSpacing">
    <w:name w:val="No Spacing"/>
    <w:link w:val="NoSpacingChar"/>
    <w:uiPriority w:val="1"/>
    <w:qFormat/>
    <w:rsid w:val="00BF319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F3199"/>
    <w:rPr>
      <w:rFonts w:eastAsiaTheme="minorEastAsia"/>
      <w:lang w:val="en-US"/>
    </w:rPr>
  </w:style>
  <w:style w:type="paragraph" w:styleId="Revision">
    <w:name w:val="Revision"/>
    <w:hidden/>
    <w:uiPriority w:val="99"/>
    <w:semiHidden/>
    <w:rsid w:val="00E12C6B"/>
    <w:pPr>
      <w:spacing w:after="0" w:line="240" w:lineRule="auto"/>
    </w:pPr>
  </w:style>
  <w:style w:type="paragraph" w:styleId="BodyText">
    <w:name w:val="Body Text"/>
    <w:basedOn w:val="Normal"/>
    <w:link w:val="BodyTextChar"/>
    <w:uiPriority w:val="99"/>
    <w:rsid w:val="006D5F6F"/>
    <w:pPr>
      <w:framePr w:w="2196" w:h="223" w:wrap="auto" w:vAnchor="page" w:hAnchor="page" w:x="1701" w:y="9634"/>
      <w:widowControl w:val="0"/>
      <w:autoSpaceDE w:val="0"/>
      <w:autoSpaceDN w:val="0"/>
      <w:adjustRightInd w:val="0"/>
      <w:spacing w:after="0" w:line="240" w:lineRule="auto"/>
    </w:pPr>
    <w:rPr>
      <w:rFonts w:ascii="Arial" w:eastAsia="Times New Roman" w:hAnsi="Arial" w:cs="Arial"/>
      <w:color w:val="000000"/>
      <w:sz w:val="19"/>
      <w:szCs w:val="19"/>
    </w:rPr>
  </w:style>
  <w:style w:type="character" w:customStyle="1" w:styleId="BodyTextChar">
    <w:name w:val="Body Text Char"/>
    <w:basedOn w:val="DefaultParagraphFont"/>
    <w:link w:val="BodyText"/>
    <w:uiPriority w:val="99"/>
    <w:rsid w:val="006D5F6F"/>
    <w:rPr>
      <w:rFonts w:ascii="Arial" w:eastAsia="Times New Roman" w:hAnsi="Arial" w:cs="Arial"/>
      <w:color w:val="000000"/>
      <w:sz w:val="19"/>
      <w:szCs w:val="19"/>
    </w:rPr>
  </w:style>
  <w:style w:type="character" w:customStyle="1" w:styleId="Heading9Char">
    <w:name w:val="Heading 9 Char"/>
    <w:basedOn w:val="DefaultParagraphFont"/>
    <w:link w:val="Heading9"/>
    <w:uiPriority w:val="9"/>
    <w:semiHidden/>
    <w:rsid w:val="00ED1ACC"/>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BB6C23"/>
    <w:rPr>
      <w:color w:val="954F72" w:themeColor="followedHyperlink"/>
      <w:u w:val="single"/>
    </w:rPr>
  </w:style>
  <w:style w:type="paragraph" w:styleId="Title">
    <w:name w:val="Title"/>
    <w:basedOn w:val="Normal"/>
    <w:next w:val="Normal"/>
    <w:link w:val="TitleChar"/>
    <w:uiPriority w:val="10"/>
    <w:qFormat/>
    <w:rsid w:val="000706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6E3"/>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601AA8"/>
    <w:rPr>
      <w:sz w:val="16"/>
      <w:szCs w:val="16"/>
    </w:rPr>
  </w:style>
  <w:style w:type="paragraph" w:styleId="CommentText">
    <w:name w:val="annotation text"/>
    <w:basedOn w:val="Normal"/>
    <w:link w:val="CommentTextChar"/>
    <w:uiPriority w:val="99"/>
    <w:unhideWhenUsed/>
    <w:rsid w:val="00601AA8"/>
    <w:pPr>
      <w:spacing w:line="240" w:lineRule="auto"/>
    </w:pPr>
    <w:rPr>
      <w:sz w:val="20"/>
      <w:szCs w:val="20"/>
    </w:rPr>
  </w:style>
  <w:style w:type="character" w:customStyle="1" w:styleId="CommentTextChar">
    <w:name w:val="Comment Text Char"/>
    <w:basedOn w:val="DefaultParagraphFont"/>
    <w:link w:val="CommentText"/>
    <w:uiPriority w:val="99"/>
    <w:rsid w:val="00601AA8"/>
    <w:rPr>
      <w:sz w:val="20"/>
      <w:szCs w:val="20"/>
    </w:rPr>
  </w:style>
  <w:style w:type="paragraph" w:styleId="CommentSubject">
    <w:name w:val="annotation subject"/>
    <w:basedOn w:val="CommentText"/>
    <w:next w:val="CommentText"/>
    <w:link w:val="CommentSubjectChar"/>
    <w:uiPriority w:val="99"/>
    <w:semiHidden/>
    <w:unhideWhenUsed/>
    <w:rsid w:val="00601AA8"/>
    <w:rPr>
      <w:b/>
      <w:bCs/>
    </w:rPr>
  </w:style>
  <w:style w:type="character" w:customStyle="1" w:styleId="CommentSubjectChar">
    <w:name w:val="Comment Subject Char"/>
    <w:basedOn w:val="CommentTextChar"/>
    <w:link w:val="CommentSubject"/>
    <w:uiPriority w:val="99"/>
    <w:semiHidden/>
    <w:rsid w:val="00601AA8"/>
    <w:rPr>
      <w:b/>
      <w:bCs/>
      <w:sz w:val="20"/>
      <w:szCs w:val="20"/>
    </w:rPr>
  </w:style>
  <w:style w:type="paragraph" w:customStyle="1" w:styleId="Default">
    <w:name w:val="Default"/>
    <w:rsid w:val="00A3097C"/>
    <w:pPr>
      <w:autoSpaceDE w:val="0"/>
      <w:autoSpaceDN w:val="0"/>
      <w:adjustRightInd w:val="0"/>
      <w:spacing w:after="0" w:line="240" w:lineRule="auto"/>
    </w:pPr>
    <w:rPr>
      <w:rFonts w:ascii="Arial" w:hAnsi="Arial" w:cs="Arial"/>
      <w:color w:val="000000"/>
      <w:sz w:val="24"/>
      <w:szCs w:val="24"/>
    </w:rPr>
  </w:style>
  <w:style w:type="paragraph" w:customStyle="1" w:styleId="pf0">
    <w:name w:val="pf0"/>
    <w:basedOn w:val="Normal"/>
    <w:rsid w:val="009E2C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9E2C43"/>
    <w:rPr>
      <w:rFonts w:ascii="Segoe UI" w:hAnsi="Segoe UI" w:cs="Segoe UI" w:hint="default"/>
      <w:b/>
      <w:bCs/>
      <w:sz w:val="18"/>
      <w:szCs w:val="18"/>
    </w:rPr>
  </w:style>
  <w:style w:type="character" w:customStyle="1" w:styleId="cf21">
    <w:name w:val="cf21"/>
    <w:basedOn w:val="DefaultParagraphFont"/>
    <w:rsid w:val="009E2C43"/>
    <w:rPr>
      <w:rFonts w:ascii="Segoe UI" w:hAnsi="Segoe UI" w:cs="Segoe UI" w:hint="default"/>
      <w:sz w:val="18"/>
      <w:szCs w:val="18"/>
    </w:rPr>
  </w:style>
  <w:style w:type="character" w:customStyle="1" w:styleId="cf31">
    <w:name w:val="cf31"/>
    <w:basedOn w:val="DefaultParagraphFont"/>
    <w:rsid w:val="009E2C43"/>
    <w:rPr>
      <w:rFonts w:ascii="Segoe UI" w:hAnsi="Segoe UI" w:cs="Segoe UI" w:hint="default"/>
      <w:i/>
      <w:iCs/>
      <w:sz w:val="18"/>
      <w:szCs w:val="18"/>
    </w:rPr>
  </w:style>
  <w:style w:type="paragraph" w:styleId="FootnoteText">
    <w:name w:val="footnote text"/>
    <w:basedOn w:val="Normal"/>
    <w:link w:val="FootnoteTextChar"/>
    <w:uiPriority w:val="99"/>
    <w:semiHidden/>
    <w:unhideWhenUsed/>
    <w:rsid w:val="00B913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365"/>
    <w:rPr>
      <w:sz w:val="20"/>
      <w:szCs w:val="20"/>
    </w:rPr>
  </w:style>
  <w:style w:type="character" w:styleId="FootnoteReference">
    <w:name w:val="footnote reference"/>
    <w:basedOn w:val="DefaultParagraphFont"/>
    <w:uiPriority w:val="99"/>
    <w:semiHidden/>
    <w:unhideWhenUsed/>
    <w:rsid w:val="00B91365"/>
    <w:rPr>
      <w:vertAlign w:val="superscript"/>
    </w:rPr>
  </w:style>
  <w:style w:type="paragraph" w:styleId="Header">
    <w:name w:val="header"/>
    <w:basedOn w:val="Normal"/>
    <w:link w:val="HeaderChar"/>
    <w:uiPriority w:val="99"/>
    <w:unhideWhenUsed/>
    <w:rsid w:val="00B91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365"/>
  </w:style>
  <w:style w:type="paragraph" w:styleId="Footer">
    <w:name w:val="footer"/>
    <w:basedOn w:val="Normal"/>
    <w:link w:val="FooterChar"/>
    <w:uiPriority w:val="99"/>
    <w:unhideWhenUsed/>
    <w:rsid w:val="00B91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365"/>
  </w:style>
  <w:style w:type="paragraph" w:styleId="TOC4">
    <w:name w:val="toc 4"/>
    <w:basedOn w:val="Normal"/>
    <w:next w:val="Normal"/>
    <w:autoRedefine/>
    <w:uiPriority w:val="39"/>
    <w:unhideWhenUsed/>
    <w:rsid w:val="000E77BE"/>
    <w:pPr>
      <w:spacing w:after="0"/>
      <w:ind w:left="660"/>
    </w:pPr>
    <w:rPr>
      <w:rFonts w:cstheme="minorHAnsi"/>
      <w:sz w:val="18"/>
      <w:szCs w:val="21"/>
    </w:rPr>
  </w:style>
  <w:style w:type="paragraph" w:styleId="TOC5">
    <w:name w:val="toc 5"/>
    <w:basedOn w:val="Normal"/>
    <w:next w:val="Normal"/>
    <w:autoRedefine/>
    <w:uiPriority w:val="39"/>
    <w:unhideWhenUsed/>
    <w:rsid w:val="000E77BE"/>
    <w:pPr>
      <w:spacing w:after="0"/>
      <w:ind w:left="880"/>
    </w:pPr>
    <w:rPr>
      <w:rFonts w:cstheme="minorHAnsi"/>
      <w:sz w:val="18"/>
      <w:szCs w:val="21"/>
    </w:rPr>
  </w:style>
  <w:style w:type="paragraph" w:styleId="TOC6">
    <w:name w:val="toc 6"/>
    <w:basedOn w:val="Normal"/>
    <w:next w:val="Normal"/>
    <w:autoRedefine/>
    <w:uiPriority w:val="39"/>
    <w:unhideWhenUsed/>
    <w:rsid w:val="000E77BE"/>
    <w:pPr>
      <w:spacing w:after="0"/>
      <w:ind w:left="1100"/>
    </w:pPr>
    <w:rPr>
      <w:rFonts w:cstheme="minorHAnsi"/>
      <w:sz w:val="18"/>
      <w:szCs w:val="21"/>
    </w:rPr>
  </w:style>
  <w:style w:type="paragraph" w:styleId="TOC7">
    <w:name w:val="toc 7"/>
    <w:basedOn w:val="Normal"/>
    <w:next w:val="Normal"/>
    <w:autoRedefine/>
    <w:uiPriority w:val="39"/>
    <w:unhideWhenUsed/>
    <w:rsid w:val="000E77BE"/>
    <w:pPr>
      <w:spacing w:after="0"/>
      <w:ind w:left="1320"/>
    </w:pPr>
    <w:rPr>
      <w:rFonts w:cstheme="minorHAnsi"/>
      <w:sz w:val="18"/>
      <w:szCs w:val="21"/>
    </w:rPr>
  </w:style>
  <w:style w:type="paragraph" w:styleId="TOC8">
    <w:name w:val="toc 8"/>
    <w:basedOn w:val="Normal"/>
    <w:next w:val="Normal"/>
    <w:autoRedefine/>
    <w:uiPriority w:val="39"/>
    <w:unhideWhenUsed/>
    <w:rsid w:val="000E77BE"/>
    <w:pPr>
      <w:spacing w:after="0"/>
      <w:ind w:left="1540"/>
    </w:pPr>
    <w:rPr>
      <w:rFonts w:cstheme="minorHAnsi"/>
      <w:sz w:val="18"/>
      <w:szCs w:val="21"/>
    </w:rPr>
  </w:style>
  <w:style w:type="paragraph" w:styleId="TOC9">
    <w:name w:val="toc 9"/>
    <w:basedOn w:val="Normal"/>
    <w:next w:val="Normal"/>
    <w:autoRedefine/>
    <w:uiPriority w:val="39"/>
    <w:unhideWhenUsed/>
    <w:rsid w:val="000E77BE"/>
    <w:pPr>
      <w:spacing w:after="0"/>
      <w:ind w:left="1760"/>
    </w:pPr>
    <w:rPr>
      <w:rFonts w:cstheme="minorHAnsi"/>
      <w:sz w:val="18"/>
      <w:szCs w:val="21"/>
    </w:rPr>
  </w:style>
  <w:style w:type="table" w:styleId="TableGrid">
    <w:name w:val="Table Grid"/>
    <w:basedOn w:val="TableNormal"/>
    <w:rsid w:val="00AE2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CE70F8"/>
    <w:pPr>
      <w:spacing w:after="0" w:line="240" w:lineRule="auto"/>
      <w:ind w:left="720"/>
    </w:pPr>
    <w:rPr>
      <w:rFonts w:ascii="Calibri" w:hAnsi="Calibri" w:cs="Calibri"/>
      <w:lang w:eastAsia="en-AU"/>
    </w:rPr>
  </w:style>
  <w:style w:type="character" w:styleId="SubtleReference">
    <w:name w:val="Subtle Reference"/>
    <w:basedOn w:val="DefaultParagraphFont"/>
    <w:uiPriority w:val="31"/>
    <w:qFormat/>
    <w:rsid w:val="006A443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55358">
      <w:bodyDiv w:val="1"/>
      <w:marLeft w:val="0"/>
      <w:marRight w:val="0"/>
      <w:marTop w:val="0"/>
      <w:marBottom w:val="0"/>
      <w:divBdr>
        <w:top w:val="none" w:sz="0" w:space="0" w:color="auto"/>
        <w:left w:val="none" w:sz="0" w:space="0" w:color="auto"/>
        <w:bottom w:val="none" w:sz="0" w:space="0" w:color="auto"/>
        <w:right w:val="none" w:sz="0" w:space="0" w:color="auto"/>
      </w:divBdr>
    </w:div>
    <w:div w:id="261376320">
      <w:bodyDiv w:val="1"/>
      <w:marLeft w:val="0"/>
      <w:marRight w:val="0"/>
      <w:marTop w:val="0"/>
      <w:marBottom w:val="0"/>
      <w:divBdr>
        <w:top w:val="none" w:sz="0" w:space="0" w:color="auto"/>
        <w:left w:val="none" w:sz="0" w:space="0" w:color="auto"/>
        <w:bottom w:val="none" w:sz="0" w:space="0" w:color="auto"/>
        <w:right w:val="none" w:sz="0" w:space="0" w:color="auto"/>
      </w:divBdr>
    </w:div>
    <w:div w:id="719207964">
      <w:bodyDiv w:val="1"/>
      <w:marLeft w:val="0"/>
      <w:marRight w:val="0"/>
      <w:marTop w:val="0"/>
      <w:marBottom w:val="0"/>
      <w:divBdr>
        <w:top w:val="none" w:sz="0" w:space="0" w:color="auto"/>
        <w:left w:val="none" w:sz="0" w:space="0" w:color="auto"/>
        <w:bottom w:val="none" w:sz="0" w:space="0" w:color="auto"/>
        <w:right w:val="none" w:sz="0" w:space="0" w:color="auto"/>
      </w:divBdr>
    </w:div>
    <w:div w:id="769088777">
      <w:bodyDiv w:val="1"/>
      <w:marLeft w:val="0"/>
      <w:marRight w:val="0"/>
      <w:marTop w:val="0"/>
      <w:marBottom w:val="0"/>
      <w:divBdr>
        <w:top w:val="none" w:sz="0" w:space="0" w:color="auto"/>
        <w:left w:val="none" w:sz="0" w:space="0" w:color="auto"/>
        <w:bottom w:val="none" w:sz="0" w:space="0" w:color="auto"/>
        <w:right w:val="none" w:sz="0" w:space="0" w:color="auto"/>
      </w:divBdr>
    </w:div>
    <w:div w:id="1241938611">
      <w:bodyDiv w:val="1"/>
      <w:marLeft w:val="0"/>
      <w:marRight w:val="0"/>
      <w:marTop w:val="0"/>
      <w:marBottom w:val="0"/>
      <w:divBdr>
        <w:top w:val="none" w:sz="0" w:space="0" w:color="auto"/>
        <w:left w:val="none" w:sz="0" w:space="0" w:color="auto"/>
        <w:bottom w:val="none" w:sz="0" w:space="0" w:color="auto"/>
        <w:right w:val="none" w:sz="0" w:space="0" w:color="auto"/>
      </w:divBdr>
    </w:div>
    <w:div w:id="1446080776">
      <w:bodyDiv w:val="1"/>
      <w:marLeft w:val="0"/>
      <w:marRight w:val="0"/>
      <w:marTop w:val="0"/>
      <w:marBottom w:val="0"/>
      <w:divBdr>
        <w:top w:val="none" w:sz="0" w:space="0" w:color="auto"/>
        <w:left w:val="none" w:sz="0" w:space="0" w:color="auto"/>
        <w:bottom w:val="none" w:sz="0" w:space="0" w:color="auto"/>
        <w:right w:val="none" w:sz="0" w:space="0" w:color="auto"/>
      </w:divBdr>
    </w:div>
    <w:div w:id="1528984697">
      <w:bodyDiv w:val="1"/>
      <w:marLeft w:val="0"/>
      <w:marRight w:val="0"/>
      <w:marTop w:val="0"/>
      <w:marBottom w:val="0"/>
      <w:divBdr>
        <w:top w:val="none" w:sz="0" w:space="0" w:color="auto"/>
        <w:left w:val="none" w:sz="0" w:space="0" w:color="auto"/>
        <w:bottom w:val="none" w:sz="0" w:space="0" w:color="auto"/>
        <w:right w:val="none" w:sz="0" w:space="0" w:color="auto"/>
      </w:divBdr>
    </w:div>
    <w:div w:id="1566792576">
      <w:bodyDiv w:val="1"/>
      <w:marLeft w:val="0"/>
      <w:marRight w:val="0"/>
      <w:marTop w:val="0"/>
      <w:marBottom w:val="0"/>
      <w:divBdr>
        <w:top w:val="none" w:sz="0" w:space="0" w:color="auto"/>
        <w:left w:val="none" w:sz="0" w:space="0" w:color="auto"/>
        <w:bottom w:val="none" w:sz="0" w:space="0" w:color="auto"/>
        <w:right w:val="none" w:sz="0" w:space="0" w:color="auto"/>
      </w:divBdr>
    </w:div>
    <w:div w:id="1621717067">
      <w:bodyDiv w:val="1"/>
      <w:marLeft w:val="0"/>
      <w:marRight w:val="0"/>
      <w:marTop w:val="0"/>
      <w:marBottom w:val="0"/>
      <w:divBdr>
        <w:top w:val="none" w:sz="0" w:space="0" w:color="auto"/>
        <w:left w:val="none" w:sz="0" w:space="0" w:color="auto"/>
        <w:bottom w:val="none" w:sz="0" w:space="0" w:color="auto"/>
        <w:right w:val="none" w:sz="0" w:space="0" w:color="auto"/>
      </w:divBdr>
    </w:div>
    <w:div w:id="1628900577">
      <w:bodyDiv w:val="1"/>
      <w:marLeft w:val="0"/>
      <w:marRight w:val="0"/>
      <w:marTop w:val="0"/>
      <w:marBottom w:val="0"/>
      <w:divBdr>
        <w:top w:val="none" w:sz="0" w:space="0" w:color="auto"/>
        <w:left w:val="none" w:sz="0" w:space="0" w:color="auto"/>
        <w:bottom w:val="none" w:sz="0" w:space="0" w:color="auto"/>
        <w:right w:val="none" w:sz="0" w:space="0" w:color="auto"/>
      </w:divBdr>
    </w:div>
    <w:div w:id="1881277761">
      <w:bodyDiv w:val="1"/>
      <w:marLeft w:val="0"/>
      <w:marRight w:val="0"/>
      <w:marTop w:val="0"/>
      <w:marBottom w:val="0"/>
      <w:divBdr>
        <w:top w:val="none" w:sz="0" w:space="0" w:color="auto"/>
        <w:left w:val="none" w:sz="0" w:space="0" w:color="auto"/>
        <w:bottom w:val="none" w:sz="0" w:space="0" w:color="auto"/>
        <w:right w:val="none" w:sz="0" w:space="0" w:color="auto"/>
      </w:divBdr>
    </w:div>
    <w:div w:id="1902016808">
      <w:bodyDiv w:val="1"/>
      <w:marLeft w:val="0"/>
      <w:marRight w:val="0"/>
      <w:marTop w:val="0"/>
      <w:marBottom w:val="0"/>
      <w:divBdr>
        <w:top w:val="none" w:sz="0" w:space="0" w:color="auto"/>
        <w:left w:val="none" w:sz="0" w:space="0" w:color="auto"/>
        <w:bottom w:val="none" w:sz="0" w:space="0" w:color="auto"/>
        <w:right w:val="none" w:sz="0" w:space="0" w:color="auto"/>
      </w:divBdr>
    </w:div>
    <w:div w:id="191844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tas.gov.au/view/html/inforce/current/sr-2021-012" TargetMode="External"/><Relationship Id="rId21" Type="http://schemas.openxmlformats.org/officeDocument/2006/relationships/hyperlink" Target="https://www.legislation.tas.gov.au/view/html/inforce/current/sr-2019-067" TargetMode="External"/><Relationship Id="rId42" Type="http://schemas.openxmlformats.org/officeDocument/2006/relationships/hyperlink" Target="https://fishing.tas.gov.au/community/research/recreational-fisheries-research" TargetMode="External"/><Relationship Id="rId47" Type="http://schemas.openxmlformats.org/officeDocument/2006/relationships/hyperlink" Target="https://fishing.tas.gov.au/centro/airf" TargetMode="External"/><Relationship Id="rId63" Type="http://schemas.openxmlformats.org/officeDocument/2006/relationships/hyperlink" Target="https://www.fish.gov.au/report/284-Greenlip-Abalone-2023" TargetMode="External"/><Relationship Id="rId68" Type="http://schemas.openxmlformats.org/officeDocument/2006/relationships/hyperlink" Target="https://fish.gov.au/Archived-Reports/2014/Documents/2014_refs/22.%20Jenkins%20MFR%202004.pdf" TargetMode="External"/><Relationship Id="rId84" Type="http://schemas.openxmlformats.org/officeDocument/2006/relationships/image" Target="media/image4.png"/><Relationship Id="rId89" Type="http://schemas.openxmlformats.org/officeDocument/2006/relationships/footer" Target="footer1.xml"/><Relationship Id="rId16" Type="http://schemas.openxmlformats.org/officeDocument/2006/relationships/hyperlink" Target="https://www.imas.utas.edu.au/__data/assets/pdf_file/0007/1308067/Economic-Contributions_TAS-Summary_NOV2019.pdf" TargetMode="External"/><Relationship Id="rId11" Type="http://schemas.openxmlformats.org/officeDocument/2006/relationships/hyperlink" Target="https://www.legislation.tas.gov.au/view/html/inforce/current/sr-2017-094" TargetMode="External"/><Relationship Id="rId32" Type="http://schemas.openxmlformats.org/officeDocument/2006/relationships/hyperlink" Target="https://www.legislation.tas.gov.au/view/html/inforce/current/act-1995-025" TargetMode="External"/><Relationship Id="rId37" Type="http://schemas.openxmlformats.org/officeDocument/2006/relationships/hyperlink" Target="https://www.tarfish.org/" TargetMode="External"/><Relationship Id="rId53" Type="http://schemas.openxmlformats.org/officeDocument/2006/relationships/hyperlink" Target="https://www.agriculture.gov.au/agriculture-land/fisheries/environment/bycatch/nat_by_policy_1999" TargetMode="External"/><Relationship Id="rId58" Type="http://schemas.openxmlformats.org/officeDocument/2006/relationships/hyperlink" Target="https://www.fish.gov.au/Archived-Reports/2020/Blacklip%20Abalone%20(2020).pdf" TargetMode="External"/><Relationship Id="rId74" Type="http://schemas.openxmlformats.org/officeDocument/2006/relationships/hyperlink" Target="https://fishing.tas.gov.au/Documents/Testing%20size%20limits.pdf" TargetMode="External"/><Relationship Id="rId79" Type="http://schemas.openxmlformats.org/officeDocument/2006/relationships/hyperlink" Target="https://fishing.tas.gov.au/Documents/Timed-Swim%20Program.pdf" TargetMode="External"/><Relationship Id="rId5" Type="http://schemas.openxmlformats.org/officeDocument/2006/relationships/webSettings" Target="webSettings.xml"/><Relationship Id="rId90" Type="http://schemas.openxmlformats.org/officeDocument/2006/relationships/footer" Target="footer2.xml"/><Relationship Id="rId14" Type="http://schemas.openxmlformats.org/officeDocument/2006/relationships/hyperlink" Target="https://fishing.tas.gov.au/commercial-fishing/commercial-fisheries/abalone-fishery/abalone-closures" TargetMode="External"/><Relationship Id="rId22" Type="http://schemas.openxmlformats.org/officeDocument/2006/relationships/hyperlink" Target="https://www.legislation.tas.gov.au/view/html/inforce/current/sr-2021-120" TargetMode="External"/><Relationship Id="rId27" Type="http://schemas.openxmlformats.org/officeDocument/2006/relationships/hyperlink" Target="https://fishing.tas.gov.au/Documents/Abalone%20Harvest%20Strategy%202025.pdf" TargetMode="External"/><Relationship Id="rId30" Type="http://schemas.openxmlformats.org/officeDocument/2006/relationships/hyperlink" Target="https://fishing.tas.gov.au/Documents/Abalone%20Operational%20Information%20Paper%202025.pdf" TargetMode="External"/><Relationship Id="rId35" Type="http://schemas.openxmlformats.org/officeDocument/2006/relationships/hyperlink" Target="https://tasabalone.com.au/" TargetMode="External"/><Relationship Id="rId43" Type="http://schemas.openxmlformats.org/officeDocument/2006/relationships/hyperlink" Target="https://www.tas.gov.au/publicinfo" TargetMode="External"/><Relationship Id="rId48" Type="http://schemas.openxmlformats.org/officeDocument/2006/relationships/hyperlink" Target="https://www.abalonecouncil.com.au/public/69/files/Australian-Wild-Abalone-Quality-Assurance-Code-of-Practice-Master-Manual_June-2013-compressed.pdf" TargetMode="External"/><Relationship Id="rId56" Type="http://schemas.openxmlformats.org/officeDocument/2006/relationships/hyperlink" Target="https://www.fish.gov.au/report/286-Blacklip-Abalone-2023" TargetMode="External"/><Relationship Id="rId64" Type="http://schemas.openxmlformats.org/officeDocument/2006/relationships/hyperlink" Target="https://www.utas.edu.au/__data/assets/pdf_file/0006/1736376/TAS_recsurvey-2223_Final_Aug-2024-3.pdf" TargetMode="External"/><Relationship Id="rId69" Type="http://schemas.openxmlformats.org/officeDocument/2006/relationships/hyperlink" Target="https://fish.gov.au/Archived-Reports/2014/Documents/2014_refs/23.%20Valentine%20et%20al%20MFR.pdf" TargetMode="External"/><Relationship Id="rId77" Type="http://schemas.openxmlformats.org/officeDocument/2006/relationships/hyperlink" Target="https://fishing.tas.gov.au/Documents/Toxins%20in%20Abalone%20Industry%20PhD%20Program.pdf" TargetMode="External"/><Relationship Id="rId8" Type="http://schemas.openxmlformats.org/officeDocument/2006/relationships/image" Target="media/image1.jpeg"/><Relationship Id="rId51" Type="http://schemas.openxmlformats.org/officeDocument/2006/relationships/hyperlink" Target="https://www.dcceew.gov.au/environment/biodiversity/threatened/threat-abatement-plans/approved" TargetMode="External"/><Relationship Id="rId72" Type="http://schemas.openxmlformats.org/officeDocument/2006/relationships/hyperlink" Target="https://fishing.tas.gov.au/Documents/Catch%20Reporting%20and%20Fish%20App.pdf" TargetMode="External"/><Relationship Id="rId80" Type="http://schemas.openxmlformats.org/officeDocument/2006/relationships/hyperlink" Target="https://www.frdc.com.au/related-projects?f%5B0%5D=related_species%3ABlacklip%20Abalone" TargetMode="External"/><Relationship Id="rId85" Type="http://schemas.openxmlformats.org/officeDocument/2006/relationships/image" Target="media/image5.jpeg"/><Relationship Id="rId3" Type="http://schemas.openxmlformats.org/officeDocument/2006/relationships/styles" Target="styles.xml"/><Relationship Id="rId12" Type="http://schemas.openxmlformats.org/officeDocument/2006/relationships/hyperlink" Target="https://www.legislation.tas.gov.au/view/html/inforce/current/sr-2017-094" TargetMode="External"/><Relationship Id="rId17" Type="http://schemas.openxmlformats.org/officeDocument/2006/relationships/hyperlink" Target="https://www.utas.edu.au/__data/assets/pdf_file/0004/1689367/2020-21_Social_Economic_Analysis_contributions_December2023.pdf" TargetMode="External"/><Relationship Id="rId25" Type="http://schemas.openxmlformats.org/officeDocument/2006/relationships/hyperlink" Target="https://www.legislation.tas.gov.au/view/html/inforce/current/sr-2022-023" TargetMode="External"/><Relationship Id="rId33" Type="http://schemas.openxmlformats.org/officeDocument/2006/relationships/hyperlink" Target="https://www.utas.edu.au/imas/research/partnerships-and-collaborations/major-collaborations/sustainable-marine-research-collaboration-agreement" TargetMode="External"/><Relationship Id="rId38" Type="http://schemas.openxmlformats.org/officeDocument/2006/relationships/hyperlink" Target="https://www.legislation.tas.gov.au/view/html/inforce/current/act-1995-025" TargetMode="External"/><Relationship Id="rId46" Type="http://schemas.openxmlformats.org/officeDocument/2006/relationships/hyperlink" Target="https://www.fish.gov.au/reportstock?kw=abalone&amp;page=1&amp;sort=LatestFirst" TargetMode="External"/><Relationship Id="rId59" Type="http://schemas.openxmlformats.org/officeDocument/2006/relationships/hyperlink" Target="https://www.fish.gov.au/Archived-Reports/2020/Greenlip%20Abalone%20(2020).pdf" TargetMode="External"/><Relationship Id="rId67" Type="http://schemas.openxmlformats.org/officeDocument/2006/relationships/hyperlink" Target="https://www.abalonecouncil.com.au/public/69/files/Australian-Wild-Abalone-Quality-Assurance-Code-of-Practice-Master-Manual_June-2013-compressed.pdf" TargetMode="External"/><Relationship Id="rId20" Type="http://schemas.openxmlformats.org/officeDocument/2006/relationships/hyperlink" Target="https://www.legislation.tas.gov.au/view/whole/html/inforce/current/sr-2017-094" TargetMode="External"/><Relationship Id="rId41" Type="http://schemas.openxmlformats.org/officeDocument/2006/relationships/hyperlink" Target="https://fishing.tas.gov.au/Documents/Abalone%20Harvest%20Strategy%202025.pdf" TargetMode="External"/><Relationship Id="rId54" Type="http://schemas.openxmlformats.org/officeDocument/2006/relationships/hyperlink" Target="https://www.legislation.tas.gov.au/view/html/inforce/current/sr-2017-094" TargetMode="External"/><Relationship Id="rId62" Type="http://schemas.openxmlformats.org/officeDocument/2006/relationships/hyperlink" Target="https://www.fish.gov.au/report/286-Blacklip-Abalone-2023" TargetMode="External"/><Relationship Id="rId70" Type="http://schemas.openxmlformats.org/officeDocument/2006/relationships/hyperlink" Target="https://www.dcceew.gov.au/environment/marine/marine-bioregional-plans" TargetMode="External"/><Relationship Id="rId75" Type="http://schemas.openxmlformats.org/officeDocument/2006/relationships/hyperlink" Target="https://fishing.tas.gov.au/Documents/Assessing%20growth%20dynamics.pdf" TargetMode="External"/><Relationship Id="rId83" Type="http://schemas.openxmlformats.org/officeDocument/2006/relationships/image" Target="media/image3.png"/><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tas.gov.au/view/html/inforce/current/sr-2017-094" TargetMode="External"/><Relationship Id="rId23" Type="http://schemas.openxmlformats.org/officeDocument/2006/relationships/hyperlink" Target="https://www.legislation.tas.gov.au/view/html/inforce/current/sr-2016-030" TargetMode="External"/><Relationship Id="rId28" Type="http://schemas.openxmlformats.org/officeDocument/2006/relationships/hyperlink" Target="https://www.legislation.tas.gov.au/view/whole/html/inforce/2025-06-25/sr-2016-030" TargetMode="External"/><Relationship Id="rId36" Type="http://schemas.openxmlformats.org/officeDocument/2006/relationships/hyperlink" Target="https://sit.org.au/" TargetMode="External"/><Relationship Id="rId49" Type="http://schemas.openxmlformats.org/officeDocument/2006/relationships/hyperlink" Target="https://fish.gov.au/Archived-Reports/2014/Documents/2014_refs/22.%20Jenkins%20MFR%202004.pdf" TargetMode="External"/><Relationship Id="rId57" Type="http://schemas.openxmlformats.org/officeDocument/2006/relationships/hyperlink" Target="https://www.fish.gov.au/report/284-Greenlip-Abalone-2023" TargetMode="External"/><Relationship Id="rId10" Type="http://schemas.openxmlformats.org/officeDocument/2006/relationships/hyperlink" Target="https://maps.thelist.tas.gov.au/listmap/app/list/map?bookmarkId=823191" TargetMode="External"/><Relationship Id="rId31" Type="http://schemas.openxmlformats.org/officeDocument/2006/relationships/hyperlink" Target="https://fishing.tas.gov.au/recreational-fishing/fishing-by-species/abalone/abalone-fishing" TargetMode="External"/><Relationship Id="rId44" Type="http://schemas.openxmlformats.org/officeDocument/2006/relationships/hyperlink" Target="https://fishing.tas.gov.au/commercial-fishing/commercial-fisheries/commercial-dive-fishery/catch-and-closures" TargetMode="External"/><Relationship Id="rId52" Type="http://schemas.openxmlformats.org/officeDocument/2006/relationships/hyperlink" Target="http://www.environment.gov.au/cgi-bin/sprat/public/publicshowallrps.pl" TargetMode="External"/><Relationship Id="rId60" Type="http://schemas.openxmlformats.org/officeDocument/2006/relationships/hyperlink" Target="https://www.fish.gov.au/Archived-Reports/2018/Blacklip%20Abalone%20(2018).pdf" TargetMode="External"/><Relationship Id="rId65" Type="http://schemas.openxmlformats.org/officeDocument/2006/relationships/hyperlink" Target="https://www.utas.edu.au/__data/assets/pdf_file/0006/1736394/RLAB_2023-2024_REPORT.pdf" TargetMode="External"/><Relationship Id="rId73" Type="http://schemas.openxmlformats.org/officeDocument/2006/relationships/hyperlink" Target="https://fishing.tas.gov.au/Documents/Marine%20Stewardship%20Council%20Certification.pdf" TargetMode="External"/><Relationship Id="rId78" Type="http://schemas.openxmlformats.org/officeDocument/2006/relationships/hyperlink" Target="https://fishing.tas.gov.au/Documents/Abalone%20Fleet%20Behaviour.pdf" TargetMode="External"/><Relationship Id="rId81" Type="http://schemas.openxmlformats.org/officeDocument/2006/relationships/hyperlink" Target="https://www.frdc.com.au/related-projects?f%5B0%5D=related_species%3AGreenlip%20Abalone" TargetMode="External"/><Relationship Id="rId86"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legislation.tas.gov.au/view/whole/html/inforce/current/sr-2017-094" TargetMode="External"/><Relationship Id="rId13" Type="http://schemas.openxmlformats.org/officeDocument/2006/relationships/hyperlink" Target="https://www.legislation.tas.gov.au/view/html/inforce/current/sr-2017-094" TargetMode="External"/><Relationship Id="rId18" Type="http://schemas.openxmlformats.org/officeDocument/2006/relationships/hyperlink" Target="https://fishing.nre.tas.gov.au/Documents/AIRF%202022_55%20Final%20Report%20Tas%20Dive%20Sector%20Social-economic%20analysis.pdf" TargetMode="External"/><Relationship Id="rId39" Type="http://schemas.openxmlformats.org/officeDocument/2006/relationships/hyperlink" Target="https://fishing.tas.gov.au/get-involved/fisher-representation" TargetMode="External"/><Relationship Id="rId34" Type="http://schemas.openxmlformats.org/officeDocument/2006/relationships/hyperlink" Target="https://www.facebook.com/TasmanianCommercialDivers/" TargetMode="External"/><Relationship Id="rId50" Type="http://schemas.openxmlformats.org/officeDocument/2006/relationships/hyperlink" Target="https://fish.gov.au/Archived-Reports/2014/Documents/2014_refs/23.%20Valentine%20et%20al%20MFR.pdf" TargetMode="External"/><Relationship Id="rId55" Type="http://schemas.openxmlformats.org/officeDocument/2006/relationships/hyperlink" Target="https://fishing.tas.gov.au/commercial-fishing/commercial-fishing-licences/vessel-monitoring-systems/vms-rule-changes" TargetMode="External"/><Relationship Id="rId76" Type="http://schemas.openxmlformats.org/officeDocument/2006/relationships/hyperlink" Target="https://fishing.tas.gov.au/Documents/Extensions%20to%20the%20aMSE.pdf" TargetMode="External"/><Relationship Id="rId7" Type="http://schemas.openxmlformats.org/officeDocument/2006/relationships/endnotes" Target="endnotes.xml"/><Relationship Id="rId71" Type="http://schemas.openxmlformats.org/officeDocument/2006/relationships/hyperlink" Target="https://fishing.tas.gov.au/centro/airf"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fishing.tas.gov.au/Documents/Abalone%20Harvest%20Strategy%202025.pdf" TargetMode="External"/><Relationship Id="rId24" Type="http://schemas.openxmlformats.org/officeDocument/2006/relationships/hyperlink" Target="https://www.legislation.tas.gov.au/view/html/inforce/current/sr-2022-023" TargetMode="External"/><Relationship Id="rId40" Type="http://schemas.openxmlformats.org/officeDocument/2006/relationships/hyperlink" Target="https://tasfisheriesresearch.org/" TargetMode="External"/><Relationship Id="rId45" Type="http://schemas.openxmlformats.org/officeDocument/2006/relationships/hyperlink" Target="https://fishing.tas.gov.au/Documents/Review%20of%20the%20Tasmanian%20Abalone%20Harvest%20Strategy.pdf" TargetMode="External"/><Relationship Id="rId66" Type="http://schemas.openxmlformats.org/officeDocument/2006/relationships/hyperlink" Target="https://www.agriculture.gov.au/sites/default/files/documents/giant-kelp-marine-forests-fact-sheet.pdf" TargetMode="External"/><Relationship Id="rId87" Type="http://schemas.openxmlformats.org/officeDocument/2006/relationships/image" Target="media/image7.png"/><Relationship Id="rId61" Type="http://schemas.openxmlformats.org/officeDocument/2006/relationships/hyperlink" Target="https://www.fish.gov.au/Archived-Reports/2018/Greenlip%20Abalone%20(2018).pdf" TargetMode="External"/><Relationship Id="rId82" Type="http://schemas.openxmlformats.org/officeDocument/2006/relationships/image" Target="media/image2.png"/><Relationship Id="rId19" Type="http://schemas.openxmlformats.org/officeDocument/2006/relationships/hyperlink" Target="https://www.legislation.tas.gov.au/view/html/inforce/current/act-1995-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7B8C2-1633-4A26-902D-F2AC8B7C0AE6}">
  <ds:schemaRefs>
    <ds:schemaRef ds:uri="http://schemas.openxmlformats.org/officeDocument/2006/bibliography"/>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751</TotalTime>
  <Pages>24</Pages>
  <Words>9681</Words>
  <Characters>55182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Application for assessment of the [Jurisdiction, Fishery] for approval as a Wildlife Trade Operation under the Environment Protection and Biodiversity Conservation Act 1999</vt:lpstr>
    </vt:vector>
  </TitlesOfParts>
  <Company>Department of Agriculture, Water and the Environment</Company>
  <LinksUpToDate>false</LinksUpToDate>
  <CharactersWithSpaces>64734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assessment of the [Jurisdiction, Fishery] for approval as a Wildlife Trade Operation under the Environment Protection and Biodiversity Conservation Act 1999</dc:title>
  <dc:subject/>
  <dc:creator>Auld, Steve</dc:creator>
  <cp:keywords/>
  <dc:description/>
  <cp:lastModifiedBy>Stephen CHILCOTT</cp:lastModifiedBy>
  <cp:revision>14</cp:revision>
  <cp:lastPrinted>2025-07-22T05:25:00Z</cp:lastPrinted>
  <dcterms:created xsi:type="dcterms:W3CDTF">2025-06-30T01:21:00Z</dcterms:created>
  <dcterms:modified xsi:type="dcterms:W3CDTF">2025-07-22T05:25:00Z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13d1da6d,40d0c6e0,136bdec7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6b8863da,39039cb4,3c4e6bb0</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ies>
</file>