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86963288"/>
        <w:docPartObj>
          <w:docPartGallery w:val="Cover Pages"/>
          <w:docPartUnique/>
        </w:docPartObj>
      </w:sdtPr>
      <w:sdtContent>
        <w:p w14:paraId="0A2E61DA" w14:textId="3BDB31BF" w:rsidR="007B27EE" w:rsidRPr="007B27EE" w:rsidRDefault="007B27EE" w:rsidP="007B27EE">
          <w:pPr>
            <w:rPr>
              <w:color w:val="4000A6"/>
            </w:rPr>
          </w:pPr>
          <w:r w:rsidRPr="004E7A25">
            <w:rPr>
              <w:b/>
              <w:noProof/>
            </w:rPr>
            <w:drawing>
              <wp:anchor distT="0" distB="0" distL="114300" distR="114300" simplePos="0" relativeHeight="251658240" behindDoc="1" locked="0" layoutInCell="1" allowOverlap="1" wp14:anchorId="631035AA" wp14:editId="0252BCC5">
                <wp:simplePos x="0" y="0"/>
                <wp:positionH relativeFrom="column">
                  <wp:posOffset>44450</wp:posOffset>
                </wp:positionH>
                <wp:positionV relativeFrom="paragraph">
                  <wp:posOffset>0</wp:posOffset>
                </wp:positionV>
                <wp:extent cx="950400" cy="936000"/>
                <wp:effectExtent l="0" t="0" r="2540" b="0"/>
                <wp:wrapTight wrapText="bothSides">
                  <wp:wrapPolygon edited="0">
                    <wp:start x="0" y="0"/>
                    <wp:lineTo x="0" y="21102"/>
                    <wp:lineTo x="21225" y="21102"/>
                    <wp:lineTo x="21225" y="0"/>
                    <wp:lineTo x="0" y="0"/>
                  </wp:wrapPolygon>
                </wp:wrapTight>
                <wp:docPr id="3" name="Picture 3" descr="tasmania_mono-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tasmania_mono-logo"/>
                        <pic:cNvPicPr preferRelativeResize="0">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0400" cy="936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7EC77FC" w14:textId="77777777" w:rsidR="007B27EE" w:rsidRDefault="007B27EE" w:rsidP="007B27EE">
          <w:pPr>
            <w:rPr>
              <w:color w:val="4000A6"/>
            </w:rPr>
          </w:pPr>
          <w:r w:rsidRPr="007B27EE">
            <w:rPr>
              <w:color w:val="4000A6"/>
            </w:rPr>
            <w:t>Tasmanian Marine Resources</w:t>
          </w:r>
        </w:p>
        <w:p w14:paraId="09DF46B3" w14:textId="5983FF78" w:rsidR="00E85A10" w:rsidRDefault="007B27EE" w:rsidP="007B27EE">
          <w:r w:rsidRPr="007B27EE">
            <w:rPr>
              <w:color w:val="4000A6"/>
            </w:rPr>
            <w:t>Department of Natural Resources and Environment Tasmania</w:t>
          </w:r>
        </w:p>
        <w:p w14:paraId="260E598A" w14:textId="77777777" w:rsidR="00823E26" w:rsidRDefault="00823E26" w:rsidP="00823E26"/>
        <w:p w14:paraId="4D387299" w14:textId="77777777" w:rsidR="00823E26" w:rsidRDefault="00823E26" w:rsidP="00823E26"/>
        <w:p w14:paraId="23BFBB49" w14:textId="77777777" w:rsidR="00823E26" w:rsidRDefault="00823E26" w:rsidP="00823E26"/>
        <w:p w14:paraId="1B90AFE9" w14:textId="77777777" w:rsidR="00823E26" w:rsidRDefault="00823E26" w:rsidP="00823E26"/>
        <w:p w14:paraId="15FFA885" w14:textId="77777777" w:rsidR="00823E26" w:rsidRDefault="00823E26" w:rsidP="00823E26"/>
        <w:p w14:paraId="2BEAD432" w14:textId="77777777" w:rsidR="00823E26" w:rsidRDefault="00823E26" w:rsidP="00823E26"/>
        <w:p w14:paraId="15D73B92" w14:textId="140440DC" w:rsidR="00823E26" w:rsidRPr="00FC0FCF" w:rsidRDefault="00823E26" w:rsidP="007C1411">
          <w:pPr>
            <w:pStyle w:val="Title"/>
            <w:jc w:val="center"/>
            <w:rPr>
              <w:b/>
              <w:bCs/>
            </w:rPr>
          </w:pPr>
          <w:r w:rsidRPr="00FC0FCF">
            <w:rPr>
              <w:b/>
              <w:bCs/>
            </w:rPr>
            <w:t xml:space="preserve">Application for assessment of the </w:t>
          </w:r>
          <w:r w:rsidR="007B27EE">
            <w:rPr>
              <w:b/>
              <w:bCs/>
              <w:color w:val="4000A6"/>
            </w:rPr>
            <w:t>Tasmanian Commercial Dive Fishery</w:t>
          </w:r>
          <w:r w:rsidRPr="0042395D">
            <w:rPr>
              <w:b/>
              <w:bCs/>
            </w:rPr>
            <w:t xml:space="preserve"> </w:t>
          </w:r>
          <w:r w:rsidRPr="00FC0FCF">
            <w:rPr>
              <w:b/>
              <w:bCs/>
            </w:rPr>
            <w:t xml:space="preserve">for approval under the </w:t>
          </w:r>
          <w:r w:rsidRPr="00FC0FCF">
            <w:rPr>
              <w:b/>
              <w:bCs/>
              <w:i/>
              <w:iCs/>
            </w:rPr>
            <w:t>Environment Protection and Biodiversity Conservation Act 1999</w:t>
          </w:r>
        </w:p>
        <w:p w14:paraId="07AE194E" w14:textId="661F5391" w:rsidR="00BF3199" w:rsidRPr="00835B61" w:rsidRDefault="00000000" w:rsidP="00A91A12">
          <w:pPr>
            <w:spacing w:before="120" w:after="0"/>
          </w:pPr>
        </w:p>
      </w:sdtContent>
    </w:sdt>
    <w:sdt>
      <w:sdtPr>
        <w:rPr>
          <w:rFonts w:asciiTheme="minorHAnsi" w:eastAsiaTheme="minorHAnsi" w:hAnsiTheme="minorHAnsi" w:cstheme="minorBidi"/>
          <w:b w:val="0"/>
          <w:color w:val="auto"/>
          <w:sz w:val="22"/>
          <w:szCs w:val="22"/>
          <w:lang w:val="en-AU"/>
        </w:rPr>
        <w:id w:val="-1265219993"/>
        <w:docPartObj>
          <w:docPartGallery w:val="Table of Contents"/>
          <w:docPartUnique/>
        </w:docPartObj>
      </w:sdtPr>
      <w:sdtEndPr>
        <w:rPr>
          <w:bCs/>
          <w:noProof/>
          <w:sz w:val="2"/>
          <w:szCs w:val="2"/>
        </w:rPr>
      </w:sdtEndPr>
      <w:sdtContent>
        <w:p w14:paraId="34FCDB71" w14:textId="77777777" w:rsidR="004E3085" w:rsidRDefault="004E3085" w:rsidP="004E3085">
          <w:pPr>
            <w:pStyle w:val="TOCHeading"/>
            <w:spacing w:before="0"/>
            <w:rPr>
              <w:rFonts w:asciiTheme="minorHAnsi" w:eastAsiaTheme="minorHAnsi" w:hAnsiTheme="minorHAnsi" w:cstheme="minorBidi"/>
              <w:b w:val="0"/>
              <w:color w:val="auto"/>
              <w:sz w:val="22"/>
              <w:szCs w:val="22"/>
              <w:lang w:val="en-AU"/>
            </w:rPr>
          </w:pPr>
          <w:r>
            <w:rPr>
              <w:rFonts w:asciiTheme="minorHAnsi" w:eastAsiaTheme="minorHAnsi" w:hAnsiTheme="minorHAnsi" w:cstheme="minorBidi"/>
              <w:b w:val="0"/>
              <w:color w:val="auto"/>
              <w:sz w:val="22"/>
              <w:szCs w:val="22"/>
              <w:lang w:val="en-AU"/>
            </w:rPr>
            <w:br w:type="page"/>
          </w:r>
        </w:p>
        <w:p w14:paraId="6F1D23D6" w14:textId="7C6B21CE" w:rsidR="000E77BE" w:rsidRDefault="000E77BE" w:rsidP="004E3085">
          <w:pPr>
            <w:pStyle w:val="TOCHeading"/>
            <w:spacing w:before="0"/>
          </w:pPr>
          <w:r>
            <w:lastRenderedPageBreak/>
            <w:t>Contents</w:t>
          </w:r>
        </w:p>
        <w:p w14:paraId="2B732956" w14:textId="67502DDD" w:rsidR="00D56759" w:rsidRDefault="006571DA">
          <w:pPr>
            <w:pStyle w:val="TOC1"/>
            <w:rPr>
              <w:rFonts w:eastAsiaTheme="minorEastAsia" w:cstheme="minorBidi"/>
              <w:b w:val="0"/>
              <w:bCs w:val="0"/>
              <w:caps w:val="0"/>
              <w:noProof/>
              <w:kern w:val="2"/>
              <w:sz w:val="24"/>
              <w:lang w:eastAsia="en-AU"/>
              <w14:ligatures w14:val="standardContextual"/>
            </w:rPr>
          </w:pPr>
          <w:r>
            <w:rPr>
              <w:i/>
              <w:iCs/>
              <w:sz w:val="24"/>
              <w:szCs w:val="28"/>
            </w:rPr>
            <w:fldChar w:fldCharType="begin"/>
          </w:r>
          <w:r>
            <w:rPr>
              <w:i/>
              <w:iCs/>
              <w:sz w:val="24"/>
              <w:szCs w:val="28"/>
            </w:rPr>
            <w:instrText xml:space="preserve"> TOC \o "1-3" \h \z \u </w:instrText>
          </w:r>
          <w:r>
            <w:rPr>
              <w:i/>
              <w:iCs/>
              <w:sz w:val="24"/>
              <w:szCs w:val="28"/>
            </w:rPr>
            <w:fldChar w:fldCharType="separate"/>
          </w:r>
          <w:hyperlink w:anchor="_Toc203722676" w:history="1">
            <w:r w:rsidR="00D56759" w:rsidRPr="00530DE6">
              <w:rPr>
                <w:rStyle w:val="Hyperlink"/>
                <w:noProof/>
              </w:rPr>
              <w:t>Introduction</w:t>
            </w:r>
            <w:r w:rsidR="00D56759">
              <w:rPr>
                <w:noProof/>
                <w:webHidden/>
              </w:rPr>
              <w:tab/>
            </w:r>
            <w:r w:rsidR="00D56759">
              <w:rPr>
                <w:noProof/>
                <w:webHidden/>
              </w:rPr>
              <w:fldChar w:fldCharType="begin"/>
            </w:r>
            <w:r w:rsidR="00D56759">
              <w:rPr>
                <w:noProof/>
                <w:webHidden/>
              </w:rPr>
              <w:instrText xml:space="preserve"> PAGEREF _Toc203722676 \h </w:instrText>
            </w:r>
            <w:r w:rsidR="00D56759">
              <w:rPr>
                <w:noProof/>
                <w:webHidden/>
              </w:rPr>
            </w:r>
            <w:r w:rsidR="00D56759">
              <w:rPr>
                <w:noProof/>
                <w:webHidden/>
              </w:rPr>
              <w:fldChar w:fldCharType="separate"/>
            </w:r>
            <w:r w:rsidR="002C3EA4">
              <w:rPr>
                <w:noProof/>
                <w:webHidden/>
              </w:rPr>
              <w:t>3</w:t>
            </w:r>
            <w:r w:rsidR="00D56759">
              <w:rPr>
                <w:noProof/>
                <w:webHidden/>
              </w:rPr>
              <w:fldChar w:fldCharType="end"/>
            </w:r>
          </w:hyperlink>
        </w:p>
        <w:p w14:paraId="7C0590C5" w14:textId="3912918C" w:rsidR="00D56759" w:rsidRDefault="00D56759">
          <w:pPr>
            <w:pStyle w:val="TOC1"/>
            <w:rPr>
              <w:rFonts w:eastAsiaTheme="minorEastAsia" w:cstheme="minorBidi"/>
              <w:b w:val="0"/>
              <w:bCs w:val="0"/>
              <w:caps w:val="0"/>
              <w:noProof/>
              <w:kern w:val="2"/>
              <w:sz w:val="24"/>
              <w:lang w:eastAsia="en-AU"/>
              <w14:ligatures w14:val="standardContextual"/>
            </w:rPr>
          </w:pPr>
          <w:hyperlink w:anchor="_Toc203722677" w:history="1">
            <w:r w:rsidRPr="00530DE6">
              <w:rPr>
                <w:rStyle w:val="Hyperlink"/>
                <w:noProof/>
              </w:rPr>
              <w:t>The fishery</w:t>
            </w:r>
            <w:r>
              <w:rPr>
                <w:noProof/>
                <w:webHidden/>
              </w:rPr>
              <w:tab/>
            </w:r>
            <w:r>
              <w:rPr>
                <w:noProof/>
                <w:webHidden/>
              </w:rPr>
              <w:fldChar w:fldCharType="begin"/>
            </w:r>
            <w:r>
              <w:rPr>
                <w:noProof/>
                <w:webHidden/>
              </w:rPr>
              <w:instrText xml:space="preserve"> PAGEREF _Toc203722677 \h </w:instrText>
            </w:r>
            <w:r>
              <w:rPr>
                <w:noProof/>
                <w:webHidden/>
              </w:rPr>
            </w:r>
            <w:r>
              <w:rPr>
                <w:noProof/>
                <w:webHidden/>
              </w:rPr>
              <w:fldChar w:fldCharType="separate"/>
            </w:r>
            <w:r w:rsidR="002C3EA4">
              <w:rPr>
                <w:noProof/>
                <w:webHidden/>
              </w:rPr>
              <w:t>3</w:t>
            </w:r>
            <w:r>
              <w:rPr>
                <w:noProof/>
                <w:webHidden/>
              </w:rPr>
              <w:fldChar w:fldCharType="end"/>
            </w:r>
          </w:hyperlink>
        </w:p>
        <w:p w14:paraId="7C8FCF2C" w14:textId="2CA20332" w:rsidR="00D56759" w:rsidRDefault="00D56759">
          <w:pPr>
            <w:pStyle w:val="TOC2"/>
            <w:tabs>
              <w:tab w:val="right" w:leader="dot" w:pos="9016"/>
            </w:tabs>
            <w:rPr>
              <w:rFonts w:eastAsiaTheme="minorEastAsia" w:cstheme="minorBidi"/>
              <w:smallCaps w:val="0"/>
              <w:noProof/>
              <w:kern w:val="2"/>
              <w:sz w:val="24"/>
              <w:lang w:eastAsia="en-AU"/>
              <w14:ligatures w14:val="standardContextual"/>
            </w:rPr>
          </w:pPr>
          <w:hyperlink w:anchor="_Toc203722678" w:history="1">
            <w:r w:rsidRPr="00530DE6">
              <w:rPr>
                <w:rStyle w:val="Hyperlink"/>
                <w:noProof/>
              </w:rPr>
              <w:t>Description of the fishery</w:t>
            </w:r>
            <w:r>
              <w:rPr>
                <w:noProof/>
                <w:webHidden/>
              </w:rPr>
              <w:tab/>
            </w:r>
            <w:r>
              <w:rPr>
                <w:noProof/>
                <w:webHidden/>
              </w:rPr>
              <w:fldChar w:fldCharType="begin"/>
            </w:r>
            <w:r>
              <w:rPr>
                <w:noProof/>
                <w:webHidden/>
              </w:rPr>
              <w:instrText xml:space="preserve"> PAGEREF _Toc203722678 \h </w:instrText>
            </w:r>
            <w:r>
              <w:rPr>
                <w:noProof/>
                <w:webHidden/>
              </w:rPr>
            </w:r>
            <w:r>
              <w:rPr>
                <w:noProof/>
                <w:webHidden/>
              </w:rPr>
              <w:fldChar w:fldCharType="separate"/>
            </w:r>
            <w:r w:rsidR="002C3EA4">
              <w:rPr>
                <w:noProof/>
                <w:webHidden/>
              </w:rPr>
              <w:t>3</w:t>
            </w:r>
            <w:r>
              <w:rPr>
                <w:noProof/>
                <w:webHidden/>
              </w:rPr>
              <w:fldChar w:fldCharType="end"/>
            </w:r>
          </w:hyperlink>
        </w:p>
        <w:p w14:paraId="340BC3B2" w14:textId="59D57794" w:rsidR="00D56759" w:rsidRDefault="00D56759">
          <w:pPr>
            <w:pStyle w:val="TOC2"/>
            <w:tabs>
              <w:tab w:val="right" w:leader="dot" w:pos="9016"/>
            </w:tabs>
            <w:rPr>
              <w:rFonts w:eastAsiaTheme="minorEastAsia" w:cstheme="minorBidi"/>
              <w:smallCaps w:val="0"/>
              <w:noProof/>
              <w:kern w:val="2"/>
              <w:sz w:val="24"/>
              <w:lang w:eastAsia="en-AU"/>
              <w14:ligatures w14:val="standardContextual"/>
            </w:rPr>
          </w:pPr>
          <w:hyperlink w:anchor="_Toc203722679" w:history="1">
            <w:r w:rsidRPr="00530DE6">
              <w:rPr>
                <w:rStyle w:val="Hyperlink"/>
                <w:noProof/>
              </w:rPr>
              <w:t>Fishing methods and gear</w:t>
            </w:r>
            <w:r>
              <w:rPr>
                <w:noProof/>
                <w:webHidden/>
              </w:rPr>
              <w:tab/>
            </w:r>
            <w:r>
              <w:rPr>
                <w:noProof/>
                <w:webHidden/>
              </w:rPr>
              <w:fldChar w:fldCharType="begin"/>
            </w:r>
            <w:r>
              <w:rPr>
                <w:noProof/>
                <w:webHidden/>
              </w:rPr>
              <w:instrText xml:space="preserve"> PAGEREF _Toc203722679 \h </w:instrText>
            </w:r>
            <w:r>
              <w:rPr>
                <w:noProof/>
                <w:webHidden/>
              </w:rPr>
            </w:r>
            <w:r>
              <w:rPr>
                <w:noProof/>
                <w:webHidden/>
              </w:rPr>
              <w:fldChar w:fldCharType="separate"/>
            </w:r>
            <w:r w:rsidR="002C3EA4">
              <w:rPr>
                <w:noProof/>
                <w:webHidden/>
              </w:rPr>
              <w:t>3</w:t>
            </w:r>
            <w:r>
              <w:rPr>
                <w:noProof/>
                <w:webHidden/>
              </w:rPr>
              <w:fldChar w:fldCharType="end"/>
            </w:r>
          </w:hyperlink>
        </w:p>
        <w:p w14:paraId="425F4F1E" w14:textId="16B5CAF4" w:rsidR="00D56759" w:rsidRDefault="00D56759">
          <w:pPr>
            <w:pStyle w:val="TOC2"/>
            <w:tabs>
              <w:tab w:val="right" w:leader="dot" w:pos="9016"/>
            </w:tabs>
            <w:rPr>
              <w:rFonts w:eastAsiaTheme="minorEastAsia" w:cstheme="minorBidi"/>
              <w:smallCaps w:val="0"/>
              <w:noProof/>
              <w:kern w:val="2"/>
              <w:sz w:val="24"/>
              <w:lang w:eastAsia="en-AU"/>
              <w14:ligatures w14:val="standardContextual"/>
            </w:rPr>
          </w:pPr>
          <w:hyperlink w:anchor="_Toc203722680" w:history="1">
            <w:r w:rsidRPr="00530DE6">
              <w:rPr>
                <w:rStyle w:val="Hyperlink"/>
                <w:noProof/>
              </w:rPr>
              <w:t>Target and byproduct species</w:t>
            </w:r>
            <w:r>
              <w:rPr>
                <w:noProof/>
                <w:webHidden/>
              </w:rPr>
              <w:tab/>
            </w:r>
            <w:r>
              <w:rPr>
                <w:noProof/>
                <w:webHidden/>
              </w:rPr>
              <w:fldChar w:fldCharType="begin"/>
            </w:r>
            <w:r>
              <w:rPr>
                <w:noProof/>
                <w:webHidden/>
              </w:rPr>
              <w:instrText xml:space="preserve"> PAGEREF _Toc203722680 \h </w:instrText>
            </w:r>
            <w:r>
              <w:rPr>
                <w:noProof/>
                <w:webHidden/>
              </w:rPr>
            </w:r>
            <w:r>
              <w:rPr>
                <w:noProof/>
                <w:webHidden/>
              </w:rPr>
              <w:fldChar w:fldCharType="separate"/>
            </w:r>
            <w:r w:rsidR="002C3EA4">
              <w:rPr>
                <w:noProof/>
                <w:webHidden/>
              </w:rPr>
              <w:t>3</w:t>
            </w:r>
            <w:r>
              <w:rPr>
                <w:noProof/>
                <w:webHidden/>
              </w:rPr>
              <w:fldChar w:fldCharType="end"/>
            </w:r>
          </w:hyperlink>
        </w:p>
        <w:p w14:paraId="5D6B085D" w14:textId="1005FAE1" w:rsidR="00D56759" w:rsidRDefault="00D56759">
          <w:pPr>
            <w:pStyle w:val="TOC2"/>
            <w:tabs>
              <w:tab w:val="right" w:leader="dot" w:pos="9016"/>
            </w:tabs>
            <w:rPr>
              <w:rFonts w:eastAsiaTheme="minorEastAsia" w:cstheme="minorBidi"/>
              <w:smallCaps w:val="0"/>
              <w:noProof/>
              <w:kern w:val="2"/>
              <w:sz w:val="24"/>
              <w:lang w:eastAsia="en-AU"/>
              <w14:ligatures w14:val="standardContextual"/>
            </w:rPr>
          </w:pPr>
          <w:hyperlink w:anchor="_Toc203722681" w:history="1">
            <w:r w:rsidRPr="00530DE6">
              <w:rPr>
                <w:rStyle w:val="Hyperlink"/>
                <w:noProof/>
              </w:rPr>
              <w:t>Value of the fishery</w:t>
            </w:r>
            <w:r>
              <w:rPr>
                <w:noProof/>
                <w:webHidden/>
              </w:rPr>
              <w:tab/>
            </w:r>
            <w:r>
              <w:rPr>
                <w:noProof/>
                <w:webHidden/>
              </w:rPr>
              <w:fldChar w:fldCharType="begin"/>
            </w:r>
            <w:r>
              <w:rPr>
                <w:noProof/>
                <w:webHidden/>
              </w:rPr>
              <w:instrText xml:space="preserve"> PAGEREF _Toc203722681 \h </w:instrText>
            </w:r>
            <w:r>
              <w:rPr>
                <w:noProof/>
                <w:webHidden/>
              </w:rPr>
            </w:r>
            <w:r>
              <w:rPr>
                <w:noProof/>
                <w:webHidden/>
              </w:rPr>
              <w:fldChar w:fldCharType="separate"/>
            </w:r>
            <w:r w:rsidR="002C3EA4">
              <w:rPr>
                <w:noProof/>
                <w:webHidden/>
              </w:rPr>
              <w:t>4</w:t>
            </w:r>
            <w:r>
              <w:rPr>
                <w:noProof/>
                <w:webHidden/>
              </w:rPr>
              <w:fldChar w:fldCharType="end"/>
            </w:r>
          </w:hyperlink>
        </w:p>
        <w:p w14:paraId="6E2CC926" w14:textId="650B6226" w:rsidR="00D56759" w:rsidRDefault="00D56759">
          <w:pPr>
            <w:pStyle w:val="TOC1"/>
            <w:rPr>
              <w:rFonts w:eastAsiaTheme="minorEastAsia" w:cstheme="minorBidi"/>
              <w:b w:val="0"/>
              <w:bCs w:val="0"/>
              <w:caps w:val="0"/>
              <w:noProof/>
              <w:kern w:val="2"/>
              <w:sz w:val="24"/>
              <w:lang w:eastAsia="en-AU"/>
              <w14:ligatures w14:val="standardContextual"/>
            </w:rPr>
          </w:pPr>
          <w:hyperlink w:anchor="_Toc203722682" w:history="1">
            <w:r w:rsidRPr="00530DE6">
              <w:rPr>
                <w:rStyle w:val="Hyperlink"/>
                <w:noProof/>
              </w:rPr>
              <w:t>Management regime</w:t>
            </w:r>
            <w:r>
              <w:rPr>
                <w:noProof/>
                <w:webHidden/>
              </w:rPr>
              <w:tab/>
            </w:r>
            <w:r>
              <w:rPr>
                <w:noProof/>
                <w:webHidden/>
              </w:rPr>
              <w:fldChar w:fldCharType="begin"/>
            </w:r>
            <w:r>
              <w:rPr>
                <w:noProof/>
                <w:webHidden/>
              </w:rPr>
              <w:instrText xml:space="preserve"> PAGEREF _Toc203722682 \h </w:instrText>
            </w:r>
            <w:r>
              <w:rPr>
                <w:noProof/>
                <w:webHidden/>
              </w:rPr>
            </w:r>
            <w:r>
              <w:rPr>
                <w:noProof/>
                <w:webHidden/>
              </w:rPr>
              <w:fldChar w:fldCharType="separate"/>
            </w:r>
            <w:r w:rsidR="002C3EA4">
              <w:rPr>
                <w:noProof/>
                <w:webHidden/>
              </w:rPr>
              <w:t>4</w:t>
            </w:r>
            <w:r>
              <w:rPr>
                <w:noProof/>
                <w:webHidden/>
              </w:rPr>
              <w:fldChar w:fldCharType="end"/>
            </w:r>
          </w:hyperlink>
        </w:p>
        <w:p w14:paraId="472DB030" w14:textId="0E82E8F6" w:rsidR="00D56759" w:rsidRDefault="00D56759">
          <w:pPr>
            <w:pStyle w:val="TOC2"/>
            <w:tabs>
              <w:tab w:val="right" w:leader="dot" w:pos="9016"/>
            </w:tabs>
            <w:rPr>
              <w:rFonts w:eastAsiaTheme="minorEastAsia" w:cstheme="minorBidi"/>
              <w:smallCaps w:val="0"/>
              <w:noProof/>
              <w:kern w:val="2"/>
              <w:sz w:val="24"/>
              <w:lang w:eastAsia="en-AU"/>
              <w14:ligatures w14:val="standardContextual"/>
            </w:rPr>
          </w:pPr>
          <w:hyperlink w:anchor="_Toc203722683" w:history="1">
            <w:r w:rsidRPr="00530DE6">
              <w:rPr>
                <w:rStyle w:val="Hyperlink"/>
                <w:noProof/>
              </w:rPr>
              <w:t>Description of the management regime</w:t>
            </w:r>
            <w:r>
              <w:rPr>
                <w:noProof/>
                <w:webHidden/>
              </w:rPr>
              <w:tab/>
            </w:r>
            <w:r>
              <w:rPr>
                <w:noProof/>
                <w:webHidden/>
              </w:rPr>
              <w:fldChar w:fldCharType="begin"/>
            </w:r>
            <w:r>
              <w:rPr>
                <w:noProof/>
                <w:webHidden/>
              </w:rPr>
              <w:instrText xml:space="preserve"> PAGEREF _Toc203722683 \h </w:instrText>
            </w:r>
            <w:r>
              <w:rPr>
                <w:noProof/>
                <w:webHidden/>
              </w:rPr>
            </w:r>
            <w:r>
              <w:rPr>
                <w:noProof/>
                <w:webHidden/>
              </w:rPr>
              <w:fldChar w:fldCharType="separate"/>
            </w:r>
            <w:r w:rsidR="002C3EA4">
              <w:rPr>
                <w:noProof/>
                <w:webHidden/>
              </w:rPr>
              <w:t>4</w:t>
            </w:r>
            <w:r>
              <w:rPr>
                <w:noProof/>
                <w:webHidden/>
              </w:rPr>
              <w:fldChar w:fldCharType="end"/>
            </w:r>
          </w:hyperlink>
        </w:p>
        <w:p w14:paraId="3ECD052B" w14:textId="77AA8A24" w:rsidR="00D56759" w:rsidRDefault="00D56759">
          <w:pPr>
            <w:pStyle w:val="TOC2"/>
            <w:tabs>
              <w:tab w:val="right" w:leader="dot" w:pos="9016"/>
            </w:tabs>
            <w:rPr>
              <w:rFonts w:eastAsiaTheme="minorEastAsia" w:cstheme="minorBidi"/>
              <w:smallCaps w:val="0"/>
              <w:noProof/>
              <w:kern w:val="2"/>
              <w:sz w:val="24"/>
              <w:lang w:eastAsia="en-AU"/>
              <w14:ligatures w14:val="standardContextual"/>
            </w:rPr>
          </w:pPr>
          <w:hyperlink w:anchor="_Toc203722684" w:history="1">
            <w:r w:rsidRPr="00530DE6">
              <w:rPr>
                <w:rStyle w:val="Hyperlink"/>
                <w:noProof/>
              </w:rPr>
              <w:t>Consultation processes</w:t>
            </w:r>
            <w:r>
              <w:rPr>
                <w:noProof/>
                <w:webHidden/>
              </w:rPr>
              <w:tab/>
            </w:r>
            <w:r>
              <w:rPr>
                <w:noProof/>
                <w:webHidden/>
              </w:rPr>
              <w:fldChar w:fldCharType="begin"/>
            </w:r>
            <w:r>
              <w:rPr>
                <w:noProof/>
                <w:webHidden/>
              </w:rPr>
              <w:instrText xml:space="preserve"> PAGEREF _Toc203722684 \h </w:instrText>
            </w:r>
            <w:r>
              <w:rPr>
                <w:noProof/>
                <w:webHidden/>
              </w:rPr>
            </w:r>
            <w:r>
              <w:rPr>
                <w:noProof/>
                <w:webHidden/>
              </w:rPr>
              <w:fldChar w:fldCharType="separate"/>
            </w:r>
            <w:r w:rsidR="002C3EA4">
              <w:rPr>
                <w:noProof/>
                <w:webHidden/>
              </w:rPr>
              <w:t>6</w:t>
            </w:r>
            <w:r>
              <w:rPr>
                <w:noProof/>
                <w:webHidden/>
              </w:rPr>
              <w:fldChar w:fldCharType="end"/>
            </w:r>
          </w:hyperlink>
        </w:p>
        <w:p w14:paraId="5A4C1364" w14:textId="7EE5C2F7" w:rsidR="00D56759" w:rsidRDefault="00D56759">
          <w:pPr>
            <w:pStyle w:val="TOC2"/>
            <w:tabs>
              <w:tab w:val="right" w:leader="dot" w:pos="9016"/>
            </w:tabs>
            <w:rPr>
              <w:rFonts w:eastAsiaTheme="minorEastAsia" w:cstheme="minorBidi"/>
              <w:smallCaps w:val="0"/>
              <w:noProof/>
              <w:kern w:val="2"/>
              <w:sz w:val="24"/>
              <w:lang w:eastAsia="en-AU"/>
              <w14:ligatures w14:val="standardContextual"/>
            </w:rPr>
          </w:pPr>
          <w:hyperlink w:anchor="_Toc203722685" w:history="1">
            <w:r w:rsidRPr="00530DE6">
              <w:rPr>
                <w:rStyle w:val="Hyperlink"/>
                <w:noProof/>
              </w:rPr>
              <w:t>Performance against objectives, performance indicators and performance measures</w:t>
            </w:r>
            <w:r>
              <w:rPr>
                <w:noProof/>
                <w:webHidden/>
              </w:rPr>
              <w:tab/>
            </w:r>
            <w:r>
              <w:rPr>
                <w:noProof/>
                <w:webHidden/>
              </w:rPr>
              <w:fldChar w:fldCharType="begin"/>
            </w:r>
            <w:r>
              <w:rPr>
                <w:noProof/>
                <w:webHidden/>
              </w:rPr>
              <w:instrText xml:space="preserve"> PAGEREF _Toc203722685 \h </w:instrText>
            </w:r>
            <w:r>
              <w:rPr>
                <w:noProof/>
                <w:webHidden/>
              </w:rPr>
            </w:r>
            <w:r>
              <w:rPr>
                <w:noProof/>
                <w:webHidden/>
              </w:rPr>
              <w:fldChar w:fldCharType="separate"/>
            </w:r>
            <w:r w:rsidR="002C3EA4">
              <w:rPr>
                <w:noProof/>
                <w:webHidden/>
              </w:rPr>
              <w:t>6</w:t>
            </w:r>
            <w:r>
              <w:rPr>
                <w:noProof/>
                <w:webHidden/>
              </w:rPr>
              <w:fldChar w:fldCharType="end"/>
            </w:r>
          </w:hyperlink>
        </w:p>
        <w:p w14:paraId="3390DC30" w14:textId="698CAA39" w:rsidR="00D56759" w:rsidRDefault="00D56759">
          <w:pPr>
            <w:pStyle w:val="TOC2"/>
            <w:tabs>
              <w:tab w:val="right" w:leader="dot" w:pos="9016"/>
            </w:tabs>
            <w:rPr>
              <w:rFonts w:eastAsiaTheme="minorEastAsia" w:cstheme="minorBidi"/>
              <w:smallCaps w:val="0"/>
              <w:noProof/>
              <w:kern w:val="2"/>
              <w:sz w:val="24"/>
              <w:lang w:eastAsia="en-AU"/>
              <w14:ligatures w14:val="standardContextual"/>
            </w:rPr>
          </w:pPr>
          <w:hyperlink w:anchor="_Toc203722686" w:history="1">
            <w:r w:rsidRPr="00530DE6">
              <w:rPr>
                <w:rStyle w:val="Hyperlink"/>
                <w:noProof/>
              </w:rPr>
              <w:t>Controlling the level of harvest</w:t>
            </w:r>
            <w:r>
              <w:rPr>
                <w:noProof/>
                <w:webHidden/>
              </w:rPr>
              <w:tab/>
            </w:r>
            <w:r>
              <w:rPr>
                <w:noProof/>
                <w:webHidden/>
              </w:rPr>
              <w:fldChar w:fldCharType="begin"/>
            </w:r>
            <w:r>
              <w:rPr>
                <w:noProof/>
                <w:webHidden/>
              </w:rPr>
              <w:instrText xml:space="preserve"> PAGEREF _Toc203722686 \h </w:instrText>
            </w:r>
            <w:r>
              <w:rPr>
                <w:noProof/>
                <w:webHidden/>
              </w:rPr>
            </w:r>
            <w:r>
              <w:rPr>
                <w:noProof/>
                <w:webHidden/>
              </w:rPr>
              <w:fldChar w:fldCharType="separate"/>
            </w:r>
            <w:r w:rsidR="002C3EA4">
              <w:rPr>
                <w:noProof/>
                <w:webHidden/>
              </w:rPr>
              <w:t>7</w:t>
            </w:r>
            <w:r>
              <w:rPr>
                <w:noProof/>
                <w:webHidden/>
              </w:rPr>
              <w:fldChar w:fldCharType="end"/>
            </w:r>
          </w:hyperlink>
        </w:p>
        <w:p w14:paraId="575BF6C0" w14:textId="2EACAF48" w:rsidR="00D56759" w:rsidRDefault="00D56759">
          <w:pPr>
            <w:pStyle w:val="TOC2"/>
            <w:tabs>
              <w:tab w:val="right" w:leader="dot" w:pos="9016"/>
            </w:tabs>
            <w:rPr>
              <w:rFonts w:eastAsiaTheme="minorEastAsia" w:cstheme="minorBidi"/>
              <w:smallCaps w:val="0"/>
              <w:noProof/>
              <w:kern w:val="2"/>
              <w:sz w:val="24"/>
              <w:lang w:eastAsia="en-AU"/>
              <w14:ligatures w14:val="standardContextual"/>
            </w:rPr>
          </w:pPr>
          <w:hyperlink w:anchor="_Toc203722687" w:history="1">
            <w:r w:rsidRPr="00530DE6">
              <w:rPr>
                <w:rStyle w:val="Hyperlink"/>
                <w:noProof/>
              </w:rPr>
              <w:t>Harvest strategy</w:t>
            </w:r>
            <w:r>
              <w:rPr>
                <w:noProof/>
                <w:webHidden/>
              </w:rPr>
              <w:tab/>
            </w:r>
            <w:r>
              <w:rPr>
                <w:noProof/>
                <w:webHidden/>
              </w:rPr>
              <w:fldChar w:fldCharType="begin"/>
            </w:r>
            <w:r>
              <w:rPr>
                <w:noProof/>
                <w:webHidden/>
              </w:rPr>
              <w:instrText xml:space="preserve"> PAGEREF _Toc203722687 \h </w:instrText>
            </w:r>
            <w:r>
              <w:rPr>
                <w:noProof/>
                <w:webHidden/>
              </w:rPr>
            </w:r>
            <w:r>
              <w:rPr>
                <w:noProof/>
                <w:webHidden/>
              </w:rPr>
              <w:fldChar w:fldCharType="separate"/>
            </w:r>
            <w:r w:rsidR="002C3EA4">
              <w:rPr>
                <w:noProof/>
                <w:webHidden/>
              </w:rPr>
              <w:t>8</w:t>
            </w:r>
            <w:r>
              <w:rPr>
                <w:noProof/>
                <w:webHidden/>
              </w:rPr>
              <w:fldChar w:fldCharType="end"/>
            </w:r>
          </w:hyperlink>
        </w:p>
        <w:p w14:paraId="7E16115E" w14:textId="26B59DFA" w:rsidR="00D56759" w:rsidRDefault="00D56759">
          <w:pPr>
            <w:pStyle w:val="TOC2"/>
            <w:tabs>
              <w:tab w:val="right" w:leader="dot" w:pos="9016"/>
            </w:tabs>
            <w:rPr>
              <w:rFonts w:eastAsiaTheme="minorEastAsia" w:cstheme="minorBidi"/>
              <w:smallCaps w:val="0"/>
              <w:noProof/>
              <w:kern w:val="2"/>
              <w:sz w:val="24"/>
              <w:lang w:eastAsia="en-AU"/>
              <w14:ligatures w14:val="standardContextual"/>
            </w:rPr>
          </w:pPr>
          <w:hyperlink w:anchor="_Toc203722688" w:history="1">
            <w:r w:rsidRPr="00530DE6">
              <w:rPr>
                <w:rStyle w:val="Hyperlink"/>
                <w:noProof/>
              </w:rPr>
              <w:t>Recovery strategies for overfished stocks</w:t>
            </w:r>
            <w:r>
              <w:rPr>
                <w:noProof/>
                <w:webHidden/>
              </w:rPr>
              <w:tab/>
            </w:r>
            <w:r>
              <w:rPr>
                <w:noProof/>
                <w:webHidden/>
              </w:rPr>
              <w:fldChar w:fldCharType="begin"/>
            </w:r>
            <w:r>
              <w:rPr>
                <w:noProof/>
                <w:webHidden/>
              </w:rPr>
              <w:instrText xml:space="preserve"> PAGEREF _Toc203722688 \h </w:instrText>
            </w:r>
            <w:r>
              <w:rPr>
                <w:noProof/>
                <w:webHidden/>
              </w:rPr>
            </w:r>
            <w:r>
              <w:rPr>
                <w:noProof/>
                <w:webHidden/>
              </w:rPr>
              <w:fldChar w:fldCharType="separate"/>
            </w:r>
            <w:r w:rsidR="002C3EA4">
              <w:rPr>
                <w:noProof/>
                <w:webHidden/>
              </w:rPr>
              <w:t>8</w:t>
            </w:r>
            <w:r>
              <w:rPr>
                <w:noProof/>
                <w:webHidden/>
              </w:rPr>
              <w:fldChar w:fldCharType="end"/>
            </w:r>
          </w:hyperlink>
        </w:p>
        <w:p w14:paraId="2FA53963" w14:textId="0EC6317A" w:rsidR="00D56759" w:rsidRDefault="00D56759">
          <w:pPr>
            <w:pStyle w:val="TOC2"/>
            <w:tabs>
              <w:tab w:val="right" w:leader="dot" w:pos="9016"/>
            </w:tabs>
            <w:rPr>
              <w:rFonts w:eastAsiaTheme="minorEastAsia" w:cstheme="minorBidi"/>
              <w:smallCaps w:val="0"/>
              <w:noProof/>
              <w:kern w:val="2"/>
              <w:sz w:val="24"/>
              <w:lang w:eastAsia="en-AU"/>
              <w14:ligatures w14:val="standardContextual"/>
            </w:rPr>
          </w:pPr>
          <w:hyperlink w:anchor="_Toc203722689" w:history="1">
            <w:r w:rsidRPr="00530DE6">
              <w:rPr>
                <w:rStyle w:val="Hyperlink"/>
                <w:noProof/>
              </w:rPr>
              <w:t>Enforcement of the management arrangements</w:t>
            </w:r>
            <w:r>
              <w:rPr>
                <w:noProof/>
                <w:webHidden/>
              </w:rPr>
              <w:tab/>
            </w:r>
            <w:r>
              <w:rPr>
                <w:noProof/>
                <w:webHidden/>
              </w:rPr>
              <w:fldChar w:fldCharType="begin"/>
            </w:r>
            <w:r>
              <w:rPr>
                <w:noProof/>
                <w:webHidden/>
              </w:rPr>
              <w:instrText xml:space="preserve"> PAGEREF _Toc203722689 \h </w:instrText>
            </w:r>
            <w:r>
              <w:rPr>
                <w:noProof/>
                <w:webHidden/>
              </w:rPr>
            </w:r>
            <w:r>
              <w:rPr>
                <w:noProof/>
                <w:webHidden/>
              </w:rPr>
              <w:fldChar w:fldCharType="separate"/>
            </w:r>
            <w:r w:rsidR="002C3EA4">
              <w:rPr>
                <w:noProof/>
                <w:webHidden/>
              </w:rPr>
              <w:t>8</w:t>
            </w:r>
            <w:r>
              <w:rPr>
                <w:noProof/>
                <w:webHidden/>
              </w:rPr>
              <w:fldChar w:fldCharType="end"/>
            </w:r>
          </w:hyperlink>
        </w:p>
        <w:p w14:paraId="709756B7" w14:textId="0BF34F34" w:rsidR="00D56759" w:rsidRDefault="00D56759">
          <w:pPr>
            <w:pStyle w:val="TOC2"/>
            <w:tabs>
              <w:tab w:val="right" w:leader="dot" w:pos="9016"/>
            </w:tabs>
            <w:rPr>
              <w:rFonts w:eastAsiaTheme="minorEastAsia" w:cstheme="minorBidi"/>
              <w:smallCaps w:val="0"/>
              <w:noProof/>
              <w:kern w:val="2"/>
              <w:sz w:val="24"/>
              <w:lang w:eastAsia="en-AU"/>
              <w14:ligatures w14:val="standardContextual"/>
            </w:rPr>
          </w:pPr>
          <w:hyperlink w:anchor="_Toc203722690" w:history="1">
            <w:r w:rsidRPr="00530DE6">
              <w:rPr>
                <w:rStyle w:val="Hyperlink"/>
                <w:noProof/>
              </w:rPr>
              <w:t>Mitigating impacts on the wider ecosystem</w:t>
            </w:r>
            <w:r>
              <w:rPr>
                <w:noProof/>
                <w:webHidden/>
              </w:rPr>
              <w:tab/>
            </w:r>
            <w:r>
              <w:rPr>
                <w:noProof/>
                <w:webHidden/>
              </w:rPr>
              <w:fldChar w:fldCharType="begin"/>
            </w:r>
            <w:r>
              <w:rPr>
                <w:noProof/>
                <w:webHidden/>
              </w:rPr>
              <w:instrText xml:space="preserve"> PAGEREF _Toc203722690 \h </w:instrText>
            </w:r>
            <w:r>
              <w:rPr>
                <w:noProof/>
                <w:webHidden/>
              </w:rPr>
            </w:r>
            <w:r>
              <w:rPr>
                <w:noProof/>
                <w:webHidden/>
              </w:rPr>
              <w:fldChar w:fldCharType="separate"/>
            </w:r>
            <w:r w:rsidR="002C3EA4">
              <w:rPr>
                <w:noProof/>
                <w:webHidden/>
              </w:rPr>
              <w:t>9</w:t>
            </w:r>
            <w:r>
              <w:rPr>
                <w:noProof/>
                <w:webHidden/>
              </w:rPr>
              <w:fldChar w:fldCharType="end"/>
            </w:r>
          </w:hyperlink>
        </w:p>
        <w:p w14:paraId="78E69CD1" w14:textId="7209C465" w:rsidR="00D56759" w:rsidRDefault="00D56759">
          <w:pPr>
            <w:pStyle w:val="TOC2"/>
            <w:tabs>
              <w:tab w:val="right" w:leader="dot" w:pos="9016"/>
            </w:tabs>
            <w:rPr>
              <w:rFonts w:eastAsiaTheme="minorEastAsia" w:cstheme="minorBidi"/>
              <w:smallCaps w:val="0"/>
              <w:noProof/>
              <w:kern w:val="2"/>
              <w:sz w:val="24"/>
              <w:lang w:eastAsia="en-AU"/>
              <w14:ligatures w14:val="standardContextual"/>
            </w:rPr>
          </w:pPr>
          <w:hyperlink w:anchor="_Toc203722691" w:history="1">
            <w:r w:rsidRPr="00530DE6">
              <w:rPr>
                <w:rStyle w:val="Hyperlink"/>
                <w:noProof/>
              </w:rPr>
              <w:t>National policies, plans and strategies</w:t>
            </w:r>
            <w:r>
              <w:rPr>
                <w:noProof/>
                <w:webHidden/>
              </w:rPr>
              <w:tab/>
            </w:r>
            <w:r>
              <w:rPr>
                <w:noProof/>
                <w:webHidden/>
              </w:rPr>
              <w:fldChar w:fldCharType="begin"/>
            </w:r>
            <w:r>
              <w:rPr>
                <w:noProof/>
                <w:webHidden/>
              </w:rPr>
              <w:instrText xml:space="preserve"> PAGEREF _Toc203722691 \h </w:instrText>
            </w:r>
            <w:r>
              <w:rPr>
                <w:noProof/>
                <w:webHidden/>
              </w:rPr>
            </w:r>
            <w:r>
              <w:rPr>
                <w:noProof/>
                <w:webHidden/>
              </w:rPr>
              <w:fldChar w:fldCharType="separate"/>
            </w:r>
            <w:r w:rsidR="002C3EA4">
              <w:rPr>
                <w:noProof/>
                <w:webHidden/>
              </w:rPr>
              <w:t>9</w:t>
            </w:r>
            <w:r>
              <w:rPr>
                <w:noProof/>
                <w:webHidden/>
              </w:rPr>
              <w:fldChar w:fldCharType="end"/>
            </w:r>
          </w:hyperlink>
        </w:p>
        <w:p w14:paraId="421B0552" w14:textId="190F6C31" w:rsidR="00D56759" w:rsidRDefault="00D56759">
          <w:pPr>
            <w:pStyle w:val="TOC2"/>
            <w:tabs>
              <w:tab w:val="right" w:leader="dot" w:pos="9016"/>
            </w:tabs>
            <w:rPr>
              <w:rFonts w:eastAsiaTheme="minorEastAsia" w:cstheme="minorBidi"/>
              <w:smallCaps w:val="0"/>
              <w:noProof/>
              <w:kern w:val="2"/>
              <w:sz w:val="24"/>
              <w:lang w:eastAsia="en-AU"/>
              <w14:ligatures w14:val="standardContextual"/>
            </w:rPr>
          </w:pPr>
          <w:hyperlink w:anchor="_Toc203722692" w:history="1">
            <w:r w:rsidRPr="00530DE6">
              <w:rPr>
                <w:rStyle w:val="Hyperlink"/>
                <w:noProof/>
              </w:rPr>
              <w:t>Changes since the previous assessment</w:t>
            </w:r>
            <w:r>
              <w:rPr>
                <w:noProof/>
                <w:webHidden/>
              </w:rPr>
              <w:tab/>
            </w:r>
            <w:r>
              <w:rPr>
                <w:noProof/>
                <w:webHidden/>
              </w:rPr>
              <w:fldChar w:fldCharType="begin"/>
            </w:r>
            <w:r>
              <w:rPr>
                <w:noProof/>
                <w:webHidden/>
              </w:rPr>
              <w:instrText xml:space="preserve"> PAGEREF _Toc203722692 \h </w:instrText>
            </w:r>
            <w:r>
              <w:rPr>
                <w:noProof/>
                <w:webHidden/>
              </w:rPr>
            </w:r>
            <w:r>
              <w:rPr>
                <w:noProof/>
                <w:webHidden/>
              </w:rPr>
              <w:fldChar w:fldCharType="separate"/>
            </w:r>
            <w:r w:rsidR="002C3EA4">
              <w:rPr>
                <w:noProof/>
                <w:webHidden/>
              </w:rPr>
              <w:t>9</w:t>
            </w:r>
            <w:r>
              <w:rPr>
                <w:noProof/>
                <w:webHidden/>
              </w:rPr>
              <w:fldChar w:fldCharType="end"/>
            </w:r>
          </w:hyperlink>
        </w:p>
        <w:p w14:paraId="21A7FD52" w14:textId="0EB6C205" w:rsidR="00D56759" w:rsidRDefault="00D56759">
          <w:pPr>
            <w:pStyle w:val="TOC1"/>
            <w:rPr>
              <w:rFonts w:eastAsiaTheme="minorEastAsia" w:cstheme="minorBidi"/>
              <w:b w:val="0"/>
              <w:bCs w:val="0"/>
              <w:caps w:val="0"/>
              <w:noProof/>
              <w:kern w:val="2"/>
              <w:sz w:val="24"/>
              <w:lang w:eastAsia="en-AU"/>
              <w14:ligatures w14:val="standardContextual"/>
            </w:rPr>
          </w:pPr>
          <w:hyperlink w:anchor="_Toc203722693" w:history="1">
            <w:r w:rsidRPr="00530DE6">
              <w:rPr>
                <w:rStyle w:val="Hyperlink"/>
                <w:noProof/>
              </w:rPr>
              <w:t>Monitoring and data collection</w:t>
            </w:r>
            <w:r>
              <w:rPr>
                <w:noProof/>
                <w:webHidden/>
              </w:rPr>
              <w:tab/>
            </w:r>
            <w:r>
              <w:rPr>
                <w:noProof/>
                <w:webHidden/>
              </w:rPr>
              <w:fldChar w:fldCharType="begin"/>
            </w:r>
            <w:r>
              <w:rPr>
                <w:noProof/>
                <w:webHidden/>
              </w:rPr>
              <w:instrText xml:space="preserve"> PAGEREF _Toc203722693 \h </w:instrText>
            </w:r>
            <w:r>
              <w:rPr>
                <w:noProof/>
                <w:webHidden/>
              </w:rPr>
            </w:r>
            <w:r>
              <w:rPr>
                <w:noProof/>
                <w:webHidden/>
              </w:rPr>
              <w:fldChar w:fldCharType="separate"/>
            </w:r>
            <w:r w:rsidR="002C3EA4">
              <w:rPr>
                <w:noProof/>
                <w:webHidden/>
              </w:rPr>
              <w:t>10</w:t>
            </w:r>
            <w:r>
              <w:rPr>
                <w:noProof/>
                <w:webHidden/>
              </w:rPr>
              <w:fldChar w:fldCharType="end"/>
            </w:r>
          </w:hyperlink>
        </w:p>
        <w:p w14:paraId="44AE0729" w14:textId="2863154C" w:rsidR="00D56759" w:rsidRDefault="00D56759">
          <w:pPr>
            <w:pStyle w:val="TOC2"/>
            <w:tabs>
              <w:tab w:val="right" w:leader="dot" w:pos="9016"/>
            </w:tabs>
            <w:rPr>
              <w:rFonts w:eastAsiaTheme="minorEastAsia" w:cstheme="minorBidi"/>
              <w:smallCaps w:val="0"/>
              <w:noProof/>
              <w:kern w:val="2"/>
              <w:sz w:val="24"/>
              <w:lang w:eastAsia="en-AU"/>
              <w14:ligatures w14:val="standardContextual"/>
            </w:rPr>
          </w:pPr>
          <w:hyperlink w:anchor="_Toc203722694" w:history="1">
            <w:r w:rsidRPr="00530DE6">
              <w:rPr>
                <w:rStyle w:val="Hyperlink"/>
                <w:noProof/>
              </w:rPr>
              <w:t>Data collection, data validation and data monitoring programs</w:t>
            </w:r>
            <w:r>
              <w:rPr>
                <w:noProof/>
                <w:webHidden/>
              </w:rPr>
              <w:tab/>
            </w:r>
            <w:r>
              <w:rPr>
                <w:noProof/>
                <w:webHidden/>
              </w:rPr>
              <w:fldChar w:fldCharType="begin"/>
            </w:r>
            <w:r>
              <w:rPr>
                <w:noProof/>
                <w:webHidden/>
              </w:rPr>
              <w:instrText xml:space="preserve"> PAGEREF _Toc203722694 \h </w:instrText>
            </w:r>
            <w:r>
              <w:rPr>
                <w:noProof/>
                <w:webHidden/>
              </w:rPr>
            </w:r>
            <w:r>
              <w:rPr>
                <w:noProof/>
                <w:webHidden/>
              </w:rPr>
              <w:fldChar w:fldCharType="separate"/>
            </w:r>
            <w:r w:rsidR="002C3EA4">
              <w:rPr>
                <w:noProof/>
                <w:webHidden/>
              </w:rPr>
              <w:t>10</w:t>
            </w:r>
            <w:r>
              <w:rPr>
                <w:noProof/>
                <w:webHidden/>
              </w:rPr>
              <w:fldChar w:fldCharType="end"/>
            </w:r>
          </w:hyperlink>
        </w:p>
        <w:p w14:paraId="63557799" w14:textId="10839344" w:rsidR="00D56759" w:rsidRDefault="00D56759">
          <w:pPr>
            <w:pStyle w:val="TOC1"/>
            <w:rPr>
              <w:rFonts w:eastAsiaTheme="minorEastAsia" w:cstheme="minorBidi"/>
              <w:b w:val="0"/>
              <w:bCs w:val="0"/>
              <w:caps w:val="0"/>
              <w:noProof/>
              <w:kern w:val="2"/>
              <w:sz w:val="24"/>
              <w:lang w:eastAsia="en-AU"/>
              <w14:ligatures w14:val="standardContextual"/>
            </w:rPr>
          </w:pPr>
          <w:hyperlink w:anchor="_Toc203722695" w:history="1">
            <w:r w:rsidRPr="00530DE6">
              <w:rPr>
                <w:rStyle w:val="Hyperlink"/>
                <w:noProof/>
              </w:rPr>
              <w:t>Stock Assessments</w:t>
            </w:r>
            <w:r>
              <w:rPr>
                <w:noProof/>
                <w:webHidden/>
              </w:rPr>
              <w:tab/>
            </w:r>
            <w:r>
              <w:rPr>
                <w:noProof/>
                <w:webHidden/>
              </w:rPr>
              <w:fldChar w:fldCharType="begin"/>
            </w:r>
            <w:r>
              <w:rPr>
                <w:noProof/>
                <w:webHidden/>
              </w:rPr>
              <w:instrText xml:space="preserve"> PAGEREF _Toc203722695 \h </w:instrText>
            </w:r>
            <w:r>
              <w:rPr>
                <w:noProof/>
                <w:webHidden/>
              </w:rPr>
            </w:r>
            <w:r>
              <w:rPr>
                <w:noProof/>
                <w:webHidden/>
              </w:rPr>
              <w:fldChar w:fldCharType="separate"/>
            </w:r>
            <w:r w:rsidR="002C3EA4">
              <w:rPr>
                <w:noProof/>
                <w:webHidden/>
              </w:rPr>
              <w:t>11</w:t>
            </w:r>
            <w:r>
              <w:rPr>
                <w:noProof/>
                <w:webHidden/>
              </w:rPr>
              <w:fldChar w:fldCharType="end"/>
            </w:r>
          </w:hyperlink>
        </w:p>
        <w:p w14:paraId="60DA2244" w14:textId="227359F8" w:rsidR="00D56759" w:rsidRDefault="00D56759">
          <w:pPr>
            <w:pStyle w:val="TOC2"/>
            <w:tabs>
              <w:tab w:val="right" w:leader="dot" w:pos="9016"/>
            </w:tabs>
            <w:rPr>
              <w:rFonts w:eastAsiaTheme="minorEastAsia" w:cstheme="minorBidi"/>
              <w:smallCaps w:val="0"/>
              <w:noProof/>
              <w:kern w:val="2"/>
              <w:sz w:val="24"/>
              <w:lang w:eastAsia="en-AU"/>
              <w14:ligatures w14:val="standardContextual"/>
            </w:rPr>
          </w:pPr>
          <w:hyperlink w:anchor="_Toc203722696" w:history="1">
            <w:r w:rsidRPr="00530DE6">
              <w:rPr>
                <w:rStyle w:val="Hyperlink"/>
                <w:noProof/>
              </w:rPr>
              <w:t>Key target and byproduct species</w:t>
            </w:r>
            <w:r>
              <w:rPr>
                <w:noProof/>
                <w:webHidden/>
              </w:rPr>
              <w:tab/>
            </w:r>
            <w:r>
              <w:rPr>
                <w:noProof/>
                <w:webHidden/>
              </w:rPr>
              <w:fldChar w:fldCharType="begin"/>
            </w:r>
            <w:r>
              <w:rPr>
                <w:noProof/>
                <w:webHidden/>
              </w:rPr>
              <w:instrText xml:space="preserve"> PAGEREF _Toc203722696 \h </w:instrText>
            </w:r>
            <w:r>
              <w:rPr>
                <w:noProof/>
                <w:webHidden/>
              </w:rPr>
            </w:r>
            <w:r>
              <w:rPr>
                <w:noProof/>
                <w:webHidden/>
              </w:rPr>
              <w:fldChar w:fldCharType="separate"/>
            </w:r>
            <w:r w:rsidR="002C3EA4">
              <w:rPr>
                <w:noProof/>
                <w:webHidden/>
              </w:rPr>
              <w:t>11</w:t>
            </w:r>
            <w:r>
              <w:rPr>
                <w:noProof/>
                <w:webHidden/>
              </w:rPr>
              <w:fldChar w:fldCharType="end"/>
            </w:r>
          </w:hyperlink>
        </w:p>
        <w:p w14:paraId="2B6163F2" w14:textId="00900E7D" w:rsidR="00D56759" w:rsidRDefault="00D56759">
          <w:pPr>
            <w:pStyle w:val="TOC2"/>
            <w:tabs>
              <w:tab w:val="right" w:leader="dot" w:pos="9016"/>
            </w:tabs>
            <w:rPr>
              <w:rFonts w:eastAsiaTheme="minorEastAsia" w:cstheme="minorBidi"/>
              <w:smallCaps w:val="0"/>
              <w:noProof/>
              <w:kern w:val="2"/>
              <w:sz w:val="24"/>
              <w:lang w:eastAsia="en-AU"/>
              <w14:ligatures w14:val="standardContextual"/>
            </w:rPr>
          </w:pPr>
          <w:hyperlink w:anchor="_Toc203722697" w:history="1">
            <w:r w:rsidRPr="00530DE6">
              <w:rPr>
                <w:rStyle w:val="Hyperlink"/>
                <w:noProof/>
              </w:rPr>
              <w:t>Distribution and spatial structure of key stocks</w:t>
            </w:r>
            <w:r>
              <w:rPr>
                <w:noProof/>
                <w:webHidden/>
              </w:rPr>
              <w:tab/>
            </w:r>
            <w:r>
              <w:rPr>
                <w:noProof/>
                <w:webHidden/>
              </w:rPr>
              <w:fldChar w:fldCharType="begin"/>
            </w:r>
            <w:r>
              <w:rPr>
                <w:noProof/>
                <w:webHidden/>
              </w:rPr>
              <w:instrText xml:space="preserve"> PAGEREF _Toc203722697 \h </w:instrText>
            </w:r>
            <w:r>
              <w:rPr>
                <w:noProof/>
                <w:webHidden/>
              </w:rPr>
            </w:r>
            <w:r>
              <w:rPr>
                <w:noProof/>
                <w:webHidden/>
              </w:rPr>
              <w:fldChar w:fldCharType="separate"/>
            </w:r>
            <w:r w:rsidR="002C3EA4">
              <w:rPr>
                <w:noProof/>
                <w:webHidden/>
              </w:rPr>
              <w:t>12</w:t>
            </w:r>
            <w:r>
              <w:rPr>
                <w:noProof/>
                <w:webHidden/>
              </w:rPr>
              <w:fldChar w:fldCharType="end"/>
            </w:r>
          </w:hyperlink>
        </w:p>
        <w:p w14:paraId="5243FB34" w14:textId="5E5BBEC1" w:rsidR="00D56759" w:rsidRDefault="00D56759">
          <w:pPr>
            <w:pStyle w:val="TOC2"/>
            <w:tabs>
              <w:tab w:val="right" w:leader="dot" w:pos="9016"/>
            </w:tabs>
            <w:rPr>
              <w:rFonts w:eastAsiaTheme="minorEastAsia" w:cstheme="minorBidi"/>
              <w:smallCaps w:val="0"/>
              <w:noProof/>
              <w:kern w:val="2"/>
              <w:sz w:val="24"/>
              <w:lang w:eastAsia="en-AU"/>
              <w14:ligatures w14:val="standardContextual"/>
            </w:rPr>
          </w:pPr>
          <w:hyperlink w:anchor="_Toc203722698" w:history="1">
            <w:r w:rsidRPr="00530DE6">
              <w:rPr>
                <w:rStyle w:val="Hyperlink"/>
                <w:noProof/>
              </w:rPr>
              <w:t>Estimates of total removals</w:t>
            </w:r>
            <w:r>
              <w:rPr>
                <w:noProof/>
                <w:webHidden/>
              </w:rPr>
              <w:tab/>
            </w:r>
            <w:r>
              <w:rPr>
                <w:noProof/>
                <w:webHidden/>
              </w:rPr>
              <w:fldChar w:fldCharType="begin"/>
            </w:r>
            <w:r>
              <w:rPr>
                <w:noProof/>
                <w:webHidden/>
              </w:rPr>
              <w:instrText xml:space="preserve"> PAGEREF _Toc203722698 \h </w:instrText>
            </w:r>
            <w:r>
              <w:rPr>
                <w:noProof/>
                <w:webHidden/>
              </w:rPr>
            </w:r>
            <w:r>
              <w:rPr>
                <w:noProof/>
                <w:webHidden/>
              </w:rPr>
              <w:fldChar w:fldCharType="separate"/>
            </w:r>
            <w:r w:rsidR="002C3EA4">
              <w:rPr>
                <w:noProof/>
                <w:webHidden/>
              </w:rPr>
              <w:t>12</w:t>
            </w:r>
            <w:r>
              <w:rPr>
                <w:noProof/>
                <w:webHidden/>
              </w:rPr>
              <w:fldChar w:fldCharType="end"/>
            </w:r>
          </w:hyperlink>
        </w:p>
        <w:p w14:paraId="1508CDE3" w14:textId="44B6FA10" w:rsidR="00D56759" w:rsidRDefault="00D56759">
          <w:pPr>
            <w:pStyle w:val="TOC2"/>
            <w:tabs>
              <w:tab w:val="right" w:leader="dot" w:pos="9016"/>
            </w:tabs>
            <w:rPr>
              <w:rFonts w:eastAsiaTheme="minorEastAsia" w:cstheme="minorBidi"/>
              <w:smallCaps w:val="0"/>
              <w:noProof/>
              <w:kern w:val="2"/>
              <w:sz w:val="24"/>
              <w:lang w:eastAsia="en-AU"/>
              <w14:ligatures w14:val="standardContextual"/>
            </w:rPr>
          </w:pPr>
          <w:hyperlink w:anchor="_Toc203722699" w:history="1">
            <w:r w:rsidRPr="00530DE6">
              <w:rPr>
                <w:rStyle w:val="Hyperlink"/>
                <w:noProof/>
              </w:rPr>
              <w:t>Indicator byproduct species</w:t>
            </w:r>
            <w:r>
              <w:rPr>
                <w:noProof/>
                <w:webHidden/>
              </w:rPr>
              <w:tab/>
            </w:r>
            <w:r>
              <w:rPr>
                <w:noProof/>
                <w:webHidden/>
              </w:rPr>
              <w:fldChar w:fldCharType="begin"/>
            </w:r>
            <w:r>
              <w:rPr>
                <w:noProof/>
                <w:webHidden/>
              </w:rPr>
              <w:instrText xml:space="preserve"> PAGEREF _Toc203722699 \h </w:instrText>
            </w:r>
            <w:r>
              <w:rPr>
                <w:noProof/>
                <w:webHidden/>
              </w:rPr>
            </w:r>
            <w:r>
              <w:rPr>
                <w:noProof/>
                <w:webHidden/>
              </w:rPr>
              <w:fldChar w:fldCharType="separate"/>
            </w:r>
            <w:r w:rsidR="002C3EA4">
              <w:rPr>
                <w:noProof/>
                <w:webHidden/>
              </w:rPr>
              <w:t>13</w:t>
            </w:r>
            <w:r>
              <w:rPr>
                <w:noProof/>
                <w:webHidden/>
              </w:rPr>
              <w:fldChar w:fldCharType="end"/>
            </w:r>
          </w:hyperlink>
        </w:p>
        <w:p w14:paraId="0DCF48B2" w14:textId="442C0675" w:rsidR="00D56759" w:rsidRDefault="00D56759">
          <w:pPr>
            <w:pStyle w:val="TOC1"/>
            <w:rPr>
              <w:rFonts w:eastAsiaTheme="minorEastAsia" w:cstheme="minorBidi"/>
              <w:b w:val="0"/>
              <w:bCs w:val="0"/>
              <w:caps w:val="0"/>
              <w:noProof/>
              <w:kern w:val="2"/>
              <w:sz w:val="24"/>
              <w:lang w:eastAsia="en-AU"/>
              <w14:ligatures w14:val="standardContextual"/>
            </w:rPr>
          </w:pPr>
          <w:hyperlink w:anchor="_Toc203722700" w:history="1">
            <w:r w:rsidRPr="00530DE6">
              <w:rPr>
                <w:rStyle w:val="Hyperlink"/>
                <w:noProof/>
              </w:rPr>
              <w:t>Bycatch</w:t>
            </w:r>
            <w:r>
              <w:rPr>
                <w:noProof/>
                <w:webHidden/>
              </w:rPr>
              <w:tab/>
            </w:r>
            <w:r>
              <w:rPr>
                <w:noProof/>
                <w:webHidden/>
              </w:rPr>
              <w:fldChar w:fldCharType="begin"/>
            </w:r>
            <w:r>
              <w:rPr>
                <w:noProof/>
                <w:webHidden/>
              </w:rPr>
              <w:instrText xml:space="preserve"> PAGEREF _Toc203722700 \h </w:instrText>
            </w:r>
            <w:r>
              <w:rPr>
                <w:noProof/>
                <w:webHidden/>
              </w:rPr>
            </w:r>
            <w:r>
              <w:rPr>
                <w:noProof/>
                <w:webHidden/>
              </w:rPr>
              <w:fldChar w:fldCharType="separate"/>
            </w:r>
            <w:r w:rsidR="002C3EA4">
              <w:rPr>
                <w:noProof/>
                <w:webHidden/>
              </w:rPr>
              <w:t>14</w:t>
            </w:r>
            <w:r>
              <w:rPr>
                <w:noProof/>
                <w:webHidden/>
              </w:rPr>
              <w:fldChar w:fldCharType="end"/>
            </w:r>
          </w:hyperlink>
        </w:p>
        <w:p w14:paraId="64249639" w14:textId="79BF655A" w:rsidR="00D56759" w:rsidRDefault="00D56759">
          <w:pPr>
            <w:pStyle w:val="TOC2"/>
            <w:tabs>
              <w:tab w:val="right" w:leader="dot" w:pos="9016"/>
            </w:tabs>
            <w:rPr>
              <w:rFonts w:eastAsiaTheme="minorEastAsia" w:cstheme="minorBidi"/>
              <w:smallCaps w:val="0"/>
              <w:noProof/>
              <w:kern w:val="2"/>
              <w:sz w:val="24"/>
              <w:lang w:eastAsia="en-AU"/>
              <w14:ligatures w14:val="standardContextual"/>
            </w:rPr>
          </w:pPr>
          <w:hyperlink w:anchor="_Toc203722701" w:history="1">
            <w:r w:rsidRPr="00530DE6">
              <w:rPr>
                <w:rStyle w:val="Hyperlink"/>
                <w:noProof/>
              </w:rPr>
              <w:t>Bycatch composition</w:t>
            </w:r>
            <w:r>
              <w:rPr>
                <w:noProof/>
                <w:webHidden/>
              </w:rPr>
              <w:tab/>
            </w:r>
            <w:r>
              <w:rPr>
                <w:noProof/>
                <w:webHidden/>
              </w:rPr>
              <w:fldChar w:fldCharType="begin"/>
            </w:r>
            <w:r>
              <w:rPr>
                <w:noProof/>
                <w:webHidden/>
              </w:rPr>
              <w:instrText xml:space="preserve"> PAGEREF _Toc203722701 \h </w:instrText>
            </w:r>
            <w:r>
              <w:rPr>
                <w:noProof/>
                <w:webHidden/>
              </w:rPr>
            </w:r>
            <w:r>
              <w:rPr>
                <w:noProof/>
                <w:webHidden/>
              </w:rPr>
              <w:fldChar w:fldCharType="separate"/>
            </w:r>
            <w:r w:rsidR="002C3EA4">
              <w:rPr>
                <w:noProof/>
                <w:webHidden/>
              </w:rPr>
              <w:t>14</w:t>
            </w:r>
            <w:r>
              <w:rPr>
                <w:noProof/>
                <w:webHidden/>
              </w:rPr>
              <w:fldChar w:fldCharType="end"/>
            </w:r>
          </w:hyperlink>
        </w:p>
        <w:p w14:paraId="6AA4066F" w14:textId="20CE9095" w:rsidR="00D56759" w:rsidRDefault="00D56759">
          <w:pPr>
            <w:pStyle w:val="TOC2"/>
            <w:tabs>
              <w:tab w:val="right" w:leader="dot" w:pos="9016"/>
            </w:tabs>
            <w:rPr>
              <w:rFonts w:eastAsiaTheme="minorEastAsia" w:cstheme="minorBidi"/>
              <w:smallCaps w:val="0"/>
              <w:noProof/>
              <w:kern w:val="2"/>
              <w:sz w:val="24"/>
              <w:lang w:eastAsia="en-AU"/>
              <w14:ligatures w14:val="standardContextual"/>
            </w:rPr>
          </w:pPr>
          <w:hyperlink w:anchor="_Toc203722702" w:history="1">
            <w:r w:rsidRPr="00530DE6">
              <w:rPr>
                <w:rStyle w:val="Hyperlink"/>
                <w:noProof/>
              </w:rPr>
              <w:t>Risk assessment on the effects of fishing on bycatch</w:t>
            </w:r>
            <w:r>
              <w:rPr>
                <w:noProof/>
                <w:webHidden/>
              </w:rPr>
              <w:tab/>
            </w:r>
            <w:r>
              <w:rPr>
                <w:noProof/>
                <w:webHidden/>
              </w:rPr>
              <w:fldChar w:fldCharType="begin"/>
            </w:r>
            <w:r>
              <w:rPr>
                <w:noProof/>
                <w:webHidden/>
              </w:rPr>
              <w:instrText xml:space="preserve"> PAGEREF _Toc203722702 \h </w:instrText>
            </w:r>
            <w:r>
              <w:rPr>
                <w:noProof/>
                <w:webHidden/>
              </w:rPr>
            </w:r>
            <w:r>
              <w:rPr>
                <w:noProof/>
                <w:webHidden/>
              </w:rPr>
              <w:fldChar w:fldCharType="separate"/>
            </w:r>
            <w:r w:rsidR="002C3EA4">
              <w:rPr>
                <w:noProof/>
                <w:webHidden/>
              </w:rPr>
              <w:t>14</w:t>
            </w:r>
            <w:r>
              <w:rPr>
                <w:noProof/>
                <w:webHidden/>
              </w:rPr>
              <w:fldChar w:fldCharType="end"/>
            </w:r>
          </w:hyperlink>
        </w:p>
        <w:p w14:paraId="3197C896" w14:textId="61A50A95" w:rsidR="00D56759" w:rsidRDefault="00D56759">
          <w:pPr>
            <w:pStyle w:val="TOC2"/>
            <w:tabs>
              <w:tab w:val="right" w:leader="dot" w:pos="9016"/>
            </w:tabs>
            <w:rPr>
              <w:rFonts w:eastAsiaTheme="minorEastAsia" w:cstheme="minorBidi"/>
              <w:smallCaps w:val="0"/>
              <w:noProof/>
              <w:kern w:val="2"/>
              <w:sz w:val="24"/>
              <w:lang w:eastAsia="en-AU"/>
              <w14:ligatures w14:val="standardContextual"/>
            </w:rPr>
          </w:pPr>
          <w:hyperlink w:anchor="_Toc203722703" w:history="1">
            <w:r w:rsidRPr="00530DE6">
              <w:rPr>
                <w:rStyle w:val="Hyperlink"/>
                <w:noProof/>
              </w:rPr>
              <w:t>Bycatch mitigation measures</w:t>
            </w:r>
            <w:r>
              <w:rPr>
                <w:noProof/>
                <w:webHidden/>
              </w:rPr>
              <w:tab/>
            </w:r>
            <w:r>
              <w:rPr>
                <w:noProof/>
                <w:webHidden/>
              </w:rPr>
              <w:fldChar w:fldCharType="begin"/>
            </w:r>
            <w:r>
              <w:rPr>
                <w:noProof/>
                <w:webHidden/>
              </w:rPr>
              <w:instrText xml:space="preserve"> PAGEREF _Toc203722703 \h </w:instrText>
            </w:r>
            <w:r>
              <w:rPr>
                <w:noProof/>
                <w:webHidden/>
              </w:rPr>
            </w:r>
            <w:r>
              <w:rPr>
                <w:noProof/>
                <w:webHidden/>
              </w:rPr>
              <w:fldChar w:fldCharType="separate"/>
            </w:r>
            <w:r w:rsidR="002C3EA4">
              <w:rPr>
                <w:noProof/>
                <w:webHidden/>
              </w:rPr>
              <w:t>14</w:t>
            </w:r>
            <w:r>
              <w:rPr>
                <w:noProof/>
                <w:webHidden/>
              </w:rPr>
              <w:fldChar w:fldCharType="end"/>
            </w:r>
          </w:hyperlink>
        </w:p>
        <w:p w14:paraId="26F6EA6D" w14:textId="2D585852" w:rsidR="00D56759" w:rsidRDefault="00D56759">
          <w:pPr>
            <w:pStyle w:val="TOC2"/>
            <w:tabs>
              <w:tab w:val="right" w:leader="dot" w:pos="9016"/>
            </w:tabs>
            <w:rPr>
              <w:rFonts w:eastAsiaTheme="minorEastAsia" w:cstheme="minorBidi"/>
              <w:smallCaps w:val="0"/>
              <w:noProof/>
              <w:kern w:val="2"/>
              <w:sz w:val="24"/>
              <w:lang w:eastAsia="en-AU"/>
              <w14:ligatures w14:val="standardContextual"/>
            </w:rPr>
          </w:pPr>
          <w:hyperlink w:anchor="_Toc203722704" w:history="1">
            <w:r w:rsidRPr="00530DE6">
              <w:rPr>
                <w:rStyle w:val="Hyperlink"/>
                <w:noProof/>
              </w:rPr>
              <w:t>Indicator bycatch species</w:t>
            </w:r>
            <w:r>
              <w:rPr>
                <w:noProof/>
                <w:webHidden/>
              </w:rPr>
              <w:tab/>
            </w:r>
            <w:r>
              <w:rPr>
                <w:noProof/>
                <w:webHidden/>
              </w:rPr>
              <w:fldChar w:fldCharType="begin"/>
            </w:r>
            <w:r>
              <w:rPr>
                <w:noProof/>
                <w:webHidden/>
              </w:rPr>
              <w:instrText xml:space="preserve"> PAGEREF _Toc203722704 \h </w:instrText>
            </w:r>
            <w:r>
              <w:rPr>
                <w:noProof/>
                <w:webHidden/>
              </w:rPr>
            </w:r>
            <w:r>
              <w:rPr>
                <w:noProof/>
                <w:webHidden/>
              </w:rPr>
              <w:fldChar w:fldCharType="separate"/>
            </w:r>
            <w:r w:rsidR="002C3EA4">
              <w:rPr>
                <w:noProof/>
                <w:webHidden/>
              </w:rPr>
              <w:t>14</w:t>
            </w:r>
            <w:r>
              <w:rPr>
                <w:noProof/>
                <w:webHidden/>
              </w:rPr>
              <w:fldChar w:fldCharType="end"/>
            </w:r>
          </w:hyperlink>
        </w:p>
        <w:p w14:paraId="698C1975" w14:textId="2871F0CF" w:rsidR="00D56759" w:rsidRDefault="00D56759">
          <w:pPr>
            <w:pStyle w:val="TOC2"/>
            <w:tabs>
              <w:tab w:val="right" w:leader="dot" w:pos="9016"/>
            </w:tabs>
            <w:rPr>
              <w:rFonts w:eastAsiaTheme="minorEastAsia" w:cstheme="minorBidi"/>
              <w:smallCaps w:val="0"/>
              <w:noProof/>
              <w:kern w:val="2"/>
              <w:sz w:val="24"/>
              <w:lang w:eastAsia="en-AU"/>
              <w14:ligatures w14:val="standardContextual"/>
            </w:rPr>
          </w:pPr>
          <w:hyperlink w:anchor="_Toc203722705" w:history="1">
            <w:r w:rsidRPr="00530DE6">
              <w:rPr>
                <w:rStyle w:val="Hyperlink"/>
                <w:noProof/>
              </w:rPr>
              <w:t>Management actions</w:t>
            </w:r>
            <w:r>
              <w:rPr>
                <w:noProof/>
                <w:webHidden/>
              </w:rPr>
              <w:tab/>
            </w:r>
            <w:r>
              <w:rPr>
                <w:noProof/>
                <w:webHidden/>
              </w:rPr>
              <w:fldChar w:fldCharType="begin"/>
            </w:r>
            <w:r>
              <w:rPr>
                <w:noProof/>
                <w:webHidden/>
              </w:rPr>
              <w:instrText xml:space="preserve"> PAGEREF _Toc203722705 \h </w:instrText>
            </w:r>
            <w:r>
              <w:rPr>
                <w:noProof/>
                <w:webHidden/>
              </w:rPr>
            </w:r>
            <w:r>
              <w:rPr>
                <w:noProof/>
                <w:webHidden/>
              </w:rPr>
              <w:fldChar w:fldCharType="separate"/>
            </w:r>
            <w:r w:rsidR="002C3EA4">
              <w:rPr>
                <w:noProof/>
                <w:webHidden/>
              </w:rPr>
              <w:t>14</w:t>
            </w:r>
            <w:r>
              <w:rPr>
                <w:noProof/>
                <w:webHidden/>
              </w:rPr>
              <w:fldChar w:fldCharType="end"/>
            </w:r>
          </w:hyperlink>
        </w:p>
        <w:p w14:paraId="3EB990BE" w14:textId="6CA9A535" w:rsidR="00D56759" w:rsidRDefault="00D56759">
          <w:pPr>
            <w:pStyle w:val="TOC1"/>
            <w:rPr>
              <w:rFonts w:eastAsiaTheme="minorEastAsia" w:cstheme="minorBidi"/>
              <w:b w:val="0"/>
              <w:bCs w:val="0"/>
              <w:caps w:val="0"/>
              <w:noProof/>
              <w:kern w:val="2"/>
              <w:sz w:val="24"/>
              <w:lang w:eastAsia="en-AU"/>
              <w14:ligatures w14:val="standardContextual"/>
            </w:rPr>
          </w:pPr>
          <w:hyperlink w:anchor="_Toc203722706" w:history="1">
            <w:r w:rsidRPr="00530DE6">
              <w:rPr>
                <w:rStyle w:val="Hyperlink"/>
                <w:noProof/>
              </w:rPr>
              <w:t>Protected species and threatened ecological communities</w:t>
            </w:r>
            <w:r>
              <w:rPr>
                <w:noProof/>
                <w:webHidden/>
              </w:rPr>
              <w:tab/>
            </w:r>
            <w:r>
              <w:rPr>
                <w:noProof/>
                <w:webHidden/>
              </w:rPr>
              <w:fldChar w:fldCharType="begin"/>
            </w:r>
            <w:r>
              <w:rPr>
                <w:noProof/>
                <w:webHidden/>
              </w:rPr>
              <w:instrText xml:space="preserve"> PAGEREF _Toc203722706 \h </w:instrText>
            </w:r>
            <w:r>
              <w:rPr>
                <w:noProof/>
                <w:webHidden/>
              </w:rPr>
            </w:r>
            <w:r>
              <w:rPr>
                <w:noProof/>
                <w:webHidden/>
              </w:rPr>
              <w:fldChar w:fldCharType="separate"/>
            </w:r>
            <w:r w:rsidR="002C3EA4">
              <w:rPr>
                <w:noProof/>
                <w:webHidden/>
              </w:rPr>
              <w:t>14</w:t>
            </w:r>
            <w:r>
              <w:rPr>
                <w:noProof/>
                <w:webHidden/>
              </w:rPr>
              <w:fldChar w:fldCharType="end"/>
            </w:r>
          </w:hyperlink>
        </w:p>
        <w:p w14:paraId="6FF2B0CC" w14:textId="37052587" w:rsidR="00D56759" w:rsidRDefault="00D56759">
          <w:pPr>
            <w:pStyle w:val="TOC2"/>
            <w:tabs>
              <w:tab w:val="right" w:leader="dot" w:pos="9016"/>
            </w:tabs>
            <w:rPr>
              <w:rFonts w:eastAsiaTheme="minorEastAsia" w:cstheme="minorBidi"/>
              <w:smallCaps w:val="0"/>
              <w:noProof/>
              <w:kern w:val="2"/>
              <w:sz w:val="24"/>
              <w:lang w:eastAsia="en-AU"/>
              <w14:ligatures w14:val="standardContextual"/>
            </w:rPr>
          </w:pPr>
          <w:hyperlink w:anchor="_Toc203722707" w:history="1">
            <w:r w:rsidRPr="00530DE6">
              <w:rPr>
                <w:rStyle w:val="Hyperlink"/>
                <w:noProof/>
              </w:rPr>
              <w:t>Fishery impacts on protected species and communities</w:t>
            </w:r>
            <w:r>
              <w:rPr>
                <w:noProof/>
                <w:webHidden/>
              </w:rPr>
              <w:tab/>
            </w:r>
            <w:r>
              <w:rPr>
                <w:noProof/>
                <w:webHidden/>
              </w:rPr>
              <w:fldChar w:fldCharType="begin"/>
            </w:r>
            <w:r>
              <w:rPr>
                <w:noProof/>
                <w:webHidden/>
              </w:rPr>
              <w:instrText xml:space="preserve"> PAGEREF _Toc203722707 \h </w:instrText>
            </w:r>
            <w:r>
              <w:rPr>
                <w:noProof/>
                <w:webHidden/>
              </w:rPr>
            </w:r>
            <w:r>
              <w:rPr>
                <w:noProof/>
                <w:webHidden/>
              </w:rPr>
              <w:fldChar w:fldCharType="separate"/>
            </w:r>
            <w:r w:rsidR="002C3EA4">
              <w:rPr>
                <w:noProof/>
                <w:webHidden/>
              </w:rPr>
              <w:t>14</w:t>
            </w:r>
            <w:r>
              <w:rPr>
                <w:noProof/>
                <w:webHidden/>
              </w:rPr>
              <w:fldChar w:fldCharType="end"/>
            </w:r>
          </w:hyperlink>
        </w:p>
        <w:p w14:paraId="4C7571E7" w14:textId="777238B2" w:rsidR="00D56759" w:rsidRDefault="00D56759">
          <w:pPr>
            <w:pStyle w:val="TOC2"/>
            <w:tabs>
              <w:tab w:val="right" w:leader="dot" w:pos="9016"/>
            </w:tabs>
            <w:rPr>
              <w:rFonts w:eastAsiaTheme="minorEastAsia" w:cstheme="minorBidi"/>
              <w:smallCaps w:val="0"/>
              <w:noProof/>
              <w:kern w:val="2"/>
              <w:sz w:val="24"/>
              <w:lang w:eastAsia="en-AU"/>
              <w14:ligatures w14:val="standardContextual"/>
            </w:rPr>
          </w:pPr>
          <w:hyperlink w:anchor="_Toc203722708" w:history="1">
            <w:r w:rsidRPr="00530DE6">
              <w:rPr>
                <w:rStyle w:val="Hyperlink"/>
                <w:noProof/>
              </w:rPr>
              <w:t>Mitigating risks to protected species and communities</w:t>
            </w:r>
            <w:r>
              <w:rPr>
                <w:noProof/>
                <w:webHidden/>
              </w:rPr>
              <w:tab/>
            </w:r>
            <w:r>
              <w:rPr>
                <w:noProof/>
                <w:webHidden/>
              </w:rPr>
              <w:fldChar w:fldCharType="begin"/>
            </w:r>
            <w:r>
              <w:rPr>
                <w:noProof/>
                <w:webHidden/>
              </w:rPr>
              <w:instrText xml:space="preserve"> PAGEREF _Toc203722708 \h </w:instrText>
            </w:r>
            <w:r>
              <w:rPr>
                <w:noProof/>
                <w:webHidden/>
              </w:rPr>
            </w:r>
            <w:r>
              <w:rPr>
                <w:noProof/>
                <w:webHidden/>
              </w:rPr>
              <w:fldChar w:fldCharType="separate"/>
            </w:r>
            <w:r w:rsidR="002C3EA4">
              <w:rPr>
                <w:noProof/>
                <w:webHidden/>
              </w:rPr>
              <w:t>15</w:t>
            </w:r>
            <w:r>
              <w:rPr>
                <w:noProof/>
                <w:webHidden/>
              </w:rPr>
              <w:fldChar w:fldCharType="end"/>
            </w:r>
          </w:hyperlink>
        </w:p>
        <w:p w14:paraId="509F850E" w14:textId="3F597381" w:rsidR="00D56759" w:rsidRDefault="00D56759">
          <w:pPr>
            <w:pStyle w:val="TOC2"/>
            <w:tabs>
              <w:tab w:val="right" w:leader="dot" w:pos="9016"/>
            </w:tabs>
            <w:rPr>
              <w:rFonts w:eastAsiaTheme="minorEastAsia" w:cstheme="minorBidi"/>
              <w:smallCaps w:val="0"/>
              <w:noProof/>
              <w:kern w:val="2"/>
              <w:sz w:val="24"/>
              <w:lang w:eastAsia="en-AU"/>
              <w14:ligatures w14:val="standardContextual"/>
            </w:rPr>
          </w:pPr>
          <w:hyperlink w:anchor="_Toc203722709" w:history="1">
            <w:r w:rsidRPr="00530DE6">
              <w:rPr>
                <w:rStyle w:val="Hyperlink"/>
                <w:noProof/>
              </w:rPr>
              <w:t>CITES-listed species</w:t>
            </w:r>
            <w:r>
              <w:rPr>
                <w:noProof/>
                <w:webHidden/>
              </w:rPr>
              <w:tab/>
            </w:r>
            <w:r>
              <w:rPr>
                <w:noProof/>
                <w:webHidden/>
              </w:rPr>
              <w:fldChar w:fldCharType="begin"/>
            </w:r>
            <w:r>
              <w:rPr>
                <w:noProof/>
                <w:webHidden/>
              </w:rPr>
              <w:instrText xml:space="preserve"> PAGEREF _Toc203722709 \h </w:instrText>
            </w:r>
            <w:r>
              <w:rPr>
                <w:noProof/>
                <w:webHidden/>
              </w:rPr>
            </w:r>
            <w:r>
              <w:rPr>
                <w:noProof/>
                <w:webHidden/>
              </w:rPr>
              <w:fldChar w:fldCharType="separate"/>
            </w:r>
            <w:r w:rsidR="002C3EA4">
              <w:rPr>
                <w:noProof/>
                <w:webHidden/>
              </w:rPr>
              <w:t>16</w:t>
            </w:r>
            <w:r>
              <w:rPr>
                <w:noProof/>
                <w:webHidden/>
              </w:rPr>
              <w:fldChar w:fldCharType="end"/>
            </w:r>
          </w:hyperlink>
        </w:p>
        <w:p w14:paraId="12C057A2" w14:textId="4E9B6569" w:rsidR="00D56759" w:rsidRDefault="00D56759">
          <w:pPr>
            <w:pStyle w:val="TOC1"/>
            <w:rPr>
              <w:rFonts w:eastAsiaTheme="minorEastAsia" w:cstheme="minorBidi"/>
              <w:b w:val="0"/>
              <w:bCs w:val="0"/>
              <w:caps w:val="0"/>
              <w:noProof/>
              <w:kern w:val="2"/>
              <w:sz w:val="24"/>
              <w:lang w:eastAsia="en-AU"/>
              <w14:ligatures w14:val="standardContextual"/>
            </w:rPr>
          </w:pPr>
          <w:hyperlink w:anchor="_Toc203722710" w:history="1">
            <w:r w:rsidRPr="00530DE6">
              <w:rPr>
                <w:rStyle w:val="Hyperlink"/>
                <w:noProof/>
              </w:rPr>
              <w:t>Ecosystem</w:t>
            </w:r>
            <w:r>
              <w:rPr>
                <w:noProof/>
                <w:webHidden/>
              </w:rPr>
              <w:tab/>
            </w:r>
            <w:r>
              <w:rPr>
                <w:noProof/>
                <w:webHidden/>
              </w:rPr>
              <w:fldChar w:fldCharType="begin"/>
            </w:r>
            <w:r>
              <w:rPr>
                <w:noProof/>
                <w:webHidden/>
              </w:rPr>
              <w:instrText xml:space="preserve"> PAGEREF _Toc203722710 \h </w:instrText>
            </w:r>
            <w:r>
              <w:rPr>
                <w:noProof/>
                <w:webHidden/>
              </w:rPr>
            </w:r>
            <w:r>
              <w:rPr>
                <w:noProof/>
                <w:webHidden/>
              </w:rPr>
              <w:fldChar w:fldCharType="separate"/>
            </w:r>
            <w:r w:rsidR="002C3EA4">
              <w:rPr>
                <w:noProof/>
                <w:webHidden/>
              </w:rPr>
              <w:t>16</w:t>
            </w:r>
            <w:r>
              <w:rPr>
                <w:noProof/>
                <w:webHidden/>
              </w:rPr>
              <w:fldChar w:fldCharType="end"/>
            </w:r>
          </w:hyperlink>
        </w:p>
        <w:p w14:paraId="77EEAAC1" w14:textId="7F85405F" w:rsidR="00D56759" w:rsidRDefault="00D56759">
          <w:pPr>
            <w:pStyle w:val="TOC2"/>
            <w:tabs>
              <w:tab w:val="right" w:leader="dot" w:pos="9016"/>
            </w:tabs>
            <w:rPr>
              <w:rFonts w:eastAsiaTheme="minorEastAsia" w:cstheme="minorBidi"/>
              <w:smallCaps w:val="0"/>
              <w:noProof/>
              <w:kern w:val="2"/>
              <w:sz w:val="24"/>
              <w:lang w:eastAsia="en-AU"/>
              <w14:ligatures w14:val="standardContextual"/>
            </w:rPr>
          </w:pPr>
          <w:hyperlink w:anchor="_Toc203722711" w:history="1">
            <w:r w:rsidRPr="00530DE6">
              <w:rPr>
                <w:rStyle w:val="Hyperlink"/>
                <w:noProof/>
              </w:rPr>
              <w:t>Ecosystem management actions</w:t>
            </w:r>
            <w:r>
              <w:rPr>
                <w:noProof/>
                <w:webHidden/>
              </w:rPr>
              <w:tab/>
            </w:r>
            <w:r>
              <w:rPr>
                <w:noProof/>
                <w:webHidden/>
              </w:rPr>
              <w:fldChar w:fldCharType="begin"/>
            </w:r>
            <w:r>
              <w:rPr>
                <w:noProof/>
                <w:webHidden/>
              </w:rPr>
              <w:instrText xml:space="preserve"> PAGEREF _Toc203722711 \h </w:instrText>
            </w:r>
            <w:r>
              <w:rPr>
                <w:noProof/>
                <w:webHidden/>
              </w:rPr>
            </w:r>
            <w:r>
              <w:rPr>
                <w:noProof/>
                <w:webHidden/>
              </w:rPr>
              <w:fldChar w:fldCharType="separate"/>
            </w:r>
            <w:r w:rsidR="002C3EA4">
              <w:rPr>
                <w:noProof/>
                <w:webHidden/>
              </w:rPr>
              <w:t>16</w:t>
            </w:r>
            <w:r>
              <w:rPr>
                <w:noProof/>
                <w:webHidden/>
              </w:rPr>
              <w:fldChar w:fldCharType="end"/>
            </w:r>
          </w:hyperlink>
        </w:p>
        <w:p w14:paraId="1A19A434" w14:textId="3CAC630F" w:rsidR="00D56759" w:rsidRDefault="00D56759">
          <w:pPr>
            <w:pStyle w:val="TOC2"/>
            <w:tabs>
              <w:tab w:val="right" w:leader="dot" w:pos="9016"/>
            </w:tabs>
            <w:rPr>
              <w:rFonts w:eastAsiaTheme="minorEastAsia" w:cstheme="minorBidi"/>
              <w:smallCaps w:val="0"/>
              <w:noProof/>
              <w:kern w:val="2"/>
              <w:sz w:val="24"/>
              <w:lang w:eastAsia="en-AU"/>
              <w14:ligatures w14:val="standardContextual"/>
            </w:rPr>
          </w:pPr>
          <w:hyperlink w:anchor="_Toc203722712" w:history="1">
            <w:r w:rsidRPr="00530DE6">
              <w:rPr>
                <w:rStyle w:val="Hyperlink"/>
                <w:noProof/>
              </w:rPr>
              <w:t>Management responses</w:t>
            </w:r>
            <w:r>
              <w:rPr>
                <w:noProof/>
                <w:webHidden/>
              </w:rPr>
              <w:tab/>
            </w:r>
            <w:r>
              <w:rPr>
                <w:noProof/>
                <w:webHidden/>
              </w:rPr>
              <w:fldChar w:fldCharType="begin"/>
            </w:r>
            <w:r>
              <w:rPr>
                <w:noProof/>
                <w:webHidden/>
              </w:rPr>
              <w:instrText xml:space="preserve"> PAGEREF _Toc203722712 \h </w:instrText>
            </w:r>
            <w:r>
              <w:rPr>
                <w:noProof/>
                <w:webHidden/>
              </w:rPr>
            </w:r>
            <w:r>
              <w:rPr>
                <w:noProof/>
                <w:webHidden/>
              </w:rPr>
              <w:fldChar w:fldCharType="separate"/>
            </w:r>
            <w:r w:rsidR="002C3EA4">
              <w:rPr>
                <w:noProof/>
                <w:webHidden/>
              </w:rPr>
              <w:t>16</w:t>
            </w:r>
            <w:r>
              <w:rPr>
                <w:noProof/>
                <w:webHidden/>
              </w:rPr>
              <w:fldChar w:fldCharType="end"/>
            </w:r>
          </w:hyperlink>
        </w:p>
        <w:p w14:paraId="64BD1C8E" w14:textId="718CE622" w:rsidR="00D56759" w:rsidRDefault="00D56759">
          <w:pPr>
            <w:pStyle w:val="TOC2"/>
            <w:tabs>
              <w:tab w:val="right" w:leader="dot" w:pos="9016"/>
            </w:tabs>
            <w:rPr>
              <w:rFonts w:eastAsiaTheme="minorEastAsia" w:cstheme="minorBidi"/>
              <w:smallCaps w:val="0"/>
              <w:noProof/>
              <w:kern w:val="2"/>
              <w:sz w:val="24"/>
              <w:lang w:eastAsia="en-AU"/>
              <w14:ligatures w14:val="standardContextual"/>
            </w:rPr>
          </w:pPr>
          <w:hyperlink w:anchor="_Toc203722713" w:history="1">
            <w:r w:rsidRPr="00530DE6">
              <w:rPr>
                <w:rStyle w:val="Hyperlink"/>
                <w:noProof/>
              </w:rPr>
              <w:t>Marine bioregional plans</w:t>
            </w:r>
            <w:r>
              <w:rPr>
                <w:noProof/>
                <w:webHidden/>
              </w:rPr>
              <w:tab/>
            </w:r>
            <w:r>
              <w:rPr>
                <w:noProof/>
                <w:webHidden/>
              </w:rPr>
              <w:fldChar w:fldCharType="begin"/>
            </w:r>
            <w:r>
              <w:rPr>
                <w:noProof/>
                <w:webHidden/>
              </w:rPr>
              <w:instrText xml:space="preserve"> PAGEREF _Toc203722713 \h </w:instrText>
            </w:r>
            <w:r>
              <w:rPr>
                <w:noProof/>
                <w:webHidden/>
              </w:rPr>
            </w:r>
            <w:r>
              <w:rPr>
                <w:noProof/>
                <w:webHidden/>
              </w:rPr>
              <w:fldChar w:fldCharType="separate"/>
            </w:r>
            <w:r w:rsidR="002C3EA4">
              <w:rPr>
                <w:noProof/>
                <w:webHidden/>
              </w:rPr>
              <w:t>17</w:t>
            </w:r>
            <w:r>
              <w:rPr>
                <w:noProof/>
                <w:webHidden/>
              </w:rPr>
              <w:fldChar w:fldCharType="end"/>
            </w:r>
          </w:hyperlink>
        </w:p>
        <w:p w14:paraId="45FD603B" w14:textId="637D77C1" w:rsidR="00D56759" w:rsidRDefault="00D56759">
          <w:pPr>
            <w:pStyle w:val="TOC1"/>
            <w:rPr>
              <w:rFonts w:eastAsiaTheme="minorEastAsia" w:cstheme="minorBidi"/>
              <w:b w:val="0"/>
              <w:bCs w:val="0"/>
              <w:caps w:val="0"/>
              <w:noProof/>
              <w:kern w:val="2"/>
              <w:sz w:val="24"/>
              <w:lang w:eastAsia="en-AU"/>
              <w14:ligatures w14:val="standardContextual"/>
            </w:rPr>
          </w:pPr>
          <w:hyperlink w:anchor="_Toc203722714" w:history="1">
            <w:r w:rsidRPr="00530DE6">
              <w:rPr>
                <w:rStyle w:val="Hyperlink"/>
                <w:noProof/>
              </w:rPr>
              <w:t>Research</w:t>
            </w:r>
            <w:r>
              <w:rPr>
                <w:noProof/>
                <w:webHidden/>
              </w:rPr>
              <w:tab/>
            </w:r>
            <w:r>
              <w:rPr>
                <w:noProof/>
                <w:webHidden/>
              </w:rPr>
              <w:fldChar w:fldCharType="begin"/>
            </w:r>
            <w:r>
              <w:rPr>
                <w:noProof/>
                <w:webHidden/>
              </w:rPr>
              <w:instrText xml:space="preserve"> PAGEREF _Toc203722714 \h </w:instrText>
            </w:r>
            <w:r>
              <w:rPr>
                <w:noProof/>
                <w:webHidden/>
              </w:rPr>
            </w:r>
            <w:r>
              <w:rPr>
                <w:noProof/>
                <w:webHidden/>
              </w:rPr>
              <w:fldChar w:fldCharType="separate"/>
            </w:r>
            <w:r w:rsidR="002C3EA4">
              <w:rPr>
                <w:noProof/>
                <w:webHidden/>
              </w:rPr>
              <w:t>17</w:t>
            </w:r>
            <w:r>
              <w:rPr>
                <w:noProof/>
                <w:webHidden/>
              </w:rPr>
              <w:fldChar w:fldCharType="end"/>
            </w:r>
          </w:hyperlink>
        </w:p>
        <w:p w14:paraId="24619FD0" w14:textId="3588F056" w:rsidR="00D56759" w:rsidRDefault="00D56759">
          <w:pPr>
            <w:pStyle w:val="TOC1"/>
            <w:rPr>
              <w:rFonts w:eastAsiaTheme="minorEastAsia" w:cstheme="minorBidi"/>
              <w:b w:val="0"/>
              <w:bCs w:val="0"/>
              <w:caps w:val="0"/>
              <w:noProof/>
              <w:kern w:val="2"/>
              <w:sz w:val="24"/>
              <w:lang w:eastAsia="en-AU"/>
              <w14:ligatures w14:val="standardContextual"/>
            </w:rPr>
          </w:pPr>
          <w:hyperlink w:anchor="_Toc203722715" w:history="1">
            <w:r w:rsidRPr="00530DE6">
              <w:rPr>
                <w:rStyle w:val="Hyperlink"/>
                <w:noProof/>
              </w:rPr>
              <w:t>Progress against current Conditions</w:t>
            </w:r>
            <w:r>
              <w:rPr>
                <w:noProof/>
                <w:webHidden/>
              </w:rPr>
              <w:tab/>
            </w:r>
            <w:r>
              <w:rPr>
                <w:noProof/>
                <w:webHidden/>
              </w:rPr>
              <w:fldChar w:fldCharType="begin"/>
            </w:r>
            <w:r>
              <w:rPr>
                <w:noProof/>
                <w:webHidden/>
              </w:rPr>
              <w:instrText xml:space="preserve"> PAGEREF _Toc203722715 \h </w:instrText>
            </w:r>
            <w:r>
              <w:rPr>
                <w:noProof/>
                <w:webHidden/>
              </w:rPr>
            </w:r>
            <w:r>
              <w:rPr>
                <w:noProof/>
                <w:webHidden/>
              </w:rPr>
              <w:fldChar w:fldCharType="separate"/>
            </w:r>
            <w:r w:rsidR="002C3EA4">
              <w:rPr>
                <w:noProof/>
                <w:webHidden/>
              </w:rPr>
              <w:t>19</w:t>
            </w:r>
            <w:r>
              <w:rPr>
                <w:noProof/>
                <w:webHidden/>
              </w:rPr>
              <w:fldChar w:fldCharType="end"/>
            </w:r>
          </w:hyperlink>
        </w:p>
        <w:p w14:paraId="503CA303" w14:textId="777F6C8C" w:rsidR="00D56759" w:rsidRDefault="00D56759">
          <w:pPr>
            <w:pStyle w:val="TOC1"/>
            <w:rPr>
              <w:rFonts w:eastAsiaTheme="minorEastAsia" w:cstheme="minorBidi"/>
              <w:b w:val="0"/>
              <w:bCs w:val="0"/>
              <w:caps w:val="0"/>
              <w:noProof/>
              <w:kern w:val="2"/>
              <w:sz w:val="24"/>
              <w:lang w:eastAsia="en-AU"/>
              <w14:ligatures w14:val="standardContextual"/>
            </w:rPr>
          </w:pPr>
          <w:hyperlink w:anchor="_Toc203722716" w:history="1">
            <w:r w:rsidRPr="00530DE6">
              <w:rPr>
                <w:rStyle w:val="Hyperlink"/>
                <w:noProof/>
              </w:rPr>
              <w:t>References</w:t>
            </w:r>
            <w:r>
              <w:rPr>
                <w:noProof/>
                <w:webHidden/>
              </w:rPr>
              <w:tab/>
            </w:r>
            <w:r>
              <w:rPr>
                <w:noProof/>
                <w:webHidden/>
              </w:rPr>
              <w:fldChar w:fldCharType="begin"/>
            </w:r>
            <w:r>
              <w:rPr>
                <w:noProof/>
                <w:webHidden/>
              </w:rPr>
              <w:instrText xml:space="preserve"> PAGEREF _Toc203722716 \h </w:instrText>
            </w:r>
            <w:r>
              <w:rPr>
                <w:noProof/>
                <w:webHidden/>
              </w:rPr>
            </w:r>
            <w:r>
              <w:rPr>
                <w:noProof/>
                <w:webHidden/>
              </w:rPr>
              <w:fldChar w:fldCharType="separate"/>
            </w:r>
            <w:r w:rsidR="002C3EA4">
              <w:rPr>
                <w:noProof/>
                <w:webHidden/>
              </w:rPr>
              <w:t>19</w:t>
            </w:r>
            <w:r>
              <w:rPr>
                <w:noProof/>
                <w:webHidden/>
              </w:rPr>
              <w:fldChar w:fldCharType="end"/>
            </w:r>
          </w:hyperlink>
        </w:p>
        <w:p w14:paraId="414689A0" w14:textId="7AB65B0A" w:rsidR="00D56759" w:rsidRDefault="00D56759">
          <w:pPr>
            <w:pStyle w:val="TOC1"/>
            <w:rPr>
              <w:rFonts w:eastAsiaTheme="minorEastAsia" w:cstheme="minorBidi"/>
              <w:b w:val="0"/>
              <w:bCs w:val="0"/>
              <w:caps w:val="0"/>
              <w:noProof/>
              <w:kern w:val="2"/>
              <w:sz w:val="24"/>
              <w:lang w:eastAsia="en-AU"/>
              <w14:ligatures w14:val="standardContextual"/>
            </w:rPr>
          </w:pPr>
          <w:hyperlink w:anchor="_Toc203722717" w:history="1">
            <w:r w:rsidRPr="00530DE6">
              <w:rPr>
                <w:rStyle w:val="Hyperlink"/>
                <w:noProof/>
              </w:rPr>
              <w:t>Appended Data Tables</w:t>
            </w:r>
            <w:r>
              <w:rPr>
                <w:noProof/>
                <w:webHidden/>
              </w:rPr>
              <w:tab/>
            </w:r>
            <w:r>
              <w:rPr>
                <w:noProof/>
                <w:webHidden/>
              </w:rPr>
              <w:fldChar w:fldCharType="begin"/>
            </w:r>
            <w:r>
              <w:rPr>
                <w:noProof/>
                <w:webHidden/>
              </w:rPr>
              <w:instrText xml:space="preserve"> PAGEREF _Toc203722717 \h </w:instrText>
            </w:r>
            <w:r>
              <w:rPr>
                <w:noProof/>
                <w:webHidden/>
              </w:rPr>
            </w:r>
            <w:r>
              <w:rPr>
                <w:noProof/>
                <w:webHidden/>
              </w:rPr>
              <w:fldChar w:fldCharType="separate"/>
            </w:r>
            <w:r w:rsidR="002C3EA4">
              <w:rPr>
                <w:noProof/>
                <w:webHidden/>
              </w:rPr>
              <w:t>20</w:t>
            </w:r>
            <w:r>
              <w:rPr>
                <w:noProof/>
                <w:webHidden/>
              </w:rPr>
              <w:fldChar w:fldCharType="end"/>
            </w:r>
          </w:hyperlink>
        </w:p>
        <w:p w14:paraId="4A1A894E" w14:textId="71D62575" w:rsidR="00D56759" w:rsidRDefault="00D56759">
          <w:pPr>
            <w:pStyle w:val="TOC2"/>
            <w:tabs>
              <w:tab w:val="right" w:leader="dot" w:pos="9016"/>
            </w:tabs>
            <w:rPr>
              <w:rFonts w:eastAsiaTheme="minorEastAsia" w:cstheme="minorBidi"/>
              <w:smallCaps w:val="0"/>
              <w:noProof/>
              <w:kern w:val="2"/>
              <w:sz w:val="24"/>
              <w:lang w:eastAsia="en-AU"/>
              <w14:ligatures w14:val="standardContextual"/>
            </w:rPr>
          </w:pPr>
          <w:hyperlink w:anchor="_Toc203722718" w:history="1">
            <w:r w:rsidRPr="00530DE6">
              <w:rPr>
                <w:rStyle w:val="Hyperlink"/>
                <w:noProof/>
              </w:rPr>
              <w:t>APPENDIX 1 – Retained catch data (target and byproduct species)</w:t>
            </w:r>
            <w:r>
              <w:rPr>
                <w:noProof/>
                <w:webHidden/>
              </w:rPr>
              <w:tab/>
            </w:r>
            <w:r>
              <w:rPr>
                <w:noProof/>
                <w:webHidden/>
              </w:rPr>
              <w:fldChar w:fldCharType="begin"/>
            </w:r>
            <w:r>
              <w:rPr>
                <w:noProof/>
                <w:webHidden/>
              </w:rPr>
              <w:instrText xml:space="preserve"> PAGEREF _Toc203722718 \h </w:instrText>
            </w:r>
            <w:r>
              <w:rPr>
                <w:noProof/>
                <w:webHidden/>
              </w:rPr>
            </w:r>
            <w:r>
              <w:rPr>
                <w:noProof/>
                <w:webHidden/>
              </w:rPr>
              <w:fldChar w:fldCharType="separate"/>
            </w:r>
            <w:r w:rsidR="002C3EA4">
              <w:rPr>
                <w:noProof/>
                <w:webHidden/>
              </w:rPr>
              <w:t>20</w:t>
            </w:r>
            <w:r>
              <w:rPr>
                <w:noProof/>
                <w:webHidden/>
              </w:rPr>
              <w:fldChar w:fldCharType="end"/>
            </w:r>
          </w:hyperlink>
        </w:p>
        <w:p w14:paraId="7712486E" w14:textId="11201AE2" w:rsidR="00D56759" w:rsidRDefault="00D56759">
          <w:pPr>
            <w:pStyle w:val="TOC2"/>
            <w:tabs>
              <w:tab w:val="right" w:leader="dot" w:pos="9016"/>
            </w:tabs>
            <w:rPr>
              <w:rFonts w:eastAsiaTheme="minorEastAsia" w:cstheme="minorBidi"/>
              <w:smallCaps w:val="0"/>
              <w:noProof/>
              <w:kern w:val="2"/>
              <w:sz w:val="24"/>
              <w:lang w:eastAsia="en-AU"/>
              <w14:ligatures w14:val="standardContextual"/>
            </w:rPr>
          </w:pPr>
          <w:hyperlink w:anchor="_Toc203722719" w:history="1">
            <w:r w:rsidRPr="00530DE6">
              <w:rPr>
                <w:rStyle w:val="Hyperlink"/>
                <w:noProof/>
              </w:rPr>
              <w:t>APPENDIX 2 – Discarded catch data (target and non-target species)</w:t>
            </w:r>
            <w:r>
              <w:rPr>
                <w:noProof/>
                <w:webHidden/>
              </w:rPr>
              <w:tab/>
            </w:r>
            <w:r>
              <w:rPr>
                <w:noProof/>
                <w:webHidden/>
              </w:rPr>
              <w:fldChar w:fldCharType="begin"/>
            </w:r>
            <w:r>
              <w:rPr>
                <w:noProof/>
                <w:webHidden/>
              </w:rPr>
              <w:instrText xml:space="preserve"> PAGEREF _Toc203722719 \h </w:instrText>
            </w:r>
            <w:r>
              <w:rPr>
                <w:noProof/>
                <w:webHidden/>
              </w:rPr>
            </w:r>
            <w:r>
              <w:rPr>
                <w:noProof/>
                <w:webHidden/>
              </w:rPr>
              <w:fldChar w:fldCharType="separate"/>
            </w:r>
            <w:r w:rsidR="002C3EA4">
              <w:rPr>
                <w:noProof/>
                <w:webHidden/>
              </w:rPr>
              <w:t>22</w:t>
            </w:r>
            <w:r>
              <w:rPr>
                <w:noProof/>
                <w:webHidden/>
              </w:rPr>
              <w:fldChar w:fldCharType="end"/>
            </w:r>
          </w:hyperlink>
        </w:p>
        <w:p w14:paraId="13718EA9" w14:textId="71392814" w:rsidR="00D56759" w:rsidRDefault="00D56759">
          <w:pPr>
            <w:pStyle w:val="TOC2"/>
            <w:tabs>
              <w:tab w:val="right" w:leader="dot" w:pos="9016"/>
            </w:tabs>
            <w:rPr>
              <w:rFonts w:eastAsiaTheme="minorEastAsia" w:cstheme="minorBidi"/>
              <w:smallCaps w:val="0"/>
              <w:noProof/>
              <w:kern w:val="2"/>
              <w:sz w:val="24"/>
              <w:lang w:eastAsia="en-AU"/>
              <w14:ligatures w14:val="standardContextual"/>
            </w:rPr>
          </w:pPr>
          <w:hyperlink w:anchor="_Toc203722720" w:history="1">
            <w:r w:rsidRPr="00530DE6">
              <w:rPr>
                <w:rStyle w:val="Hyperlink"/>
                <w:noProof/>
              </w:rPr>
              <w:t>APPENDIX 3 – Protected species interaction data</w:t>
            </w:r>
            <w:r>
              <w:rPr>
                <w:noProof/>
                <w:webHidden/>
              </w:rPr>
              <w:tab/>
            </w:r>
            <w:r>
              <w:rPr>
                <w:noProof/>
                <w:webHidden/>
              </w:rPr>
              <w:fldChar w:fldCharType="begin"/>
            </w:r>
            <w:r>
              <w:rPr>
                <w:noProof/>
                <w:webHidden/>
              </w:rPr>
              <w:instrText xml:space="preserve"> PAGEREF _Toc203722720 \h </w:instrText>
            </w:r>
            <w:r>
              <w:rPr>
                <w:noProof/>
                <w:webHidden/>
              </w:rPr>
            </w:r>
            <w:r>
              <w:rPr>
                <w:noProof/>
                <w:webHidden/>
              </w:rPr>
              <w:fldChar w:fldCharType="separate"/>
            </w:r>
            <w:r w:rsidR="002C3EA4">
              <w:rPr>
                <w:noProof/>
                <w:webHidden/>
              </w:rPr>
              <w:t>22</w:t>
            </w:r>
            <w:r>
              <w:rPr>
                <w:noProof/>
                <w:webHidden/>
              </w:rPr>
              <w:fldChar w:fldCharType="end"/>
            </w:r>
          </w:hyperlink>
        </w:p>
        <w:p w14:paraId="067AB60D" w14:textId="408FB400" w:rsidR="00D56759" w:rsidRDefault="00D56759">
          <w:pPr>
            <w:pStyle w:val="TOC2"/>
            <w:tabs>
              <w:tab w:val="right" w:leader="dot" w:pos="9016"/>
            </w:tabs>
            <w:rPr>
              <w:rFonts w:eastAsiaTheme="minorEastAsia" w:cstheme="minorBidi"/>
              <w:smallCaps w:val="0"/>
              <w:noProof/>
              <w:kern w:val="2"/>
              <w:sz w:val="24"/>
              <w:lang w:eastAsia="en-AU"/>
              <w14:ligatures w14:val="standardContextual"/>
            </w:rPr>
          </w:pPr>
          <w:hyperlink w:anchor="_Toc203722721" w:history="1">
            <w:r w:rsidRPr="00530DE6">
              <w:rPr>
                <w:rStyle w:val="Hyperlink"/>
                <w:noProof/>
              </w:rPr>
              <w:t>APPENDIX 4 – Fishing effort</w:t>
            </w:r>
            <w:r>
              <w:rPr>
                <w:noProof/>
                <w:webHidden/>
              </w:rPr>
              <w:tab/>
            </w:r>
            <w:r>
              <w:rPr>
                <w:noProof/>
                <w:webHidden/>
              </w:rPr>
              <w:fldChar w:fldCharType="begin"/>
            </w:r>
            <w:r>
              <w:rPr>
                <w:noProof/>
                <w:webHidden/>
              </w:rPr>
              <w:instrText xml:space="preserve"> PAGEREF _Toc203722721 \h </w:instrText>
            </w:r>
            <w:r>
              <w:rPr>
                <w:noProof/>
                <w:webHidden/>
              </w:rPr>
            </w:r>
            <w:r>
              <w:rPr>
                <w:noProof/>
                <w:webHidden/>
              </w:rPr>
              <w:fldChar w:fldCharType="separate"/>
            </w:r>
            <w:r w:rsidR="002C3EA4">
              <w:rPr>
                <w:noProof/>
                <w:webHidden/>
              </w:rPr>
              <w:t>23</w:t>
            </w:r>
            <w:r>
              <w:rPr>
                <w:noProof/>
                <w:webHidden/>
              </w:rPr>
              <w:fldChar w:fldCharType="end"/>
            </w:r>
          </w:hyperlink>
        </w:p>
        <w:p w14:paraId="2CA6BD3B" w14:textId="6892F7A2" w:rsidR="00D56759" w:rsidRDefault="00D56759">
          <w:pPr>
            <w:pStyle w:val="TOC2"/>
            <w:tabs>
              <w:tab w:val="right" w:leader="dot" w:pos="9016"/>
            </w:tabs>
            <w:rPr>
              <w:rFonts w:eastAsiaTheme="minorEastAsia" w:cstheme="minorBidi"/>
              <w:smallCaps w:val="0"/>
              <w:noProof/>
              <w:kern w:val="2"/>
              <w:sz w:val="24"/>
              <w:lang w:eastAsia="en-AU"/>
              <w14:ligatures w14:val="standardContextual"/>
            </w:rPr>
          </w:pPr>
          <w:hyperlink w:anchor="_Toc203722722" w:history="1">
            <w:r w:rsidRPr="00530DE6">
              <w:rPr>
                <w:rStyle w:val="Hyperlink"/>
                <w:noProof/>
              </w:rPr>
              <w:t>APPENDIX 5 – Approved Logbooks</w:t>
            </w:r>
            <w:r>
              <w:rPr>
                <w:noProof/>
                <w:webHidden/>
              </w:rPr>
              <w:tab/>
            </w:r>
            <w:r>
              <w:rPr>
                <w:noProof/>
                <w:webHidden/>
              </w:rPr>
              <w:fldChar w:fldCharType="begin"/>
            </w:r>
            <w:r>
              <w:rPr>
                <w:noProof/>
                <w:webHidden/>
              </w:rPr>
              <w:instrText xml:space="preserve"> PAGEREF _Toc203722722 \h </w:instrText>
            </w:r>
            <w:r>
              <w:rPr>
                <w:noProof/>
                <w:webHidden/>
              </w:rPr>
            </w:r>
            <w:r>
              <w:rPr>
                <w:noProof/>
                <w:webHidden/>
              </w:rPr>
              <w:fldChar w:fldCharType="separate"/>
            </w:r>
            <w:r w:rsidR="002C3EA4">
              <w:rPr>
                <w:noProof/>
                <w:webHidden/>
              </w:rPr>
              <w:t>25</w:t>
            </w:r>
            <w:r>
              <w:rPr>
                <w:noProof/>
                <w:webHidden/>
              </w:rPr>
              <w:fldChar w:fldCharType="end"/>
            </w:r>
          </w:hyperlink>
        </w:p>
        <w:p w14:paraId="4BF4AC79" w14:textId="13B6563B" w:rsidR="000E77BE" w:rsidRPr="004E3085" w:rsidRDefault="006571DA" w:rsidP="004E3085">
          <w:pPr>
            <w:spacing w:after="0"/>
            <w:rPr>
              <w:sz w:val="2"/>
              <w:szCs w:val="2"/>
            </w:rPr>
          </w:pPr>
          <w:r>
            <w:rPr>
              <w:rFonts w:cstheme="minorHAnsi"/>
              <w:b/>
              <w:bCs/>
              <w:i/>
              <w:iCs/>
              <w:sz w:val="24"/>
              <w:szCs w:val="28"/>
            </w:rPr>
            <w:fldChar w:fldCharType="end"/>
          </w:r>
        </w:p>
      </w:sdtContent>
    </w:sdt>
    <w:p w14:paraId="51B4E324" w14:textId="606906A0" w:rsidR="001D33A1" w:rsidRDefault="001D33A1" w:rsidP="00817DFE">
      <w:pPr>
        <w:pStyle w:val="Heading1"/>
        <w:rPr>
          <w:b w:val="0"/>
          <w:bCs/>
          <w:sz w:val="36"/>
          <w:szCs w:val="36"/>
        </w:rPr>
      </w:pPr>
      <w:bookmarkStart w:id="0" w:name="_Toc203722676"/>
      <w:r>
        <w:rPr>
          <w:bCs/>
          <w:sz w:val="36"/>
          <w:szCs w:val="36"/>
        </w:rPr>
        <w:lastRenderedPageBreak/>
        <w:t>Int</w:t>
      </w:r>
      <w:r w:rsidR="00C81DCE">
        <w:rPr>
          <w:bCs/>
          <w:sz w:val="36"/>
          <w:szCs w:val="36"/>
        </w:rPr>
        <w:t>roduction</w:t>
      </w:r>
      <w:bookmarkEnd w:id="0"/>
    </w:p>
    <w:p w14:paraId="1B4C148C" w14:textId="1A3877FE" w:rsidR="00C81DCE" w:rsidRDefault="008D2875" w:rsidP="00C81DCE">
      <w:r w:rsidRPr="008D2875">
        <w:t xml:space="preserve">This submission meets the requirements for the </w:t>
      </w:r>
      <w:r w:rsidR="00177F2E">
        <w:t>a</w:t>
      </w:r>
      <w:r w:rsidRPr="008D2875">
        <w:t xml:space="preserve">ssessment </w:t>
      </w:r>
      <w:r w:rsidR="00177F2E">
        <w:t>of</w:t>
      </w:r>
      <w:r w:rsidRPr="008D2875">
        <w:t xml:space="preserve"> the </w:t>
      </w:r>
      <w:r w:rsidR="009917C5">
        <w:rPr>
          <w:color w:val="4000A6"/>
        </w:rPr>
        <w:t>Tasmanian Commercial Dive Fishery</w:t>
      </w:r>
      <w:r w:rsidR="000C4C1E" w:rsidRPr="00CA30DC">
        <w:rPr>
          <w:color w:val="4000A6"/>
        </w:rPr>
        <w:t xml:space="preserve"> </w:t>
      </w:r>
      <w:r w:rsidR="000C4C1E">
        <w:t xml:space="preserve">under the </w:t>
      </w:r>
      <w:r w:rsidR="007E0DCE" w:rsidRPr="007E0DCE">
        <w:rPr>
          <w:i/>
        </w:rPr>
        <w:t xml:space="preserve">Environment Protection and Biodiversity Conservation Act 1999 </w:t>
      </w:r>
      <w:r w:rsidR="007E0DCE" w:rsidRPr="007E0DCE">
        <w:rPr>
          <w:iCs/>
        </w:rPr>
        <w:t>(Cth)</w:t>
      </w:r>
      <w:r w:rsidR="007E0DCE" w:rsidRPr="007E0DCE">
        <w:t xml:space="preserve"> (EPBC Act)</w:t>
      </w:r>
      <w:r w:rsidR="007B079F">
        <w:t>.</w:t>
      </w:r>
      <w:r w:rsidR="007E0DCE">
        <w:t xml:space="preserve"> </w:t>
      </w:r>
    </w:p>
    <w:p w14:paraId="5E159FBA" w14:textId="21A5BEAE" w:rsidR="002E3BCE" w:rsidRPr="00C81DCE" w:rsidRDefault="002E3BCE" w:rsidP="00C81DCE">
      <w:r w:rsidRPr="002E3BCE">
        <w:t xml:space="preserve">This submission has been produced to enable the </w:t>
      </w:r>
      <w:r w:rsidR="00E639BF" w:rsidRPr="00E639BF">
        <w:t>Department of Climate Change, Energy, the Environment and Water</w:t>
      </w:r>
      <w:r w:rsidR="00752D11">
        <w:t xml:space="preserve"> (DCCEEW)</w:t>
      </w:r>
      <w:r w:rsidR="00E639BF" w:rsidRPr="00E639BF">
        <w:t xml:space="preserve"> </w:t>
      </w:r>
      <w:r w:rsidRPr="002E3BCE">
        <w:t xml:space="preserve">to assess the </w:t>
      </w:r>
      <w:r w:rsidR="009917C5">
        <w:rPr>
          <w:color w:val="4000A6"/>
        </w:rPr>
        <w:t>Commercial Dive Fishery</w:t>
      </w:r>
      <w:r w:rsidR="00B02C5C" w:rsidRPr="00CA30DC">
        <w:rPr>
          <w:color w:val="4000A6"/>
        </w:rPr>
        <w:t xml:space="preserve"> </w:t>
      </w:r>
      <w:r w:rsidRPr="002E3BCE">
        <w:t xml:space="preserve">management arrangements </w:t>
      </w:r>
      <w:r w:rsidR="00B02C5C">
        <w:t xml:space="preserve">against the </w:t>
      </w:r>
      <w:r w:rsidR="00B02C5C" w:rsidRPr="00B02C5C">
        <w:rPr>
          <w:i/>
          <w:iCs/>
        </w:rPr>
        <w:t>Guidelines for the Ecologically Sustainable Management of Fisheries – 2nd Edition</w:t>
      </w:r>
      <w:r w:rsidR="00B02C5C" w:rsidRPr="00B02C5C">
        <w:t xml:space="preserve"> </w:t>
      </w:r>
      <w:r w:rsidR="00752D11" w:rsidRPr="00A91A12">
        <w:rPr>
          <w:rStyle w:val="cf21"/>
          <w:rFonts w:asciiTheme="minorHAnsi" w:hAnsiTheme="minorHAnsi" w:cstheme="minorHAnsi"/>
          <w:sz w:val="22"/>
          <w:szCs w:val="22"/>
        </w:rPr>
        <w:t>and the requirements set out in relevant sections of the EPBC Act</w:t>
      </w:r>
      <w:r w:rsidR="00752D11">
        <w:rPr>
          <w:rStyle w:val="cf21"/>
          <w:rFonts w:asciiTheme="minorHAnsi" w:hAnsiTheme="minorHAnsi" w:cstheme="minorHAnsi"/>
          <w:sz w:val="24"/>
          <w:szCs w:val="24"/>
        </w:rPr>
        <w:t>.</w:t>
      </w:r>
      <w:bookmarkStart w:id="1" w:name="_Hlk128641001"/>
    </w:p>
    <w:p w14:paraId="736206EE" w14:textId="4FA86461" w:rsidR="006B2F3F" w:rsidRPr="003D1EC6" w:rsidRDefault="00536EB0" w:rsidP="00817DFE">
      <w:pPr>
        <w:pStyle w:val="Heading1"/>
        <w:rPr>
          <w:b w:val="0"/>
          <w:bCs/>
          <w:sz w:val="36"/>
          <w:szCs w:val="36"/>
        </w:rPr>
      </w:pPr>
      <w:bookmarkStart w:id="2" w:name="_Toc203722677"/>
      <w:r w:rsidRPr="003D1EC6">
        <w:rPr>
          <w:bCs/>
          <w:sz w:val="36"/>
          <w:szCs w:val="36"/>
        </w:rPr>
        <w:t xml:space="preserve">The </w:t>
      </w:r>
      <w:r w:rsidR="00DF7A90">
        <w:rPr>
          <w:bCs/>
          <w:sz w:val="36"/>
          <w:szCs w:val="36"/>
        </w:rPr>
        <w:t>f</w:t>
      </w:r>
      <w:r w:rsidRPr="003D1EC6">
        <w:rPr>
          <w:bCs/>
          <w:sz w:val="36"/>
          <w:szCs w:val="36"/>
        </w:rPr>
        <w:t>ishery</w:t>
      </w:r>
      <w:bookmarkEnd w:id="1"/>
      <w:bookmarkEnd w:id="2"/>
    </w:p>
    <w:p w14:paraId="3DBF1968" w14:textId="4642357A" w:rsidR="00CA30DC" w:rsidRDefault="00536EB0" w:rsidP="00CA30DC">
      <w:pPr>
        <w:pStyle w:val="Heading2"/>
      </w:pPr>
      <w:bookmarkStart w:id="3" w:name="_Hlk128641136"/>
      <w:bookmarkStart w:id="4" w:name="_Toc203722678"/>
      <w:r w:rsidRPr="00EB720C">
        <w:t>Description of the fishery</w:t>
      </w:r>
      <w:bookmarkEnd w:id="3"/>
      <w:bookmarkEnd w:id="4"/>
    </w:p>
    <w:p w14:paraId="0CF5FDD4" w14:textId="627E13F6" w:rsidR="00B80B48" w:rsidRPr="005F39A8" w:rsidRDefault="00B80B48" w:rsidP="00CA30DC">
      <w:bookmarkStart w:id="5" w:name="_Hlk128641227"/>
      <w:r>
        <w:t xml:space="preserve">The Tasmanian Commercial Dive Fishery operates within </w:t>
      </w:r>
      <w:r w:rsidR="00026AF1">
        <w:t xml:space="preserve">all </w:t>
      </w:r>
      <w:r>
        <w:t xml:space="preserve">State Waters of Tasmania, with jurisdiction </w:t>
      </w:r>
      <w:r w:rsidR="00026AF1">
        <w:t>granted to Commonwealth waters</w:t>
      </w:r>
      <w:r w:rsidR="0083236D">
        <w:t xml:space="preserve"> out to 200</w:t>
      </w:r>
      <w:r w:rsidR="00BE1A41">
        <w:t xml:space="preserve"> </w:t>
      </w:r>
      <w:r w:rsidR="0083236D">
        <w:t>n</w:t>
      </w:r>
      <w:r w:rsidR="00BE1A41">
        <w:t xml:space="preserve">autical </w:t>
      </w:r>
      <w:r w:rsidR="0083236D">
        <w:t>m</w:t>
      </w:r>
      <w:r w:rsidR="00BE1A41">
        <w:t>iles</w:t>
      </w:r>
      <w:r w:rsidR="00026AF1">
        <w:t xml:space="preserve"> </w:t>
      </w:r>
      <w:r>
        <w:t xml:space="preserve">under </w:t>
      </w:r>
      <w:r w:rsidR="00BE1A41">
        <w:t>Offshore Constitutional Settlements (</w:t>
      </w:r>
      <w:r w:rsidR="00BE1A41" w:rsidRPr="006D5477">
        <w:t>OCS</w:t>
      </w:r>
      <w:r w:rsidR="00BE1A41">
        <w:t>)</w:t>
      </w:r>
      <w:r>
        <w:t xml:space="preserve"> arrangements</w:t>
      </w:r>
      <w:r w:rsidR="0083236D">
        <w:t xml:space="preserve"> covering crustaceans, molluscs, and echinoderms, with sea urchins included in the latter category</w:t>
      </w:r>
      <w:r>
        <w:t>.</w:t>
      </w:r>
      <w:r w:rsidR="000465E7">
        <w:t xml:space="preserve"> The fishery is divided into five fishery parts to which catch limits are applied, and further divided into blocks and subblocks for spatial management purposes.</w:t>
      </w:r>
      <w:r w:rsidR="005F39A8">
        <w:t xml:space="preserve"> The fishery parts are set under rule 12 of the </w:t>
      </w:r>
      <w:hyperlink r:id="rId9" w:history="1">
        <w:r w:rsidR="005F39A8" w:rsidRPr="005F39A8">
          <w:rPr>
            <w:rStyle w:val="Hyperlink"/>
            <w:i/>
            <w:iCs/>
          </w:rPr>
          <w:t>Fisheries (Commercial Dive) Rules 2021</w:t>
        </w:r>
      </w:hyperlink>
      <w:r w:rsidR="005F39A8">
        <w:rPr>
          <w:i/>
          <w:iCs/>
        </w:rPr>
        <w:t xml:space="preserve"> </w:t>
      </w:r>
      <w:r w:rsidR="005F39A8">
        <w:t>(hereafter referred to as ‘the Rules’).</w:t>
      </w:r>
    </w:p>
    <w:p w14:paraId="5F8CE101" w14:textId="2763C8AB" w:rsidR="000465E7" w:rsidRPr="00B80B48" w:rsidRDefault="000465E7" w:rsidP="000465E7">
      <w:r>
        <w:t xml:space="preserve">A static map of the fishery parts—Western, South-Eastern, Central-Eastern, North-Eastern, and Northern—is maintained online at </w:t>
      </w:r>
      <w:hyperlink r:id="rId10" w:history="1">
        <w:r w:rsidRPr="000465E7">
          <w:rPr>
            <w:rStyle w:val="Hyperlink"/>
          </w:rPr>
          <w:t>Commercial Dive Zones | Fishing Tasmania</w:t>
        </w:r>
      </w:hyperlink>
      <w:r>
        <w:t xml:space="preserve">, and an interactive map of the blocks and subblocks is accessible online at </w:t>
      </w:r>
      <w:hyperlink r:id="rId11" w:history="1">
        <w:r w:rsidRPr="000465E7">
          <w:rPr>
            <w:rStyle w:val="Hyperlink"/>
          </w:rPr>
          <w:t>LISTmap</w:t>
        </w:r>
      </w:hyperlink>
      <w:r>
        <w:t>.</w:t>
      </w:r>
    </w:p>
    <w:p w14:paraId="202D03F0" w14:textId="4DA53DEA" w:rsidR="004C6021" w:rsidRDefault="004C6021" w:rsidP="00EB720C">
      <w:pPr>
        <w:pStyle w:val="Heading2"/>
      </w:pPr>
      <w:bookmarkStart w:id="6" w:name="_Toc203722679"/>
      <w:r w:rsidRPr="004C6021">
        <w:t xml:space="preserve">Fishing methods and </w:t>
      </w:r>
      <w:r w:rsidR="00EA5568">
        <w:t>g</w:t>
      </w:r>
      <w:r w:rsidRPr="004C6021">
        <w:t>ear</w:t>
      </w:r>
      <w:bookmarkEnd w:id="6"/>
    </w:p>
    <w:p w14:paraId="05887873" w14:textId="7738B8DB" w:rsidR="000465E7" w:rsidRDefault="000465E7" w:rsidP="00CA30DC">
      <w:r>
        <w:t xml:space="preserve">The Tasmanian Commercial Dive Fishery is exclusively a dive fishery, with divers permitted to use </w:t>
      </w:r>
      <w:r w:rsidR="003E7156">
        <w:t xml:space="preserve">dive and </w:t>
      </w:r>
      <w:r>
        <w:t>snorkel gear</w:t>
      </w:r>
      <w:r w:rsidR="007C4501">
        <w:t xml:space="preserve"> which </w:t>
      </w:r>
      <w:r>
        <w:t>includ</w:t>
      </w:r>
      <w:r w:rsidR="007C4501">
        <w:t xml:space="preserve">es </w:t>
      </w:r>
      <w:r>
        <w:t>masks, snorkels, fins, wetsuits</w:t>
      </w:r>
      <w:r w:rsidR="003E7156">
        <w:t>, compressed air and associated equipment including hookah and nitrox</w:t>
      </w:r>
      <w:r w:rsidR="00CB4AFE">
        <w:t xml:space="preserve">. With nitrox, divers may reach depths of </w:t>
      </w:r>
      <w:r w:rsidR="00F124CE">
        <w:t xml:space="preserve">up to </w:t>
      </w:r>
      <w:r w:rsidR="00CB4AFE">
        <w:t>30 metres.</w:t>
      </w:r>
    </w:p>
    <w:p w14:paraId="3A738425" w14:textId="4C6982E3" w:rsidR="003E7156" w:rsidRDefault="003E7156" w:rsidP="00CA30DC">
      <w:r>
        <w:t xml:space="preserve">Commercial divers are permitted to collect species into netted bags by hand, and with the aid of single pronged hooks or tongs, the latter defined </w:t>
      </w:r>
      <w:r w:rsidR="00C26D79">
        <w:t xml:space="preserve">in </w:t>
      </w:r>
      <w:hyperlink r:id="rId12" w:anchor="GS28@EN" w:history="1">
        <w:r w:rsidR="00C26D79">
          <w:rPr>
            <w:rStyle w:val="Hyperlink"/>
          </w:rPr>
          <w:t xml:space="preserve">r </w:t>
        </w:r>
        <w:r w:rsidR="00C26D79" w:rsidRPr="00C26D79">
          <w:rPr>
            <w:rStyle w:val="Hyperlink"/>
          </w:rPr>
          <w:t>28</w:t>
        </w:r>
      </w:hyperlink>
      <w:r w:rsidR="00C26D79">
        <w:t xml:space="preserve"> of the </w:t>
      </w:r>
      <w:r w:rsidR="00C26D79" w:rsidRPr="00C26D79">
        <w:rPr>
          <w:i/>
          <w:iCs/>
        </w:rPr>
        <w:t>Fisheries (Commercial Dive) Rules 2021</w:t>
      </w:r>
      <w:r w:rsidR="00C26D79">
        <w:rPr>
          <w:i/>
          <w:iCs/>
        </w:rPr>
        <w:t xml:space="preserve"> </w:t>
      </w:r>
      <w:r w:rsidR="00C26D79">
        <w:t xml:space="preserve">(hereafter referred to as ‘the Rules’) </w:t>
      </w:r>
      <w:r>
        <w:t>as c</w:t>
      </w:r>
      <w:r w:rsidRPr="003E7156">
        <w:t xml:space="preserve">onsisting of </w:t>
      </w:r>
      <w:r w:rsidR="002C2D9A">
        <w:t>two</w:t>
      </w:r>
      <w:r w:rsidRPr="003E7156">
        <w:t xml:space="preserve"> arms each having a single prong or flattened end no more than 100 millimetres wide</w:t>
      </w:r>
      <w:r>
        <w:t>. No other forms of collection aids are permitted.</w:t>
      </w:r>
    </w:p>
    <w:p w14:paraId="084E8C9D" w14:textId="40DF62CF" w:rsidR="003E7156" w:rsidRPr="000465E7" w:rsidRDefault="003E7156" w:rsidP="00CA30DC">
      <w:r>
        <w:t>Commercial divers dive from small</w:t>
      </w:r>
      <w:r w:rsidR="00C26D79">
        <w:t xml:space="preserve"> </w:t>
      </w:r>
      <w:r>
        <w:t xml:space="preserve">licenced vessels with assistance provided by </w:t>
      </w:r>
      <w:r w:rsidR="00C26D79">
        <w:t>a</w:t>
      </w:r>
      <w:r>
        <w:t xml:space="preserve"> deckhand. Divers may work singly or in teams, with catch identified to individuals. Diving is usually conducted as day trips; overnight mother-boating is permitted but </w:t>
      </w:r>
      <w:r w:rsidR="00C26D79">
        <w:t xml:space="preserve">is </w:t>
      </w:r>
      <w:r>
        <w:t>exceedingly rare in this fishery</w:t>
      </w:r>
      <w:r w:rsidR="00C26D79">
        <w:t xml:space="preserve"> owing to prohibitive costs and that urchins do not maintain quality for long post-harvest</w:t>
      </w:r>
      <w:r>
        <w:t>.</w:t>
      </w:r>
    </w:p>
    <w:p w14:paraId="137D5B22" w14:textId="7E28A152" w:rsidR="00536EB0" w:rsidRPr="00EB720C" w:rsidRDefault="00186515" w:rsidP="00EB720C">
      <w:pPr>
        <w:pStyle w:val="Heading2"/>
      </w:pPr>
      <w:bookmarkStart w:id="7" w:name="_Hlk129069877"/>
      <w:bookmarkStart w:id="8" w:name="_Toc203722680"/>
      <w:r w:rsidRPr="00EB720C">
        <w:t>Target and byproduct species</w:t>
      </w:r>
      <w:bookmarkEnd w:id="7"/>
      <w:bookmarkEnd w:id="8"/>
    </w:p>
    <w:p w14:paraId="2C1FCC53" w14:textId="1FD4A2E8" w:rsidR="003E7156" w:rsidRDefault="003E7156">
      <w:r>
        <w:t>The fishery is currently limited to Wavy Periwinkles (</w:t>
      </w:r>
      <w:r>
        <w:rPr>
          <w:i/>
          <w:iCs/>
        </w:rPr>
        <w:t>Lunella undulata</w:t>
      </w:r>
      <w:r>
        <w:t>), Shortspined Sea Urchin</w:t>
      </w:r>
      <w:r w:rsidR="00C26D79">
        <w:t>s</w:t>
      </w:r>
      <w:r>
        <w:t xml:space="preserve"> (</w:t>
      </w:r>
      <w:r>
        <w:rPr>
          <w:i/>
          <w:iCs/>
        </w:rPr>
        <w:t>Heliocidaris erythrogramma</w:t>
      </w:r>
      <w:r>
        <w:t>), and Longspined Sea Urchins (</w:t>
      </w:r>
      <w:r>
        <w:rPr>
          <w:i/>
          <w:iCs/>
        </w:rPr>
        <w:t>Centrostephanus rodgersii</w:t>
      </w:r>
      <w:r>
        <w:t>). The former two species are native to south-east Australian waters including Tasmania, whereas the latter is range-extended from NSW with the first Tasmanian detections made in ~1978.</w:t>
      </w:r>
    </w:p>
    <w:p w14:paraId="6E5C608B" w14:textId="3440408D" w:rsidR="003E7156" w:rsidRDefault="003E7156">
      <w:r>
        <w:t>Being a dive fishery with targeted hand collection, bycatch/byproduct species are n</w:t>
      </w:r>
      <w:r w:rsidR="00C26D79">
        <w:t>il to negligible</w:t>
      </w:r>
      <w:r>
        <w:t>.</w:t>
      </w:r>
    </w:p>
    <w:p w14:paraId="75621B1F" w14:textId="092C51D9" w:rsidR="003E7156" w:rsidRDefault="002C2D9A">
      <w:r>
        <w:lastRenderedPageBreak/>
        <w:t xml:space="preserve">The </w:t>
      </w:r>
      <w:r w:rsidR="00C26D79">
        <w:t xml:space="preserve">target </w:t>
      </w:r>
      <w:r>
        <w:t xml:space="preserve">species are each managed with species-specific annual commercial catch limits, divided by the five fishery parts. Smaller catch-caps may be applied annually to defined areas (usually a grouping of subblocks) to constrain localised effort and spread effort to other parts of the fishery. All catch limits and catch-caps are determined by 1 September of each year by published notice under </w:t>
      </w:r>
      <w:hyperlink r:id="rId13" w:anchor="GS14@EN" w:history="1">
        <w:r w:rsidRPr="003E7AD1">
          <w:rPr>
            <w:rStyle w:val="Hyperlink"/>
          </w:rPr>
          <w:t>r</w:t>
        </w:r>
        <w:r w:rsidR="003E7AD1" w:rsidRPr="003E7AD1">
          <w:rPr>
            <w:rStyle w:val="Hyperlink"/>
          </w:rPr>
          <w:t> </w:t>
        </w:r>
        <w:r w:rsidRPr="003E7AD1">
          <w:rPr>
            <w:rStyle w:val="Hyperlink"/>
          </w:rPr>
          <w:t>14</w:t>
        </w:r>
      </w:hyperlink>
      <w:r>
        <w:t xml:space="preserve"> of the </w:t>
      </w:r>
      <w:r w:rsidR="005F39A8">
        <w:t xml:space="preserve">Rules, and are published online at </w:t>
      </w:r>
      <w:hyperlink r:id="rId14" w:history="1">
        <w:r w:rsidR="005F39A8" w:rsidRPr="005F39A8">
          <w:rPr>
            <w:rStyle w:val="Hyperlink"/>
          </w:rPr>
          <w:t>Catch and Closures | Fishing Tasmania</w:t>
        </w:r>
      </w:hyperlink>
      <w:r w:rsidR="005F39A8">
        <w:t>.</w:t>
      </w:r>
      <w:r>
        <w:rPr>
          <w:i/>
          <w:iCs/>
        </w:rPr>
        <w:t xml:space="preserve"> </w:t>
      </w:r>
    </w:p>
    <w:p w14:paraId="77BF04E3" w14:textId="3CA94080" w:rsidR="003E7156" w:rsidRDefault="00347335" w:rsidP="00255334">
      <w:r>
        <w:t xml:space="preserve">Table 3 in </w:t>
      </w:r>
      <w:r w:rsidR="00BC484D" w:rsidRPr="00BC484D">
        <w:t xml:space="preserve">Appendix </w:t>
      </w:r>
      <w:r w:rsidR="00321B1C">
        <w:t>1</w:t>
      </w:r>
      <w:r w:rsidR="00BC484D" w:rsidRPr="00BC484D">
        <w:t xml:space="preserve"> provides the weight of all retained catches of each species</w:t>
      </w:r>
      <w:r w:rsidR="00BC484D">
        <w:t xml:space="preserve"> </w:t>
      </w:r>
      <w:r w:rsidR="00BC484D" w:rsidRPr="00BC484D">
        <w:t xml:space="preserve">per year for the past </w:t>
      </w:r>
      <w:r w:rsidR="00BC484D">
        <w:t>five</w:t>
      </w:r>
      <w:r w:rsidR="00BC484D" w:rsidRPr="00BC484D">
        <w:t xml:space="preserve"> years.</w:t>
      </w:r>
      <w:r w:rsidR="00321B1C">
        <w:t xml:space="preserve"> The catch of all species has been trending</w:t>
      </w:r>
      <w:r w:rsidR="00F124CE">
        <w:t xml:space="preserve"> up over the past decade, but with decreased in the most recent year</w:t>
      </w:r>
      <w:r w:rsidR="00321B1C">
        <w:t xml:space="preserve"> since 2023-24 (Fig</w:t>
      </w:r>
      <w:r>
        <w:t>ures</w:t>
      </w:r>
      <w:r w:rsidR="00321B1C">
        <w:t xml:space="preserve"> 1</w:t>
      </w:r>
      <w:r>
        <w:t xml:space="preserve">, </w:t>
      </w:r>
      <w:r w:rsidR="00321B1C">
        <w:t>3</w:t>
      </w:r>
      <w:r>
        <w:t xml:space="preserve"> and 5</w:t>
      </w:r>
      <w:r w:rsidR="00321B1C">
        <w:t>). Broadly, this is reflective of changes to the Longspined Sea Urchin part of the fishery</w:t>
      </w:r>
      <w:r w:rsidR="00B94AD5">
        <w:t>, the</w:t>
      </w:r>
      <w:r w:rsidR="00F124CE">
        <w:t xml:space="preserve"> accelerated</w:t>
      </w:r>
      <w:r w:rsidR="00B94AD5">
        <w:t xml:space="preserve"> growth of</w:t>
      </w:r>
      <w:r w:rsidR="00321B1C">
        <w:t xml:space="preserve"> which </w:t>
      </w:r>
      <w:r>
        <w:t>ha</w:t>
      </w:r>
      <w:r w:rsidR="00B94AD5">
        <w:t>s</w:t>
      </w:r>
      <w:r>
        <w:t xml:space="preserve"> been</w:t>
      </w:r>
      <w:r w:rsidR="00321B1C">
        <w:t xml:space="preserve"> underpinned by an </w:t>
      </w:r>
      <w:hyperlink r:id="rId15" w:history="1">
        <w:r w:rsidR="00321B1C" w:rsidRPr="00B94AD5">
          <w:rPr>
            <w:rStyle w:val="Hyperlink"/>
          </w:rPr>
          <w:t>incentivised fishing program</w:t>
        </w:r>
      </w:hyperlink>
      <w:r w:rsidR="00321B1C">
        <w:t xml:space="preserve"> </w:t>
      </w:r>
      <w:r w:rsidR="00B94AD5">
        <w:t>introduced in 2018, and a motivated seafood processor. Increases in that part of the fishery from 2018 buoyed fishers</w:t>
      </w:r>
      <w:r w:rsidR="00321B1C">
        <w:t xml:space="preserve"> </w:t>
      </w:r>
      <w:r w:rsidR="00B94AD5">
        <w:t>to utilise their fishery investment and increase catches of Shortspined Sea Urchin and Periwinkles. However,</w:t>
      </w:r>
      <w:r w:rsidR="00E31A2B">
        <w:t xml:space="preserve"> there were major consecutive</w:t>
      </w:r>
      <w:r w:rsidR="00B94AD5">
        <w:t xml:space="preserve"> disruption</w:t>
      </w:r>
      <w:r w:rsidR="00E31A2B">
        <w:t>s</w:t>
      </w:r>
      <w:r w:rsidR="00B94AD5">
        <w:t xml:space="preserve"> to the processing sector</w:t>
      </w:r>
      <w:r w:rsidR="00E31A2B">
        <w:t xml:space="preserve"> in 2023 and 2024, with the net result being a </w:t>
      </w:r>
      <w:r w:rsidR="00F124CE">
        <w:t xml:space="preserve">recent </w:t>
      </w:r>
      <w:r w:rsidR="00E31A2B">
        <w:t>decrease in commercial dive catch.</w:t>
      </w:r>
    </w:p>
    <w:p w14:paraId="4BBCDAF5" w14:textId="57297390" w:rsidR="00321B1C" w:rsidRDefault="00321B1C" w:rsidP="00321B1C">
      <w:r>
        <w:t xml:space="preserve">The </w:t>
      </w:r>
      <w:r w:rsidR="00B94AD5">
        <w:t>P</w:t>
      </w:r>
      <w:r>
        <w:t xml:space="preserve">eriwinkle harvest has </w:t>
      </w:r>
      <w:r w:rsidR="00E31A2B">
        <w:t xml:space="preserve">also </w:t>
      </w:r>
      <w:r w:rsidR="00B94AD5">
        <w:t>seen a recent decrease in catch in the Western fishery part, further contributing to the downward trends.</w:t>
      </w:r>
      <w:r>
        <w:t xml:space="preserve"> The West coast is wild and remote, and access is only possible with large fishing vessels, of which there are few in the commercial dive fishery. Changes to vessel ownership has altered the fleet dynamics</w:t>
      </w:r>
      <w:r w:rsidR="00E31A2B">
        <w:t xml:space="preserve"> such that there are currently few overnighting mother-boats able to access t</w:t>
      </w:r>
      <w:r w:rsidR="00F124CE">
        <w:t>he</w:t>
      </w:r>
      <w:r w:rsidR="00E31A2B">
        <w:t xml:space="preserve"> rugged West coast.</w:t>
      </w:r>
      <w:r>
        <w:t xml:space="preserve"> </w:t>
      </w:r>
    </w:p>
    <w:p w14:paraId="2728CCE3" w14:textId="66FFE7AB" w:rsidR="00321B1C" w:rsidRDefault="00321B1C" w:rsidP="00321B1C">
      <w:r>
        <w:t xml:space="preserve">The </w:t>
      </w:r>
      <w:r w:rsidR="00B94AD5">
        <w:t>S</w:t>
      </w:r>
      <w:r>
        <w:t xml:space="preserve">hortspined </w:t>
      </w:r>
      <w:r w:rsidR="00B94AD5">
        <w:t>S</w:t>
      </w:r>
      <w:r>
        <w:t xml:space="preserve">ea </w:t>
      </w:r>
      <w:r w:rsidR="00B94AD5">
        <w:t>U</w:t>
      </w:r>
      <w:r>
        <w:t xml:space="preserve">rchin harvest </w:t>
      </w:r>
      <w:r w:rsidR="00B94AD5">
        <w:t xml:space="preserve">has </w:t>
      </w:r>
      <w:r w:rsidR="00A61CDC">
        <w:t>b</w:t>
      </w:r>
      <w:r w:rsidR="00B94AD5">
        <w:t xml:space="preserve">een impacted by </w:t>
      </w:r>
      <w:r w:rsidR="00A61CDC">
        <w:t>multiple</w:t>
      </w:r>
      <w:r w:rsidR="00B94AD5">
        <w:t xml:space="preserve"> </w:t>
      </w:r>
      <w:r>
        <w:t xml:space="preserve">increased </w:t>
      </w:r>
      <w:r w:rsidRPr="00A61CDC">
        <w:t>minimum size limit</w:t>
      </w:r>
      <w:r w:rsidR="00A61CDC" w:rsidRPr="00A61CDC">
        <w:t>s</w:t>
      </w:r>
      <w:r w:rsidR="00A61CDC">
        <w:t xml:space="preserve"> (MSL)</w:t>
      </w:r>
      <w:r w:rsidR="00A61CDC" w:rsidRPr="00A61CDC">
        <w:t xml:space="preserve">. </w:t>
      </w:r>
      <w:r w:rsidR="00A61CDC">
        <w:t>The MSL increased from 60mm to 70mm in the 2019-20 season, then to 75mm in the 2020-21 season, and again to 80mm in the 2023-24 fishing season</w:t>
      </w:r>
      <w:r>
        <w:t xml:space="preserve">. Furthermore, </w:t>
      </w:r>
      <w:r w:rsidR="00E31A2B">
        <w:t>in 2023 there was a switch in focus</w:t>
      </w:r>
      <w:r w:rsidR="00F124CE">
        <w:t xml:space="preserve"> within the major part of the processing sector</w:t>
      </w:r>
      <w:r w:rsidR="00E31A2B">
        <w:t xml:space="preserve"> from</w:t>
      </w:r>
      <w:r>
        <w:t xml:space="preserve"> building total urchin processing capacity</w:t>
      </w:r>
      <w:r w:rsidR="00F124CE">
        <w:t>,</w:t>
      </w:r>
      <w:r>
        <w:t xml:space="preserve"> </w:t>
      </w:r>
      <w:r w:rsidR="00E31A2B">
        <w:t xml:space="preserve">to building capacity for </w:t>
      </w:r>
      <w:r w:rsidR="00B94AD5">
        <w:t>L</w:t>
      </w:r>
      <w:r>
        <w:t xml:space="preserve">ongspined </w:t>
      </w:r>
      <w:r w:rsidR="00B94AD5">
        <w:t>S</w:t>
      </w:r>
      <w:r>
        <w:t xml:space="preserve">ea </w:t>
      </w:r>
      <w:r w:rsidR="00B94AD5">
        <w:t>U</w:t>
      </w:r>
      <w:r>
        <w:t>rchin</w:t>
      </w:r>
      <w:r w:rsidR="00E31A2B">
        <w:t xml:space="preserve"> preferentially, which</w:t>
      </w:r>
      <w:r>
        <w:t xml:space="preserve"> also drove the overall harvest across the seasons. </w:t>
      </w:r>
    </w:p>
    <w:p w14:paraId="0E4C1532" w14:textId="33268E47" w:rsidR="00186515" w:rsidRPr="00EB720C" w:rsidRDefault="004C6021" w:rsidP="00EB720C">
      <w:pPr>
        <w:pStyle w:val="Heading2"/>
      </w:pPr>
      <w:bookmarkStart w:id="9" w:name="_Toc203722681"/>
      <w:bookmarkEnd w:id="5"/>
      <w:r w:rsidRPr="00EB720C">
        <w:t>Value of the fishery</w:t>
      </w:r>
      <w:bookmarkEnd w:id="9"/>
    </w:p>
    <w:p w14:paraId="1FF2B173" w14:textId="02677AC5" w:rsidR="00BC484D" w:rsidRDefault="00BC484D" w:rsidP="00255334">
      <w:r>
        <w:t xml:space="preserve">The </w:t>
      </w:r>
      <w:hyperlink r:id="rId16" w:history="1">
        <w:r w:rsidR="004E7D42" w:rsidRPr="004E7D42">
          <w:rPr>
            <w:rStyle w:val="Hyperlink"/>
            <w:i/>
            <w:iCs/>
          </w:rPr>
          <w:t>Social-Economic Analysis of the Tasmanian Dive Sector: Snapshot Report 2024</w:t>
        </w:r>
      </w:hyperlink>
      <w:r w:rsidR="004E7D42">
        <w:rPr>
          <w:i/>
          <w:iCs/>
        </w:rPr>
        <w:t xml:space="preserve"> </w:t>
      </w:r>
      <w:r>
        <w:t xml:space="preserve">estimated </w:t>
      </w:r>
      <w:r w:rsidR="004E7D42">
        <w:t xml:space="preserve">the </w:t>
      </w:r>
      <w:r>
        <w:t xml:space="preserve">value of the Tasmanian Commercial Dive Fishery in the </w:t>
      </w:r>
      <w:r w:rsidR="005D069A">
        <w:t>2022</w:t>
      </w:r>
      <w:r w:rsidR="00F16E87">
        <w:t>-</w:t>
      </w:r>
      <w:r w:rsidR="005D069A">
        <w:t>23</w:t>
      </w:r>
      <w:r>
        <w:t xml:space="preserve"> financial year as $</w:t>
      </w:r>
      <w:r w:rsidR="00FD7230">
        <w:t>2.8M measured as total direct output of the sector, and $3M measured as total Gross Value Added (GVA)</w:t>
      </w:r>
      <w:r w:rsidR="00313776">
        <w:t xml:space="preserve"> of the dive sector plus $15.7M GVA attributed to processing.</w:t>
      </w:r>
      <w:r w:rsidR="00F16E87">
        <w:t xml:space="preserve"> The current figures may sit a little lower to this owning to reduced catches.</w:t>
      </w:r>
    </w:p>
    <w:p w14:paraId="4068406A" w14:textId="7BB955ED" w:rsidR="00C26D79" w:rsidRDefault="00FD7230" w:rsidP="00255334">
      <w:r>
        <w:t xml:space="preserve">The majority of urchin catch is processed by licenced fish processors </w:t>
      </w:r>
      <w:r w:rsidR="00E31A2B">
        <w:t>for</w:t>
      </w:r>
      <w:r>
        <w:t xml:space="preserve"> export, with small</w:t>
      </w:r>
      <w:r w:rsidR="00E31A2B">
        <w:t>er</w:t>
      </w:r>
      <w:r>
        <w:t xml:space="preserve"> quantities entering the domestic market through the Sydney fish market</w:t>
      </w:r>
      <w:r w:rsidR="00C26D79">
        <w:t>.</w:t>
      </w:r>
      <w:r>
        <w:t xml:space="preserve"> </w:t>
      </w:r>
    </w:p>
    <w:p w14:paraId="1D5921F3" w14:textId="705A8E8E" w:rsidR="00FD7230" w:rsidRDefault="00FD7230" w:rsidP="00255334">
      <w:r>
        <w:t xml:space="preserve">The </w:t>
      </w:r>
      <w:r w:rsidR="00DB1B46">
        <w:t>P</w:t>
      </w:r>
      <w:r>
        <w:t xml:space="preserve">eriwinkle fishery supplies the domestic market through localised direct sales by divers to consumers, retailers, wholesalers, and the major fish markets. </w:t>
      </w:r>
    </w:p>
    <w:p w14:paraId="727E654E" w14:textId="31E47F7F" w:rsidR="00DF37FD" w:rsidRDefault="00DF37FD" w:rsidP="00314F4F">
      <w:pPr>
        <w:pStyle w:val="Heading1"/>
      </w:pPr>
      <w:bookmarkStart w:id="10" w:name="_Toc203722682"/>
      <w:r w:rsidRPr="00527876">
        <w:rPr>
          <w:bCs/>
          <w:sz w:val="36"/>
          <w:szCs w:val="36"/>
        </w:rPr>
        <w:t xml:space="preserve">Management </w:t>
      </w:r>
      <w:r w:rsidR="00DF7A90">
        <w:rPr>
          <w:bCs/>
          <w:sz w:val="36"/>
          <w:szCs w:val="36"/>
        </w:rPr>
        <w:t>r</w:t>
      </w:r>
      <w:r w:rsidRPr="00527876">
        <w:rPr>
          <w:bCs/>
          <w:sz w:val="36"/>
          <w:szCs w:val="36"/>
        </w:rPr>
        <w:t>egime</w:t>
      </w:r>
      <w:bookmarkEnd w:id="10"/>
    </w:p>
    <w:p w14:paraId="2F425E68" w14:textId="056A0D44" w:rsidR="00DF37FD" w:rsidRPr="00906715" w:rsidRDefault="004B05AE" w:rsidP="00906715">
      <w:pPr>
        <w:pStyle w:val="Heading2"/>
      </w:pPr>
      <w:bookmarkStart w:id="11" w:name="_Toc203722683"/>
      <w:r w:rsidRPr="00906715">
        <w:t>Description of the management regime</w:t>
      </w:r>
      <w:bookmarkEnd w:id="11"/>
    </w:p>
    <w:p w14:paraId="6872BADA" w14:textId="6F05CCD4" w:rsidR="006955ED" w:rsidRDefault="006955ED" w:rsidP="00C437D5">
      <w:r>
        <w:t xml:space="preserve">The Tasmanian Commercial Dive Fishery is managed under the </w:t>
      </w:r>
      <w:hyperlink r:id="rId17" w:tooltip="Living Marine Resources Management Act 1995" w:history="1">
        <w:r w:rsidRPr="006955ED">
          <w:rPr>
            <w:rStyle w:val="Hyperlink"/>
            <w:i/>
            <w:iCs/>
          </w:rPr>
          <w:t>Living Marine Resources Management Act 1995</w:t>
        </w:r>
      </w:hyperlink>
      <w:r>
        <w:t xml:space="preserve"> </w:t>
      </w:r>
      <w:r w:rsidR="00E31A2B">
        <w:t xml:space="preserve">(LMRMA) </w:t>
      </w:r>
      <w:r>
        <w:t xml:space="preserve">and subordinate legislation including the </w:t>
      </w:r>
      <w:hyperlink r:id="rId18" w:history="1">
        <w:r w:rsidRPr="006955ED">
          <w:rPr>
            <w:rStyle w:val="Hyperlink"/>
            <w:i/>
            <w:iCs/>
          </w:rPr>
          <w:t>Fisheries (Commercial Dive) Rules 20​21</w:t>
        </w:r>
      </w:hyperlink>
      <w:r>
        <w:rPr>
          <w:i/>
          <w:iCs/>
        </w:rPr>
        <w:t xml:space="preserve"> </w:t>
      </w:r>
      <w:r>
        <w:t>(</w:t>
      </w:r>
      <w:r w:rsidR="00E31A2B">
        <w:t xml:space="preserve">‘the Rules’; </w:t>
      </w:r>
      <w:r>
        <w:t xml:space="preserve">these Rules also </w:t>
      </w:r>
      <w:r w:rsidR="00D854DB">
        <w:t xml:space="preserve">act as </w:t>
      </w:r>
      <w:r>
        <w:t xml:space="preserve">the management plan), </w:t>
      </w:r>
      <w:hyperlink r:id="rId19" w:tooltip="Fisheries Rules 2019" w:history="1">
        <w:r w:rsidRPr="006955ED">
          <w:rPr>
            <w:rStyle w:val="Hyperlink"/>
            <w:i/>
            <w:iCs/>
          </w:rPr>
          <w:t>Fisheries Rules 2019</w:t>
        </w:r>
      </w:hyperlink>
      <w:r>
        <w:t xml:space="preserve">, </w:t>
      </w:r>
      <w:hyperlink r:id="rId20" w:tooltip="Fisheries (General and Fees) Regulations 2016" w:history="1">
        <w:r w:rsidRPr="006955ED">
          <w:rPr>
            <w:rStyle w:val="Hyperlink"/>
            <w:i/>
            <w:iCs/>
          </w:rPr>
          <w:t>Fisheries (General and Fees) Regulations 2016</w:t>
        </w:r>
      </w:hyperlink>
      <w:r>
        <w:t xml:space="preserve">, and the </w:t>
      </w:r>
      <w:hyperlink r:id="rId21" w:history="1">
        <w:r w:rsidRPr="006955ED">
          <w:rPr>
            <w:rStyle w:val="Hyperlink"/>
            <w:i/>
            <w:iCs/>
          </w:rPr>
          <w:t>Fisheries (Penalty)​ Regulations 2021</w:t>
        </w:r>
        <w:r w:rsidRPr="006955ED">
          <w:rPr>
            <w:rStyle w:val="Hyperlink"/>
          </w:rPr>
          <w:t>​</w:t>
        </w:r>
      </w:hyperlink>
      <w:r>
        <w:t>.</w:t>
      </w:r>
    </w:p>
    <w:p w14:paraId="5A726561" w14:textId="344A5646" w:rsidR="006955ED" w:rsidRDefault="006955ED" w:rsidP="00C437D5">
      <w:r>
        <w:lastRenderedPageBreak/>
        <w:t xml:space="preserve">A plain English summary of the Rules and prevailing management arrangements are made publicly available online within the </w:t>
      </w:r>
      <w:hyperlink r:id="rId22" w:history="1">
        <w:r w:rsidRPr="006955ED">
          <w:rPr>
            <w:rStyle w:val="Hyperlink"/>
          </w:rPr>
          <w:t>Operational Guide for the Commercial Dive, Shellfish and Undaria Fisheries</w:t>
        </w:r>
      </w:hyperlink>
      <w:r w:rsidRPr="006955ED">
        <w:t>.</w:t>
      </w:r>
      <w:r>
        <w:t xml:space="preserve"> An updated copy of the guide is</w:t>
      </w:r>
      <w:r w:rsidR="004E7D42">
        <w:t xml:space="preserve"> published online and</w:t>
      </w:r>
      <w:r>
        <w:t xml:space="preserve"> provided to all commercial divers at the start of the fishing season, by 1 </w:t>
      </w:r>
      <w:r w:rsidR="00D854DB">
        <w:t>September</w:t>
      </w:r>
      <w:r>
        <w:t xml:space="preserve"> of each year</w:t>
      </w:r>
      <w:r w:rsidR="00D854DB">
        <w:t>.</w:t>
      </w:r>
    </w:p>
    <w:p w14:paraId="15FCB4E8" w14:textId="7DDA00D7" w:rsidR="00D854DB" w:rsidRDefault="00D854DB" w:rsidP="00D854DB">
      <w:r>
        <w:t xml:space="preserve">In addition to defined fishery parts, spatial closures, total catch limits, and catch-caps described earlier in this document, the fishery is further managed with minimum size limits (MSL) for commercial fishers as prescribed under </w:t>
      </w:r>
      <w:hyperlink r:id="rId23" w:anchor="GS13@EN" w:history="1">
        <w:r w:rsidRPr="00FB46C5">
          <w:rPr>
            <w:rStyle w:val="Hyperlink"/>
          </w:rPr>
          <w:t>rule 13 of the Rules</w:t>
        </w:r>
      </w:hyperlink>
      <w:r>
        <w:t xml:space="preserve">. Currently, the commercial MSL is 45mm for </w:t>
      </w:r>
      <w:r w:rsidR="00DB1B46">
        <w:t>P</w:t>
      </w:r>
      <w:r>
        <w:t xml:space="preserve">eriwinkles </w:t>
      </w:r>
      <w:r w:rsidR="00FB46C5">
        <w:t>to allow for two years of spawning prior to entering the fishery</w:t>
      </w:r>
      <w:r w:rsidR="00FB46C5">
        <w:rPr>
          <w:rStyle w:val="FootnoteReference"/>
        </w:rPr>
        <w:footnoteReference w:id="1"/>
      </w:r>
      <w:r w:rsidR="00FB46C5">
        <w:t xml:space="preserve">, </w:t>
      </w:r>
      <w:r>
        <w:t xml:space="preserve">and 80mm for </w:t>
      </w:r>
      <w:r w:rsidR="00DB1B46">
        <w:t>S</w:t>
      </w:r>
      <w:r>
        <w:t xml:space="preserve">hortspined </w:t>
      </w:r>
      <w:r w:rsidR="00DB1B46">
        <w:t>S</w:t>
      </w:r>
      <w:r>
        <w:t xml:space="preserve">ea </w:t>
      </w:r>
      <w:r w:rsidR="00DB1B46">
        <w:t>U</w:t>
      </w:r>
      <w:r>
        <w:t>rchin</w:t>
      </w:r>
      <w:r w:rsidR="00FB46C5">
        <w:t xml:space="preserve"> which provides for three years of spawning before entry to the fishery</w:t>
      </w:r>
      <w:r w:rsidR="00FB46C5">
        <w:rPr>
          <w:rStyle w:val="FootnoteReference"/>
        </w:rPr>
        <w:footnoteReference w:id="2"/>
      </w:r>
      <w:r>
        <w:t xml:space="preserve">. A MSL does not apply to </w:t>
      </w:r>
      <w:r w:rsidR="00347335">
        <w:t>L</w:t>
      </w:r>
      <w:r>
        <w:t xml:space="preserve">ongspined </w:t>
      </w:r>
      <w:r w:rsidR="00347335">
        <w:t>Se</w:t>
      </w:r>
      <w:r>
        <w:t xml:space="preserve">a </w:t>
      </w:r>
      <w:r w:rsidR="00347335">
        <w:t>U</w:t>
      </w:r>
      <w:r>
        <w:t xml:space="preserve">rchins which are a range-extended species that are being intentionally overfished in Tasmanian waters with the aid of an </w:t>
      </w:r>
      <w:hyperlink r:id="rId24" w:history="1">
        <w:r w:rsidRPr="00D854DB">
          <w:rPr>
            <w:rStyle w:val="Hyperlink"/>
          </w:rPr>
          <w:t>incentivised fishing program</w:t>
        </w:r>
      </w:hyperlink>
      <w:r>
        <w:t xml:space="preserve">—worth approximately $350,000 pa—funded by the </w:t>
      </w:r>
      <w:hyperlink r:id="rId25" w:history="1">
        <w:r w:rsidRPr="00D854DB">
          <w:rPr>
            <w:rStyle w:val="Hyperlink"/>
          </w:rPr>
          <w:t>Abalone Industry Reinvestment Fund</w:t>
        </w:r>
      </w:hyperlink>
      <w:r>
        <w:t xml:space="preserve"> (AIRF). </w:t>
      </w:r>
    </w:p>
    <w:p w14:paraId="264E5F70" w14:textId="0CEB103E" w:rsidR="00D854DB" w:rsidRDefault="00D854DB" w:rsidP="00D854DB">
      <w:r>
        <w:t>Recreational catch is managed with recommended (i.e., non-mandatory) MSL</w:t>
      </w:r>
      <w:r w:rsidR="004E7D42">
        <w:t xml:space="preserve"> commensurate to commercial MSL</w:t>
      </w:r>
      <w:r>
        <w:t xml:space="preserve">, and a daily bag limit of 100 </w:t>
      </w:r>
      <w:r w:rsidR="00DB1B46">
        <w:t>P</w:t>
      </w:r>
      <w:r>
        <w:t>eriwinkles.</w:t>
      </w:r>
    </w:p>
    <w:p w14:paraId="048F8D65" w14:textId="3CAE37C6" w:rsidR="00D96C80" w:rsidRDefault="00D854DB" w:rsidP="00C437D5">
      <w:r>
        <w:t>A range of conditions are applied to all commercial dive fishing licences</w:t>
      </w:r>
      <w:r w:rsidR="00D96C80">
        <w:t xml:space="preserve"> to govern the use of the licence, measuring devices, and loggers. These read as:</w:t>
      </w:r>
    </w:p>
    <w:p w14:paraId="753589F9" w14:textId="60947840" w:rsidR="00D96C80" w:rsidRPr="00D96C80" w:rsidRDefault="00D96C80" w:rsidP="00D96C80">
      <w:pPr>
        <w:spacing w:after="120"/>
        <w:rPr>
          <w:i/>
          <w:iCs/>
        </w:rPr>
      </w:pPr>
      <w:r w:rsidRPr="00D96C80">
        <w:rPr>
          <w:i/>
          <w:iCs/>
        </w:rPr>
        <w:t>1. It is a condition of this licence that the holder, or supervisor of the licence (both hereinafter referred to as the 'diver') must, whilst on a fishing trip not enter the water and dive without being in possession of:</w:t>
      </w:r>
    </w:p>
    <w:p w14:paraId="0E7E0FDA" w14:textId="2E6B80AA" w:rsidR="00D96C80" w:rsidRPr="00D96C80" w:rsidRDefault="00D96C80" w:rsidP="00D96C80">
      <w:pPr>
        <w:pStyle w:val="ListParagraph"/>
        <w:numPr>
          <w:ilvl w:val="0"/>
          <w:numId w:val="21"/>
        </w:numPr>
        <w:spacing w:after="120"/>
        <w:contextualSpacing w:val="0"/>
        <w:rPr>
          <w:i/>
          <w:iCs/>
        </w:rPr>
      </w:pPr>
      <w:r w:rsidRPr="00D96C80">
        <w:rPr>
          <w:i/>
          <w:iCs/>
        </w:rPr>
        <w:t xml:space="preserve">an instrument supplied by the Institute </w:t>
      </w:r>
      <w:r w:rsidR="004E7D42">
        <w:rPr>
          <w:i/>
          <w:iCs/>
        </w:rPr>
        <w:t>for</w:t>
      </w:r>
      <w:r w:rsidRPr="00D96C80">
        <w:rPr>
          <w:i/>
          <w:iCs/>
        </w:rPr>
        <w:t xml:space="preserve"> Marine and Antarctic Studies (hereinafter referred to as IMAS) for the purposes of automatically recording the depth to which a diver is diving) hereinafter</w:t>
      </w:r>
      <w:r>
        <w:rPr>
          <w:i/>
          <w:iCs/>
        </w:rPr>
        <w:t xml:space="preserve"> </w:t>
      </w:r>
      <w:r w:rsidRPr="00D96C80">
        <w:rPr>
          <w:i/>
          <w:iCs/>
        </w:rPr>
        <w:t>referred to as the 'depth logger'; and</w:t>
      </w:r>
    </w:p>
    <w:p w14:paraId="5AB0B900" w14:textId="7BD48823" w:rsidR="00D96C80" w:rsidRPr="00D96C80" w:rsidRDefault="00D96C80" w:rsidP="00D96C80">
      <w:pPr>
        <w:pStyle w:val="ListParagraph"/>
        <w:numPr>
          <w:ilvl w:val="0"/>
          <w:numId w:val="21"/>
        </w:numPr>
        <w:spacing w:after="120"/>
        <w:contextualSpacing w:val="0"/>
        <w:rPr>
          <w:i/>
          <w:iCs/>
        </w:rPr>
      </w:pPr>
      <w:r w:rsidRPr="00D96C80">
        <w:rPr>
          <w:i/>
          <w:iCs/>
        </w:rPr>
        <w:t>an instrument supplied by IMAS for the recording of the location of the diver (hereinafter referred to</w:t>
      </w:r>
      <w:r>
        <w:rPr>
          <w:i/>
          <w:iCs/>
        </w:rPr>
        <w:t xml:space="preserve"> </w:t>
      </w:r>
      <w:r w:rsidRPr="00D96C80">
        <w:rPr>
          <w:i/>
          <w:iCs/>
        </w:rPr>
        <w:t>as the location logger) when entering the water.</w:t>
      </w:r>
    </w:p>
    <w:p w14:paraId="7BBCC4CD" w14:textId="1229BD85" w:rsidR="00D96C80" w:rsidRPr="00D96C80" w:rsidRDefault="00D96C80" w:rsidP="00D96C80">
      <w:pPr>
        <w:spacing w:after="120"/>
        <w:rPr>
          <w:i/>
          <w:iCs/>
        </w:rPr>
      </w:pPr>
      <w:r w:rsidRPr="00D96C80">
        <w:rPr>
          <w:i/>
          <w:iCs/>
        </w:rPr>
        <w:t>2. It is a further condition of this licence that the diver must, whilst on a fishing trip not to enter the</w:t>
      </w:r>
      <w:r>
        <w:rPr>
          <w:i/>
          <w:iCs/>
        </w:rPr>
        <w:t xml:space="preserve"> </w:t>
      </w:r>
      <w:r w:rsidRPr="00D96C80">
        <w:rPr>
          <w:i/>
          <w:iCs/>
        </w:rPr>
        <w:t>water without first manipulating and observing an instrument supplied by IMAS, that is in their</w:t>
      </w:r>
      <w:r>
        <w:rPr>
          <w:i/>
          <w:iCs/>
        </w:rPr>
        <w:t xml:space="preserve"> </w:t>
      </w:r>
      <w:r w:rsidRPr="00D96C80">
        <w:rPr>
          <w:i/>
          <w:iCs/>
        </w:rPr>
        <w:t>possession, by:</w:t>
      </w:r>
    </w:p>
    <w:p w14:paraId="381FD090" w14:textId="2EF8EB96" w:rsidR="00D96C80" w:rsidRPr="00D96C80" w:rsidRDefault="00D96C80" w:rsidP="00D96C80">
      <w:pPr>
        <w:pStyle w:val="ListParagraph"/>
        <w:numPr>
          <w:ilvl w:val="0"/>
          <w:numId w:val="20"/>
        </w:numPr>
        <w:spacing w:after="120"/>
        <w:contextualSpacing w:val="0"/>
        <w:rPr>
          <w:i/>
          <w:iCs/>
        </w:rPr>
      </w:pPr>
      <w:r w:rsidRPr="00D96C80">
        <w:rPr>
          <w:i/>
          <w:iCs/>
        </w:rPr>
        <w:t>activating the power switch of the location logger and observing a display of latitude, longitude and</w:t>
      </w:r>
      <w:r>
        <w:rPr>
          <w:i/>
          <w:iCs/>
        </w:rPr>
        <w:t xml:space="preserve"> </w:t>
      </w:r>
      <w:r w:rsidRPr="00D96C80">
        <w:rPr>
          <w:i/>
          <w:iCs/>
        </w:rPr>
        <w:t>time and at least 30% remaining charge displayed on the power indicator; and</w:t>
      </w:r>
    </w:p>
    <w:p w14:paraId="194BFC8D" w14:textId="77777777" w:rsidR="00D96C80" w:rsidRPr="00D96C80" w:rsidRDefault="00D96C80" w:rsidP="00D96C80">
      <w:pPr>
        <w:pStyle w:val="ListParagraph"/>
        <w:numPr>
          <w:ilvl w:val="0"/>
          <w:numId w:val="20"/>
        </w:numPr>
        <w:spacing w:after="120"/>
        <w:rPr>
          <w:i/>
          <w:iCs/>
        </w:rPr>
      </w:pPr>
      <w:r w:rsidRPr="00D96C80">
        <w:rPr>
          <w:i/>
          <w:iCs/>
        </w:rPr>
        <w:t xml:space="preserve">observing the depth logger for a period of greater than 90 seconds to ensure the power indicator light flashes orange or green but not red. </w:t>
      </w:r>
    </w:p>
    <w:p w14:paraId="23EA2AFE" w14:textId="03659115" w:rsidR="00D96C80" w:rsidRPr="00D96C80" w:rsidRDefault="00D96C80" w:rsidP="00D96C80">
      <w:pPr>
        <w:spacing w:after="120"/>
        <w:rPr>
          <w:i/>
          <w:iCs/>
        </w:rPr>
      </w:pPr>
      <w:r>
        <w:rPr>
          <w:i/>
          <w:iCs/>
        </w:rPr>
        <w:t xml:space="preserve">3. </w:t>
      </w:r>
      <w:r w:rsidRPr="00D96C80">
        <w:rPr>
          <w:i/>
          <w:iCs/>
        </w:rPr>
        <w:t>It is a condition of this licence that the only person with the authority to take fish using this licence is the person specified in this fishing licence (commercial dive), and that the diver:</w:t>
      </w:r>
    </w:p>
    <w:p w14:paraId="69801EC6" w14:textId="77777777" w:rsidR="00D96C80" w:rsidRPr="00D96C80" w:rsidRDefault="00D96C80" w:rsidP="00D96C80">
      <w:pPr>
        <w:pStyle w:val="ListParagraph"/>
        <w:numPr>
          <w:ilvl w:val="0"/>
          <w:numId w:val="22"/>
        </w:numPr>
        <w:spacing w:after="120"/>
        <w:rPr>
          <w:i/>
          <w:iCs/>
        </w:rPr>
      </w:pPr>
      <w:r>
        <w:rPr>
          <w:i/>
          <w:iCs/>
        </w:rPr>
        <w:t>m</w:t>
      </w:r>
      <w:r w:rsidRPr="00D96C80">
        <w:rPr>
          <w:i/>
          <w:iCs/>
        </w:rPr>
        <w:t>ust whilst diving carry and use an accurate measuring device.</w:t>
      </w:r>
    </w:p>
    <w:p w14:paraId="73297D39" w14:textId="77777777" w:rsidR="00D96C80" w:rsidRPr="00D96C80" w:rsidRDefault="00D96C80" w:rsidP="00D96C80">
      <w:pPr>
        <w:pStyle w:val="ListParagraph"/>
        <w:numPr>
          <w:ilvl w:val="0"/>
          <w:numId w:val="22"/>
        </w:numPr>
        <w:spacing w:after="120"/>
        <w:rPr>
          <w:i/>
          <w:iCs/>
        </w:rPr>
      </w:pPr>
      <w:r>
        <w:rPr>
          <w:i/>
          <w:iCs/>
        </w:rPr>
        <w:t>m</w:t>
      </w:r>
      <w:r w:rsidRPr="00D96C80">
        <w:rPr>
          <w:i/>
          <w:iCs/>
        </w:rPr>
        <w:t xml:space="preserve">ust ensure the use of accurate weighing instruments for the period of this licence to determine the weight information to be entered into any original docket or record when </w:t>
      </w:r>
      <w:r w:rsidRPr="00D96C80">
        <w:rPr>
          <w:i/>
          <w:iCs/>
        </w:rPr>
        <w:lastRenderedPageBreak/>
        <w:t xml:space="preserve">carrying on any activity under the licence as required by the </w:t>
      </w:r>
      <w:r w:rsidRPr="00D96C80">
        <w:rPr>
          <w:i/>
          <w:iCs/>
          <w:u w:val="single"/>
        </w:rPr>
        <w:t>Living Marine Resources Management Act 1995</w:t>
      </w:r>
      <w:r w:rsidRPr="00D96C80">
        <w:rPr>
          <w:i/>
          <w:iCs/>
        </w:rPr>
        <w:t>.</w:t>
      </w:r>
    </w:p>
    <w:p w14:paraId="0B3748A5" w14:textId="58DAE4DF" w:rsidR="00D854DB" w:rsidRPr="00FD7230" w:rsidRDefault="00D96C80" w:rsidP="00C437D5">
      <w:r>
        <w:t xml:space="preserve">Licences can be further endorsed, upon application, for the use of fish caufs at specified sites. </w:t>
      </w:r>
    </w:p>
    <w:p w14:paraId="2E117F49" w14:textId="68959DBA" w:rsidR="004657F1" w:rsidRPr="00906715" w:rsidRDefault="003B69D3" w:rsidP="00906715">
      <w:pPr>
        <w:pStyle w:val="Heading2"/>
      </w:pPr>
      <w:bookmarkStart w:id="12" w:name="_Toc203722684"/>
      <w:r w:rsidRPr="00906715">
        <w:t>Consultation</w:t>
      </w:r>
      <w:r w:rsidR="000B0CC4">
        <w:t xml:space="preserve"> processes</w:t>
      </w:r>
      <w:bookmarkEnd w:id="12"/>
    </w:p>
    <w:p w14:paraId="23C86A77" w14:textId="51EE9471" w:rsidR="00ED42B9" w:rsidRDefault="00FD6AB4" w:rsidP="00FD6AB4">
      <w:r w:rsidRPr="00FD6AB4">
        <w:t xml:space="preserve">The </w:t>
      </w:r>
      <w:r>
        <w:t>Marine Resources business unit of NRE Tas</w:t>
      </w:r>
      <w:r w:rsidRPr="00FD6AB4">
        <w:t xml:space="preserve"> undertakes public consultation with a wide range of stakeholders when developing or updating fisheries management arrangements. These consultative processes are a requirement under </w:t>
      </w:r>
      <w:hyperlink r:id="rId26" w:anchor="HP3@EN" w:history="1">
        <w:r w:rsidRPr="00E31A2B">
          <w:rPr>
            <w:rStyle w:val="Hyperlink"/>
          </w:rPr>
          <w:t>Part 3 of the LMRMA</w:t>
        </w:r>
      </w:hyperlink>
      <w:r>
        <w:t>, and</w:t>
      </w:r>
      <w:r w:rsidR="00ED42B9">
        <w:t xml:space="preserve"> includes</w:t>
      </w:r>
      <w:r w:rsidR="00707C17">
        <w:t xml:space="preserve"> mandated periods of public comment together with targeted </w:t>
      </w:r>
      <w:r w:rsidR="00ED42B9">
        <w:t>consultation with relevant recognised peak fishing bodies to modify or make a management plan</w:t>
      </w:r>
      <w:r w:rsidR="00707C17">
        <w:t xml:space="preserve">. The prevailing management plan is the </w:t>
      </w:r>
      <w:r w:rsidR="00707C17">
        <w:rPr>
          <w:i/>
          <w:iCs/>
        </w:rPr>
        <w:t>Fisheries (Commercial Dive) Rules 2021</w:t>
      </w:r>
      <w:r w:rsidR="00707C17">
        <w:t xml:space="preserve"> which is due to expire February 2032.</w:t>
      </w:r>
    </w:p>
    <w:p w14:paraId="349C556E" w14:textId="48D4B35B" w:rsidR="00FD6AB4" w:rsidRDefault="00FD6AB4" w:rsidP="00FD6AB4">
      <w:r>
        <w:t xml:space="preserve">Scientific advice is provided contractually to NRE Tas by </w:t>
      </w:r>
      <w:r w:rsidR="004E7D42">
        <w:t>the Institute for Marine and Antarctic Studies (</w:t>
      </w:r>
      <w:r>
        <w:t>IMAS</w:t>
      </w:r>
      <w:r w:rsidR="004E7D42">
        <w:t>)</w:t>
      </w:r>
      <w:r>
        <w:t xml:space="preserve"> via the </w:t>
      </w:r>
      <w:hyperlink r:id="rId27" w:history="1">
        <w:r w:rsidRPr="00E31A2B">
          <w:rPr>
            <w:rStyle w:val="Hyperlink"/>
          </w:rPr>
          <w:t>Sustainable Marine Research Collaboration Agreement</w:t>
        </w:r>
      </w:hyperlink>
      <w:r>
        <w:t xml:space="preserve"> (SMRCA). Under the SMRCA, IMAS </w:t>
      </w:r>
      <w:r w:rsidRPr="00FD6AB4">
        <w:t xml:space="preserve">provides scientific advice </w:t>
      </w:r>
      <w:r>
        <w:t>regarding fishery performance and key indicators including CPUE and CPUA derived from catch records and mandatory GPS/depth loggers worn by commercial divers.</w:t>
      </w:r>
    </w:p>
    <w:p w14:paraId="558BBCFB" w14:textId="271BC7BE" w:rsidR="00FD6AB4" w:rsidRDefault="00FD6AB4" w:rsidP="00FD6AB4">
      <w:r>
        <w:t xml:space="preserve">Operational advice is provided </w:t>
      </w:r>
      <w:r w:rsidR="00E53F8F">
        <w:t xml:space="preserve">directly </w:t>
      </w:r>
      <w:r>
        <w:t xml:space="preserve">by the </w:t>
      </w:r>
      <w:hyperlink r:id="rId28" w:history="1">
        <w:r w:rsidRPr="005740C8">
          <w:rPr>
            <w:rStyle w:val="Hyperlink"/>
          </w:rPr>
          <w:t>Tasmanian Commercial Divers Association</w:t>
        </w:r>
      </w:hyperlink>
      <w:r>
        <w:t xml:space="preserve"> (TCDA) and </w:t>
      </w:r>
      <w:hyperlink r:id="rId29" w:history="1">
        <w:r w:rsidRPr="005740C8">
          <w:rPr>
            <w:rStyle w:val="Hyperlink"/>
          </w:rPr>
          <w:t>Seafood Industry Tasmania</w:t>
        </w:r>
      </w:hyperlink>
      <w:r>
        <w:t xml:space="preserve"> (SIT), both of which are relevant recognised peak fishing bodies under </w:t>
      </w:r>
      <w:hyperlink r:id="rId30" w:anchor="GS25@EN" w:history="1">
        <w:r w:rsidR="00E53F8F" w:rsidRPr="00E53F8F">
          <w:rPr>
            <w:rStyle w:val="Hyperlink"/>
          </w:rPr>
          <w:t>section 25</w:t>
        </w:r>
      </w:hyperlink>
      <w:r w:rsidR="00E53F8F">
        <w:t xml:space="preserve"> of the LMRMA. Open lines of communication are maintained with the peak bodies by NRE Tas fishery managers, with formal meeting opportunities facilitated via </w:t>
      </w:r>
      <w:hyperlink r:id="rId31" w:history="1">
        <w:r w:rsidR="00E53F8F" w:rsidRPr="005740C8">
          <w:rPr>
            <w:rStyle w:val="Hyperlink"/>
          </w:rPr>
          <w:t>Fishery Consultative Groups</w:t>
        </w:r>
      </w:hyperlink>
      <w:r w:rsidR="00E53F8F">
        <w:t xml:space="preserve">. </w:t>
      </w:r>
    </w:p>
    <w:p w14:paraId="4256E451" w14:textId="2D657066" w:rsidR="00E53F8F" w:rsidRDefault="00FD6AB4" w:rsidP="00FD6AB4">
      <w:r>
        <w:t>The Commercial Dive Fishery Consultative Group (</w:t>
      </w:r>
      <w:r w:rsidR="00E53F8F">
        <w:t>form</w:t>
      </w:r>
      <w:r w:rsidR="00DF516B">
        <w:t>er</w:t>
      </w:r>
      <w:r w:rsidR="00E53F8F">
        <w:t xml:space="preserve">ly referred to as the Commercial Dive Fishery </w:t>
      </w:r>
      <w:r>
        <w:t xml:space="preserve">Core Group) </w:t>
      </w:r>
      <w:r w:rsidR="00E53F8F">
        <w:t xml:space="preserve">is a formal mechanism by which </w:t>
      </w:r>
      <w:r>
        <w:t xml:space="preserve">NRE Tas </w:t>
      </w:r>
      <w:r w:rsidR="00E53F8F">
        <w:t xml:space="preserve">facilitates open dialogue with scientific experts, peak bodies, and invited representatives of the fishery. The group meets several times per year, normally coinciding with preparation for peak body general meetings and catch limit setting determinations. Formal </w:t>
      </w:r>
      <w:r w:rsidR="00DB1B46">
        <w:t>M</w:t>
      </w:r>
      <w:r w:rsidR="00E53F8F">
        <w:t xml:space="preserve">inutes are not kept, </w:t>
      </w:r>
      <w:r w:rsidR="005740C8">
        <w:t>but</w:t>
      </w:r>
      <w:r w:rsidR="00E53F8F">
        <w:t xml:space="preserve"> action items, talking points, and general notes are maintained and stored by NRE Tas, and circulated post-meeting to attendees.</w:t>
      </w:r>
    </w:p>
    <w:p w14:paraId="6FEB9535" w14:textId="2B61E290" w:rsidR="00707C17" w:rsidRPr="00707C17" w:rsidRDefault="00E53F8F" w:rsidP="00247CA4">
      <w:r>
        <w:t>The Incentivised</w:t>
      </w:r>
      <w:r w:rsidR="00707C17">
        <w:t xml:space="preserve"> </w:t>
      </w:r>
      <w:r>
        <w:t>Centrostephanus F</w:t>
      </w:r>
      <w:r w:rsidR="00707C17">
        <w:t xml:space="preserve">ishing </w:t>
      </w:r>
      <w:r>
        <w:t>P</w:t>
      </w:r>
      <w:r w:rsidR="00707C17">
        <w:t xml:space="preserve">rogram </w:t>
      </w:r>
      <w:r>
        <w:t xml:space="preserve">is funded by the </w:t>
      </w:r>
      <w:hyperlink r:id="rId32" w:history="1">
        <w:r w:rsidRPr="005740C8">
          <w:rPr>
            <w:rStyle w:val="Hyperlink"/>
          </w:rPr>
          <w:t>Abalone Industry Reinvestment Fund</w:t>
        </w:r>
      </w:hyperlink>
      <w:r>
        <w:t xml:space="preserve"> (AIRF), which is a joint initiative between the Tasmanian Government and the recognised peak fishing body for the abalone fishery, Tasmanian Abalone Council Limited (TACL).</w:t>
      </w:r>
      <w:r w:rsidR="00814088">
        <w:t xml:space="preserve"> The AIRF contributes approximately $300,000 pa towards the program, which is ultimately managed by NRE Tas. The AIRF Committee—comprising members of NRE Tas</w:t>
      </w:r>
      <w:r w:rsidR="005740C8">
        <w:t>,</w:t>
      </w:r>
      <w:r w:rsidR="00814088">
        <w:t xml:space="preserve"> IMAS</w:t>
      </w:r>
      <w:r w:rsidR="005740C8">
        <w:t xml:space="preserve">, </w:t>
      </w:r>
      <w:r w:rsidR="00DB1B46">
        <w:t xml:space="preserve">and </w:t>
      </w:r>
      <w:r w:rsidR="005740C8">
        <w:t>TACL</w:t>
      </w:r>
      <w:r w:rsidR="00814088">
        <w:t xml:space="preserve">—meets annually with </w:t>
      </w:r>
      <w:r w:rsidR="00DB1B46">
        <w:t xml:space="preserve">members of </w:t>
      </w:r>
      <w:r w:rsidR="00814088">
        <w:t xml:space="preserve">the Commercial Dive Fishery Consultative Group </w:t>
      </w:r>
      <w:r w:rsidR="00DB1B46">
        <w:t xml:space="preserve">and IMAS </w:t>
      </w:r>
      <w:r w:rsidR="00814088">
        <w:t xml:space="preserve">to </w:t>
      </w:r>
      <w:r w:rsidR="00DB1B46">
        <w:t>make</w:t>
      </w:r>
      <w:r w:rsidR="00814088">
        <w:t xml:space="preserve"> recommend</w:t>
      </w:r>
      <w:r w:rsidR="00DB1B46">
        <w:t>ations for the</w:t>
      </w:r>
      <w:r w:rsidR="00814088">
        <w:t xml:space="preserve"> per kilogram incentive rates and spatial scales to be applied in the coming fishing season. The final determination </w:t>
      </w:r>
      <w:r w:rsidR="00DB1B46">
        <w:t xml:space="preserve">regarding the incentivised Centrostephanus fishing program </w:t>
      </w:r>
      <w:r w:rsidR="00814088">
        <w:t xml:space="preserve">is made by NRE </w:t>
      </w:r>
      <w:r w:rsidR="00DB1B46">
        <w:t>Tas</w:t>
      </w:r>
      <w:r w:rsidR="00814088">
        <w:t>.</w:t>
      </w:r>
    </w:p>
    <w:p w14:paraId="578864D6" w14:textId="3BBCC1EB" w:rsidR="00746F21" w:rsidRPr="00195CE5" w:rsidRDefault="00906715" w:rsidP="00CA75CE">
      <w:pPr>
        <w:pStyle w:val="Heading2"/>
        <w:rPr>
          <w:color w:val="auto"/>
          <w:u w:val="single"/>
          <w:lang w:val="en"/>
        </w:rPr>
      </w:pPr>
      <w:bookmarkStart w:id="13" w:name="_Toc203722685"/>
      <w:r w:rsidRPr="002A1B86">
        <w:t xml:space="preserve">Performance against objectives, performance indicators and performance </w:t>
      </w:r>
      <w:r w:rsidRPr="002A1B86">
        <w:rPr>
          <w:color w:val="auto"/>
        </w:rPr>
        <w:t>measures</w:t>
      </w:r>
      <w:bookmarkEnd w:id="13"/>
    </w:p>
    <w:p w14:paraId="4AFDFA31" w14:textId="69F51AC6" w:rsidR="006425A6" w:rsidRDefault="006425A6" w:rsidP="00906715">
      <w:r w:rsidRPr="006425A6">
        <w:t>The harvest strategy for Periwinkles</w:t>
      </w:r>
      <w:r w:rsidR="002A1B86">
        <w:t xml:space="preserve"> and Shortspined Sea Urchins</w:t>
      </w:r>
      <w:r w:rsidRPr="006425A6">
        <w:t xml:space="preserve"> </w:t>
      </w:r>
      <w:r w:rsidR="00FB46C5">
        <w:t xml:space="preserve">outlined in </w:t>
      </w:r>
      <w:r w:rsidR="002A1B86">
        <w:t>NRE Tas</w:t>
      </w:r>
      <w:r w:rsidRPr="006425A6">
        <w:t xml:space="preserve"> </w:t>
      </w:r>
      <w:hyperlink r:id="rId33" w:history="1">
        <w:r w:rsidRPr="002A1B86">
          <w:rPr>
            <w:rStyle w:val="Hyperlink"/>
          </w:rPr>
          <w:t>Policy Paper 2005</w:t>
        </w:r>
      </w:hyperlink>
      <w:r w:rsidR="00704963">
        <w:t xml:space="preserve"> (</w:t>
      </w:r>
      <w:r w:rsidR="002A1B86">
        <w:t>which s</w:t>
      </w:r>
      <w:r w:rsidR="00FB46C5">
        <w:t>hould be read in conjunction with</w:t>
      </w:r>
      <w:r>
        <w:t xml:space="preserve"> </w:t>
      </w:r>
      <w:hyperlink r:id="rId34" w:history="1">
        <w:r w:rsidRPr="00FB46C5">
          <w:rPr>
            <w:rStyle w:val="Hyperlink"/>
          </w:rPr>
          <w:t xml:space="preserve">Policy Paper </w:t>
        </w:r>
        <w:r w:rsidR="00FB46C5">
          <w:rPr>
            <w:rStyle w:val="Hyperlink"/>
          </w:rPr>
          <w:t xml:space="preserve">Update </w:t>
        </w:r>
        <w:r w:rsidRPr="00FB46C5">
          <w:rPr>
            <w:rStyle w:val="Hyperlink"/>
          </w:rPr>
          <w:t>2011</w:t>
        </w:r>
      </w:hyperlink>
      <w:r w:rsidR="00704963">
        <w:t>)</w:t>
      </w:r>
      <w:r>
        <w:t xml:space="preserve"> </w:t>
      </w:r>
      <w:r w:rsidRPr="006425A6">
        <w:t xml:space="preserve">uses </w:t>
      </w:r>
      <w:r w:rsidR="00CE3E5F">
        <w:t xml:space="preserve">standardised </w:t>
      </w:r>
      <w:r w:rsidRPr="006425A6">
        <w:t>catch rates</w:t>
      </w:r>
      <w:r w:rsidR="002A1B86">
        <w:t>—both CPUE and CPUA</w:t>
      </w:r>
      <w:r w:rsidR="00704963">
        <w:t xml:space="preserve">—obtained from logbooks and loggers, </w:t>
      </w:r>
      <w:r w:rsidRPr="006425A6">
        <w:t>and size structure</w:t>
      </w:r>
      <w:r w:rsidR="00704963">
        <w:t xml:space="preserve"> data obtained from measuring devices in processing facilities,</w:t>
      </w:r>
      <w:r w:rsidRPr="006425A6">
        <w:t xml:space="preserve"> as performance indicators. Trigger points for catch rates are reached if there is a decline of 20% in each of two consecutive years or 35% in a year</w:t>
      </w:r>
      <w:r w:rsidR="00CE3E5F">
        <w:t xml:space="preserve">; these </w:t>
      </w:r>
      <w:r w:rsidR="00A81E4F">
        <w:t xml:space="preserve">triggers </w:t>
      </w:r>
      <w:r w:rsidR="00CE3E5F">
        <w:t xml:space="preserve">are intended to be reviewed </w:t>
      </w:r>
      <w:r w:rsidR="005B5B2B">
        <w:t xml:space="preserve">in the near future </w:t>
      </w:r>
      <w:r w:rsidR="00CE3E5F">
        <w:t xml:space="preserve">with the potential to introduce </w:t>
      </w:r>
      <w:r w:rsidR="00A81E4F" w:rsidRPr="008A7760">
        <w:t>Limit and Target</w:t>
      </w:r>
      <w:r w:rsidR="00A81E4F">
        <w:t xml:space="preserve"> </w:t>
      </w:r>
      <w:r w:rsidR="00A81E4F" w:rsidRPr="008A7760">
        <w:t>Reference Points (LRP, TRP)</w:t>
      </w:r>
      <w:r w:rsidR="00CE3E5F">
        <w:t>.</w:t>
      </w:r>
    </w:p>
    <w:p w14:paraId="6E0D9C89" w14:textId="2348EDF9" w:rsidR="00803901" w:rsidRDefault="00803901" w:rsidP="00906715">
      <w:r>
        <w:lastRenderedPageBreak/>
        <w:t xml:space="preserve">The Longspined Sea Urchin fishery utilises the same performance indicators, but is further supported with fishery-independent surveys.  </w:t>
      </w:r>
      <w:r w:rsidRPr="00803901">
        <w:t>Biomass in the Longspined Sea Urchin fishery is assessed by</w:t>
      </w:r>
      <w:r>
        <w:t xml:space="preserve"> CPUE trends and</w:t>
      </w:r>
      <w:r w:rsidRPr="00803901">
        <w:t xml:space="preserve"> extrapolation from counts obtained from fishery-independent transect surveys</w:t>
      </w:r>
      <w:r>
        <w:t>.</w:t>
      </w:r>
      <w:r w:rsidR="00CE3E5F" w:rsidRPr="00CE3E5F">
        <w:t xml:space="preserve"> </w:t>
      </w:r>
      <w:r w:rsidR="00CE3E5F">
        <w:t xml:space="preserve">A </w:t>
      </w:r>
      <w:r w:rsidR="00CE3E5F" w:rsidRPr="008A7760">
        <w:t xml:space="preserve">dynamic size-structured </w:t>
      </w:r>
      <w:hyperlink r:id="rId35" w:history="1">
        <w:r w:rsidR="00CE3E5F" w:rsidRPr="008A7760">
          <w:rPr>
            <w:rStyle w:val="Hyperlink"/>
          </w:rPr>
          <w:t>stock assessment model</w:t>
        </w:r>
      </w:hyperlink>
      <w:r w:rsidR="00CE3E5F" w:rsidRPr="008A7760">
        <w:t xml:space="preserve"> to analyse population growth and the effects of fishing on</w:t>
      </w:r>
      <w:r w:rsidR="005B5B2B" w:rsidRPr="005B5B2B">
        <w:t xml:space="preserve"> </w:t>
      </w:r>
      <w:r w:rsidR="005B5B2B">
        <w:t>L</w:t>
      </w:r>
      <w:r w:rsidR="005B5B2B" w:rsidRPr="00856AE6">
        <w:t xml:space="preserve">ongspined </w:t>
      </w:r>
      <w:r w:rsidR="005B5B2B">
        <w:t>S</w:t>
      </w:r>
      <w:r w:rsidR="005B5B2B" w:rsidRPr="00856AE6">
        <w:t xml:space="preserve">ea </w:t>
      </w:r>
      <w:r w:rsidR="005B5B2B">
        <w:t>U</w:t>
      </w:r>
      <w:r w:rsidR="005B5B2B" w:rsidRPr="00856AE6">
        <w:t xml:space="preserve">rchin </w:t>
      </w:r>
      <w:r w:rsidR="00CE3E5F" w:rsidRPr="008A7760">
        <w:t>stock biomass in east coast Tasmanian waters</w:t>
      </w:r>
      <w:r w:rsidR="00CE3E5F">
        <w:t xml:space="preserve"> has been developed</w:t>
      </w:r>
      <w:r w:rsidR="00CE3E5F" w:rsidRPr="008A7760">
        <w:t>.</w:t>
      </w:r>
    </w:p>
    <w:p w14:paraId="1204462A" w14:textId="05BD6AF1" w:rsidR="002A1B86" w:rsidRDefault="00803901" w:rsidP="002A1B86">
      <w:pPr>
        <w:rPr>
          <w:highlight w:val="yellow"/>
        </w:rPr>
      </w:pPr>
      <w:r>
        <w:t>Fishery</w:t>
      </w:r>
      <w:r w:rsidR="002A1B86" w:rsidRPr="002A1B86">
        <w:t xml:space="preserve"> performance is monitored throughout the year </w:t>
      </w:r>
      <w:r w:rsidR="002A1B86">
        <w:t>by IMAS under the SMRCA, with formal annual assessments</w:t>
      </w:r>
      <w:r>
        <w:t xml:space="preserve"> and stock status</w:t>
      </w:r>
      <w:r w:rsidR="002A1B86">
        <w:t xml:space="preserve"> published by IMAS. Currently, IMAS has classed each species as Sustainable: </w:t>
      </w:r>
      <w:hyperlink r:id="rId36" w:history="1">
        <w:r w:rsidR="002A1B86" w:rsidRPr="000A0238">
          <w:rPr>
            <w:rStyle w:val="Hyperlink"/>
          </w:rPr>
          <w:t>Shortspined Sea Urchin</w:t>
        </w:r>
      </w:hyperlink>
      <w:r w:rsidR="002A1B86">
        <w:t xml:space="preserve">, </w:t>
      </w:r>
      <w:hyperlink r:id="rId37" w:history="1">
        <w:r w:rsidR="002A1B86" w:rsidRPr="000A0238">
          <w:rPr>
            <w:rStyle w:val="Hyperlink"/>
          </w:rPr>
          <w:t>Longspined Sea Urchin</w:t>
        </w:r>
      </w:hyperlink>
      <w:r w:rsidR="002A1B86">
        <w:t xml:space="preserve">, and </w:t>
      </w:r>
      <w:hyperlink r:id="rId38" w:history="1">
        <w:r w:rsidR="002A1B86" w:rsidRPr="000A0238">
          <w:rPr>
            <w:rStyle w:val="Hyperlink"/>
          </w:rPr>
          <w:t>Periwinkles</w:t>
        </w:r>
      </w:hyperlink>
      <w:r w:rsidR="002A1B86">
        <w:rPr>
          <w:rStyle w:val="Hyperlink"/>
        </w:rPr>
        <w:t>.</w:t>
      </w:r>
      <w:r w:rsidR="002A1B86">
        <w:t xml:space="preserve"> Likewise, the latest </w:t>
      </w:r>
      <w:r w:rsidR="002A1B86" w:rsidRPr="006425A6">
        <w:t>Status of Australian Fish Stocks Reports</w:t>
      </w:r>
      <w:r w:rsidR="002A1B86">
        <w:t xml:space="preserve"> (SAFS) classes each species as Sustainable: </w:t>
      </w:r>
      <w:hyperlink r:id="rId39" w:history="1">
        <w:r w:rsidR="002A1B86" w:rsidRPr="006425A6">
          <w:rPr>
            <w:rStyle w:val="Hyperlink"/>
          </w:rPr>
          <w:t>Longspined Sea Urchin 2023</w:t>
        </w:r>
      </w:hyperlink>
      <w:r w:rsidR="002A1B86">
        <w:t xml:space="preserve">, </w:t>
      </w:r>
      <w:hyperlink r:id="rId40" w:history="1">
        <w:r w:rsidR="002A1B86" w:rsidRPr="006425A6">
          <w:rPr>
            <w:rStyle w:val="Hyperlink"/>
          </w:rPr>
          <w:t>Shortspined Sea Urchin 2023</w:t>
        </w:r>
      </w:hyperlink>
      <w:r w:rsidR="002A1B86">
        <w:t xml:space="preserve">, </w:t>
      </w:r>
      <w:hyperlink r:id="rId41" w:history="1">
        <w:r w:rsidR="002A1B86" w:rsidRPr="006425A6">
          <w:rPr>
            <w:rStyle w:val="Hyperlink"/>
          </w:rPr>
          <w:t>Wavy Periwinkle 2023</w:t>
        </w:r>
      </w:hyperlink>
      <w:r w:rsidR="002A1B86">
        <w:t>.</w:t>
      </w:r>
    </w:p>
    <w:p w14:paraId="408E5C2A" w14:textId="403C0F9D" w:rsidR="004E7D42" w:rsidRDefault="004E7D42" w:rsidP="00906715">
      <w:r>
        <w:t xml:space="preserve">The Tasmanian Commercial Dive Fishery </w:t>
      </w:r>
      <w:r w:rsidR="002A1B86">
        <w:t xml:space="preserve">fits the model of </w:t>
      </w:r>
      <w:r>
        <w:t>a S-Fishery (</w:t>
      </w:r>
      <w:r w:rsidRPr="004E7D42">
        <w:t>small-scale, spatial structured, sedentary target species</w:t>
      </w:r>
      <w:r>
        <w:t>)</w:t>
      </w:r>
      <w:r w:rsidR="002A1B86">
        <w:t>,</w:t>
      </w:r>
      <w:r>
        <w:t xml:space="preserve"> and</w:t>
      </w:r>
      <w:r w:rsidR="00D31912">
        <w:t xml:space="preserve"> </w:t>
      </w:r>
      <w:r w:rsidR="006425A6">
        <w:t xml:space="preserve">IMAS-led </w:t>
      </w:r>
      <w:hyperlink r:id="rId42" w:history="1">
        <w:r w:rsidR="00D31912" w:rsidRPr="00D31912">
          <w:rPr>
            <w:rStyle w:val="Hyperlink"/>
          </w:rPr>
          <w:t>FRDC</w:t>
        </w:r>
        <w:r w:rsidRPr="00D31912">
          <w:rPr>
            <w:rStyle w:val="Hyperlink"/>
          </w:rPr>
          <w:t xml:space="preserve"> project</w:t>
        </w:r>
        <w:r w:rsidR="00D31912" w:rsidRPr="00D31912">
          <w:rPr>
            <w:rStyle w:val="Hyperlink"/>
          </w:rPr>
          <w:t xml:space="preserve"> 2022-039</w:t>
        </w:r>
      </w:hyperlink>
      <w:r w:rsidR="006425A6">
        <w:t xml:space="preserve"> </w:t>
      </w:r>
      <w:r w:rsidR="003B057C">
        <w:t>i</w:t>
      </w:r>
      <w:r>
        <w:t xml:space="preserve">s currently underway to develop </w:t>
      </w:r>
      <w:r w:rsidR="002A1B86">
        <w:t xml:space="preserve">more robust </w:t>
      </w:r>
      <w:r>
        <w:t>spatial based assessment methodologies and tools for such fisheries, with the Tasmanian Commercial Dive Fishery as a case study.</w:t>
      </w:r>
      <w:r w:rsidR="00CE3E5F">
        <w:t xml:space="preserve"> Within this project</w:t>
      </w:r>
      <w:r w:rsidR="00A81E4F">
        <w:t xml:space="preserve"> and through a future harvest strategy consultative process,</w:t>
      </w:r>
      <w:r w:rsidR="00CE3E5F">
        <w:t xml:space="preserve"> appropriate </w:t>
      </w:r>
      <w:r w:rsidR="00A81E4F">
        <w:t>LRPs, TRPs,</w:t>
      </w:r>
      <w:r w:rsidR="00CE3E5F">
        <w:t xml:space="preserve"> </w:t>
      </w:r>
      <w:r w:rsidR="00CE3E5F" w:rsidRPr="008A7760">
        <w:t>and control rules for each species</w:t>
      </w:r>
      <w:r w:rsidR="00CE3E5F">
        <w:t xml:space="preserve"> </w:t>
      </w:r>
      <w:r w:rsidR="005B5B2B">
        <w:t>should</w:t>
      </w:r>
      <w:r w:rsidR="00CE3E5F">
        <w:t xml:space="preserve"> be identified</w:t>
      </w:r>
      <w:r w:rsidR="005B5B2B">
        <w:t xml:space="preserve"> which will inform a review of the Harvest Strategy setting within the prevailing policies</w:t>
      </w:r>
      <w:r w:rsidR="00CE3E5F">
        <w:t>.</w:t>
      </w:r>
    </w:p>
    <w:p w14:paraId="7D00FCB3" w14:textId="00DB881E" w:rsidR="00787EDD" w:rsidRPr="00DE62C0" w:rsidRDefault="004E2F54" w:rsidP="00DE62C0">
      <w:pPr>
        <w:pStyle w:val="Heading2"/>
      </w:pPr>
      <w:bookmarkStart w:id="14" w:name="_Toc203722686"/>
      <w:r>
        <w:t>C</w:t>
      </w:r>
      <w:r w:rsidR="007F5C88" w:rsidRPr="00DE62C0">
        <w:t>ontrolling the level of harvest</w:t>
      </w:r>
      <w:bookmarkEnd w:id="14"/>
    </w:p>
    <w:p w14:paraId="6C582E57" w14:textId="45BA44AE" w:rsidR="0080026E" w:rsidRDefault="003B057C" w:rsidP="001A225A">
      <w:r w:rsidRPr="003B057C">
        <w:t>Harvest</w:t>
      </w:r>
      <w:r>
        <w:t xml:space="preserve"> for </w:t>
      </w:r>
      <w:r w:rsidR="00891499">
        <w:t xml:space="preserve">Periwinkles and Shortspined Sea Urchins </w:t>
      </w:r>
      <w:r>
        <w:t xml:space="preserve">is controlled using annual </w:t>
      </w:r>
      <w:r w:rsidR="00DB1B46">
        <w:t>T</w:t>
      </w:r>
      <w:r>
        <w:t xml:space="preserve">otal </w:t>
      </w:r>
      <w:r w:rsidR="00DB1B46">
        <w:t>A</w:t>
      </w:r>
      <w:r>
        <w:t xml:space="preserve">llowable </w:t>
      </w:r>
      <w:r w:rsidR="00DB1B46">
        <w:t>C</w:t>
      </w:r>
      <w:r>
        <w:t xml:space="preserve">ommercial </w:t>
      </w:r>
      <w:r w:rsidR="00DB1B46">
        <w:t>C</w:t>
      </w:r>
      <w:r>
        <w:t xml:space="preserve">atch </w:t>
      </w:r>
      <w:r w:rsidR="00DB1B46">
        <w:t xml:space="preserve">(TACCs) </w:t>
      </w:r>
      <w:r>
        <w:t>limits</w:t>
      </w:r>
      <w:r w:rsidR="00C734B5">
        <w:t xml:space="preserve"> set for each of the f</w:t>
      </w:r>
      <w:r>
        <w:t>ive fishery parts</w:t>
      </w:r>
      <w:r w:rsidR="00891499">
        <w:t>. S</w:t>
      </w:r>
      <w:r>
        <w:t xml:space="preserve">maller catch-caps </w:t>
      </w:r>
      <w:r w:rsidR="00891499">
        <w:t xml:space="preserve">are </w:t>
      </w:r>
      <w:r>
        <w:t>applied annually</w:t>
      </w:r>
      <w:r w:rsidR="00EC2C04">
        <w:t xml:space="preserve"> to specific subblocks</w:t>
      </w:r>
      <w:r w:rsidR="00C734B5">
        <w:t xml:space="preserve"> </w:t>
      </w:r>
      <w:r>
        <w:t xml:space="preserve">to constrain localised effort and spread effort to other parts of the fishery. </w:t>
      </w:r>
      <w:r w:rsidR="0080026E">
        <w:t>Once the limits/caps are reached, area/species-specific closures are instated with 24 - 48 hours’ notice provided to fishers.</w:t>
      </w:r>
    </w:p>
    <w:p w14:paraId="6788F87C" w14:textId="5F83024C" w:rsidR="003B057C" w:rsidRDefault="00C734B5" w:rsidP="001A225A">
      <w:r>
        <w:t>C</w:t>
      </w:r>
      <w:r w:rsidR="003B057C">
        <w:t>atch limits</w:t>
      </w:r>
      <w:r w:rsidR="00891499">
        <w:t xml:space="preserve">, </w:t>
      </w:r>
      <w:r w:rsidR="003B057C">
        <w:t>catch-caps</w:t>
      </w:r>
      <w:r w:rsidR="00891499">
        <w:t>, and species/area closures</w:t>
      </w:r>
      <w:r w:rsidR="003B057C">
        <w:t xml:space="preserve"> are determined </w:t>
      </w:r>
      <w:r>
        <w:t xml:space="preserve">under notice at </w:t>
      </w:r>
      <w:hyperlink r:id="rId43" w:history="1">
        <w:r>
          <w:rPr>
            <w:rStyle w:val="Hyperlink"/>
          </w:rPr>
          <w:t>Tasmanian Government Public Notices</w:t>
        </w:r>
      </w:hyperlink>
      <w:r w:rsidR="003B057C">
        <w:t xml:space="preserve">, and are published online at </w:t>
      </w:r>
      <w:hyperlink r:id="rId44" w:history="1">
        <w:r w:rsidR="003B057C" w:rsidRPr="005F39A8">
          <w:rPr>
            <w:rStyle w:val="Hyperlink"/>
          </w:rPr>
          <w:t>Catch and Closures | Fishing Tasmania</w:t>
        </w:r>
      </w:hyperlink>
      <w:r w:rsidR="003B057C">
        <w:t>.</w:t>
      </w:r>
    </w:p>
    <w:p w14:paraId="57799E14" w14:textId="6476780D" w:rsidR="00891499" w:rsidRDefault="0080026E" w:rsidP="00C734B5">
      <w:r w:rsidRPr="00891499">
        <w:t xml:space="preserve">In determining </w:t>
      </w:r>
      <w:r>
        <w:t>limits, NRE Tas consults with IMAS</w:t>
      </w:r>
      <w:r w:rsidR="00DB1B46">
        <w:t>, the recognised peak fishing bodies (SIT and TCDA)</w:t>
      </w:r>
      <w:r>
        <w:t xml:space="preserve"> and the Commercial Dive Fishery Consultative Group and </w:t>
      </w:r>
      <w:r w:rsidRPr="00891499">
        <w:t>consider</w:t>
      </w:r>
      <w:r>
        <w:t>s</w:t>
      </w:r>
      <w:r w:rsidRPr="00891499">
        <w:t xml:space="preserve"> estimates of all sources of mortality on each stock</w:t>
      </w:r>
      <w:r>
        <w:t xml:space="preserve">. </w:t>
      </w:r>
      <w:r w:rsidR="00B844F4">
        <w:t xml:space="preserve">Recreational and customary fishing is estimated as nil to negligible. </w:t>
      </w:r>
      <w:r>
        <w:t>T</w:t>
      </w:r>
      <w:r w:rsidR="00891499">
        <w:t>he</w:t>
      </w:r>
      <w:r w:rsidR="00B844F4">
        <w:t xml:space="preserve"> commercial fishery is limited entry</w:t>
      </w:r>
      <w:r w:rsidR="00891499">
        <w:t xml:space="preserve"> </w:t>
      </w:r>
      <w:r w:rsidR="00B844F4">
        <w:t>with only</w:t>
      </w:r>
      <w:r w:rsidR="00891499">
        <w:t xml:space="preserve"> 52 commercial dive licences</w:t>
      </w:r>
      <w:r w:rsidR="00B844F4">
        <w:t>,</w:t>
      </w:r>
      <w:r w:rsidR="00891499">
        <w:t xml:space="preserve"> and approximately </w:t>
      </w:r>
      <w:r w:rsidR="005B5B2B">
        <w:t>25 to 35</w:t>
      </w:r>
      <w:r w:rsidR="00891499">
        <w:t xml:space="preserve"> active divers at any one time. </w:t>
      </w:r>
    </w:p>
    <w:p w14:paraId="10AF070B" w14:textId="280B40BB" w:rsidR="0080026E" w:rsidRDefault="0080026E" w:rsidP="00C734B5">
      <w:r>
        <w:t>Catch constraints are not applied to the Longspined Sea Urchin Fishery.</w:t>
      </w:r>
    </w:p>
    <w:p w14:paraId="5ADB1266" w14:textId="050D1EB1" w:rsidR="0080026E" w:rsidRDefault="00891499" w:rsidP="00C734B5">
      <w:r>
        <w:t>Commercial</w:t>
      </w:r>
      <w:r w:rsidR="00C734B5" w:rsidRPr="00C734B5">
        <w:t xml:space="preserve"> </w:t>
      </w:r>
      <w:r w:rsidR="00C734B5">
        <w:t xml:space="preserve">catch is </w:t>
      </w:r>
      <w:r w:rsidR="00C734B5" w:rsidRPr="00C734B5">
        <w:t xml:space="preserve">recorded at species-level in </w:t>
      </w:r>
      <w:r w:rsidR="0080026E">
        <w:t>an</w:t>
      </w:r>
      <w:r w:rsidR="00C734B5">
        <w:t xml:space="preserve"> </w:t>
      </w:r>
      <w:r>
        <w:t xml:space="preserve">approved fishery logbook, the </w:t>
      </w:r>
      <w:r w:rsidR="00C734B5">
        <w:t>Commercial Diver’s Docket book</w:t>
      </w:r>
      <w:r w:rsidR="00FF4CFF">
        <w:t xml:space="preserve"> </w:t>
      </w:r>
      <w:r w:rsidR="00FF4CFF" w:rsidRPr="00554A33">
        <w:t xml:space="preserve">(Figure </w:t>
      </w:r>
      <w:r w:rsidR="006B016B">
        <w:t>9</w:t>
      </w:r>
      <w:r w:rsidR="00FF4CFF" w:rsidRPr="00554A33">
        <w:t xml:space="preserve"> of Appendix 5)</w:t>
      </w:r>
      <w:r w:rsidRPr="00554A33">
        <w:t>.</w:t>
      </w:r>
      <w:r w:rsidR="00C734B5" w:rsidRPr="00554A33">
        <w:t xml:space="preserve"> Dockets must be completed by the diver and receiver of the fish prior to leaving the landing area, and they must be posted to </w:t>
      </w:r>
      <w:r w:rsidR="007C331F" w:rsidRPr="00554A33">
        <w:t>NRE Tas</w:t>
      </w:r>
      <w:r w:rsidR="00C734B5" w:rsidRPr="00554A33">
        <w:t xml:space="preserve"> within 48 hours of completion. </w:t>
      </w:r>
      <w:r w:rsidR="0080026E" w:rsidRPr="00554A33">
        <w:t>Licensed seafood processors verify catch weights and report these independently using an approved logbook, the General Fish Processors Return</w:t>
      </w:r>
      <w:r w:rsidR="00FF4CFF" w:rsidRPr="00554A33">
        <w:t xml:space="preserve"> (Figure </w:t>
      </w:r>
      <w:r w:rsidR="006B016B">
        <w:t>10</w:t>
      </w:r>
      <w:r w:rsidR="00FF4CFF" w:rsidRPr="00554A33">
        <w:t xml:space="preserve"> of Appendix 5)</w:t>
      </w:r>
      <w:r w:rsidR="0080026E" w:rsidRPr="00554A33">
        <w:t>,</w:t>
      </w:r>
      <w:r w:rsidR="0080026E">
        <w:t xml:space="preserve"> which is submitted to NRE Tas monthly.</w:t>
      </w:r>
    </w:p>
    <w:p w14:paraId="26678932" w14:textId="70457FCB" w:rsidR="0080026E" w:rsidRDefault="0080026E" w:rsidP="00C734B5">
      <w:r>
        <w:t xml:space="preserve">Divers are also permitted to cauf their fish if their licence is endorsed with cauf locations, and to self-process and sell their own catch; in practice, this is constrained to the </w:t>
      </w:r>
      <w:r w:rsidR="00DB1B46">
        <w:t>P</w:t>
      </w:r>
      <w:r>
        <w:t xml:space="preserve">eriwinkle fishery. Divers are required to maintain cauf records and direct sales records for 5 years and make these available to the Fisheries Officers and NRE Tas upon request.  </w:t>
      </w:r>
    </w:p>
    <w:p w14:paraId="2569A394" w14:textId="61D3B199" w:rsidR="00BA7809" w:rsidRDefault="0080026E" w:rsidP="001A225A">
      <w:pPr>
        <w:rPr>
          <w:color w:val="4000A6"/>
        </w:rPr>
      </w:pPr>
      <w:r>
        <w:t xml:space="preserve">All Commercial Diver’s Dockets and General Fish Processor Returns </w:t>
      </w:r>
      <w:r w:rsidR="00C734B5" w:rsidRPr="00C734B5">
        <w:t xml:space="preserve">are </w:t>
      </w:r>
      <w:r w:rsidR="00C734B5">
        <w:t xml:space="preserve">entered into the Fisheries Integrated Licensing and Monitoring System (FILMS) electronic database by </w:t>
      </w:r>
      <w:r>
        <w:t>NRE Tas</w:t>
      </w:r>
      <w:r w:rsidR="00C734B5">
        <w:t xml:space="preserve"> staff and reviewed for errors or instances of non-compliance. </w:t>
      </w:r>
    </w:p>
    <w:p w14:paraId="61E406F7" w14:textId="4633B810" w:rsidR="00406C7E" w:rsidRDefault="004944FD" w:rsidP="004944FD">
      <w:pPr>
        <w:pStyle w:val="Heading2"/>
      </w:pPr>
      <w:bookmarkStart w:id="15" w:name="_Toc203722687"/>
      <w:r>
        <w:lastRenderedPageBreak/>
        <w:t xml:space="preserve">Harvest </w:t>
      </w:r>
      <w:r w:rsidR="00445DEF">
        <w:t>s</w:t>
      </w:r>
      <w:r>
        <w:t>trategy</w:t>
      </w:r>
      <w:bookmarkEnd w:id="15"/>
    </w:p>
    <w:p w14:paraId="76A5FC04" w14:textId="1E9B87AB" w:rsidR="00B844F4" w:rsidRDefault="00BE5478" w:rsidP="004944FD">
      <w:r w:rsidRPr="00BE5478">
        <w:t xml:space="preserve">The Tasmanian Commercial Dive Fishery is managed under the provisions of </w:t>
      </w:r>
      <w:r w:rsidR="00B844F4">
        <w:t>its</w:t>
      </w:r>
      <w:r w:rsidRPr="00BE5478">
        <w:t xml:space="preserve"> management plan, the </w:t>
      </w:r>
      <w:hyperlink r:id="rId45" w:history="1">
        <w:r w:rsidRPr="00B844F4">
          <w:rPr>
            <w:rStyle w:val="Hyperlink"/>
            <w:i/>
            <w:iCs/>
          </w:rPr>
          <w:t>Fisheries (Commercial Dive) Rules 2021</w:t>
        </w:r>
      </w:hyperlink>
      <w:r w:rsidR="00B844F4">
        <w:t>, with a harvest strategy outlined in the in NRE Tas</w:t>
      </w:r>
      <w:r w:rsidR="00B844F4" w:rsidRPr="006425A6">
        <w:t xml:space="preserve"> </w:t>
      </w:r>
      <w:hyperlink r:id="rId46" w:history="1">
        <w:r w:rsidR="00B844F4" w:rsidRPr="002A1B86">
          <w:rPr>
            <w:rStyle w:val="Hyperlink"/>
          </w:rPr>
          <w:t>Policy Paper 2005</w:t>
        </w:r>
      </w:hyperlink>
      <w:r w:rsidR="00B844F4">
        <w:t xml:space="preserve">, which should be read in conjunction with </w:t>
      </w:r>
      <w:hyperlink r:id="rId47" w:history="1">
        <w:r w:rsidR="00B844F4" w:rsidRPr="00FB46C5">
          <w:rPr>
            <w:rStyle w:val="Hyperlink"/>
          </w:rPr>
          <w:t xml:space="preserve">Policy Paper </w:t>
        </w:r>
        <w:r w:rsidR="00B844F4">
          <w:rPr>
            <w:rStyle w:val="Hyperlink"/>
          </w:rPr>
          <w:t xml:space="preserve">Update </w:t>
        </w:r>
        <w:r w:rsidR="00B844F4" w:rsidRPr="00FB46C5">
          <w:rPr>
            <w:rStyle w:val="Hyperlink"/>
          </w:rPr>
          <w:t>2011</w:t>
        </w:r>
      </w:hyperlink>
      <w:r w:rsidR="00B844F4">
        <w:t xml:space="preserve">. The fishery </w:t>
      </w:r>
      <w:r w:rsidR="00B844F4" w:rsidRPr="006425A6">
        <w:t>uses catch rates</w:t>
      </w:r>
      <w:r w:rsidR="00B844F4">
        <w:t>—both CPUE and CPUA—</w:t>
      </w:r>
      <w:r w:rsidR="00B844F4" w:rsidRPr="006425A6">
        <w:t>and size structure as performance indicators. Trigger points for catch rates are reached if there is a decline of 20% in each of two consecutive years or 35% in a year.</w:t>
      </w:r>
      <w:r w:rsidRPr="00BE5478">
        <w:t xml:space="preserve"> </w:t>
      </w:r>
    </w:p>
    <w:p w14:paraId="0D12C4A5" w14:textId="1BDEC3B4" w:rsidR="00CE3E5F" w:rsidRDefault="00CE3E5F" w:rsidP="004944FD">
      <w:r>
        <w:t>The trigger points have been flagged as needing review to guard against year-on-year declines and the risk of serial depletion. A dedicated Harvest Strategy document</w:t>
      </w:r>
      <w:r w:rsidR="00A81E4F">
        <w:t xml:space="preserve"> with robust TRPs and LRPs</w:t>
      </w:r>
      <w:r>
        <w:t xml:space="preserve"> is desirable. As resources allow for it, NRE Tas is working towards developing Harvest Strategies for all fisheries including Commercial Dive.</w:t>
      </w:r>
    </w:p>
    <w:p w14:paraId="08F85403" w14:textId="0757B4EE" w:rsidR="00B844F4" w:rsidRDefault="00B844F4" w:rsidP="00B844F4">
      <w:r>
        <w:t xml:space="preserve">The Longspined Sea Urchin fishery utilises the same performance indicators, but is further supported with </w:t>
      </w:r>
      <w:r w:rsidR="005B5B2B">
        <w:t xml:space="preserve">periodic </w:t>
      </w:r>
      <w:r>
        <w:t xml:space="preserve">fishery-independent surveys.  </w:t>
      </w:r>
      <w:r w:rsidRPr="00803901">
        <w:t>Biomass in the Longspined Sea Urchin fishery is assessed by</w:t>
      </w:r>
      <w:r>
        <w:t xml:space="preserve"> CPUE trends and</w:t>
      </w:r>
      <w:r w:rsidRPr="00803901">
        <w:t xml:space="preserve"> extrapolation from counts obtained from fishery-independent transect surveys</w:t>
      </w:r>
      <w:r>
        <w:t>.</w:t>
      </w:r>
    </w:p>
    <w:p w14:paraId="5FE69470" w14:textId="0D9E7DDD" w:rsidR="00704963" w:rsidRPr="00D81A71" w:rsidRDefault="00704963" w:rsidP="00704963">
      <w:r>
        <w:t>Annual decisions regarding catch limits, spatial closures, and size limits, are made following scientific assessment of performance indicators by IMAS, and upon advice obtained through the Commercial Dive Fishery Consultative Group or other reliable sources.</w:t>
      </w:r>
    </w:p>
    <w:p w14:paraId="011AC2B7" w14:textId="39D2E0B0" w:rsidR="00DF7A90" w:rsidRDefault="00BE5478" w:rsidP="004944FD">
      <w:r>
        <w:t xml:space="preserve">Future development of a </w:t>
      </w:r>
      <w:r w:rsidR="00B844F4">
        <w:t xml:space="preserve">more contemporary </w:t>
      </w:r>
      <w:r>
        <w:t xml:space="preserve">harvest strategy </w:t>
      </w:r>
      <w:r w:rsidR="00B844F4">
        <w:t xml:space="preserve">for each species </w:t>
      </w:r>
      <w:r>
        <w:t xml:space="preserve">is </w:t>
      </w:r>
      <w:r w:rsidR="005B5B2B">
        <w:t xml:space="preserve">largely </w:t>
      </w:r>
      <w:r>
        <w:t xml:space="preserve">dependent on the outcomes of </w:t>
      </w:r>
      <w:r w:rsidR="00B844F4">
        <w:t xml:space="preserve">IMAS-led </w:t>
      </w:r>
      <w:hyperlink r:id="rId48" w:history="1">
        <w:r w:rsidRPr="00BE5478">
          <w:rPr>
            <w:rStyle w:val="Hyperlink"/>
          </w:rPr>
          <w:t>FRDC Project 2022-039</w:t>
        </w:r>
      </w:hyperlink>
      <w:r>
        <w:t>:</w:t>
      </w:r>
      <w:r w:rsidRPr="00BE5478">
        <w:rPr>
          <w:i/>
          <w:iCs/>
        </w:rPr>
        <w:t xml:space="preserve"> Developing spatial based assessment methodologies and tools for small scale dive fisheries: Case study of the Tasmanian Commercial Dive Fishery</w:t>
      </w:r>
      <w:r>
        <w:t>.</w:t>
      </w:r>
    </w:p>
    <w:p w14:paraId="6A6A182F" w14:textId="4FDB5869" w:rsidR="0076131B" w:rsidRDefault="0076131B" w:rsidP="0076131B">
      <w:pPr>
        <w:pStyle w:val="Heading2"/>
      </w:pPr>
      <w:bookmarkStart w:id="16" w:name="_Toc203722688"/>
      <w:r w:rsidRPr="00615855">
        <w:t>Recovery strategies for overfished stocks</w:t>
      </w:r>
      <w:bookmarkEnd w:id="16"/>
    </w:p>
    <w:p w14:paraId="4F40FA1E" w14:textId="1485C037" w:rsidR="003B057C" w:rsidRDefault="0001270E" w:rsidP="00704DBB">
      <w:r>
        <w:t>There are no active recovery plans in place</w:t>
      </w:r>
      <w:r w:rsidR="00A523F0">
        <w:t xml:space="preserve"> at this time</w:t>
      </w:r>
      <w:r w:rsidR="00704963">
        <w:t xml:space="preserve"> </w:t>
      </w:r>
      <w:r>
        <w:t>because</w:t>
      </w:r>
      <w:r w:rsidR="00704963">
        <w:t xml:space="preserve"> the </w:t>
      </w:r>
      <w:r w:rsidR="00BE5478">
        <w:t xml:space="preserve">stock status for all species </w:t>
      </w:r>
      <w:r w:rsidR="00CE1150">
        <w:t>is</w:t>
      </w:r>
      <w:r w:rsidR="00BE5478">
        <w:t xml:space="preserve"> classified as sustainabl</w:t>
      </w:r>
      <w:r w:rsidR="00CE1150">
        <w:t>e</w:t>
      </w:r>
      <w:r w:rsidR="00704963">
        <w:t>.</w:t>
      </w:r>
    </w:p>
    <w:p w14:paraId="4A80922A" w14:textId="6E2089D8" w:rsidR="00704963" w:rsidRDefault="00704963" w:rsidP="00704DBB">
      <w:pPr>
        <w:rPr>
          <w:bCs/>
        </w:rPr>
      </w:pPr>
      <w:r>
        <w:t xml:space="preserve">Precautionary, adaptive management is practiced in this fishery to protect stock </w:t>
      </w:r>
      <w:r w:rsidR="0001270E">
        <w:t xml:space="preserve">with responses to dynamic/seasonal impacts upon the fishery including from marine heatwaves, harmful algal blooms, or localised overfishing. Concerns raised by industry are taken into consideration when determining catch limits and closures. For example, in response to depletion concerns for Shortspined Sea Urchins and Periwinkles, on the back of successive marine heatwaves the industry, the industry proposed through the peak bodies a 50% reduction to all catch limits be applied in the 2024-25 fishing season. </w:t>
      </w:r>
      <w:r w:rsidR="0001270E">
        <w:rPr>
          <w:bCs/>
        </w:rPr>
        <w:t>This was a highly conservative and precautionary measure to mitigate against potential overfishing which was supported and implemented by NRE Tas.</w:t>
      </w:r>
    </w:p>
    <w:p w14:paraId="3D02CEB3" w14:textId="53F70B65" w:rsidR="0001270E" w:rsidRDefault="0001270E" w:rsidP="00704DBB">
      <w:pPr>
        <w:rPr>
          <w:bCs/>
        </w:rPr>
      </w:pPr>
      <w:r>
        <w:rPr>
          <w:bCs/>
        </w:rPr>
        <w:t>If a recovery strategy were required, NRE Tas would engage with IMAS and consult with the industry to develop one.</w:t>
      </w:r>
    </w:p>
    <w:p w14:paraId="31F1FABA" w14:textId="011EA8FA" w:rsidR="005B11D1" w:rsidRPr="00600CF2" w:rsidRDefault="00600CF2" w:rsidP="00704DBB">
      <w:pPr>
        <w:pStyle w:val="Heading2"/>
      </w:pPr>
      <w:bookmarkStart w:id="17" w:name="_Toc203722689"/>
      <w:r w:rsidRPr="00600CF2">
        <w:t>E</w:t>
      </w:r>
      <w:r w:rsidR="005B11D1" w:rsidRPr="00600CF2">
        <w:t>nforc</w:t>
      </w:r>
      <w:r w:rsidRPr="00600CF2">
        <w:t>ement</w:t>
      </w:r>
      <w:r w:rsidR="004B4287">
        <w:t xml:space="preserve"> of</w:t>
      </w:r>
      <w:r w:rsidR="005B11D1" w:rsidRPr="00600CF2">
        <w:t xml:space="preserve"> the management arrangements</w:t>
      </w:r>
      <w:bookmarkEnd w:id="17"/>
    </w:p>
    <w:p w14:paraId="391E950A" w14:textId="4D28E627" w:rsidR="001D1B05" w:rsidRDefault="001D1B05" w:rsidP="00A523F0">
      <w:r>
        <w:t>NRE Tas</w:t>
      </w:r>
      <w:r w:rsidR="00A523F0" w:rsidRPr="00A523F0">
        <w:t xml:space="preserve"> </w:t>
      </w:r>
      <w:r w:rsidR="00A523F0">
        <w:t xml:space="preserve">contains a dedicated </w:t>
      </w:r>
      <w:r>
        <w:t xml:space="preserve">Marine Resources </w:t>
      </w:r>
      <w:r w:rsidR="00A523F0">
        <w:t>Compliance and Monitoring team</w:t>
      </w:r>
      <w:r>
        <w:t xml:space="preserve"> who are</w:t>
      </w:r>
      <w:r w:rsidR="00A523F0">
        <w:t xml:space="preserve"> responsible for ensuring </w:t>
      </w:r>
      <w:r>
        <w:t xml:space="preserve">fishery operators adhere to </w:t>
      </w:r>
      <w:r w:rsidR="00A523F0">
        <w:t xml:space="preserve">management arrangements. The team </w:t>
      </w:r>
      <w:r w:rsidR="00A523F0" w:rsidRPr="00A523F0">
        <w:t>monitor</w:t>
      </w:r>
      <w:r w:rsidR="00A523F0">
        <w:t>s</w:t>
      </w:r>
      <w:r w:rsidR="00A523F0" w:rsidRPr="00A523F0">
        <w:t xml:space="preserve"> harvest data submitted by harvesters and processors</w:t>
      </w:r>
      <w:r w:rsidR="00A523F0">
        <w:t xml:space="preserve">, </w:t>
      </w:r>
      <w:r>
        <w:t xml:space="preserve">and are </w:t>
      </w:r>
      <w:r w:rsidR="00A523F0">
        <w:t xml:space="preserve">aided with a sophisticated electronic database with </w:t>
      </w:r>
      <w:r>
        <w:t xml:space="preserve">automated </w:t>
      </w:r>
      <w:r w:rsidR="00A523F0">
        <w:t>error and non-compliance detection rules</w:t>
      </w:r>
      <w:r w:rsidR="00A523F0" w:rsidRPr="00A523F0">
        <w:t xml:space="preserve">. </w:t>
      </w:r>
    </w:p>
    <w:p w14:paraId="0F180199" w14:textId="6E0509C9" w:rsidR="001D1B05" w:rsidRDefault="001D1B05" w:rsidP="00A523F0">
      <w:r w:rsidRPr="001D1B05">
        <w:t xml:space="preserve">The Marine Resources Compliance team investigate all matters of referred non-compliance in the first instance, with responses varying from education to infringement/prosecution and the </w:t>
      </w:r>
      <w:r w:rsidRPr="001D1B05">
        <w:lastRenderedPageBreak/>
        <w:t xml:space="preserve">application of demerit points upon convictions. Some matters may be escalated to the Tasmanian Marine Police (TasPol) </w:t>
      </w:r>
      <w:r w:rsidR="0060281D">
        <w:t>for</w:t>
      </w:r>
      <w:r w:rsidRPr="001D1B05">
        <w:t xml:space="preserve"> further investigation.</w:t>
      </w:r>
    </w:p>
    <w:p w14:paraId="393AD0F8" w14:textId="4C662C81" w:rsidR="0060281D" w:rsidRDefault="0060281D" w:rsidP="00A523F0">
      <w:r w:rsidRPr="0060281D">
        <w:t>Fisheries Officers within the Marine Resources Compliance team conduct scheduled inspections/audits of fish processing premises with a focus on records and equipment. Fisheries Officers from TasPol routinely conduct spot inspections of fish processors, conduct at-sea and in-port inspections of catches and vessels.</w:t>
      </w:r>
    </w:p>
    <w:p w14:paraId="2227F7B4" w14:textId="4070AB08" w:rsidR="00A523F0" w:rsidRPr="00A523F0" w:rsidRDefault="0060281D" w:rsidP="00A523F0">
      <w:r>
        <w:t>Matters of concern may occasionally be raised through other means. For example, some e</w:t>
      </w:r>
      <w:r w:rsidR="001D1B05">
        <w:t xml:space="preserve">vidence of fishing </w:t>
      </w:r>
      <w:r w:rsidR="00ED15F7">
        <w:t xml:space="preserve">for </w:t>
      </w:r>
      <w:r w:rsidR="00A523F0" w:rsidRPr="00A523F0">
        <w:t xml:space="preserve">undersized </w:t>
      </w:r>
      <w:r w:rsidR="001D1B05">
        <w:t>S</w:t>
      </w:r>
      <w:r w:rsidR="00A523F0" w:rsidRPr="00A523F0">
        <w:t xml:space="preserve">hortspined </w:t>
      </w:r>
      <w:r w:rsidR="001D1B05">
        <w:t>S</w:t>
      </w:r>
      <w:r w:rsidR="00A523F0" w:rsidRPr="00A523F0">
        <w:t xml:space="preserve">ea </w:t>
      </w:r>
      <w:r w:rsidR="001D1B05">
        <w:t>U</w:t>
      </w:r>
      <w:r w:rsidR="00A523F0" w:rsidRPr="00A523F0">
        <w:t>rchin</w:t>
      </w:r>
      <w:r w:rsidR="001D1B05">
        <w:t>s</w:t>
      </w:r>
      <w:r w:rsidR="00A523F0" w:rsidRPr="00A523F0">
        <w:t xml:space="preserve"> w</w:t>
      </w:r>
      <w:r w:rsidR="001D1B05">
        <w:t>as</w:t>
      </w:r>
      <w:r w:rsidR="00A523F0" w:rsidRPr="00A523F0">
        <w:t xml:space="preserve"> detected in 2023 and 2024 through a voluntary catch measuring program </w:t>
      </w:r>
      <w:r>
        <w:t>employed</w:t>
      </w:r>
      <w:r w:rsidR="00A523F0" w:rsidRPr="00A523F0">
        <w:t xml:space="preserve"> in several processing facilities. Th</w:t>
      </w:r>
      <w:r>
        <w:t>e matter</w:t>
      </w:r>
      <w:r w:rsidR="00A523F0" w:rsidRPr="00A523F0">
        <w:t xml:space="preserve"> </w:t>
      </w:r>
      <w:r w:rsidR="00ED15F7">
        <w:t>was</w:t>
      </w:r>
      <w:r>
        <w:t xml:space="preserve"> referred to the Compliance team for handling. D</w:t>
      </w:r>
      <w:r w:rsidR="00A523F0" w:rsidRPr="00A523F0">
        <w:t xml:space="preserve">iver education </w:t>
      </w:r>
      <w:r>
        <w:t>was prioritised at</w:t>
      </w:r>
      <w:r w:rsidR="00A523F0" w:rsidRPr="00A523F0">
        <w:t xml:space="preserve"> </w:t>
      </w:r>
      <w:r>
        <w:t>the diver general meetings, and the</w:t>
      </w:r>
      <w:r w:rsidR="00A523F0" w:rsidRPr="00A523F0">
        <w:t xml:space="preserve"> requirement to carry and use a measuring device whilst diving</w:t>
      </w:r>
      <w:r>
        <w:t xml:space="preserve"> was introduced. TasPol increased their on-water presence at critical fishing times, and </w:t>
      </w:r>
      <w:r w:rsidR="00A523F0" w:rsidRPr="00A523F0">
        <w:t xml:space="preserve">divers </w:t>
      </w:r>
      <w:r>
        <w:t>were</w:t>
      </w:r>
      <w:r w:rsidR="001D1B05">
        <w:t xml:space="preserve"> offered </w:t>
      </w:r>
      <w:r>
        <w:t xml:space="preserve">confidential </w:t>
      </w:r>
      <w:r w:rsidR="00A523F0" w:rsidRPr="00A523F0">
        <w:t>access to their personal</w:t>
      </w:r>
      <w:r>
        <w:t>ised</w:t>
      </w:r>
      <w:r w:rsidR="00A523F0" w:rsidRPr="00A523F0">
        <w:t xml:space="preserve"> catch size data for the purpose of self-regulation and improvement.</w:t>
      </w:r>
    </w:p>
    <w:p w14:paraId="5DB7545A" w14:textId="242B85D3" w:rsidR="00C2539A" w:rsidRPr="001F04DC" w:rsidRDefault="001017DE" w:rsidP="001F04DC">
      <w:pPr>
        <w:pStyle w:val="Heading2"/>
      </w:pPr>
      <w:bookmarkStart w:id="18" w:name="_Toc203722690"/>
      <w:r>
        <w:t>Mitigating i</w:t>
      </w:r>
      <w:r w:rsidR="000A3698" w:rsidRPr="001F04DC">
        <w:t>mpacts on the wider ecosystem</w:t>
      </w:r>
      <w:bookmarkEnd w:id="18"/>
    </w:p>
    <w:p w14:paraId="7217E688" w14:textId="2E8615CA" w:rsidR="003D191F" w:rsidRPr="003D191F" w:rsidRDefault="00ED15F7" w:rsidP="003D191F">
      <w:pPr>
        <w:rPr>
          <w:noProof/>
          <w:color w:val="4000A6"/>
        </w:rPr>
      </w:pPr>
      <w:r>
        <w:rPr>
          <w:noProof/>
        </w:rPr>
        <w:t xml:space="preserve">An ecological risk assessment has not been undertaken for this fishery, however, the nature of the fisheries operations—hand collection of small quantities of targeted species by diving—renders the risk very low. </w:t>
      </w:r>
      <w:r>
        <w:t xml:space="preserve">The Tasmanian Commercial Dive fishery, particularly the urchin fishery component, is being actively used as a beneficial tool in the protection and restoration of several threatened and protected species and ecological communities. Please refer down to </w:t>
      </w:r>
      <w:r w:rsidR="00024456">
        <w:t>sub-</w:t>
      </w:r>
      <w:r>
        <w:t xml:space="preserve">heading </w:t>
      </w:r>
      <w:hyperlink w:anchor="_Protected_species_and" w:history="1">
        <w:r w:rsidRPr="00024456">
          <w:rPr>
            <w:rStyle w:val="Hyperlink"/>
            <w:i/>
            <w:iCs/>
          </w:rPr>
          <w:t>Protected species and threatened ecological communities</w:t>
        </w:r>
      </w:hyperlink>
      <w:r w:rsidRPr="00ED15F7">
        <w:rPr>
          <w:i/>
          <w:iCs/>
        </w:rPr>
        <w:t xml:space="preserve"> </w:t>
      </w:r>
      <w:r>
        <w:t>for more information.</w:t>
      </w:r>
    </w:p>
    <w:p w14:paraId="21AF50B5" w14:textId="1BF95F59" w:rsidR="00C420E6" w:rsidRPr="00406C7E" w:rsidRDefault="00406C7E" w:rsidP="00406C7E">
      <w:pPr>
        <w:pStyle w:val="Heading2"/>
      </w:pPr>
      <w:bookmarkStart w:id="19" w:name="_Toc203722691"/>
      <w:r w:rsidRPr="00FC184C">
        <w:t>N</w:t>
      </w:r>
      <w:r w:rsidR="00C420E6" w:rsidRPr="00FC184C">
        <w:t xml:space="preserve">ational </w:t>
      </w:r>
      <w:r w:rsidR="006B2F3F" w:rsidRPr="00FC184C">
        <w:t>policies</w:t>
      </w:r>
      <w:r w:rsidR="00BF5ED4" w:rsidRPr="00FC184C">
        <w:t>, plans</w:t>
      </w:r>
      <w:r w:rsidR="006B2F3F" w:rsidRPr="00FC184C">
        <w:t xml:space="preserve"> and strategies</w:t>
      </w:r>
      <w:bookmarkEnd w:id="19"/>
    </w:p>
    <w:p w14:paraId="014C2BC6" w14:textId="6AFF75E0" w:rsidR="0060281D" w:rsidRPr="0060281D" w:rsidRDefault="0060281D" w:rsidP="003D191F">
      <w:r w:rsidRPr="0060281D">
        <w:t>The fishery’s management arrangements are compliant with national policies and strategies.</w:t>
      </w:r>
    </w:p>
    <w:p w14:paraId="72FAB0FF" w14:textId="2F31FAEC" w:rsidR="00CE70F8" w:rsidRPr="0055632A" w:rsidRDefault="003D191F" w:rsidP="00E12CCE">
      <w:pPr>
        <w:pStyle w:val="ListParagraph"/>
        <w:numPr>
          <w:ilvl w:val="0"/>
          <w:numId w:val="19"/>
        </w:numPr>
        <w:rPr>
          <w:rStyle w:val="Hyperlink"/>
          <w:color w:val="auto"/>
          <w:u w:val="none"/>
        </w:rPr>
      </w:pPr>
      <w:hyperlink r:id="rId49" w:history="1">
        <w:r w:rsidRPr="004F7067">
          <w:rPr>
            <w:rStyle w:val="Hyperlink"/>
          </w:rPr>
          <w:t>Threat abatement plans</w:t>
        </w:r>
      </w:hyperlink>
      <w:r w:rsidR="000244B1" w:rsidRPr="001D1B05">
        <w:t>:</w:t>
      </w:r>
      <w:r w:rsidR="00D35C69" w:rsidRPr="001D1B05">
        <w:t xml:space="preserve"> </w:t>
      </w:r>
    </w:p>
    <w:p w14:paraId="62260A6A" w14:textId="14E915B5" w:rsidR="0055632A" w:rsidRPr="00353830" w:rsidRDefault="0055632A" w:rsidP="004F7067">
      <w:pPr>
        <w:pStyle w:val="xmsolistparagraph"/>
        <w:spacing w:after="120"/>
        <w:rPr>
          <w:rFonts w:eastAsia="Times New Roman"/>
        </w:rPr>
      </w:pPr>
      <w:r w:rsidRPr="00353830">
        <w:rPr>
          <w:rFonts w:asciiTheme="minorHAnsi" w:hAnsiTheme="minorHAnsi" w:cstheme="minorHAnsi"/>
          <w:lang w:eastAsia="en-US"/>
        </w:rPr>
        <w:t>Compliance is not explicitly required for this fishery</w:t>
      </w:r>
      <w:r w:rsidR="0060281D">
        <w:rPr>
          <w:rFonts w:asciiTheme="minorHAnsi" w:hAnsiTheme="minorHAnsi" w:cstheme="minorHAnsi"/>
          <w:lang w:eastAsia="en-US"/>
        </w:rPr>
        <w:t>, with only o</w:t>
      </w:r>
      <w:r w:rsidR="00353830">
        <w:rPr>
          <w:rFonts w:asciiTheme="minorHAnsi" w:hAnsiTheme="minorHAnsi" w:cstheme="minorHAnsi"/>
          <w:lang w:eastAsia="en-US"/>
        </w:rPr>
        <w:t>ne</w:t>
      </w:r>
      <w:r w:rsidR="00353830" w:rsidRPr="00353830">
        <w:rPr>
          <w:rFonts w:asciiTheme="minorHAnsi" w:hAnsiTheme="minorHAnsi" w:cstheme="minorHAnsi"/>
          <w:lang w:eastAsia="en-US"/>
        </w:rPr>
        <w:t xml:space="preserve"> plan relevant</w:t>
      </w:r>
      <w:r w:rsidR="0060281D">
        <w:rPr>
          <w:rFonts w:asciiTheme="minorHAnsi" w:hAnsiTheme="minorHAnsi" w:cstheme="minorHAnsi"/>
          <w:lang w:eastAsia="en-US"/>
        </w:rPr>
        <w:t xml:space="preserve">: </w:t>
      </w:r>
      <w:r w:rsidR="00353830" w:rsidRPr="00353830">
        <w:rPr>
          <w:rFonts w:asciiTheme="minorHAnsi" w:hAnsiTheme="minorHAnsi" w:cstheme="minorHAnsi"/>
          <w:i/>
          <w:iCs/>
        </w:rPr>
        <w:t>Threat abatement plan for the impacts of marine debris on the vertebrate wildlife of Australia’s</w:t>
      </w:r>
      <w:r w:rsidR="00353830" w:rsidRPr="00353830">
        <w:rPr>
          <w:rFonts w:asciiTheme="minorHAnsi" w:hAnsiTheme="minorHAnsi" w:cstheme="minorBidi"/>
          <w:i/>
          <w:iCs/>
        </w:rPr>
        <w:t xml:space="preserve"> coasts and oceans (2018)</w:t>
      </w:r>
      <w:r w:rsidR="0060281D">
        <w:rPr>
          <w:rFonts w:asciiTheme="minorHAnsi" w:hAnsiTheme="minorHAnsi" w:cstheme="minorHAnsi"/>
          <w:lang w:eastAsia="en-US"/>
        </w:rPr>
        <w:t>. T</w:t>
      </w:r>
      <w:r w:rsidR="00353830">
        <w:rPr>
          <w:rFonts w:asciiTheme="minorHAnsi" w:hAnsiTheme="minorHAnsi" w:cstheme="minorBidi"/>
          <w:lang w:eastAsia="en-US"/>
        </w:rPr>
        <w:t>he fishery is consistent owing to limited gear types (scuba, hookah, hand-held/rope-attached bags, and pronged tongs).</w:t>
      </w:r>
      <w:r w:rsidR="00353830" w:rsidRPr="00353830">
        <w:rPr>
          <w:rFonts w:asciiTheme="minorHAnsi" w:hAnsiTheme="minorHAnsi" w:cstheme="minorBidi"/>
          <w:lang w:eastAsia="en-US"/>
        </w:rPr>
        <w:t xml:space="preserve"> </w:t>
      </w:r>
    </w:p>
    <w:p w14:paraId="69FD6CE7" w14:textId="1C9874BE" w:rsidR="00E033A4" w:rsidRPr="0055632A" w:rsidRDefault="00CE70F8" w:rsidP="00E12CCE">
      <w:pPr>
        <w:pStyle w:val="xmsolistparagraph"/>
        <w:numPr>
          <w:ilvl w:val="0"/>
          <w:numId w:val="19"/>
        </w:numPr>
        <w:spacing w:after="120"/>
        <w:rPr>
          <w:rStyle w:val="Hyperlink"/>
          <w:rFonts w:eastAsia="Times New Roman"/>
          <w:color w:val="auto"/>
          <w:u w:val="none"/>
        </w:rPr>
      </w:pPr>
      <w:hyperlink r:id="rId50" w:history="1">
        <w:r w:rsidRPr="004F7067">
          <w:rPr>
            <w:rStyle w:val="Hyperlink"/>
            <w:rFonts w:asciiTheme="minorHAnsi" w:hAnsiTheme="minorHAnsi" w:cstheme="minorBidi"/>
            <w:lang w:eastAsia="en-US"/>
          </w:rPr>
          <w:t>Recovery plans</w:t>
        </w:r>
      </w:hyperlink>
      <w:r w:rsidR="00E033A4" w:rsidRPr="001D1B05">
        <w:rPr>
          <w:rFonts w:asciiTheme="minorHAnsi" w:hAnsiTheme="minorHAnsi" w:cstheme="minorBidi"/>
          <w:lang w:eastAsia="en-US"/>
        </w:rPr>
        <w:t>:</w:t>
      </w:r>
      <w:r w:rsidR="00E033A4" w:rsidRPr="001D1B05">
        <w:rPr>
          <w:rFonts w:eastAsia="Times New Roman"/>
        </w:rPr>
        <w:t xml:space="preserve"> </w:t>
      </w:r>
    </w:p>
    <w:p w14:paraId="283B318D" w14:textId="00EFA7E9" w:rsidR="0055632A" w:rsidRPr="002E37BD" w:rsidRDefault="0055632A" w:rsidP="004F7067">
      <w:pPr>
        <w:pStyle w:val="xmsolistparagraph"/>
        <w:spacing w:after="120"/>
        <w:rPr>
          <w:rFonts w:eastAsia="Times New Roman"/>
        </w:rPr>
      </w:pPr>
      <w:r>
        <w:rPr>
          <w:rFonts w:asciiTheme="minorHAnsi" w:hAnsiTheme="minorHAnsi" w:cstheme="minorBidi"/>
          <w:lang w:eastAsia="en-US"/>
        </w:rPr>
        <w:t>Compliance is not explicitly required for this fishery</w:t>
      </w:r>
      <w:r w:rsidR="00353830">
        <w:rPr>
          <w:rFonts w:asciiTheme="minorHAnsi" w:hAnsiTheme="minorHAnsi" w:cstheme="minorBidi"/>
          <w:lang w:eastAsia="en-US"/>
        </w:rPr>
        <w:t xml:space="preserve">, </w:t>
      </w:r>
      <w:r w:rsidR="0060281D">
        <w:rPr>
          <w:rFonts w:asciiTheme="minorHAnsi" w:hAnsiTheme="minorHAnsi" w:cstheme="minorBidi"/>
          <w:lang w:eastAsia="en-US"/>
        </w:rPr>
        <w:t>with</w:t>
      </w:r>
      <w:r w:rsidR="00353830">
        <w:rPr>
          <w:rFonts w:asciiTheme="minorHAnsi" w:hAnsiTheme="minorHAnsi" w:cstheme="minorBidi"/>
          <w:lang w:eastAsia="en-US"/>
        </w:rPr>
        <w:t xml:space="preserve"> none of the plans </w:t>
      </w:r>
      <w:r w:rsidR="0060281D">
        <w:rPr>
          <w:rFonts w:asciiTheme="minorHAnsi" w:hAnsiTheme="minorHAnsi" w:cstheme="minorBidi"/>
          <w:lang w:eastAsia="en-US"/>
        </w:rPr>
        <w:t>being</w:t>
      </w:r>
      <w:r w:rsidR="00353830">
        <w:rPr>
          <w:rFonts w:asciiTheme="minorHAnsi" w:hAnsiTheme="minorHAnsi" w:cstheme="minorBidi"/>
          <w:lang w:eastAsia="en-US"/>
        </w:rPr>
        <w:t xml:space="preserve"> relevant.</w:t>
      </w:r>
    </w:p>
    <w:p w14:paraId="541A8A38" w14:textId="0EDF7FAE" w:rsidR="003D191F" w:rsidRPr="00615855" w:rsidRDefault="00DE0C99" w:rsidP="00E12CCE">
      <w:pPr>
        <w:pStyle w:val="xmsolistparagraph"/>
        <w:numPr>
          <w:ilvl w:val="0"/>
          <w:numId w:val="19"/>
        </w:numPr>
        <w:spacing w:after="120"/>
        <w:rPr>
          <w:rFonts w:eastAsia="Times New Roman"/>
        </w:rPr>
      </w:pPr>
      <w:hyperlink r:id="rId51" w:history="1">
        <w:r w:rsidRPr="004F7067">
          <w:rPr>
            <w:rStyle w:val="Hyperlink"/>
            <w:rFonts w:asciiTheme="minorHAnsi" w:hAnsiTheme="minorHAnsi" w:cstheme="minorBidi"/>
            <w:lang w:eastAsia="en-US"/>
          </w:rPr>
          <w:t>National</w:t>
        </w:r>
        <w:r w:rsidR="0069701D" w:rsidRPr="004F7067">
          <w:rPr>
            <w:rStyle w:val="Hyperlink"/>
            <w:rFonts w:asciiTheme="minorHAnsi" w:hAnsiTheme="minorHAnsi" w:cstheme="minorBidi"/>
            <w:lang w:eastAsia="en-US"/>
          </w:rPr>
          <w:t xml:space="preserve"> </w:t>
        </w:r>
        <w:r w:rsidR="00E12CCE" w:rsidRPr="004F7067">
          <w:rPr>
            <w:rStyle w:val="Hyperlink"/>
            <w:rFonts w:asciiTheme="minorHAnsi" w:hAnsiTheme="minorHAnsi" w:cstheme="minorBidi"/>
            <w:lang w:eastAsia="en-US"/>
          </w:rPr>
          <w:t xml:space="preserve">Policy on Fisheries </w:t>
        </w:r>
        <w:r w:rsidR="0069701D" w:rsidRPr="004F7067">
          <w:rPr>
            <w:rStyle w:val="Hyperlink"/>
            <w:rFonts w:asciiTheme="minorHAnsi" w:hAnsiTheme="minorHAnsi" w:cstheme="minorBidi"/>
            <w:lang w:eastAsia="en-US"/>
          </w:rPr>
          <w:t>B</w:t>
        </w:r>
        <w:r w:rsidR="00CE70F8" w:rsidRPr="004F7067">
          <w:rPr>
            <w:rStyle w:val="Hyperlink"/>
            <w:rFonts w:asciiTheme="minorHAnsi" w:hAnsiTheme="minorHAnsi" w:cstheme="minorBidi"/>
            <w:lang w:eastAsia="en-US"/>
          </w:rPr>
          <w:t>ycatch</w:t>
        </w:r>
      </w:hyperlink>
      <w:r w:rsidR="00E12CCE" w:rsidRPr="001D1B05">
        <w:rPr>
          <w:rFonts w:asciiTheme="minorHAnsi" w:hAnsiTheme="minorHAnsi" w:cstheme="minorBidi"/>
          <w:lang w:eastAsia="en-US"/>
        </w:rPr>
        <w:t>:</w:t>
      </w:r>
      <w:r w:rsidR="00E12CCE" w:rsidRPr="001D1B05">
        <w:rPr>
          <w:rFonts w:eastAsia="Times New Roman"/>
        </w:rPr>
        <w:t xml:space="preserve"> </w:t>
      </w:r>
    </w:p>
    <w:p w14:paraId="7AD1BEC9" w14:textId="21A69A74" w:rsidR="00615855" w:rsidRPr="0055632A" w:rsidRDefault="00615855" w:rsidP="004F7067">
      <w:pPr>
        <w:pStyle w:val="xmsolistparagraph"/>
        <w:spacing w:after="120"/>
        <w:rPr>
          <w:rFonts w:eastAsia="Times New Roman"/>
        </w:rPr>
      </w:pPr>
      <w:r w:rsidRPr="0055632A">
        <w:rPr>
          <w:rFonts w:asciiTheme="minorHAnsi" w:hAnsiTheme="minorHAnsi" w:cstheme="minorBidi"/>
          <w:lang w:eastAsia="en-US"/>
        </w:rPr>
        <w:t>The fishery</w:t>
      </w:r>
      <w:r w:rsidR="00353830">
        <w:rPr>
          <w:rFonts w:asciiTheme="minorHAnsi" w:hAnsiTheme="minorHAnsi" w:cstheme="minorBidi"/>
          <w:lang w:eastAsia="en-US"/>
        </w:rPr>
        <w:t xml:space="preserve"> is consistent with the policy. Bycatch and discards are not practiced within the fishery because harvested fish are </w:t>
      </w:r>
      <w:r w:rsidRPr="0055632A">
        <w:rPr>
          <w:rFonts w:asciiTheme="minorHAnsi" w:hAnsiTheme="minorHAnsi" w:cstheme="minorBidi"/>
          <w:lang w:eastAsia="en-US"/>
        </w:rPr>
        <w:t>individually hand selected by divers</w:t>
      </w:r>
      <w:r w:rsidR="00353830">
        <w:rPr>
          <w:rFonts w:asciiTheme="minorHAnsi" w:hAnsiTheme="minorHAnsi" w:cstheme="minorBidi"/>
          <w:lang w:eastAsia="en-US"/>
        </w:rPr>
        <w:t xml:space="preserve">. </w:t>
      </w:r>
      <w:r w:rsidR="0060281D">
        <w:rPr>
          <w:rFonts w:asciiTheme="minorHAnsi" w:hAnsiTheme="minorHAnsi" w:cstheme="minorBidi"/>
          <w:lang w:eastAsia="en-US"/>
        </w:rPr>
        <w:t xml:space="preserve">Without </w:t>
      </w:r>
      <w:r w:rsidR="00353830">
        <w:rPr>
          <w:rFonts w:asciiTheme="minorHAnsi" w:hAnsiTheme="minorHAnsi" w:cstheme="minorBidi"/>
          <w:lang w:eastAsia="en-US"/>
        </w:rPr>
        <w:t>quota limitations</w:t>
      </w:r>
      <w:r w:rsidR="0060281D">
        <w:rPr>
          <w:rFonts w:asciiTheme="minorHAnsi" w:hAnsiTheme="minorHAnsi" w:cstheme="minorBidi"/>
          <w:lang w:eastAsia="en-US"/>
        </w:rPr>
        <w:t>, there is</w:t>
      </w:r>
      <w:r w:rsidR="00353830">
        <w:rPr>
          <w:rFonts w:asciiTheme="minorHAnsi" w:hAnsiTheme="minorHAnsi" w:cstheme="minorBidi"/>
          <w:lang w:eastAsia="en-US"/>
        </w:rPr>
        <w:t xml:space="preserve"> no incentive to high-grade catch. On-water mortalities are negligible as t</w:t>
      </w:r>
      <w:r w:rsidR="00353830" w:rsidRPr="0055632A">
        <w:rPr>
          <w:rFonts w:asciiTheme="minorHAnsi" w:hAnsiTheme="minorHAnsi" w:cstheme="minorBidi"/>
          <w:lang w:eastAsia="en-US"/>
        </w:rPr>
        <w:t>his is a single-dive-day fishery (i.e., overnighting is permitted but not practiced) with most catch processed same-day</w:t>
      </w:r>
      <w:r w:rsidR="004F7067">
        <w:rPr>
          <w:rFonts w:asciiTheme="minorHAnsi" w:hAnsiTheme="minorHAnsi" w:cstheme="minorBidi"/>
          <w:lang w:eastAsia="en-US"/>
        </w:rPr>
        <w:t>.</w:t>
      </w:r>
      <w:r w:rsidR="00353830" w:rsidRPr="0055632A">
        <w:rPr>
          <w:rFonts w:asciiTheme="minorHAnsi" w:hAnsiTheme="minorHAnsi" w:cstheme="minorBidi"/>
          <w:lang w:eastAsia="en-US"/>
        </w:rPr>
        <w:t xml:space="preserve"> </w:t>
      </w:r>
      <w:r w:rsidR="0055632A" w:rsidRPr="0055632A">
        <w:rPr>
          <w:rFonts w:asciiTheme="minorHAnsi" w:hAnsiTheme="minorHAnsi" w:cstheme="minorBidi"/>
          <w:lang w:eastAsia="en-US"/>
        </w:rPr>
        <w:t xml:space="preserve">Post-harvest mortalities </w:t>
      </w:r>
      <w:r w:rsidR="00353830">
        <w:rPr>
          <w:rFonts w:asciiTheme="minorHAnsi" w:hAnsiTheme="minorHAnsi" w:cstheme="minorBidi"/>
          <w:lang w:eastAsia="en-US"/>
        </w:rPr>
        <w:t xml:space="preserve">of caufed animals </w:t>
      </w:r>
      <w:r w:rsidR="0055632A" w:rsidRPr="0055632A">
        <w:rPr>
          <w:rFonts w:asciiTheme="minorHAnsi" w:hAnsiTheme="minorHAnsi" w:cstheme="minorBidi"/>
          <w:lang w:eastAsia="en-US"/>
        </w:rPr>
        <w:t xml:space="preserve">are recorded </w:t>
      </w:r>
      <w:r w:rsidR="004F7067">
        <w:rPr>
          <w:rFonts w:asciiTheme="minorHAnsi" w:hAnsiTheme="minorHAnsi" w:cstheme="minorBidi"/>
          <w:lang w:eastAsia="en-US"/>
        </w:rPr>
        <w:t>in</w:t>
      </w:r>
      <w:r w:rsidR="0055632A" w:rsidRPr="0055632A">
        <w:rPr>
          <w:rFonts w:asciiTheme="minorHAnsi" w:hAnsiTheme="minorHAnsi" w:cstheme="minorBidi"/>
          <w:lang w:eastAsia="en-US"/>
        </w:rPr>
        <w:t xml:space="preserve"> cauf records, </w:t>
      </w:r>
      <w:r w:rsidR="00353830">
        <w:rPr>
          <w:rFonts w:asciiTheme="minorHAnsi" w:hAnsiTheme="minorHAnsi" w:cstheme="minorBidi"/>
          <w:lang w:eastAsia="en-US"/>
        </w:rPr>
        <w:t>with</w:t>
      </w:r>
      <w:r w:rsidR="0055632A" w:rsidRPr="0055632A">
        <w:rPr>
          <w:rFonts w:asciiTheme="minorHAnsi" w:hAnsiTheme="minorHAnsi" w:cstheme="minorBidi"/>
          <w:lang w:eastAsia="en-US"/>
        </w:rPr>
        <w:t xml:space="preserve"> those fish </w:t>
      </w:r>
      <w:r w:rsidR="00353830">
        <w:rPr>
          <w:rFonts w:asciiTheme="minorHAnsi" w:hAnsiTheme="minorHAnsi" w:cstheme="minorBidi"/>
          <w:lang w:eastAsia="en-US"/>
        </w:rPr>
        <w:t>having already been included on diver catch records and</w:t>
      </w:r>
      <w:r w:rsidR="00FC184C">
        <w:rPr>
          <w:rFonts w:asciiTheme="minorHAnsi" w:hAnsiTheme="minorHAnsi" w:cstheme="minorBidi"/>
          <w:lang w:eastAsia="en-US"/>
        </w:rPr>
        <w:t xml:space="preserve"> </w:t>
      </w:r>
      <w:r w:rsidR="0055632A" w:rsidRPr="0055632A">
        <w:rPr>
          <w:rFonts w:asciiTheme="minorHAnsi" w:hAnsiTheme="minorHAnsi" w:cstheme="minorBidi"/>
          <w:lang w:eastAsia="en-US"/>
        </w:rPr>
        <w:t>count</w:t>
      </w:r>
      <w:r w:rsidR="00353830">
        <w:rPr>
          <w:rFonts w:asciiTheme="minorHAnsi" w:hAnsiTheme="minorHAnsi" w:cstheme="minorBidi"/>
          <w:lang w:eastAsia="en-US"/>
        </w:rPr>
        <w:t>ed</w:t>
      </w:r>
      <w:r w:rsidR="0055632A" w:rsidRPr="0055632A">
        <w:rPr>
          <w:rFonts w:asciiTheme="minorHAnsi" w:hAnsiTheme="minorHAnsi" w:cstheme="minorBidi"/>
          <w:lang w:eastAsia="en-US"/>
        </w:rPr>
        <w:t xml:space="preserve"> towards the catch limits.</w:t>
      </w:r>
      <w:r w:rsidRPr="0055632A">
        <w:rPr>
          <w:rFonts w:asciiTheme="minorHAnsi" w:hAnsiTheme="minorHAnsi" w:cstheme="minorBidi"/>
          <w:lang w:eastAsia="en-US"/>
        </w:rPr>
        <w:t xml:space="preserve"> </w:t>
      </w:r>
    </w:p>
    <w:p w14:paraId="69622ECF" w14:textId="11E68EE3" w:rsidR="00FB1262" w:rsidRPr="0035373A" w:rsidRDefault="00FB1262" w:rsidP="0035373A">
      <w:pPr>
        <w:pStyle w:val="Heading2"/>
      </w:pPr>
      <w:bookmarkStart w:id="20" w:name="_Toc203722692"/>
      <w:r w:rsidRPr="0035373A">
        <w:t>Changes since the previous assessment</w:t>
      </w:r>
      <w:bookmarkEnd w:id="20"/>
    </w:p>
    <w:p w14:paraId="4A14F341" w14:textId="00BBE5E6" w:rsidR="004F7067" w:rsidRPr="004F7067" w:rsidRDefault="004F7067" w:rsidP="00767E3F">
      <w:r>
        <w:t xml:space="preserve">A range of changes have been implemented since the previous assessment. These include: </w:t>
      </w:r>
    </w:p>
    <w:p w14:paraId="07444EB2" w14:textId="7B000035" w:rsidR="00767E3F" w:rsidRPr="004F7067" w:rsidRDefault="00767E3F" w:rsidP="004F7067">
      <w:pPr>
        <w:pStyle w:val="ListParagraph"/>
        <w:numPr>
          <w:ilvl w:val="0"/>
          <w:numId w:val="28"/>
        </w:numPr>
        <w:spacing w:after="120"/>
        <w:contextualSpacing w:val="0"/>
      </w:pPr>
      <w:r w:rsidRPr="004F7067">
        <w:t>Mandatory use of GPS and Depth Loggers</w:t>
      </w:r>
    </w:p>
    <w:p w14:paraId="7A6DDAA2" w14:textId="2B73F8DE" w:rsidR="00767E3F" w:rsidRPr="004F7067" w:rsidRDefault="00767E3F" w:rsidP="004F7067">
      <w:pPr>
        <w:pStyle w:val="ListParagraph"/>
        <w:spacing w:after="120"/>
        <w:contextualSpacing w:val="0"/>
      </w:pPr>
      <w:r w:rsidRPr="004F7067">
        <w:lastRenderedPageBreak/>
        <w:t>The use of diver GPS location and depth loggers has been mandatory since September 2022, with CPUA and depth data being incorporated into catch limit setting considerations. Prior to this, the loggers were being trialled on a voluntary basis for several years.</w:t>
      </w:r>
    </w:p>
    <w:p w14:paraId="39067928" w14:textId="6368183F" w:rsidR="00767E3F" w:rsidRPr="004F7067" w:rsidRDefault="00767E3F" w:rsidP="004F7067">
      <w:pPr>
        <w:pStyle w:val="ListParagraph"/>
        <w:numPr>
          <w:ilvl w:val="0"/>
          <w:numId w:val="28"/>
        </w:numPr>
        <w:spacing w:after="120"/>
        <w:contextualSpacing w:val="0"/>
      </w:pPr>
      <w:r w:rsidRPr="004F7067">
        <w:t>Mandatory use of Measuring Devices</w:t>
      </w:r>
    </w:p>
    <w:p w14:paraId="151CCCC8" w14:textId="769B9FD3" w:rsidR="00767E3F" w:rsidRPr="004F7067" w:rsidRDefault="009373CF" w:rsidP="004F7067">
      <w:pPr>
        <w:pStyle w:val="ListParagraph"/>
        <w:spacing w:after="120"/>
        <w:contextualSpacing w:val="0"/>
      </w:pPr>
      <w:r w:rsidRPr="004F7067">
        <w:t>The carriage and use of accurate measuring devices whilst diving has been mandatory since September 2024, to aid with adherence to minimum size limits.</w:t>
      </w:r>
    </w:p>
    <w:p w14:paraId="2807EBDE" w14:textId="1ADB4668" w:rsidR="00767E3F" w:rsidRPr="004F7067" w:rsidRDefault="00767E3F" w:rsidP="004F7067">
      <w:pPr>
        <w:pStyle w:val="ListParagraph"/>
        <w:numPr>
          <w:ilvl w:val="0"/>
          <w:numId w:val="28"/>
        </w:numPr>
        <w:spacing w:after="120"/>
        <w:contextualSpacing w:val="0"/>
      </w:pPr>
      <w:r w:rsidRPr="004F7067">
        <w:t>Minimum Size Limits</w:t>
      </w:r>
      <w:r w:rsidR="005B5B2B">
        <w:t xml:space="preserve"> (MSL)</w:t>
      </w:r>
    </w:p>
    <w:p w14:paraId="4F5E5323" w14:textId="600410C1" w:rsidR="00767E3F" w:rsidRPr="004F7067" w:rsidRDefault="005B5B2B" w:rsidP="004F7067">
      <w:pPr>
        <w:pStyle w:val="ListParagraph"/>
        <w:spacing w:after="120" w:line="276" w:lineRule="auto"/>
        <w:contextualSpacing w:val="0"/>
        <w:rPr>
          <w:rFonts w:cs="Arial"/>
        </w:rPr>
      </w:pPr>
      <w:r>
        <w:t>The MSL</w:t>
      </w:r>
      <w:r w:rsidRPr="004F7067">
        <w:rPr>
          <w:rFonts w:cs="Arial"/>
        </w:rPr>
        <w:t xml:space="preserve"> for commercially harvested </w:t>
      </w:r>
      <w:r>
        <w:rPr>
          <w:rFonts w:cs="Arial"/>
        </w:rPr>
        <w:t>S</w:t>
      </w:r>
      <w:r w:rsidRPr="004F7067">
        <w:rPr>
          <w:rFonts w:cs="Arial"/>
        </w:rPr>
        <w:t xml:space="preserve">hortspined </w:t>
      </w:r>
      <w:r>
        <w:rPr>
          <w:rFonts w:cs="Arial"/>
        </w:rPr>
        <w:t>S</w:t>
      </w:r>
      <w:r w:rsidRPr="004F7067">
        <w:rPr>
          <w:rFonts w:cs="Arial"/>
        </w:rPr>
        <w:t xml:space="preserve">ea </w:t>
      </w:r>
      <w:r>
        <w:rPr>
          <w:rFonts w:cs="Arial"/>
        </w:rPr>
        <w:t>U</w:t>
      </w:r>
      <w:r w:rsidRPr="004F7067">
        <w:rPr>
          <w:rFonts w:cs="Arial"/>
        </w:rPr>
        <w:t>rchin</w:t>
      </w:r>
      <w:r>
        <w:t xml:space="preserve"> increased from 60mm to 70mm in the 2019-20 season, then to 75mm in the 2020-21 season, and again to 80mm in the 2023-24 fishing season. </w:t>
      </w:r>
      <w:r w:rsidR="00767E3F" w:rsidRPr="004F7067">
        <w:rPr>
          <w:rFonts w:cs="Arial"/>
        </w:rPr>
        <w:t>A</w:t>
      </w:r>
      <w:r>
        <w:rPr>
          <w:rFonts w:cs="Arial"/>
        </w:rPr>
        <w:t xml:space="preserve"> new</w:t>
      </w:r>
      <w:r w:rsidR="00767E3F" w:rsidRPr="004F7067">
        <w:rPr>
          <w:rFonts w:cs="Arial"/>
        </w:rPr>
        <w:t xml:space="preserve"> licence condition was introduced </w:t>
      </w:r>
      <w:r>
        <w:rPr>
          <w:rFonts w:cs="Arial"/>
        </w:rPr>
        <w:t>in 2023-24</w:t>
      </w:r>
      <w:r w:rsidR="00767E3F" w:rsidRPr="004F7067">
        <w:rPr>
          <w:rFonts w:cs="Arial"/>
        </w:rPr>
        <w:t xml:space="preserve"> to require commercial divers to carry and use a measuring device. </w:t>
      </w:r>
    </w:p>
    <w:p w14:paraId="70A84D0A" w14:textId="3F1CFA94" w:rsidR="00767E3F" w:rsidRPr="004F7067" w:rsidRDefault="00767E3F" w:rsidP="004F7067">
      <w:pPr>
        <w:pStyle w:val="ListParagraph"/>
        <w:spacing w:after="120"/>
        <w:contextualSpacing w:val="0"/>
        <w:rPr>
          <w:rFonts w:cs="Arial"/>
        </w:rPr>
      </w:pPr>
      <w:r w:rsidRPr="004F7067">
        <w:rPr>
          <w:rFonts w:cs="Arial"/>
        </w:rPr>
        <w:t xml:space="preserve">The measures are projected to enable approximately 80% of the population to </w:t>
      </w:r>
      <w:r w:rsidR="004F7067">
        <w:rPr>
          <w:rFonts w:cs="Arial"/>
        </w:rPr>
        <w:t>spawn</w:t>
      </w:r>
      <w:r w:rsidRPr="004F7067">
        <w:rPr>
          <w:rFonts w:cs="Arial"/>
        </w:rPr>
        <w:t xml:space="preserve"> for three years before they grow to a size where they are available to the fishery, rather than two years of </w:t>
      </w:r>
      <w:r w:rsidR="004F7067">
        <w:rPr>
          <w:rFonts w:cs="Arial"/>
        </w:rPr>
        <w:t>spawnin</w:t>
      </w:r>
      <w:r w:rsidRPr="004F7067">
        <w:rPr>
          <w:rFonts w:cs="Arial"/>
        </w:rPr>
        <w:t>g per the previous size limit. This measure has been introduced to provide additional protection to breeding stocks.</w:t>
      </w:r>
    </w:p>
    <w:p w14:paraId="252BB2CA" w14:textId="2F2A3A45" w:rsidR="00767E3F" w:rsidRPr="004F7067" w:rsidRDefault="00767E3F" w:rsidP="004F7067">
      <w:pPr>
        <w:pStyle w:val="ListParagraph"/>
        <w:spacing w:after="120"/>
        <w:contextualSpacing w:val="0"/>
        <w:rPr>
          <w:rFonts w:cs="Arial"/>
        </w:rPr>
      </w:pPr>
      <w:r w:rsidRPr="004F7067">
        <w:rPr>
          <w:rFonts w:cs="Arial"/>
        </w:rPr>
        <w:t xml:space="preserve">A minimum size limit for </w:t>
      </w:r>
      <w:r w:rsidR="004F7067">
        <w:rPr>
          <w:rFonts w:cs="Arial"/>
        </w:rPr>
        <w:t>P</w:t>
      </w:r>
      <w:r w:rsidRPr="004F7067">
        <w:rPr>
          <w:rFonts w:cs="Arial"/>
        </w:rPr>
        <w:t xml:space="preserve">eriwinkles has been maintained at 45mm. Size limits do not apply at this time to </w:t>
      </w:r>
      <w:r w:rsidR="004F7067">
        <w:rPr>
          <w:rFonts w:cs="Arial"/>
        </w:rPr>
        <w:t>L</w:t>
      </w:r>
      <w:r w:rsidRPr="004F7067">
        <w:rPr>
          <w:rFonts w:cs="Arial"/>
        </w:rPr>
        <w:t xml:space="preserve">ongspined </w:t>
      </w:r>
      <w:r w:rsidR="004F7067">
        <w:rPr>
          <w:rFonts w:cs="Arial"/>
        </w:rPr>
        <w:t>S</w:t>
      </w:r>
      <w:r w:rsidRPr="004F7067">
        <w:rPr>
          <w:rFonts w:cs="Arial"/>
        </w:rPr>
        <w:t xml:space="preserve">ea </w:t>
      </w:r>
      <w:r w:rsidR="004F7067">
        <w:rPr>
          <w:rFonts w:cs="Arial"/>
        </w:rPr>
        <w:t>U</w:t>
      </w:r>
      <w:r w:rsidRPr="004F7067">
        <w:rPr>
          <w:rFonts w:cs="Arial"/>
        </w:rPr>
        <w:t>rchin which are not native to Tasmanian waters.</w:t>
      </w:r>
    </w:p>
    <w:p w14:paraId="59D4AF84" w14:textId="5B3BA7F4" w:rsidR="00767E3F" w:rsidRPr="004F7067" w:rsidRDefault="00767E3F" w:rsidP="004F7067">
      <w:pPr>
        <w:pStyle w:val="ListParagraph"/>
        <w:numPr>
          <w:ilvl w:val="0"/>
          <w:numId w:val="28"/>
        </w:numPr>
        <w:spacing w:after="120"/>
        <w:contextualSpacing w:val="0"/>
      </w:pPr>
      <w:r w:rsidRPr="004F7067">
        <w:t>Operational Guidelines</w:t>
      </w:r>
    </w:p>
    <w:p w14:paraId="3471CA27" w14:textId="05B5E988" w:rsidR="000B77EE" w:rsidRDefault="00767E3F" w:rsidP="004F7067">
      <w:pPr>
        <w:pStyle w:val="ListParagraph"/>
        <w:spacing w:after="120" w:line="276" w:lineRule="auto"/>
        <w:contextualSpacing w:val="0"/>
        <w:jc w:val="both"/>
        <w:rPr>
          <w:rFonts w:cs="Arial"/>
        </w:rPr>
      </w:pPr>
      <w:r w:rsidRPr="004F7067">
        <w:rPr>
          <w:rFonts w:cs="Arial"/>
        </w:rPr>
        <w:t xml:space="preserve">The </w:t>
      </w:r>
      <w:hyperlink r:id="rId52" w:history="1">
        <w:r w:rsidRPr="004F7067">
          <w:rPr>
            <w:rStyle w:val="Hyperlink"/>
            <w:rFonts w:cs="Arial"/>
          </w:rPr>
          <w:t>Operational Guide for the Commercial Dive, Shellfish and Undaria Fisheries</w:t>
        </w:r>
      </w:hyperlink>
      <w:r w:rsidRPr="004F7067">
        <w:rPr>
          <w:rFonts w:cs="Arial"/>
        </w:rPr>
        <w:t xml:space="preserve"> was first introduced in 2023, </w:t>
      </w:r>
      <w:r w:rsidR="004F7067">
        <w:rPr>
          <w:rFonts w:cs="Arial"/>
        </w:rPr>
        <w:t xml:space="preserve">with </w:t>
      </w:r>
      <w:r w:rsidRPr="004F7067">
        <w:rPr>
          <w:rFonts w:cs="Arial"/>
        </w:rPr>
        <w:t>updated version</w:t>
      </w:r>
      <w:r w:rsidR="004F7067">
        <w:rPr>
          <w:rFonts w:cs="Arial"/>
        </w:rPr>
        <w:t>s to be</w:t>
      </w:r>
      <w:r w:rsidRPr="004F7067">
        <w:rPr>
          <w:rFonts w:cs="Arial"/>
        </w:rPr>
        <w:t xml:space="preserve"> released </w:t>
      </w:r>
      <w:r w:rsidR="004F7067">
        <w:rPr>
          <w:rFonts w:cs="Arial"/>
        </w:rPr>
        <w:t xml:space="preserve">every </w:t>
      </w:r>
      <w:r w:rsidRPr="004F7067">
        <w:rPr>
          <w:rFonts w:cs="Arial"/>
        </w:rPr>
        <w:t>August prior to the start of the new fishing season. This acts as a plain English guide to the fishery for the benefit of operators and the public.</w:t>
      </w:r>
    </w:p>
    <w:p w14:paraId="01AA4642" w14:textId="772A6F65" w:rsidR="004F7067" w:rsidRPr="004F7067" w:rsidRDefault="004F7067" w:rsidP="004F7067">
      <w:pPr>
        <w:pStyle w:val="ListParagraph"/>
        <w:numPr>
          <w:ilvl w:val="0"/>
          <w:numId w:val="28"/>
        </w:numPr>
        <w:spacing w:after="120" w:line="276" w:lineRule="auto"/>
        <w:contextualSpacing w:val="0"/>
        <w:jc w:val="both"/>
      </w:pPr>
      <w:r>
        <w:rPr>
          <w:rFonts w:cs="Arial"/>
        </w:rPr>
        <w:t>Fixed Fishing Area</w:t>
      </w:r>
      <w:r w:rsidR="00A83CDC">
        <w:rPr>
          <w:rFonts w:cs="Arial"/>
        </w:rPr>
        <w:t xml:space="preserve"> Borders and Change of Blocks/Subblocks Map</w:t>
      </w:r>
    </w:p>
    <w:p w14:paraId="57751372" w14:textId="7E970AAB" w:rsidR="004F7067" w:rsidRPr="001D7784" w:rsidRDefault="004F7067" w:rsidP="004F7067">
      <w:pPr>
        <w:pStyle w:val="ListParagraph"/>
        <w:spacing w:after="120" w:line="276" w:lineRule="auto"/>
        <w:contextualSpacing w:val="0"/>
        <w:jc w:val="both"/>
      </w:pPr>
      <w:r>
        <w:rPr>
          <w:rFonts w:cs="Arial"/>
        </w:rPr>
        <w:t>The borders of the fishery parts were fixed in position in September 2022, where they had previously been shifted</w:t>
      </w:r>
      <w:r w:rsidR="00A83CDC">
        <w:rPr>
          <w:rFonts w:cs="Arial"/>
        </w:rPr>
        <w:t xml:space="preserve"> on an ad hoc basis to accommodate industry requests</w:t>
      </w:r>
      <w:r>
        <w:rPr>
          <w:rFonts w:cs="Arial"/>
        </w:rPr>
        <w:t>. At the same time, the fishery moved away from its grid-block map and adopted the same blocks and subblocks as the commercial abalone fishery. This has streamlined reporting by enabling consistency between seasons</w:t>
      </w:r>
      <w:r w:rsidR="00A83CDC">
        <w:rPr>
          <w:rFonts w:cs="Arial"/>
        </w:rPr>
        <w:t>, and simplified matters for the industry where half of the operators are also active in the abalone fishery.</w:t>
      </w:r>
    </w:p>
    <w:p w14:paraId="6AA01842" w14:textId="61BFB098" w:rsidR="00FB1262" w:rsidRPr="00FB1262" w:rsidRDefault="00F0141E" w:rsidP="00314F4F">
      <w:pPr>
        <w:pStyle w:val="Heading1"/>
      </w:pPr>
      <w:bookmarkStart w:id="21" w:name="_Toc203722693"/>
      <w:r>
        <w:rPr>
          <w:bCs/>
          <w:sz w:val="36"/>
          <w:szCs w:val="36"/>
        </w:rPr>
        <w:t xml:space="preserve">Monitoring and </w:t>
      </w:r>
      <w:r w:rsidR="00685ED0">
        <w:rPr>
          <w:bCs/>
          <w:sz w:val="36"/>
          <w:szCs w:val="36"/>
        </w:rPr>
        <w:t>d</w:t>
      </w:r>
      <w:r w:rsidR="00FB1262" w:rsidRPr="00527876">
        <w:rPr>
          <w:bCs/>
          <w:sz w:val="36"/>
          <w:szCs w:val="36"/>
        </w:rPr>
        <w:t xml:space="preserve">ata </w:t>
      </w:r>
      <w:r w:rsidR="00685ED0">
        <w:rPr>
          <w:bCs/>
          <w:sz w:val="36"/>
          <w:szCs w:val="36"/>
        </w:rPr>
        <w:t>c</w:t>
      </w:r>
      <w:r w:rsidR="00FB1262" w:rsidRPr="00527876">
        <w:rPr>
          <w:bCs/>
          <w:sz w:val="36"/>
          <w:szCs w:val="36"/>
        </w:rPr>
        <w:t>ollection</w:t>
      </w:r>
      <w:bookmarkEnd w:id="21"/>
      <w:r w:rsidR="00FB1262">
        <w:t xml:space="preserve"> </w:t>
      </w:r>
    </w:p>
    <w:p w14:paraId="2C26D3BF" w14:textId="4F85E283" w:rsidR="00FB1262" w:rsidRDefault="00F0141E" w:rsidP="00F0141E">
      <w:pPr>
        <w:pStyle w:val="Heading2"/>
      </w:pPr>
      <w:bookmarkStart w:id="22" w:name="_Toc203722694"/>
      <w:r>
        <w:t>D</w:t>
      </w:r>
      <w:r w:rsidR="00FB1262" w:rsidRPr="00527876">
        <w:t>ata collection</w:t>
      </w:r>
      <w:r w:rsidR="00DC1E91">
        <w:t>, data validation and data monitoring</w:t>
      </w:r>
      <w:r w:rsidR="00FB1262" w:rsidRPr="00527876">
        <w:t xml:space="preserve"> program</w:t>
      </w:r>
      <w:r>
        <w:t>s</w:t>
      </w:r>
      <w:bookmarkEnd w:id="22"/>
    </w:p>
    <w:p w14:paraId="30428B19" w14:textId="55750E64" w:rsidR="008C6433" w:rsidRPr="00554A33" w:rsidRDefault="00FC184C" w:rsidP="00FC184C">
      <w:r>
        <w:t xml:space="preserve">Commercial Diver’s Docket books are issued to individual divers by </w:t>
      </w:r>
      <w:r w:rsidR="007C331F">
        <w:t>NRE Tas</w:t>
      </w:r>
      <w:r>
        <w:t xml:space="preserve"> for completion of daily catch </w:t>
      </w:r>
      <w:r w:rsidRPr="00554A33">
        <w:t xml:space="preserve">records </w:t>
      </w:r>
      <w:r w:rsidR="00D81235" w:rsidRPr="00554A33">
        <w:t>(F</w:t>
      </w:r>
      <w:r w:rsidRPr="00554A33">
        <w:t xml:space="preserve">igure </w:t>
      </w:r>
      <w:r w:rsidR="006B016B">
        <w:t>9</w:t>
      </w:r>
      <w:r w:rsidR="00554A33">
        <w:t xml:space="preserve"> </w:t>
      </w:r>
      <w:r w:rsidR="00D34CAC" w:rsidRPr="00554A33">
        <w:t>of Appendix 5</w:t>
      </w:r>
      <w:r w:rsidRPr="00554A33">
        <w:t>). Completion of all relevant sections is mandatory, with divers required to complete details pertaining to their personal identification</w:t>
      </w:r>
      <w:r w:rsidR="008C6433" w:rsidRPr="00554A33">
        <w:t>; prior fishing telephone report number;</w:t>
      </w:r>
      <w:r w:rsidRPr="00554A33">
        <w:t xml:space="preserve"> vessel</w:t>
      </w:r>
      <w:r w:rsidR="008C6433" w:rsidRPr="00554A33">
        <w:t>;</w:t>
      </w:r>
      <w:r w:rsidRPr="00554A33">
        <w:t xml:space="preserve"> GPS and depth loggers</w:t>
      </w:r>
      <w:r w:rsidR="008C6433" w:rsidRPr="00554A33">
        <w:t>;</w:t>
      </w:r>
      <w:r w:rsidRPr="00554A33">
        <w:t xml:space="preserve"> dive location/s by</w:t>
      </w:r>
      <w:r w:rsidR="008C6433" w:rsidRPr="00554A33">
        <w:t xml:space="preserve"> fishery part,</w:t>
      </w:r>
      <w:r w:rsidRPr="00554A33">
        <w:t xml:space="preserve"> name</w:t>
      </w:r>
      <w:r w:rsidR="008C6433" w:rsidRPr="00554A33">
        <w:t>,</w:t>
      </w:r>
      <w:r w:rsidRPr="00554A33">
        <w:t xml:space="preserve"> and subblock</w:t>
      </w:r>
      <w:r w:rsidR="008C6433" w:rsidRPr="00554A33">
        <w:t>; dive time and depth; estimated weight of catch per species; transfer date, time, and type (i.e., to a processor, direct sale at time of landing, or cauf for self-processing); and value (kilograms and dollars) of direct sales between completion of the last Commercial Diver’s Docket and th</w:t>
      </w:r>
      <w:r w:rsidR="00D81235" w:rsidRPr="00554A33">
        <w:t>e current</w:t>
      </w:r>
      <w:r w:rsidR="008C6433" w:rsidRPr="00554A33">
        <w:t xml:space="preserve"> one.</w:t>
      </w:r>
    </w:p>
    <w:p w14:paraId="5ABC5A68" w14:textId="14FA4CBA" w:rsidR="00FC184C" w:rsidRPr="00554A33" w:rsidRDefault="00FC184C" w:rsidP="00FC184C">
      <w:r w:rsidRPr="00554A33">
        <w:lastRenderedPageBreak/>
        <w:t xml:space="preserve">Dockets must be completed by the diver and receiver of the fish prior to leaving the landing area, and they must be posted to </w:t>
      </w:r>
      <w:r w:rsidR="007C331F" w:rsidRPr="00554A33">
        <w:t>NRE Tas</w:t>
      </w:r>
      <w:r w:rsidRPr="00554A33">
        <w:t xml:space="preserve"> within 48 hours of completion. </w:t>
      </w:r>
      <w:r w:rsidR="007D5529" w:rsidRPr="00554A33">
        <w:t>Divers are also required to maintain cauf records for five years and make them available to Fisheries Officers if requested.</w:t>
      </w:r>
    </w:p>
    <w:p w14:paraId="39CBE796" w14:textId="76862945" w:rsidR="008C6433" w:rsidRDefault="00D81235" w:rsidP="00FC184C">
      <w:r w:rsidRPr="00554A33">
        <w:t>General Fish Process</w:t>
      </w:r>
      <w:r w:rsidR="00D34CAC" w:rsidRPr="00554A33">
        <w:t xml:space="preserve">or Returns must be submitted monthly by </w:t>
      </w:r>
      <w:r w:rsidRPr="00554A33">
        <w:t>licensed fish processers</w:t>
      </w:r>
      <w:r w:rsidR="00D34CAC" w:rsidRPr="00554A33">
        <w:t xml:space="preserve">, as is mandatory (Figure </w:t>
      </w:r>
      <w:r w:rsidR="006B016B">
        <w:t>10</w:t>
      </w:r>
      <w:r w:rsidR="00D34CAC" w:rsidRPr="00554A33">
        <w:t xml:space="preserve"> of Appendix 5).</w:t>
      </w:r>
      <w:r>
        <w:t xml:space="preserve"> </w:t>
      </w:r>
      <w:r w:rsidR="00D34CAC">
        <w:t>All data</w:t>
      </w:r>
      <w:r w:rsidR="00D34CAC" w:rsidRPr="00C734B5">
        <w:t xml:space="preserve"> are </w:t>
      </w:r>
      <w:r w:rsidR="00D34CAC">
        <w:t xml:space="preserve">entered into the Fisheries Integrated Licensing and Monitoring System (FILMS) electronic database by Marine Resources staff. </w:t>
      </w:r>
      <w:r w:rsidR="008C6433">
        <w:t xml:space="preserve">FILMS auto-validates data entered against other sources of data, including telephone reports, and raises flags if details appear invalid. </w:t>
      </w:r>
    </w:p>
    <w:p w14:paraId="1DE7E3CF" w14:textId="77777777" w:rsidR="007D5529" w:rsidRDefault="007D5529" w:rsidP="007D5529">
      <w:r>
        <w:t>FILMS tracks the harvest against catch limits and catch-caps and notifies fishery managers when a limit is approaching caught. FILMS also flags any fishing that has occurred within a closed area, or any other breach of a management plan or fishing rule. The program works exceptionally well for fisheries management and monitoring purposes.</w:t>
      </w:r>
    </w:p>
    <w:p w14:paraId="641B3CC9" w14:textId="77777777" w:rsidR="007D5529" w:rsidRDefault="007D5529" w:rsidP="007D5529">
      <w:r>
        <w:t>Data is not captured for byproduct or bycatch as these are negligible to nil in this fishery. Likewise, protected species interactions are not recorded as the gear type and fishing methods mitigate against entanglements or trapping.</w:t>
      </w:r>
    </w:p>
    <w:p w14:paraId="6CDE9D66" w14:textId="0F5D0235" w:rsidR="008C6433" w:rsidRDefault="007D5529" w:rsidP="00FC184C">
      <w:r>
        <w:t xml:space="preserve">Commercial divers must use </w:t>
      </w:r>
      <w:r w:rsidR="008C6433">
        <w:t>GPS and depth logger</w:t>
      </w:r>
      <w:r>
        <w:t xml:space="preserve">s when commercially diving. </w:t>
      </w:r>
      <w:r w:rsidR="006428C1">
        <w:t xml:space="preserve">This fine-scale spatial </w:t>
      </w:r>
      <w:r w:rsidR="008C6433">
        <w:t xml:space="preserve">is housed with IMAS </w:t>
      </w:r>
      <w:r>
        <w:t xml:space="preserve">for the purposes </w:t>
      </w:r>
      <w:r w:rsidR="006428C1">
        <w:t xml:space="preserve">of </w:t>
      </w:r>
      <w:r w:rsidR="006428C1" w:rsidRPr="00DC0007">
        <w:t>measur</w:t>
      </w:r>
      <w:r w:rsidR="006428C1">
        <w:t>ing</w:t>
      </w:r>
      <w:r w:rsidR="006428C1" w:rsidRPr="00DC0007">
        <w:t xml:space="preserve"> the spatial distribution of the fishing effort</w:t>
      </w:r>
      <w:r w:rsidR="006428C1">
        <w:t xml:space="preserve"> and producing an annual fishery assessment</w:t>
      </w:r>
      <w:r>
        <w:t>, and it is</w:t>
      </w:r>
      <w:r w:rsidR="008C6433">
        <w:t xml:space="preserve"> made available to NRE Tas </w:t>
      </w:r>
      <w:r w:rsidR="007C331F">
        <w:t xml:space="preserve">or Fisheries Officers for validation of catch data </w:t>
      </w:r>
      <w:r>
        <w:t>upon request</w:t>
      </w:r>
      <w:r w:rsidR="007C331F">
        <w:t>.</w:t>
      </w:r>
      <w:r w:rsidR="00D81235">
        <w:t xml:space="preserve"> </w:t>
      </w:r>
    </w:p>
    <w:p w14:paraId="3F0BC353" w14:textId="6B1F4BDA" w:rsidR="007D5529" w:rsidRDefault="007D5529" w:rsidP="00FC184C">
      <w:r>
        <w:t xml:space="preserve">IMAS collect size structure data using </w:t>
      </w:r>
      <w:r w:rsidR="00A61CDC">
        <w:t xml:space="preserve">purposely designed </w:t>
      </w:r>
      <w:r>
        <w:t xml:space="preserve">digital measuring boards located within processing premises, with fish measured upon receipt into the processing premises. This is a voluntary program that has captured size structure data from all parts of the fishery throughout the fishing season. The data is housed with IMAS for annual fishery assessment purposes. </w:t>
      </w:r>
    </w:p>
    <w:p w14:paraId="48693405" w14:textId="4B528355" w:rsidR="007D5529" w:rsidRDefault="007D5529" w:rsidP="00FC184C">
      <w:r>
        <w:t>IMAS conduct periodic surveys of Longspined Sea Urchin biomass along the Tasmanian east coast, including in 2001-02, 2016-17, 20</w:t>
      </w:r>
      <w:r w:rsidR="00797E2B">
        <w:t>20-21, and limited surveys in 2024</w:t>
      </w:r>
      <w:r>
        <w:t xml:space="preserve">. </w:t>
      </w:r>
      <w:r w:rsidR="00797E2B">
        <w:t>The general trend is of increasing biomass; a</w:t>
      </w:r>
      <w:r>
        <w:t xml:space="preserve"> summary may </w:t>
      </w:r>
      <w:r w:rsidR="00347335">
        <w:t xml:space="preserve">be </w:t>
      </w:r>
      <w:r>
        <w:t xml:space="preserve">found in the most recent </w:t>
      </w:r>
      <w:hyperlink r:id="rId53" w:history="1">
        <w:r w:rsidRPr="007D5529">
          <w:rPr>
            <w:rStyle w:val="Hyperlink"/>
          </w:rPr>
          <w:t>SAFS Report</w:t>
        </w:r>
      </w:hyperlink>
      <w:r>
        <w:t>.</w:t>
      </w:r>
    </w:p>
    <w:p w14:paraId="0823A43C" w14:textId="7516510A" w:rsidR="004640E2" w:rsidRPr="007E435C" w:rsidRDefault="004640E2" w:rsidP="007E435C">
      <w:pPr>
        <w:pStyle w:val="Heading1"/>
      </w:pPr>
      <w:bookmarkStart w:id="23" w:name="_Toc203722695"/>
      <w:r w:rsidRPr="00527876">
        <w:rPr>
          <w:bCs/>
          <w:sz w:val="36"/>
          <w:szCs w:val="36"/>
        </w:rPr>
        <w:t>Stock Assessments</w:t>
      </w:r>
      <w:bookmarkEnd w:id="23"/>
    </w:p>
    <w:p w14:paraId="742FD05C" w14:textId="28853492" w:rsidR="004640E2" w:rsidRPr="00515AA6" w:rsidRDefault="003816B6" w:rsidP="00515AA6">
      <w:pPr>
        <w:pStyle w:val="Heading2"/>
      </w:pPr>
      <w:bookmarkStart w:id="24" w:name="_Toc203722696"/>
      <w:r w:rsidRPr="00515AA6">
        <w:t>K</w:t>
      </w:r>
      <w:r w:rsidR="004640E2" w:rsidRPr="00515AA6">
        <w:t>ey target and byproduct species</w:t>
      </w:r>
      <w:bookmarkEnd w:id="24"/>
    </w:p>
    <w:p w14:paraId="51CD1379" w14:textId="77777777" w:rsidR="00A81E4F" w:rsidRDefault="00A81E4F" w:rsidP="00A81E4F">
      <w:r>
        <w:t>Each of the</w:t>
      </w:r>
      <w:r w:rsidRPr="00A81E4F">
        <w:t xml:space="preserve"> Tasmanian Commercial Dive Fishery</w:t>
      </w:r>
      <w:r>
        <w:t xml:space="preserve"> sub-fisheries (i.e., species-specific)</w:t>
      </w:r>
      <w:r w:rsidRPr="00A81E4F">
        <w:t xml:space="preserve"> are formally assessed every few years at the jurisdictional level</w:t>
      </w:r>
      <w:r>
        <w:t>,</w:t>
      </w:r>
      <w:r w:rsidRPr="00A81E4F">
        <w:t xml:space="preserve"> and </w:t>
      </w:r>
      <w:r>
        <w:t>s</w:t>
      </w:r>
      <w:r w:rsidRPr="00A81E4F">
        <w:t xml:space="preserve">tock status reported in the </w:t>
      </w:r>
      <w:r>
        <w:t>SAFS reports</w:t>
      </w:r>
      <w:r w:rsidRPr="00A81E4F">
        <w:t xml:space="preserve">. All Tasmanian stocks were assessed as sustainable in the most recent reports for each species in 2023 (Table 1), with the status directly attributed to robust and adaptive management strategies. </w:t>
      </w:r>
    </w:p>
    <w:p w14:paraId="777E773E" w14:textId="4F96FFD5" w:rsidR="00A81E4F" w:rsidRPr="00A81E4F" w:rsidRDefault="00A81E4F" w:rsidP="00A81E4F">
      <w:r w:rsidRPr="00A81E4F">
        <w:t xml:space="preserve">SAFS assessment for Shortspined Sea Urchin commenced in 2023. Standardised CPUE is considered as a proxy for available biomass for the stock assessment. Additional to this, IMAS provides yearly updates of the fishery status to the Commercial Dive Fishery Consultative Group (formally referred to as the Commercial Dive Fishery Core Group) to enable informed annual TACC setting. </w:t>
      </w:r>
    </w:p>
    <w:p w14:paraId="49B17E15" w14:textId="3CA03094" w:rsidR="00A81E4F" w:rsidRPr="00A81E4F" w:rsidRDefault="00A81E4F" w:rsidP="00A81E4F">
      <w:r w:rsidRPr="00A81E4F">
        <w:t xml:space="preserve">The primary data inputs for the assessment are fishery-dependent data collected from </w:t>
      </w:r>
      <w:r w:rsidR="00554A33">
        <w:t>Commercial Divers Dockets</w:t>
      </w:r>
      <w:r w:rsidRPr="00A81E4F">
        <w:t xml:space="preserve">—including daily records of catch reported in whole weight, fishing effort in hours, and fishing locations by subblock level—and fine-scale spatial and depth data from diver-worn and vessel-attached loggers. </w:t>
      </w:r>
    </w:p>
    <w:p w14:paraId="3424C9FF" w14:textId="001AFDA0" w:rsidR="00554A33" w:rsidRDefault="00A81E4F">
      <w:r w:rsidRPr="00A81E4F">
        <w:lastRenderedPageBreak/>
        <w:t>IMAS also collects biological data on the size structures, growth rates, and reproductive maturity of Tasmanian Commercial Dive Fishery species to inform the assessment process. Commercial catch sampling is undertaken to gather data on the size structure of the harvested populations.</w:t>
      </w:r>
    </w:p>
    <w:p w14:paraId="668B9B2C" w14:textId="382A1884" w:rsidR="00C457B5" w:rsidRPr="00B6625D" w:rsidRDefault="00C457B5" w:rsidP="00C457B5">
      <w:pPr>
        <w:spacing w:before="240" w:after="238" w:line="274" w:lineRule="auto"/>
        <w:jc w:val="both"/>
        <w:rPr>
          <w:color w:val="1B1C1D"/>
          <w:sz w:val="20"/>
          <w:szCs w:val="20"/>
        </w:rPr>
      </w:pPr>
      <w:r w:rsidRPr="00B6625D">
        <w:rPr>
          <w:color w:val="1B1C1D"/>
          <w:sz w:val="20"/>
          <w:szCs w:val="20"/>
        </w:rPr>
        <w:t xml:space="preserve">Table 1. Stock status, both current and from the previous two assessments, for </w:t>
      </w:r>
      <w:r>
        <w:rPr>
          <w:color w:val="1B1C1D"/>
          <w:sz w:val="20"/>
          <w:szCs w:val="20"/>
        </w:rPr>
        <w:t>Periwinkles, Shortspined Sea urchin and Longspined Sea Urchins</w:t>
      </w:r>
      <w:r w:rsidRPr="00B6625D">
        <w:rPr>
          <w:color w:val="1B1C1D"/>
          <w:sz w:val="20"/>
          <w:szCs w:val="20"/>
        </w:rPr>
        <w:t xml:space="preserve"> caught in the Tasmanian </w:t>
      </w:r>
      <w:r>
        <w:rPr>
          <w:color w:val="1B1C1D"/>
          <w:sz w:val="20"/>
          <w:szCs w:val="20"/>
        </w:rPr>
        <w:t xml:space="preserve">Commercial Dive </w:t>
      </w:r>
      <w:r w:rsidRPr="00B6625D">
        <w:rPr>
          <w:color w:val="1B1C1D"/>
          <w:sz w:val="20"/>
          <w:szCs w:val="20"/>
        </w:rPr>
        <w:t>Fishery as determined from catch data and CPUE. Colours reflect those used in SAFS reporting: red = depleted, yellow = depleting, green = sustainable.</w:t>
      </w:r>
      <w:r w:rsidR="00A81E4F">
        <w:rPr>
          <w:color w:val="1B1C1D"/>
          <w:sz w:val="20"/>
          <w:szCs w:val="20"/>
        </w:rPr>
        <w:t xml:space="preserve"> </w:t>
      </w:r>
      <w:r w:rsidR="00A81E4F" w:rsidRPr="00A81E4F">
        <w:rPr>
          <w:color w:val="1B1C1D"/>
          <w:sz w:val="20"/>
          <w:szCs w:val="20"/>
        </w:rPr>
        <w:t>NA = Not assessed in that period.</w:t>
      </w:r>
    </w:p>
    <w:tbl>
      <w:tblPr>
        <w:tblStyle w:val="TableGrid"/>
        <w:tblW w:w="0" w:type="auto"/>
        <w:tblLook w:val="04A0" w:firstRow="1" w:lastRow="0" w:firstColumn="1" w:lastColumn="0" w:noHBand="0" w:noVBand="1"/>
      </w:tblPr>
      <w:tblGrid>
        <w:gridCol w:w="2254"/>
        <w:gridCol w:w="2254"/>
        <w:gridCol w:w="2254"/>
        <w:gridCol w:w="2254"/>
      </w:tblGrid>
      <w:tr w:rsidR="00C457B5" w14:paraId="24735698" w14:textId="77777777" w:rsidTr="00FF38DA">
        <w:tc>
          <w:tcPr>
            <w:tcW w:w="2254" w:type="dxa"/>
            <w:shd w:val="clear" w:color="auto" w:fill="E7E6E6" w:themeFill="background2"/>
          </w:tcPr>
          <w:p w14:paraId="7A50EDA5" w14:textId="244F7F27" w:rsidR="00C457B5" w:rsidRPr="009C2DEB" w:rsidRDefault="00C457B5" w:rsidP="00FF38DA">
            <w:pPr>
              <w:spacing w:before="240" w:after="238" w:line="274" w:lineRule="auto"/>
              <w:rPr>
                <w:color w:val="1B1C1D"/>
              </w:rPr>
            </w:pPr>
            <w:r w:rsidRPr="009C2DEB">
              <w:rPr>
                <w:b/>
                <w:bCs/>
                <w:color w:val="1B1C1D"/>
              </w:rPr>
              <w:t>Re</w:t>
            </w:r>
            <w:r>
              <w:rPr>
                <w:b/>
                <w:bCs/>
                <w:color w:val="1B1C1D"/>
              </w:rPr>
              <w:t xml:space="preserve">ports Year </w:t>
            </w:r>
            <w:r>
              <w:rPr>
                <w:rFonts w:cstheme="minorHAnsi"/>
                <w:b/>
                <w:bCs/>
                <w:color w:val="1B1C1D"/>
              </w:rPr>
              <w:t>→</w:t>
            </w:r>
          </w:p>
          <w:p w14:paraId="0DB9D279" w14:textId="77777777" w:rsidR="00C457B5" w:rsidRPr="009C2DEB" w:rsidRDefault="00C457B5" w:rsidP="00FF38DA">
            <w:pPr>
              <w:spacing w:before="240" w:after="238" w:line="274" w:lineRule="auto"/>
              <w:rPr>
                <w:b/>
                <w:bCs/>
                <w:color w:val="1B1C1D"/>
              </w:rPr>
            </w:pPr>
            <w:r>
              <w:rPr>
                <w:b/>
                <w:bCs/>
                <w:color w:val="1B1C1D"/>
              </w:rPr>
              <w:t xml:space="preserve">Tasmanian </w:t>
            </w:r>
            <w:r w:rsidRPr="009C2DEB">
              <w:rPr>
                <w:b/>
                <w:bCs/>
                <w:color w:val="1B1C1D"/>
              </w:rPr>
              <w:t>Stock</w:t>
            </w:r>
            <w:r>
              <w:rPr>
                <w:b/>
                <w:bCs/>
                <w:color w:val="1B1C1D"/>
              </w:rPr>
              <w:t xml:space="preserve"> </w:t>
            </w:r>
            <w:r>
              <w:rPr>
                <w:rFonts w:ascii="Calibri" w:hAnsi="Calibri" w:cs="Calibri"/>
                <w:b/>
                <w:bCs/>
                <w:color w:val="1B1C1D"/>
              </w:rPr>
              <w:t>↓</w:t>
            </w:r>
          </w:p>
        </w:tc>
        <w:tc>
          <w:tcPr>
            <w:tcW w:w="2254" w:type="dxa"/>
            <w:shd w:val="clear" w:color="auto" w:fill="E7E6E6" w:themeFill="background2"/>
          </w:tcPr>
          <w:p w14:paraId="2EC4ACA7" w14:textId="7AFD5FCE" w:rsidR="00C457B5" w:rsidRDefault="00C457B5" w:rsidP="00FF38DA">
            <w:pPr>
              <w:spacing w:before="240" w:after="238" w:line="274" w:lineRule="auto"/>
              <w:jc w:val="both"/>
              <w:rPr>
                <w:color w:val="1B1C1D"/>
              </w:rPr>
            </w:pPr>
            <w:r>
              <w:t>SAFS 2023</w:t>
            </w:r>
          </w:p>
        </w:tc>
        <w:tc>
          <w:tcPr>
            <w:tcW w:w="2254" w:type="dxa"/>
            <w:shd w:val="clear" w:color="auto" w:fill="E7E6E6" w:themeFill="background2"/>
          </w:tcPr>
          <w:p w14:paraId="530EA0FD" w14:textId="4A45E31A" w:rsidR="00C457B5" w:rsidRDefault="00C457B5" w:rsidP="00FF38DA">
            <w:pPr>
              <w:spacing w:before="240" w:after="238" w:line="274" w:lineRule="auto"/>
              <w:jc w:val="both"/>
              <w:rPr>
                <w:color w:val="1B1C1D"/>
              </w:rPr>
            </w:pPr>
            <w:r>
              <w:t>SAFS 2020</w:t>
            </w:r>
          </w:p>
        </w:tc>
        <w:tc>
          <w:tcPr>
            <w:tcW w:w="2254" w:type="dxa"/>
            <w:shd w:val="clear" w:color="auto" w:fill="E7E6E6" w:themeFill="background2"/>
          </w:tcPr>
          <w:p w14:paraId="69D17B48" w14:textId="76853563" w:rsidR="00C457B5" w:rsidRDefault="00C457B5" w:rsidP="00FF38DA">
            <w:pPr>
              <w:spacing w:before="240" w:after="238" w:line="274" w:lineRule="auto"/>
              <w:jc w:val="both"/>
              <w:rPr>
                <w:color w:val="1B1C1D"/>
              </w:rPr>
            </w:pPr>
            <w:r>
              <w:t>SAFS 2018</w:t>
            </w:r>
          </w:p>
        </w:tc>
      </w:tr>
      <w:tr w:rsidR="00C457B5" w14:paraId="76D8047A" w14:textId="77777777" w:rsidTr="00FF38DA">
        <w:trPr>
          <w:cantSplit/>
          <w:trHeight w:hRule="exact" w:val="786"/>
        </w:trPr>
        <w:tc>
          <w:tcPr>
            <w:tcW w:w="2254" w:type="dxa"/>
            <w:shd w:val="clear" w:color="auto" w:fill="E7E6E6" w:themeFill="background2"/>
            <w:vAlign w:val="center"/>
          </w:tcPr>
          <w:p w14:paraId="77CDCC19" w14:textId="6F09593F" w:rsidR="00C457B5" w:rsidRPr="009C2DEB" w:rsidRDefault="00C457B5" w:rsidP="00FF38DA">
            <w:pPr>
              <w:spacing w:before="240" w:after="238" w:line="274" w:lineRule="auto"/>
              <w:jc w:val="both"/>
              <w:rPr>
                <w:b/>
                <w:bCs/>
                <w:color w:val="1B1C1D"/>
              </w:rPr>
            </w:pPr>
            <w:r>
              <w:rPr>
                <w:b/>
                <w:bCs/>
                <w:color w:val="1B1C1D"/>
              </w:rPr>
              <w:t xml:space="preserve">Periwinkles </w:t>
            </w:r>
          </w:p>
        </w:tc>
        <w:tc>
          <w:tcPr>
            <w:tcW w:w="2254" w:type="dxa"/>
            <w:shd w:val="clear" w:color="auto" w:fill="70AD47" w:themeFill="accent6"/>
            <w:vAlign w:val="center"/>
          </w:tcPr>
          <w:p w14:paraId="2D1BD4D8" w14:textId="4C889297" w:rsidR="00C457B5" w:rsidRDefault="00C457B5" w:rsidP="00FF38DA">
            <w:pPr>
              <w:spacing w:before="240" w:after="238" w:line="274" w:lineRule="auto"/>
              <w:jc w:val="both"/>
              <w:rPr>
                <w:color w:val="1B1C1D"/>
              </w:rPr>
            </w:pPr>
            <w:hyperlink r:id="rId54" w:history="1">
              <w:r w:rsidRPr="00C457B5">
                <w:rPr>
                  <w:rStyle w:val="Hyperlink"/>
                </w:rPr>
                <w:t>Sustainable</w:t>
              </w:r>
            </w:hyperlink>
          </w:p>
        </w:tc>
        <w:tc>
          <w:tcPr>
            <w:tcW w:w="2254" w:type="dxa"/>
            <w:shd w:val="clear" w:color="auto" w:fill="FFC000" w:themeFill="accent4"/>
            <w:vAlign w:val="center"/>
          </w:tcPr>
          <w:p w14:paraId="1FC11C64" w14:textId="6DC36108" w:rsidR="00C457B5" w:rsidRDefault="00C457B5" w:rsidP="00FF38DA">
            <w:pPr>
              <w:spacing w:before="240" w:after="238" w:line="274" w:lineRule="auto"/>
              <w:jc w:val="both"/>
              <w:rPr>
                <w:color w:val="1B1C1D"/>
              </w:rPr>
            </w:pPr>
            <w:hyperlink r:id="rId55" w:history="1">
              <w:r w:rsidRPr="00C457B5">
                <w:rPr>
                  <w:rStyle w:val="Hyperlink"/>
                </w:rPr>
                <w:t>Sustainable</w:t>
              </w:r>
            </w:hyperlink>
          </w:p>
        </w:tc>
        <w:tc>
          <w:tcPr>
            <w:tcW w:w="2254" w:type="dxa"/>
            <w:shd w:val="clear" w:color="auto" w:fill="FFC000" w:themeFill="accent4"/>
            <w:vAlign w:val="center"/>
          </w:tcPr>
          <w:p w14:paraId="4E6AEB77" w14:textId="13974A26" w:rsidR="00C457B5" w:rsidRDefault="00C457B5" w:rsidP="00FF38DA">
            <w:pPr>
              <w:spacing w:before="240" w:after="238" w:line="274" w:lineRule="auto"/>
              <w:jc w:val="both"/>
              <w:rPr>
                <w:color w:val="1B1C1D"/>
              </w:rPr>
            </w:pPr>
            <w:hyperlink r:id="rId56" w:history="1">
              <w:r w:rsidRPr="00C457B5">
                <w:rPr>
                  <w:rStyle w:val="Hyperlink"/>
                </w:rPr>
                <w:t>Sustainable</w:t>
              </w:r>
            </w:hyperlink>
          </w:p>
        </w:tc>
      </w:tr>
      <w:tr w:rsidR="00C457B5" w14:paraId="0369600E" w14:textId="77777777" w:rsidTr="00C457B5">
        <w:trPr>
          <w:cantSplit/>
          <w:trHeight w:hRule="exact" w:val="780"/>
        </w:trPr>
        <w:tc>
          <w:tcPr>
            <w:tcW w:w="2254" w:type="dxa"/>
            <w:shd w:val="clear" w:color="auto" w:fill="E7E6E6" w:themeFill="background2"/>
            <w:vAlign w:val="center"/>
          </w:tcPr>
          <w:p w14:paraId="5830AAC3" w14:textId="05026E24" w:rsidR="00C457B5" w:rsidRPr="009C2DEB" w:rsidRDefault="00C457B5" w:rsidP="00FF38DA">
            <w:pPr>
              <w:spacing w:before="240" w:after="238" w:line="274" w:lineRule="auto"/>
              <w:rPr>
                <w:b/>
                <w:bCs/>
                <w:color w:val="1B1C1D"/>
              </w:rPr>
            </w:pPr>
            <w:r>
              <w:rPr>
                <w:b/>
                <w:bCs/>
                <w:color w:val="1B1C1D"/>
              </w:rPr>
              <w:t>Shortspined Urchins</w:t>
            </w:r>
          </w:p>
        </w:tc>
        <w:tc>
          <w:tcPr>
            <w:tcW w:w="2254" w:type="dxa"/>
            <w:shd w:val="clear" w:color="auto" w:fill="70AD47" w:themeFill="accent6"/>
            <w:vAlign w:val="center"/>
          </w:tcPr>
          <w:p w14:paraId="5E13F126" w14:textId="174FA702" w:rsidR="00C457B5" w:rsidRDefault="00C457B5" w:rsidP="00FF38DA">
            <w:pPr>
              <w:spacing w:before="240" w:after="238" w:line="274" w:lineRule="auto"/>
              <w:rPr>
                <w:color w:val="1B1C1D"/>
              </w:rPr>
            </w:pPr>
            <w:hyperlink r:id="rId57" w:history="1">
              <w:r w:rsidRPr="00C457B5">
                <w:rPr>
                  <w:rStyle w:val="Hyperlink"/>
                </w:rPr>
                <w:t>Sustainable</w:t>
              </w:r>
            </w:hyperlink>
          </w:p>
        </w:tc>
        <w:tc>
          <w:tcPr>
            <w:tcW w:w="2254" w:type="dxa"/>
            <w:shd w:val="clear" w:color="auto" w:fill="auto"/>
            <w:vAlign w:val="center"/>
          </w:tcPr>
          <w:p w14:paraId="3E1737BD" w14:textId="2F190BB6" w:rsidR="00C457B5" w:rsidRDefault="00A81E4F" w:rsidP="00FF38DA">
            <w:pPr>
              <w:spacing w:before="240" w:after="238" w:line="274" w:lineRule="auto"/>
              <w:rPr>
                <w:color w:val="1B1C1D"/>
              </w:rPr>
            </w:pPr>
            <w:r>
              <w:rPr>
                <w:color w:val="1B1C1D"/>
              </w:rPr>
              <w:t>NA</w:t>
            </w:r>
          </w:p>
        </w:tc>
        <w:tc>
          <w:tcPr>
            <w:tcW w:w="2254" w:type="dxa"/>
            <w:shd w:val="clear" w:color="auto" w:fill="auto"/>
            <w:vAlign w:val="center"/>
          </w:tcPr>
          <w:p w14:paraId="1BC22DF2" w14:textId="52D70472" w:rsidR="00C457B5" w:rsidRDefault="00A81E4F" w:rsidP="00FF38DA">
            <w:pPr>
              <w:spacing w:before="240" w:after="238" w:line="274" w:lineRule="auto"/>
              <w:rPr>
                <w:color w:val="1B1C1D"/>
              </w:rPr>
            </w:pPr>
            <w:r>
              <w:rPr>
                <w:color w:val="1B1C1D"/>
              </w:rPr>
              <w:t>NA</w:t>
            </w:r>
          </w:p>
        </w:tc>
      </w:tr>
      <w:tr w:rsidR="00C457B5" w14:paraId="5CE644CF" w14:textId="77777777" w:rsidTr="00C457B5">
        <w:trPr>
          <w:cantSplit/>
          <w:trHeight w:hRule="exact" w:val="774"/>
        </w:trPr>
        <w:tc>
          <w:tcPr>
            <w:tcW w:w="2254" w:type="dxa"/>
            <w:shd w:val="clear" w:color="auto" w:fill="E7E6E6" w:themeFill="background2"/>
            <w:vAlign w:val="center"/>
          </w:tcPr>
          <w:p w14:paraId="7C96A2F8" w14:textId="4947FC6C" w:rsidR="00C457B5" w:rsidRPr="009C2DEB" w:rsidRDefault="00C457B5" w:rsidP="00FF38DA">
            <w:pPr>
              <w:spacing w:before="240" w:after="238" w:line="274" w:lineRule="auto"/>
              <w:rPr>
                <w:b/>
                <w:bCs/>
                <w:color w:val="1B1C1D"/>
              </w:rPr>
            </w:pPr>
            <w:r>
              <w:rPr>
                <w:b/>
                <w:bCs/>
                <w:color w:val="1B1C1D"/>
              </w:rPr>
              <w:t>Longspined Urchins</w:t>
            </w:r>
          </w:p>
        </w:tc>
        <w:tc>
          <w:tcPr>
            <w:tcW w:w="2254" w:type="dxa"/>
            <w:shd w:val="clear" w:color="auto" w:fill="70AD47" w:themeFill="accent6"/>
            <w:vAlign w:val="center"/>
          </w:tcPr>
          <w:p w14:paraId="39F6F28A" w14:textId="4D665795" w:rsidR="00C457B5" w:rsidRDefault="00C457B5" w:rsidP="00FF38DA">
            <w:pPr>
              <w:spacing w:before="240" w:after="238" w:line="274" w:lineRule="auto"/>
              <w:rPr>
                <w:color w:val="1B1C1D"/>
              </w:rPr>
            </w:pPr>
            <w:hyperlink r:id="rId58" w:history="1">
              <w:r w:rsidRPr="00C457B5">
                <w:rPr>
                  <w:rStyle w:val="Hyperlink"/>
                </w:rPr>
                <w:t>Sustainable</w:t>
              </w:r>
            </w:hyperlink>
          </w:p>
        </w:tc>
        <w:tc>
          <w:tcPr>
            <w:tcW w:w="2254" w:type="dxa"/>
            <w:shd w:val="clear" w:color="auto" w:fill="70AD47" w:themeFill="accent6"/>
            <w:vAlign w:val="center"/>
          </w:tcPr>
          <w:p w14:paraId="51C36815" w14:textId="07211D36" w:rsidR="00C457B5" w:rsidRDefault="00C457B5" w:rsidP="00FF38DA">
            <w:pPr>
              <w:spacing w:before="240" w:after="238" w:line="274" w:lineRule="auto"/>
              <w:rPr>
                <w:color w:val="1B1C1D"/>
              </w:rPr>
            </w:pPr>
            <w:hyperlink r:id="rId59" w:history="1">
              <w:r w:rsidRPr="00C457B5">
                <w:rPr>
                  <w:rStyle w:val="Hyperlink"/>
                </w:rPr>
                <w:t>Sustainable</w:t>
              </w:r>
            </w:hyperlink>
          </w:p>
        </w:tc>
        <w:tc>
          <w:tcPr>
            <w:tcW w:w="2254" w:type="dxa"/>
            <w:shd w:val="clear" w:color="auto" w:fill="auto"/>
            <w:vAlign w:val="center"/>
          </w:tcPr>
          <w:p w14:paraId="507CC033" w14:textId="18D21BF6" w:rsidR="00C457B5" w:rsidRDefault="00A81E4F" w:rsidP="00FF38DA">
            <w:pPr>
              <w:spacing w:before="240" w:after="238" w:line="274" w:lineRule="auto"/>
              <w:rPr>
                <w:color w:val="1B1C1D"/>
              </w:rPr>
            </w:pPr>
            <w:r>
              <w:rPr>
                <w:color w:val="1B1C1D"/>
              </w:rPr>
              <w:t>NA</w:t>
            </w:r>
          </w:p>
        </w:tc>
      </w:tr>
    </w:tbl>
    <w:p w14:paraId="5F4D4291" w14:textId="77777777" w:rsidR="00C457B5" w:rsidRPr="000D0DE8" w:rsidRDefault="00C457B5" w:rsidP="00581BE2">
      <w:pPr>
        <w:rPr>
          <w:color w:val="4000A6"/>
        </w:rPr>
      </w:pPr>
    </w:p>
    <w:p w14:paraId="1FB5FD34" w14:textId="4A0EE1C0" w:rsidR="004640E2" w:rsidRPr="000D0DE8" w:rsidRDefault="00515AA6" w:rsidP="00515AA6">
      <w:pPr>
        <w:pStyle w:val="Heading2"/>
      </w:pPr>
      <w:bookmarkStart w:id="25" w:name="_Toc203722697"/>
      <w:r w:rsidRPr="000D0DE8">
        <w:t>D</w:t>
      </w:r>
      <w:r w:rsidR="004640E2" w:rsidRPr="000D0DE8">
        <w:t>istribution and sp</w:t>
      </w:r>
      <w:r w:rsidR="00962308" w:rsidRPr="000D0DE8">
        <w:t>a</w:t>
      </w:r>
      <w:r w:rsidR="0069314A" w:rsidRPr="000D0DE8">
        <w:t>t</w:t>
      </w:r>
      <w:r w:rsidR="004640E2" w:rsidRPr="000D0DE8">
        <w:t>ial structure of key stocks</w:t>
      </w:r>
      <w:bookmarkEnd w:id="25"/>
    </w:p>
    <w:p w14:paraId="35A4FD14" w14:textId="1C5CED6A" w:rsidR="00A84E2D" w:rsidRDefault="00C87C51" w:rsidP="00890D00">
      <w:r>
        <w:t>The three species targeted in this fishery occur across the Great Southern Reef in other parts of Australia</w:t>
      </w:r>
      <w:r w:rsidR="00A81E4F">
        <w:t>. They</w:t>
      </w:r>
      <w:r>
        <w:t xml:space="preserve"> are not managed</w:t>
      </w:r>
      <w:r w:rsidR="00A81E4F">
        <w:t xml:space="preserve"> or assessed</w:t>
      </w:r>
      <w:r>
        <w:t xml:space="preserve"> as a single stock</w:t>
      </w:r>
      <w:r w:rsidR="00A81E4F">
        <w:t>; stock assessment is at the jurisdictional level.</w:t>
      </w:r>
      <w:r>
        <w:t xml:space="preserve"> </w:t>
      </w:r>
    </w:p>
    <w:p w14:paraId="6FF994B7" w14:textId="252BB514" w:rsidR="00A61CDC" w:rsidRDefault="00A81E4F" w:rsidP="00890D00">
      <w:r>
        <w:t xml:space="preserve">Longspined Sea </w:t>
      </w:r>
      <w:r w:rsidR="00C87C51">
        <w:t xml:space="preserve">Urchins are broadcast spawners and larvae can populate southern regions if the currents </w:t>
      </w:r>
      <w:r w:rsidR="00605E24">
        <w:t>and water temperatures are favourable</w:t>
      </w:r>
      <w:r w:rsidR="00432D8D">
        <w:t xml:space="preserve">. </w:t>
      </w:r>
      <w:r w:rsidR="00C87C51">
        <w:t>Tasmania is a</w:t>
      </w:r>
      <w:r w:rsidR="00605E24">
        <w:t xml:space="preserve"> </w:t>
      </w:r>
      <w:r w:rsidR="00C87C51">
        <w:t>sink for northern urchin stocks</w:t>
      </w:r>
      <w:r w:rsidR="00432D8D">
        <w:t>, and</w:t>
      </w:r>
      <w:r w:rsidR="00605E24">
        <w:t xml:space="preserve"> </w:t>
      </w:r>
      <w:r w:rsidR="005B5B2B">
        <w:t xml:space="preserve">recent </w:t>
      </w:r>
      <w:r w:rsidR="00605E24">
        <w:t xml:space="preserve">modelling </w:t>
      </w:r>
      <w:r w:rsidR="005B5B2B">
        <w:t xml:space="preserve">information out of IMAS </w:t>
      </w:r>
      <w:r w:rsidR="00605E24">
        <w:t>indicates that NSW and Victorian longspined sea urchin are source populations for Tasmania’s east coast</w:t>
      </w:r>
      <w:r w:rsidR="00C87C51">
        <w:t xml:space="preserve">. </w:t>
      </w:r>
    </w:p>
    <w:p w14:paraId="2BA3EBBB" w14:textId="2CD49974" w:rsidR="001474C7" w:rsidRDefault="00A61CDC" w:rsidP="00890D00">
      <w:r>
        <w:t xml:space="preserve">Shortspined Sea Urchins and </w:t>
      </w:r>
      <w:r w:rsidR="00C87C51">
        <w:t xml:space="preserve">Periwinkles </w:t>
      </w:r>
      <w:r w:rsidR="00605E24">
        <w:t xml:space="preserve">have a short larval period of </w:t>
      </w:r>
      <w:r>
        <w:t>about</w:t>
      </w:r>
      <w:r w:rsidR="00605E24">
        <w:t xml:space="preserve"> five days, meaning that reefs are</w:t>
      </w:r>
      <w:r>
        <w:t xml:space="preserve"> likely to be</w:t>
      </w:r>
      <w:r w:rsidR="00605E24">
        <w:t xml:space="preserve"> locally populated from close source populations. </w:t>
      </w:r>
      <w:r w:rsidRPr="00A61CDC">
        <w:t xml:space="preserve">For this reason, the Tasmanian jurisdiction is divided into </w:t>
      </w:r>
      <w:r>
        <w:t>fishery part</w:t>
      </w:r>
      <w:r w:rsidRPr="00A61CDC">
        <w:t xml:space="preserve">s, with additional catch cap areas and robust size limits, to minimise the likelihood of localised depletion. </w:t>
      </w:r>
      <w:r w:rsidR="00605E24">
        <w:t xml:space="preserve"> </w:t>
      </w:r>
    </w:p>
    <w:p w14:paraId="15303B80" w14:textId="6F439764" w:rsidR="00605E24" w:rsidRDefault="00A84E2D" w:rsidP="00605E24">
      <w:r>
        <w:t>R</w:t>
      </w:r>
      <w:r w:rsidR="00605E24">
        <w:t xml:space="preserve">efer to the linked </w:t>
      </w:r>
      <w:r w:rsidRPr="00A84E2D">
        <w:t>Status of Australian Fish Stocks</w:t>
      </w:r>
      <w:r>
        <w:t xml:space="preserve"> (</w:t>
      </w:r>
      <w:r w:rsidR="00605E24">
        <w:t>SAFS</w:t>
      </w:r>
      <w:r>
        <w:t>)</w:t>
      </w:r>
      <w:r w:rsidR="00605E24">
        <w:t xml:space="preserve"> Reports for a summary of regional management</w:t>
      </w:r>
      <w:r>
        <w:t>:</w:t>
      </w:r>
      <w:r w:rsidR="00605E24">
        <w:t xml:space="preserve"> </w:t>
      </w:r>
      <w:hyperlink r:id="rId60" w:history="1">
        <w:r w:rsidR="00605E24" w:rsidRPr="00605E24">
          <w:rPr>
            <w:rStyle w:val="Hyperlink"/>
          </w:rPr>
          <w:t>Wavy Periwinkle 2023</w:t>
        </w:r>
      </w:hyperlink>
      <w:r w:rsidR="00605E24">
        <w:t xml:space="preserve">, </w:t>
      </w:r>
      <w:hyperlink r:id="rId61" w:history="1">
        <w:r w:rsidR="00605E24" w:rsidRPr="00605E24">
          <w:rPr>
            <w:rStyle w:val="Hyperlink"/>
          </w:rPr>
          <w:t>Shortspined Sea Urchin 2023</w:t>
        </w:r>
      </w:hyperlink>
      <w:r w:rsidR="00605E24">
        <w:t xml:space="preserve">, </w:t>
      </w:r>
      <w:hyperlink r:id="rId62" w:history="1">
        <w:r w:rsidR="00605E24" w:rsidRPr="00605E24">
          <w:rPr>
            <w:rStyle w:val="Hyperlink"/>
          </w:rPr>
          <w:t>Longspined Sea Urchin 2023</w:t>
        </w:r>
      </w:hyperlink>
      <w:r w:rsidR="00605E24">
        <w:rPr>
          <w:color w:val="4000A6"/>
        </w:rPr>
        <w:t>.</w:t>
      </w:r>
    </w:p>
    <w:p w14:paraId="2E3C3717" w14:textId="0EC8D107" w:rsidR="004640E2" w:rsidRPr="000D0DE8" w:rsidRDefault="00FB03C3" w:rsidP="00FB03C3">
      <w:pPr>
        <w:pStyle w:val="Heading2"/>
      </w:pPr>
      <w:bookmarkStart w:id="26" w:name="_Toc203722698"/>
      <w:r w:rsidRPr="00554A33">
        <w:t>E</w:t>
      </w:r>
      <w:r w:rsidR="004640E2" w:rsidRPr="00554A33">
        <w:t>stimates of total removals</w:t>
      </w:r>
      <w:bookmarkEnd w:id="26"/>
    </w:p>
    <w:p w14:paraId="4FA00E08" w14:textId="6A799B31" w:rsidR="00CE79D0" w:rsidRDefault="001474C7" w:rsidP="00DC0541">
      <w:r>
        <w:t>Refer to</w:t>
      </w:r>
      <w:r w:rsidR="00554A33">
        <w:t xml:space="preserve"> Table 3 of Appendix 1</w:t>
      </w:r>
      <w:r>
        <w:t xml:space="preserve"> </w:t>
      </w:r>
      <w:r w:rsidR="00C87C51">
        <w:t>for a summary of total commercial catches</w:t>
      </w:r>
      <w:r w:rsidR="00432D8D">
        <w:t xml:space="preserve"> across the previous five fishing season (2019-20 to 2023-24</w:t>
      </w:r>
      <w:r w:rsidR="00554A33">
        <w:t xml:space="preserve"> complete seasons, and 2024-25 up to July 2025</w:t>
      </w:r>
      <w:r w:rsidR="00432D8D">
        <w:t>)</w:t>
      </w:r>
      <w:r w:rsidR="00554A33">
        <w:t xml:space="preserve">. The data is broken down to species level with </w:t>
      </w:r>
      <w:r w:rsidR="00CE79D0">
        <w:t xml:space="preserve">maps indicating catch origins along the coastlines </w:t>
      </w:r>
      <w:r w:rsidR="00554A33">
        <w:t xml:space="preserve">for Periwinkles </w:t>
      </w:r>
      <w:r w:rsidR="00CE79D0">
        <w:t>(Figure 1</w:t>
      </w:r>
      <w:r w:rsidR="00554A33">
        <w:t>)</w:t>
      </w:r>
      <w:r w:rsidR="00CE79D0">
        <w:t xml:space="preserve">, </w:t>
      </w:r>
      <w:r w:rsidR="00554A33">
        <w:t xml:space="preserve">Shortspined Sea Urchins (Figure </w:t>
      </w:r>
      <w:r w:rsidR="00CE79D0">
        <w:t>3</w:t>
      </w:r>
      <w:r w:rsidR="00554A33">
        <w:t>)</w:t>
      </w:r>
      <w:r w:rsidR="00CE79D0">
        <w:t xml:space="preserve">, and </w:t>
      </w:r>
      <w:r w:rsidR="00554A33">
        <w:t xml:space="preserve">Longspined Sea Urchins (Figure </w:t>
      </w:r>
      <w:r w:rsidR="00CE79D0">
        <w:t>5</w:t>
      </w:r>
      <w:r w:rsidR="00554A33">
        <w:t>), as well as</w:t>
      </w:r>
      <w:r w:rsidR="00C87C51">
        <w:t xml:space="preserve"> applicable catch limits </w:t>
      </w:r>
      <w:r w:rsidR="00554A33">
        <w:t>compared to catches for Periwinkles</w:t>
      </w:r>
      <w:r w:rsidR="00CE79D0">
        <w:t xml:space="preserve"> (Figure 2</w:t>
      </w:r>
      <w:r w:rsidR="00554A33">
        <w:t>) and Shortspined Sea Urchins (Figure</w:t>
      </w:r>
      <w:r w:rsidR="00CE79D0">
        <w:t xml:space="preserve"> 4</w:t>
      </w:r>
      <w:r w:rsidR="00554A33">
        <w:t>)</w:t>
      </w:r>
      <w:r w:rsidR="00C87C51">
        <w:t>.</w:t>
      </w:r>
      <w:r w:rsidR="00432D8D">
        <w:t xml:space="preserve"> </w:t>
      </w:r>
      <w:r w:rsidR="00554A33">
        <w:t>Note, catch limits are not set for Longspined Sea Urchins.</w:t>
      </w:r>
    </w:p>
    <w:p w14:paraId="76CE891C" w14:textId="78733F15" w:rsidR="00F16E87" w:rsidRDefault="00432D8D" w:rsidP="00F16E87">
      <w:r>
        <w:lastRenderedPageBreak/>
        <w:t>Comparison</w:t>
      </w:r>
      <w:r w:rsidR="00554A33">
        <w:t xml:space="preserve"> between years for each species</w:t>
      </w:r>
      <w:r>
        <w:t xml:space="preserve"> is limited because the fishery part borders shifted prior to 2022,</w:t>
      </w:r>
      <w:r w:rsidR="00554A33">
        <w:t xml:space="preserve"> and</w:t>
      </w:r>
      <w:r>
        <w:t xml:space="preserve"> the efficiency of closures improved with the introduction of a 24</w:t>
      </w:r>
      <w:r w:rsidR="00CE79D0">
        <w:t>-</w:t>
      </w:r>
      <w:r>
        <w:t>hour notice period in 2023</w:t>
      </w:r>
      <w:r w:rsidR="00554A33">
        <w:t>. Further,</w:t>
      </w:r>
      <w:r w:rsidR="00CE79D0">
        <w:t xml:space="preserve"> the</w:t>
      </w:r>
      <w:r w:rsidR="00F16E87">
        <w:t xml:space="preserve">re have been multiple increases to minimum size limits for </w:t>
      </w:r>
      <w:r w:rsidR="00CE79D0">
        <w:t>Shortspined Sea Urchin</w:t>
      </w:r>
      <w:r w:rsidR="00F16E87">
        <w:t>s (from 60mm to 70mm in the 2019-20 season, then to 75mm in the 2020-21 season, and to 80mm in 2023-24)</w:t>
      </w:r>
      <w:r w:rsidR="00554A33">
        <w:t>, and</w:t>
      </w:r>
      <w:r w:rsidR="00F16E87">
        <w:t xml:space="preserve"> in 2023 there was a switch in focus</w:t>
      </w:r>
      <w:r w:rsidR="005B5B2B">
        <w:t xml:space="preserve"> within the major part of the urchin processing sector</w:t>
      </w:r>
      <w:r w:rsidR="00F16E87">
        <w:t xml:space="preserve"> from building total urchin processing capacity</w:t>
      </w:r>
      <w:r w:rsidR="005B5B2B">
        <w:t>,</w:t>
      </w:r>
      <w:r w:rsidR="00F16E87">
        <w:t xml:space="preserve"> to building capacity for Longspined Sea Urchin preferentially, which also drove the overall harvest across the seasons. </w:t>
      </w:r>
    </w:p>
    <w:p w14:paraId="78820346" w14:textId="2D305F0A" w:rsidR="001474C7" w:rsidRDefault="00F16E87" w:rsidP="00DC0541">
      <w:r>
        <w:t>T</w:t>
      </w:r>
      <w:r w:rsidR="00432D8D">
        <w:t xml:space="preserve">here </w:t>
      </w:r>
      <w:r w:rsidR="00CE79D0">
        <w:t>have been</w:t>
      </w:r>
      <w:r w:rsidR="00432D8D">
        <w:t xml:space="preserve"> very few exceedances of commercial catch limits</w:t>
      </w:r>
      <w:r w:rsidR="00CE79D0">
        <w:t xml:space="preserve">. The most notable exceedance for Periwinkles </w:t>
      </w:r>
      <w:r w:rsidR="00554A33">
        <w:t xml:space="preserve">was </w:t>
      </w:r>
      <w:r w:rsidR="00CE79D0">
        <w:t xml:space="preserve">in the North-Eastern part in 2019-20 which overran the limit by </w:t>
      </w:r>
      <w:r w:rsidR="00554A33">
        <w:t>~</w:t>
      </w:r>
      <w:r w:rsidR="00CE79D0">
        <w:t>7t</w:t>
      </w:r>
      <w:r w:rsidR="00554A33">
        <w:t>.</w:t>
      </w:r>
      <w:r w:rsidR="00CE79D0">
        <w:t xml:space="preserve"> </w:t>
      </w:r>
      <w:r w:rsidR="00554A33">
        <w:t>The most notable exceedance for Shortspined Sea Urchins was in the Central-Eastern part in 2019-20 which overran the limit by ~13t. In each case, there was a lag between receipt of catch data and when a closure could be enacted, however, the areas were also fishing well and all indicators supported the extended fishing periods beyond the pre-determined limit; this is reflected in the increased catch limits in the following season.</w:t>
      </w:r>
    </w:p>
    <w:p w14:paraId="7CF99844" w14:textId="128EA6CF" w:rsidR="00154869" w:rsidRDefault="001A1A2E" w:rsidP="00154869">
      <w:r>
        <w:t xml:space="preserve">Refer to </w:t>
      </w:r>
      <w:r w:rsidRPr="0094772D">
        <w:t>Appendix 4</w:t>
      </w:r>
      <w:r>
        <w:t xml:space="preserve"> for a summary of the fishing effort in the fishery from 2005-06 to 2023-24. </w:t>
      </w:r>
      <w:r w:rsidR="00154869">
        <w:t xml:space="preserve">Figure 6 shows that the effort in the Periwinkles fishery has fluctuated over time, often changing marginally with changes in the urchin fisheries. Periwinkles is a specialised niche within the Commercial Dive Fishery, with a </w:t>
      </w:r>
      <w:r w:rsidR="00D56759">
        <w:t>s</w:t>
      </w:r>
      <w:r w:rsidR="00154869">
        <w:t>table group of divers</w:t>
      </w:r>
      <w:r w:rsidR="00D56759">
        <w:t xml:space="preserve"> who have secured limited markets. New entrants are constrained by those limited markets and the need for holding facilities to purge periwinkles prior to sale</w:t>
      </w:r>
      <w:r w:rsidR="00154869">
        <w:t>. Effort in hours</w:t>
      </w:r>
      <w:r w:rsidR="00D56759">
        <w:t xml:space="preserve"> fished has increased over the past decade</w:t>
      </w:r>
      <w:r w:rsidR="00154869">
        <w:t xml:space="preserve"> in line with the urchin fisheries, but the number of fishers h</w:t>
      </w:r>
      <w:r w:rsidR="00D56759">
        <w:t>olds</w:t>
      </w:r>
      <w:r w:rsidR="00154869">
        <w:t xml:space="preserve"> </w:t>
      </w:r>
      <w:r w:rsidR="00D56759">
        <w:t xml:space="preserve">relatively </w:t>
      </w:r>
      <w:r w:rsidR="00154869">
        <w:t xml:space="preserve">stable. </w:t>
      </w:r>
    </w:p>
    <w:p w14:paraId="31F69458" w14:textId="1F7370E2" w:rsidR="006227EE" w:rsidRDefault="001A1A2E" w:rsidP="001A1A2E">
      <w:r>
        <w:t>There has been a steady increase in the number of active divers and number of hours fished in the Shortspined Sea Urchin fishery (</w:t>
      </w:r>
      <w:r w:rsidRPr="0094772D">
        <w:t xml:space="preserve">Figure </w:t>
      </w:r>
      <w:r w:rsidR="00154869">
        <w:t>7</w:t>
      </w:r>
      <w:r>
        <w:t xml:space="preserve">), </w:t>
      </w:r>
      <w:r w:rsidR="00154869">
        <w:t xml:space="preserve">particularly since 2018-19 which aligns with the start of </w:t>
      </w:r>
      <w:r>
        <w:t>incentivised growth in the related Longspined Sea Urchin fishery. I.e., the two urchin fisheries have complementary seasons and as the Longspined Sea Urchin fishery has grown</w:t>
      </w:r>
      <w:r w:rsidR="00347335">
        <w:t xml:space="preserve"> with support of the AIRF-funded incentivised Centrostephanus fishing program</w:t>
      </w:r>
      <w:r>
        <w:t xml:space="preserve">, the divers active in that fishery have extended their urchin diving season by increasing effort in the Shortspined Sea Urchin fishery. </w:t>
      </w:r>
    </w:p>
    <w:p w14:paraId="0AB94AE0" w14:textId="54E0A0FA" w:rsidR="00154869" w:rsidRPr="00154869" w:rsidRDefault="00154869" w:rsidP="00154869">
      <w:r>
        <w:t>Figure 8 demonstrates how the Longspined Sea Urchin fishery component has been the significant driver of increased effort in other parts of the Commercial Dive fishery. The total effort—both number of divers and hours spent diving—increased significantly in 2017-18 and through from 2018</w:t>
      </w:r>
      <w:r>
        <w:noBreakHyphen/>
        <w:t xml:space="preserve">19 to the present. This is a direct result of the incentivised fishing program for the species, which aims to limit the southward climate-driven range-extension of the urchin and mitigate the development of new urchin barrens by paying a per kilogram rate (up to $3.50/kg) for </w:t>
      </w:r>
      <w:r>
        <w:rPr>
          <w:i/>
          <w:iCs/>
        </w:rPr>
        <w:t>C. rodgersii</w:t>
      </w:r>
      <w:r>
        <w:t xml:space="preserve"> urchins taken in priority regions.</w:t>
      </w:r>
    </w:p>
    <w:p w14:paraId="287201D5" w14:textId="0683743E" w:rsidR="00C87C51" w:rsidRPr="00DC0541" w:rsidRDefault="00C87C51" w:rsidP="00DC0541">
      <w:pPr>
        <w:rPr>
          <w:color w:val="4000A6"/>
        </w:rPr>
      </w:pPr>
      <w:r>
        <w:t>Recreational</w:t>
      </w:r>
      <w:r w:rsidRPr="00A6699A">
        <w:t xml:space="preserve"> and </w:t>
      </w:r>
      <w:r>
        <w:t>Indigenous catch is</w:t>
      </w:r>
      <w:r w:rsidR="00432D8D">
        <w:t xml:space="preserve"> unlicensed and</w:t>
      </w:r>
      <w:r w:rsidRPr="00A6699A">
        <w:t xml:space="preserve"> there are no records kept for their harvests. </w:t>
      </w:r>
      <w:r>
        <w:t>N</w:t>
      </w:r>
      <w:r w:rsidRPr="004C1787">
        <w:t>on-commercial harvest may contribute to localised depletion in some populated inshore areas,</w:t>
      </w:r>
      <w:r>
        <w:t xml:space="preserve"> particularly for</w:t>
      </w:r>
      <w:r w:rsidRPr="004C1787">
        <w:t xml:space="preserve"> </w:t>
      </w:r>
      <w:r w:rsidR="00DB1B46">
        <w:t>P</w:t>
      </w:r>
      <w:r w:rsidRPr="004C1787">
        <w:t xml:space="preserve">eriwinkles </w:t>
      </w:r>
      <w:r>
        <w:t xml:space="preserve">which </w:t>
      </w:r>
      <w:r w:rsidRPr="004C1787">
        <w:t>can be easily collected by wading in the shallows. However, this take is localised and does not impact the populations in deeper and more inaccessible waters.</w:t>
      </w:r>
      <w:r>
        <w:t xml:space="preserve"> The non-commercial take of minor species is considered </w:t>
      </w:r>
      <w:r w:rsidR="00432D8D">
        <w:t xml:space="preserve">nil to </w:t>
      </w:r>
      <w:r>
        <w:t xml:space="preserve">negligible. </w:t>
      </w:r>
      <w:r w:rsidRPr="004C1787">
        <w:t xml:space="preserve"> </w:t>
      </w:r>
    </w:p>
    <w:p w14:paraId="0C7494BC" w14:textId="56E8F509" w:rsidR="00D24341" w:rsidRPr="00F268C6" w:rsidRDefault="00F268C6" w:rsidP="00F268C6">
      <w:pPr>
        <w:pStyle w:val="Heading2"/>
      </w:pPr>
      <w:bookmarkStart w:id="27" w:name="_Toc203722699"/>
      <w:r w:rsidRPr="00F268C6">
        <w:t>Indicator b</w:t>
      </w:r>
      <w:r w:rsidR="00D24341" w:rsidRPr="00F268C6">
        <w:t xml:space="preserve">yproduct </w:t>
      </w:r>
      <w:r w:rsidRPr="00F268C6">
        <w:t>species</w:t>
      </w:r>
      <w:bookmarkEnd w:id="27"/>
    </w:p>
    <w:p w14:paraId="4217E80C" w14:textId="77777777" w:rsidR="001474C7" w:rsidRPr="00C315D9" w:rsidRDefault="001474C7" w:rsidP="001474C7">
      <w:bookmarkStart w:id="28" w:name="_Hlk201324444"/>
      <w:r>
        <w:t>Not applicable.</w:t>
      </w:r>
    </w:p>
    <w:p w14:paraId="2C793CA2" w14:textId="69A4022C" w:rsidR="001474C7" w:rsidRPr="00F13304" w:rsidRDefault="001474C7" w:rsidP="00F13304">
      <w:pPr>
        <w:rPr>
          <w:color w:val="4000A6"/>
        </w:rPr>
      </w:pPr>
      <w:r>
        <w:t xml:space="preserve">Being a dive fishery with targeted hand collection, byproduct species are not permitted. There is low occurrence of biofouling of marine algae species on the shells of </w:t>
      </w:r>
      <w:r w:rsidR="00DB1B46">
        <w:t>P</w:t>
      </w:r>
      <w:r>
        <w:t>eriwinkles, however this is not quantified or considered problematic.</w:t>
      </w:r>
    </w:p>
    <w:p w14:paraId="75990361" w14:textId="6616919A" w:rsidR="00D24341" w:rsidRPr="00D24341" w:rsidRDefault="00D24341" w:rsidP="00314F4F">
      <w:pPr>
        <w:pStyle w:val="Heading1"/>
        <w:rPr>
          <w:sz w:val="22"/>
          <w:szCs w:val="22"/>
        </w:rPr>
      </w:pPr>
      <w:bookmarkStart w:id="29" w:name="_Toc203722700"/>
      <w:bookmarkEnd w:id="28"/>
      <w:r w:rsidRPr="00527876">
        <w:rPr>
          <w:bCs/>
          <w:sz w:val="36"/>
          <w:szCs w:val="36"/>
        </w:rPr>
        <w:lastRenderedPageBreak/>
        <w:t>Bycatch</w:t>
      </w:r>
      <w:bookmarkEnd w:id="29"/>
    </w:p>
    <w:p w14:paraId="0645CACF" w14:textId="791930EF" w:rsidR="00AB30B8" w:rsidRPr="000D0DE8" w:rsidRDefault="00AB30B8" w:rsidP="00AB30B8">
      <w:pPr>
        <w:pStyle w:val="Heading2"/>
      </w:pPr>
      <w:bookmarkStart w:id="30" w:name="_Toc203722701"/>
      <w:r w:rsidRPr="000D0DE8">
        <w:t>Bycatch composition</w:t>
      </w:r>
      <w:bookmarkEnd w:id="30"/>
    </w:p>
    <w:p w14:paraId="22F28ED7" w14:textId="77777777" w:rsidR="00C315D9" w:rsidRPr="00C315D9" w:rsidRDefault="00C315D9" w:rsidP="00C315D9">
      <w:bookmarkStart w:id="31" w:name="_Hlk201324399"/>
      <w:r>
        <w:t>Not applicable.</w:t>
      </w:r>
    </w:p>
    <w:p w14:paraId="2AECA687" w14:textId="5D2A6251" w:rsidR="00C315D9" w:rsidRDefault="00C315D9" w:rsidP="00AB30B8">
      <w:bookmarkStart w:id="32" w:name="_Hlk202440657"/>
      <w:r>
        <w:t>Being a</w:t>
      </w:r>
      <w:r w:rsidR="001474C7">
        <w:t xml:space="preserve"> </w:t>
      </w:r>
      <w:r>
        <w:t>dive fishery with targeted hand collection</w:t>
      </w:r>
      <w:r w:rsidR="001474C7">
        <w:t xml:space="preserve"> and no quota</w:t>
      </w:r>
      <w:r>
        <w:t>, bycatch</w:t>
      </w:r>
      <w:r w:rsidR="001474C7">
        <w:t xml:space="preserve"> including discards (i.e. high-grading) is</w:t>
      </w:r>
      <w:r>
        <w:t xml:space="preserve"> </w:t>
      </w:r>
      <w:r w:rsidR="001474C7">
        <w:t xml:space="preserve">negligible to </w:t>
      </w:r>
      <w:r w:rsidR="00CE79D0">
        <w:t>nil.</w:t>
      </w:r>
      <w:r>
        <w:t xml:space="preserve"> There is low occurrence of biofouling of marine algae species on the shells of </w:t>
      </w:r>
      <w:r w:rsidR="00DB1B46">
        <w:t>P</w:t>
      </w:r>
      <w:r>
        <w:t>eriwinkles, however this is not quantified or considered problematic.</w:t>
      </w:r>
    </w:p>
    <w:p w14:paraId="0ADCBF47" w14:textId="3674823A" w:rsidR="00D24341" w:rsidRPr="00F3518E" w:rsidRDefault="002B42F1" w:rsidP="00F3518E">
      <w:pPr>
        <w:pStyle w:val="Heading2"/>
      </w:pPr>
      <w:bookmarkStart w:id="33" w:name="_Toc203722702"/>
      <w:bookmarkEnd w:id="31"/>
      <w:bookmarkEnd w:id="32"/>
      <w:r w:rsidRPr="00F3518E">
        <w:t>R</w:t>
      </w:r>
      <w:r w:rsidR="00F670C5" w:rsidRPr="00F3518E">
        <w:t xml:space="preserve">isk </w:t>
      </w:r>
      <w:r w:rsidR="006C74DB">
        <w:t>assessment</w:t>
      </w:r>
      <w:r w:rsidR="00F670C5" w:rsidRPr="00F3518E">
        <w:t xml:space="preserve"> on the effects of fishing on bycatch</w:t>
      </w:r>
      <w:bookmarkEnd w:id="33"/>
    </w:p>
    <w:p w14:paraId="6927EFED" w14:textId="1F75D14F" w:rsidR="00C315D9" w:rsidRDefault="00C315D9" w:rsidP="00984AA9">
      <w:bookmarkStart w:id="34" w:name="_Hlk201324416"/>
      <w:r>
        <w:t>Not applicable.</w:t>
      </w:r>
    </w:p>
    <w:p w14:paraId="3ACA80BD" w14:textId="3AD4F549" w:rsidR="00240AE1" w:rsidRDefault="00240AE1" w:rsidP="00240AE1">
      <w:r>
        <w:t xml:space="preserve">Being a dive fishery with targeted hand collection and no quota, bycatch including discards (i.e. high-grading) is negligible to nil. There is low occurrence of biofouling of marine algae species on the shells of </w:t>
      </w:r>
      <w:r w:rsidR="00DB1B46">
        <w:t>P</w:t>
      </w:r>
      <w:r>
        <w:t>eriwinkles, however this is not quantified or considered problematic.</w:t>
      </w:r>
    </w:p>
    <w:p w14:paraId="25A71AED" w14:textId="224BF454" w:rsidR="00F670C5" w:rsidRPr="0018409A" w:rsidRDefault="00B56980" w:rsidP="0018409A">
      <w:pPr>
        <w:pStyle w:val="Heading2"/>
      </w:pPr>
      <w:bookmarkStart w:id="35" w:name="_Toc203722703"/>
      <w:bookmarkEnd w:id="34"/>
      <w:r>
        <w:t>Bycatch m</w:t>
      </w:r>
      <w:r w:rsidR="00F3518E" w:rsidRPr="0018409A">
        <w:t>it</w:t>
      </w:r>
      <w:r w:rsidR="00503D9F" w:rsidRPr="0018409A">
        <w:t xml:space="preserve">igation </w:t>
      </w:r>
      <w:r>
        <w:t>m</w:t>
      </w:r>
      <w:r w:rsidR="00503D9F" w:rsidRPr="0018409A">
        <w:t>easures</w:t>
      </w:r>
      <w:bookmarkEnd w:id="35"/>
    </w:p>
    <w:p w14:paraId="4D4C3FF7" w14:textId="77777777" w:rsidR="00C315D9" w:rsidRDefault="00C315D9" w:rsidP="00C315D9">
      <w:r>
        <w:t>Not applicable.</w:t>
      </w:r>
    </w:p>
    <w:p w14:paraId="7EC36B4B" w14:textId="2E046ECA" w:rsidR="00240AE1" w:rsidRPr="00C315D9" w:rsidRDefault="00240AE1" w:rsidP="00C315D9">
      <w:r>
        <w:t xml:space="preserve">Being a dive fishery with targeted hand collection and no quota, bycatch including discards (i.e. high-grading) is negligible to nil. There is low occurrence of biofouling of marine algae species on the shells of </w:t>
      </w:r>
      <w:r w:rsidR="00DB1B46">
        <w:t>P</w:t>
      </w:r>
      <w:r>
        <w:t>eriwinkles, however this is not quantified or considered problematic.</w:t>
      </w:r>
    </w:p>
    <w:p w14:paraId="029AF95B" w14:textId="5750815B" w:rsidR="00F670C5" w:rsidRPr="00471DB3" w:rsidRDefault="00C7204A" w:rsidP="00471DB3">
      <w:pPr>
        <w:pStyle w:val="Heading2"/>
      </w:pPr>
      <w:bookmarkStart w:id="36" w:name="_Toc203722704"/>
      <w:r w:rsidRPr="00471DB3">
        <w:t>I</w:t>
      </w:r>
      <w:r w:rsidR="00F670C5" w:rsidRPr="00471DB3">
        <w:t>ndicator bycatch species</w:t>
      </w:r>
      <w:bookmarkEnd w:id="36"/>
    </w:p>
    <w:p w14:paraId="34C681CA" w14:textId="77777777" w:rsidR="00C315D9" w:rsidRDefault="00C315D9" w:rsidP="00C315D9">
      <w:r>
        <w:t>Not applicable.</w:t>
      </w:r>
    </w:p>
    <w:p w14:paraId="36AA6A55" w14:textId="544CF3F4" w:rsidR="00240AE1" w:rsidRPr="00C315D9" w:rsidRDefault="00240AE1" w:rsidP="00C315D9">
      <w:r>
        <w:t xml:space="preserve">Being a dive fishery with targeted hand collection and no quota, bycatch including discards (i.e. high-grading) is negligible to nil. There is low occurrence of biofouling of marine algae species on the shells of </w:t>
      </w:r>
      <w:r w:rsidR="00DB1B46">
        <w:t>P</w:t>
      </w:r>
      <w:r>
        <w:t>eriwinkles, however this is not quantified or considered problematic.</w:t>
      </w:r>
    </w:p>
    <w:p w14:paraId="4A360CE8" w14:textId="0CBBA25F" w:rsidR="00F670C5" w:rsidRPr="00F268C6" w:rsidRDefault="00471DB3" w:rsidP="00F268C6">
      <w:pPr>
        <w:pStyle w:val="Heading2"/>
      </w:pPr>
      <w:bookmarkStart w:id="37" w:name="_Toc203722705"/>
      <w:r w:rsidRPr="00F268C6">
        <w:t>M</w:t>
      </w:r>
      <w:r w:rsidR="00F670C5" w:rsidRPr="00F268C6">
        <w:t>anagement actions</w:t>
      </w:r>
      <w:bookmarkEnd w:id="37"/>
      <w:r w:rsidR="00F670C5" w:rsidRPr="00F268C6">
        <w:t xml:space="preserve"> </w:t>
      </w:r>
    </w:p>
    <w:p w14:paraId="75DFF3A2" w14:textId="77777777" w:rsidR="00C315D9" w:rsidRDefault="00C315D9" w:rsidP="00C315D9">
      <w:r>
        <w:t>Not applicable.</w:t>
      </w:r>
    </w:p>
    <w:p w14:paraId="67298926" w14:textId="2077F826" w:rsidR="00240AE1" w:rsidRPr="00C315D9" w:rsidRDefault="00240AE1" w:rsidP="00C315D9">
      <w:r>
        <w:t xml:space="preserve">Being a dive fishery with targeted hand collection and no quota, bycatch including discards (i.e. high-grading) is negligible to nil. There is low occurrence of biofouling of marine algae species on the shells of </w:t>
      </w:r>
      <w:r w:rsidR="00DB1B46">
        <w:t>P</w:t>
      </w:r>
      <w:r>
        <w:t>eriwinkles, however this is not quantified or considered problematic.</w:t>
      </w:r>
    </w:p>
    <w:p w14:paraId="647B1BD4" w14:textId="320AD299" w:rsidR="00F670C5" w:rsidRPr="00527876" w:rsidRDefault="00F670C5" w:rsidP="00314F4F">
      <w:pPr>
        <w:pStyle w:val="Heading1"/>
        <w:rPr>
          <w:b w:val="0"/>
          <w:bCs/>
          <w:sz w:val="36"/>
          <w:szCs w:val="36"/>
        </w:rPr>
      </w:pPr>
      <w:bookmarkStart w:id="38" w:name="_Protected_species_and"/>
      <w:bookmarkStart w:id="39" w:name="_Toc203722706"/>
      <w:bookmarkEnd w:id="38"/>
      <w:r w:rsidRPr="00527876">
        <w:rPr>
          <w:bCs/>
          <w:sz w:val="36"/>
          <w:szCs w:val="36"/>
        </w:rPr>
        <w:t>P</w:t>
      </w:r>
      <w:r w:rsidR="007D1784">
        <w:rPr>
          <w:bCs/>
          <w:sz w:val="36"/>
          <w:szCs w:val="36"/>
        </w:rPr>
        <w:t xml:space="preserve">rotected </w:t>
      </w:r>
      <w:r w:rsidR="006F3C71">
        <w:rPr>
          <w:bCs/>
          <w:sz w:val="36"/>
          <w:szCs w:val="36"/>
        </w:rPr>
        <w:t>s</w:t>
      </w:r>
      <w:r w:rsidR="007D1784">
        <w:rPr>
          <w:bCs/>
          <w:sz w:val="36"/>
          <w:szCs w:val="36"/>
        </w:rPr>
        <w:t>pecies</w:t>
      </w:r>
      <w:r w:rsidR="009C40AE">
        <w:rPr>
          <w:bCs/>
          <w:sz w:val="36"/>
          <w:szCs w:val="36"/>
        </w:rPr>
        <w:t xml:space="preserve"> and </w:t>
      </w:r>
      <w:r w:rsidR="006F3C71">
        <w:rPr>
          <w:bCs/>
          <w:sz w:val="36"/>
          <w:szCs w:val="36"/>
        </w:rPr>
        <w:t>t</w:t>
      </w:r>
      <w:r w:rsidR="009C40AE">
        <w:rPr>
          <w:bCs/>
          <w:sz w:val="36"/>
          <w:szCs w:val="36"/>
        </w:rPr>
        <w:t xml:space="preserve">hreatened </w:t>
      </w:r>
      <w:r w:rsidR="006F3C71">
        <w:rPr>
          <w:bCs/>
          <w:sz w:val="36"/>
          <w:szCs w:val="36"/>
        </w:rPr>
        <w:t>e</w:t>
      </w:r>
      <w:r w:rsidR="009C40AE">
        <w:rPr>
          <w:bCs/>
          <w:sz w:val="36"/>
          <w:szCs w:val="36"/>
        </w:rPr>
        <w:t xml:space="preserve">cological </w:t>
      </w:r>
      <w:r w:rsidR="006F3C71">
        <w:rPr>
          <w:bCs/>
          <w:sz w:val="36"/>
          <w:szCs w:val="36"/>
        </w:rPr>
        <w:t>c</w:t>
      </w:r>
      <w:r w:rsidR="009C40AE">
        <w:rPr>
          <w:bCs/>
          <w:sz w:val="36"/>
          <w:szCs w:val="36"/>
        </w:rPr>
        <w:t>ommunities</w:t>
      </w:r>
      <w:bookmarkEnd w:id="39"/>
    </w:p>
    <w:p w14:paraId="216B1342" w14:textId="58E96459" w:rsidR="00F670C5" w:rsidRPr="00D77FD4" w:rsidRDefault="00F268C6" w:rsidP="00D77FD4">
      <w:pPr>
        <w:pStyle w:val="Heading2"/>
      </w:pPr>
      <w:bookmarkStart w:id="40" w:name="_Toc203722707"/>
      <w:r w:rsidRPr="00D77FD4">
        <w:t>F</w:t>
      </w:r>
      <w:r w:rsidR="00F670C5" w:rsidRPr="00D77FD4">
        <w:t xml:space="preserve">ishery </w:t>
      </w:r>
      <w:r w:rsidRPr="00D77FD4">
        <w:t>impact</w:t>
      </w:r>
      <w:r w:rsidR="00FB3414" w:rsidRPr="00D77FD4">
        <w:t xml:space="preserve">s </w:t>
      </w:r>
      <w:r w:rsidR="00F670C5" w:rsidRPr="00D77FD4">
        <w:t xml:space="preserve">on </w:t>
      </w:r>
      <w:r w:rsidR="00CE0DE4">
        <w:t>protected species and communities</w:t>
      </w:r>
      <w:bookmarkEnd w:id="40"/>
      <w:r w:rsidR="004E20F5">
        <w:t xml:space="preserve"> </w:t>
      </w:r>
    </w:p>
    <w:p w14:paraId="6273E7C1" w14:textId="75721639" w:rsidR="00801612" w:rsidRDefault="00F1326C" w:rsidP="009D70F4">
      <w:bookmarkStart w:id="41" w:name="_Hlk201324202"/>
      <w:r w:rsidRPr="00856AE6">
        <w:t>Th</w:t>
      </w:r>
      <w:r>
        <w:t>e Tasmanian Commercial Dive fishery is highly targeted, with three readily-identifiable species hand collected by divers. The nature of the fishery naturally mitigates against</w:t>
      </w:r>
      <w:r w:rsidR="002C3009">
        <w:t xml:space="preserve"> capture,</w:t>
      </w:r>
      <w:r>
        <w:t xml:space="preserve"> killing</w:t>
      </w:r>
      <w:r w:rsidR="002C3009">
        <w:t>,</w:t>
      </w:r>
      <w:r>
        <w:t xml:space="preserve"> or injuring of protected species and ecological communities</w:t>
      </w:r>
      <w:r w:rsidR="00801612">
        <w:t xml:space="preserve">, including by way of </w:t>
      </w:r>
      <w:r w:rsidR="00801612" w:rsidRPr="00856AE6">
        <w:t xml:space="preserve">bycatch </w:t>
      </w:r>
      <w:r w:rsidR="00801612">
        <w:t>and</w:t>
      </w:r>
      <w:r w:rsidR="00801612" w:rsidRPr="00856AE6">
        <w:t xml:space="preserve"> entanglement</w:t>
      </w:r>
      <w:r>
        <w:t>.</w:t>
      </w:r>
      <w:r w:rsidR="00801612">
        <w:t xml:space="preserve"> </w:t>
      </w:r>
      <w:r w:rsidR="00C315D9" w:rsidRPr="00856AE6">
        <w:t xml:space="preserve">Interaction with threatened, endangered, or protected species (TEPS) data is not collected in this fishery. </w:t>
      </w:r>
    </w:p>
    <w:p w14:paraId="00217954" w14:textId="0DDD02B2" w:rsidR="00C315D9" w:rsidRPr="00801612" w:rsidRDefault="00801612" w:rsidP="009D70F4">
      <w:r>
        <w:lastRenderedPageBreak/>
        <w:t>The Tasmanian Commercial Dive fishery is being actively used as a beneficial tool in the protection and restoration of several threatened and protected species and ecological communities. Please see next section for description.</w:t>
      </w:r>
    </w:p>
    <w:p w14:paraId="2E0A3694" w14:textId="4DC6A65F" w:rsidR="00F670C5" w:rsidRPr="0055419B" w:rsidRDefault="009449E1" w:rsidP="0055419B">
      <w:pPr>
        <w:pStyle w:val="Heading2"/>
      </w:pPr>
      <w:bookmarkStart w:id="42" w:name="_Toc203722708"/>
      <w:bookmarkEnd w:id="41"/>
      <w:r>
        <w:t>Mitigating risks to p</w:t>
      </w:r>
      <w:r w:rsidR="004252A9">
        <w:t xml:space="preserve">rotected species </w:t>
      </w:r>
      <w:r w:rsidR="004C0B8B">
        <w:t xml:space="preserve">and </w:t>
      </w:r>
      <w:r w:rsidR="00090921">
        <w:t>communities</w:t>
      </w:r>
      <w:bookmarkEnd w:id="42"/>
    </w:p>
    <w:p w14:paraId="21FC9FFD" w14:textId="2CAD2B2C" w:rsidR="003D13EF" w:rsidRDefault="003D13EF" w:rsidP="00801612">
      <w:r>
        <w:rPr>
          <w:i/>
          <w:iCs/>
        </w:rPr>
        <w:t>General</w:t>
      </w:r>
    </w:p>
    <w:p w14:paraId="56229B8A" w14:textId="6CFE2BD0" w:rsidR="003D13EF" w:rsidRDefault="003D13EF" w:rsidP="00801612">
      <w:bookmarkStart w:id="43" w:name="_Hlk202177325"/>
      <w:r>
        <w:t>Within the fishery’s Operational Guide, diver</w:t>
      </w:r>
      <w:r w:rsidRPr="003D13EF">
        <w:t xml:space="preserve">s are </w:t>
      </w:r>
      <w:r>
        <w:t xml:space="preserve">provided information about what to do if they encounter Threatened, Endangered, or Protected Species (TEPS). Divers are </w:t>
      </w:r>
      <w:r w:rsidRPr="003D13EF">
        <w:t xml:space="preserve">requested to contact </w:t>
      </w:r>
      <w:r>
        <w:t>NRE Tas’</w:t>
      </w:r>
      <w:r w:rsidRPr="003D13EF">
        <w:t xml:space="preserve"> 24-hour Marine Wildlife (Whale) Hotline to report sightings and stranding</w:t>
      </w:r>
      <w:r>
        <w:t>s</w:t>
      </w:r>
      <w:r w:rsidRPr="003D13EF">
        <w:t xml:space="preserve"> of whales and dolphins, or interactions with whales, dolphins, seals, or seabirds. Guidelines </w:t>
      </w:r>
      <w:r>
        <w:t xml:space="preserve">are also provided in the Operational Guide </w:t>
      </w:r>
      <w:r w:rsidRPr="003D13EF">
        <w:t>for viewing and approaching whales and dolphins</w:t>
      </w:r>
      <w:r>
        <w:t>, based on those</w:t>
      </w:r>
      <w:r w:rsidRPr="003D13EF">
        <w:t xml:space="preserve"> provided </w:t>
      </w:r>
      <w:r>
        <w:t xml:space="preserve">by NRE Tas Marine Conservation Section </w:t>
      </w:r>
      <w:r w:rsidRPr="003D13EF">
        <w:t>for all water users including commercial operators and recreational boaters</w:t>
      </w:r>
      <w:r>
        <w:t>.</w:t>
      </w:r>
    </w:p>
    <w:p w14:paraId="51DECCE3" w14:textId="39BB9C74" w:rsidR="003D13EF" w:rsidRPr="003D13EF" w:rsidRDefault="003D13EF" w:rsidP="00801612">
      <w:r w:rsidRPr="003D13EF">
        <w:t xml:space="preserve">The only </w:t>
      </w:r>
      <w:r>
        <w:t>TEPs</w:t>
      </w:r>
      <w:r w:rsidRPr="003D13EF">
        <w:t xml:space="preserve"> that are</w:t>
      </w:r>
      <w:r>
        <w:t xml:space="preserve"> regularly</w:t>
      </w:r>
      <w:r w:rsidRPr="003D13EF">
        <w:t xml:space="preserve"> sighted in the fishery </w:t>
      </w:r>
      <w:r>
        <w:t>are sharks, including</w:t>
      </w:r>
      <w:r w:rsidRPr="003D13EF">
        <w:t xml:space="preserve"> white sharks</w:t>
      </w:r>
      <w:r>
        <w:t xml:space="preserve"> </w:t>
      </w:r>
      <w:r w:rsidRPr="003D13EF">
        <w:t>and grey nurse sharks. Overall, the threat to the diver is greater than the threat to the shark</w:t>
      </w:r>
      <w:r>
        <w:t>.</w:t>
      </w:r>
      <w:bookmarkEnd w:id="43"/>
    </w:p>
    <w:p w14:paraId="52431323" w14:textId="1DD225B0" w:rsidR="00801612" w:rsidRPr="00801612" w:rsidRDefault="00801612" w:rsidP="00801612">
      <w:pPr>
        <w:rPr>
          <w:i/>
          <w:iCs/>
        </w:rPr>
      </w:pPr>
      <w:r>
        <w:rPr>
          <w:i/>
          <w:iCs/>
        </w:rPr>
        <w:t>Red Handfish</w:t>
      </w:r>
    </w:p>
    <w:p w14:paraId="7241FE21" w14:textId="31BA8760" w:rsidR="00801612" w:rsidRPr="00856AE6" w:rsidRDefault="00801612" w:rsidP="00801612">
      <w:r w:rsidRPr="00856AE6">
        <w:t xml:space="preserve">Commercial divers occasionally operate in </w:t>
      </w:r>
      <w:r w:rsidR="002E33FE">
        <w:t>R</w:t>
      </w:r>
      <w:r w:rsidRPr="00856AE6">
        <w:t xml:space="preserve">ed </w:t>
      </w:r>
      <w:r w:rsidR="002E33FE">
        <w:t>H</w:t>
      </w:r>
      <w:r w:rsidRPr="00856AE6">
        <w:t>andfish habitat</w:t>
      </w:r>
      <w:r>
        <w:t xml:space="preserve"> when directed to do so for habitat restoration purposes</w:t>
      </w:r>
      <w:r w:rsidRPr="00856AE6">
        <w:t xml:space="preserve">. </w:t>
      </w:r>
      <w:hyperlink r:id="rId63" w:history="1">
        <w:r w:rsidRPr="00F1326C">
          <w:rPr>
            <w:rStyle w:val="Hyperlink"/>
          </w:rPr>
          <w:t>Red handfish</w:t>
        </w:r>
      </w:hyperlink>
      <w:r w:rsidRPr="00856AE6">
        <w:t xml:space="preserve"> </w:t>
      </w:r>
      <w:r>
        <w:t xml:space="preserve">are classified as Critically Endangered under the EPBC-Act (Cwlth) and by the IUCN, and as Endangered under the </w:t>
      </w:r>
      <w:r>
        <w:rPr>
          <w:i/>
          <w:iCs/>
        </w:rPr>
        <w:t>Threatened Species Act 1995</w:t>
      </w:r>
      <w:r w:rsidRPr="00F1326C">
        <w:t xml:space="preserve"> (Tas)</w:t>
      </w:r>
      <w:r>
        <w:t xml:space="preserve">. Collection of </w:t>
      </w:r>
      <w:r w:rsidR="002E33FE">
        <w:t>R</w:t>
      </w:r>
      <w:r>
        <w:t xml:space="preserve">ed </w:t>
      </w:r>
      <w:r w:rsidR="002E33FE">
        <w:t>H</w:t>
      </w:r>
      <w:r>
        <w:t xml:space="preserve">andfish is not permitted without prior authorisation under the LMRMA (Tas). </w:t>
      </w:r>
      <w:r w:rsidRPr="00856AE6">
        <w:t xml:space="preserve">Native </w:t>
      </w:r>
      <w:bookmarkStart w:id="44" w:name="_Hlk203655024"/>
      <w:r w:rsidR="00DB1B46">
        <w:t>S</w:t>
      </w:r>
      <w:r w:rsidRPr="00856AE6">
        <w:t xml:space="preserve">hortspined </w:t>
      </w:r>
      <w:r w:rsidR="00DB1B46">
        <w:t>S</w:t>
      </w:r>
      <w:r w:rsidRPr="00856AE6">
        <w:t xml:space="preserve">ea </w:t>
      </w:r>
      <w:r w:rsidR="00DB1B46">
        <w:t>U</w:t>
      </w:r>
      <w:r w:rsidRPr="00856AE6">
        <w:t xml:space="preserve">rchin </w:t>
      </w:r>
      <w:bookmarkEnd w:id="44"/>
      <w:r w:rsidRPr="00856AE6">
        <w:t xml:space="preserve">populations are overabundant within </w:t>
      </w:r>
      <w:r w:rsidR="002E33FE">
        <w:t>R</w:t>
      </w:r>
      <w:r w:rsidRPr="00856AE6">
        <w:t xml:space="preserve">ed </w:t>
      </w:r>
      <w:r w:rsidR="002E33FE">
        <w:t>H</w:t>
      </w:r>
      <w:r w:rsidRPr="00856AE6">
        <w:t>andfish habitat where they are building and maintaining urchin barrens</w:t>
      </w:r>
      <w:r>
        <w:t xml:space="preserve">, threatening the marine plant species that </w:t>
      </w:r>
      <w:r w:rsidR="002E33FE">
        <w:t>R</w:t>
      </w:r>
      <w:r>
        <w:t xml:space="preserve">ed </w:t>
      </w:r>
      <w:r w:rsidR="002E33FE">
        <w:t>H</w:t>
      </w:r>
      <w:r>
        <w:t>andfish require for breeding and shelter</w:t>
      </w:r>
      <w:r w:rsidRPr="00856AE6">
        <w:t xml:space="preserve">. </w:t>
      </w:r>
    </w:p>
    <w:p w14:paraId="68BF35B7" w14:textId="08108264" w:rsidR="00801612" w:rsidRPr="00856AE6" w:rsidRDefault="00801612" w:rsidP="00801612">
      <w:r w:rsidRPr="00856AE6">
        <w:t xml:space="preserve">Under permit and direction from threatened species teams </w:t>
      </w:r>
      <w:r w:rsidR="002E33FE">
        <w:t>(</w:t>
      </w:r>
      <w:r w:rsidRPr="00856AE6">
        <w:t>within NRE Tas, IMAS, and DCCEEW</w:t>
      </w:r>
      <w:r w:rsidR="002E33FE">
        <w:t>)</w:t>
      </w:r>
      <w:r w:rsidRPr="00856AE6">
        <w:t>, commercial divers</w:t>
      </w:r>
      <w:r>
        <w:t xml:space="preserve"> and IMAS</w:t>
      </w:r>
      <w:r w:rsidR="002E33FE">
        <w:t xml:space="preserve"> scientific </w:t>
      </w:r>
      <w:r>
        <w:t>divers</w:t>
      </w:r>
      <w:r w:rsidRPr="00856AE6">
        <w:t xml:space="preserve"> have engaged in controlled urchin harvests</w:t>
      </w:r>
      <w:r>
        <w:t>/culls</w:t>
      </w:r>
      <w:r w:rsidRPr="00856AE6">
        <w:t xml:space="preserve"> to reduce numbers of all size classes of native </w:t>
      </w:r>
      <w:r w:rsidR="00DB1B46">
        <w:t>S</w:t>
      </w:r>
      <w:r w:rsidR="00DB1B46" w:rsidRPr="00856AE6">
        <w:t xml:space="preserve">hortspined </w:t>
      </w:r>
      <w:r w:rsidR="00DB1B46">
        <w:t>S</w:t>
      </w:r>
      <w:r w:rsidR="00DB1B46" w:rsidRPr="00856AE6">
        <w:t xml:space="preserve">ea </w:t>
      </w:r>
      <w:r w:rsidR="00DB1B46">
        <w:t>U</w:t>
      </w:r>
      <w:r w:rsidR="00DB1B46" w:rsidRPr="00856AE6">
        <w:t>rchin</w:t>
      </w:r>
      <w:r w:rsidR="00DB1B46">
        <w:t>s</w:t>
      </w:r>
      <w:r w:rsidR="00DB1B46" w:rsidRPr="00856AE6">
        <w:t xml:space="preserve"> </w:t>
      </w:r>
      <w:r w:rsidRPr="00856AE6">
        <w:t xml:space="preserve">within </w:t>
      </w:r>
      <w:r w:rsidR="002E33FE">
        <w:t>Red H</w:t>
      </w:r>
      <w:r w:rsidRPr="00856AE6">
        <w:t>andfish</w:t>
      </w:r>
      <w:r>
        <w:t xml:space="preserve"> </w:t>
      </w:r>
      <w:r w:rsidRPr="00856AE6">
        <w:t>habitat</w:t>
      </w:r>
      <w:r>
        <w:t xml:space="preserve">. Translocation of urchins </w:t>
      </w:r>
      <w:r w:rsidR="002E33FE">
        <w:t>is being trialled</w:t>
      </w:r>
      <w:r>
        <w:t xml:space="preserve"> as an alternative to harvest/culling, particularly from areas immediately adjacent to and surrounding </w:t>
      </w:r>
      <w:r w:rsidR="002E33FE">
        <w:t>Red H</w:t>
      </w:r>
      <w:r>
        <w:t>andfish habitat, with urchins translocated to harvest sites within the same bioregion to mitigate biosecurity concerns and boost future commercial harvests.</w:t>
      </w:r>
      <w:r w:rsidRPr="00856AE6">
        <w:t xml:space="preserve"> Direct interaction with </w:t>
      </w:r>
      <w:r w:rsidR="002E33FE">
        <w:t>Red H</w:t>
      </w:r>
      <w:r w:rsidRPr="00856AE6">
        <w:t xml:space="preserve">andfish is avoided </w:t>
      </w:r>
      <w:r w:rsidR="002E33FE">
        <w:t>and</w:t>
      </w:r>
      <w:r w:rsidRPr="00856AE6">
        <w:t xml:space="preserve"> strict operational methods</w:t>
      </w:r>
      <w:r w:rsidR="002E33FE">
        <w:t xml:space="preserve"> apply</w:t>
      </w:r>
      <w:r w:rsidRPr="00856AE6">
        <w:t>.</w:t>
      </w:r>
    </w:p>
    <w:p w14:paraId="6D2B3AE4" w14:textId="7F08E1D8" w:rsidR="00801612" w:rsidRPr="00801612" w:rsidRDefault="00801612" w:rsidP="00C315D9">
      <w:pPr>
        <w:rPr>
          <w:i/>
          <w:iCs/>
        </w:rPr>
      </w:pPr>
      <w:r>
        <w:rPr>
          <w:i/>
          <w:iCs/>
        </w:rPr>
        <w:t>Giant Kelp Marine Forests of South East Australia</w:t>
      </w:r>
    </w:p>
    <w:bookmarkStart w:id="45" w:name="_Hlk202177547"/>
    <w:p w14:paraId="272CD384" w14:textId="375A6DE5" w:rsidR="0048499E" w:rsidRDefault="008A7D3F" w:rsidP="00C315D9">
      <w:r>
        <w:fldChar w:fldCharType="begin"/>
      </w:r>
      <w:r>
        <w:instrText>HYPERLINK "https://www.agriculture.gov.au/sites/default/files/documents/giant-kelp-marine-forests-fact-sheet.pdf"</w:instrText>
      </w:r>
      <w:r>
        <w:fldChar w:fldCharType="separate"/>
      </w:r>
      <w:r w:rsidR="0048499E" w:rsidRPr="0048499E">
        <w:rPr>
          <w:rStyle w:val="Hyperlink"/>
        </w:rPr>
        <w:t xml:space="preserve">The Giant Kelp Marine Forests of </w:t>
      </w:r>
      <w:proofErr w:type="gramStart"/>
      <w:r w:rsidR="0048499E" w:rsidRPr="0048499E">
        <w:rPr>
          <w:rStyle w:val="Hyperlink"/>
        </w:rPr>
        <w:t>South East</w:t>
      </w:r>
      <w:proofErr w:type="gramEnd"/>
      <w:r w:rsidR="0048499E" w:rsidRPr="0048499E">
        <w:rPr>
          <w:rStyle w:val="Hyperlink"/>
        </w:rPr>
        <w:t xml:space="preserve"> Australia ecological community</w:t>
      </w:r>
      <w:r>
        <w:rPr>
          <w:rStyle w:val="Hyperlink"/>
        </w:rPr>
        <w:fldChar w:fldCharType="end"/>
      </w:r>
      <w:bookmarkEnd w:id="45"/>
      <w:r w:rsidR="0048499E">
        <w:t xml:space="preserve">, listed as </w:t>
      </w:r>
      <w:r w:rsidR="00F1326C">
        <w:t>T</w:t>
      </w:r>
      <w:r w:rsidR="0048499E">
        <w:t>hreatened under the EPBC-Act (Cwlth), provides habitat for species targeted by this fishery</w:t>
      </w:r>
      <w:r w:rsidR="003D13EF">
        <w:t>. Although divers may occasionally fish the fringes of Giant Kelp forests, there is a real risk of entanglement when hookah-diving so extra care is taken by divers.</w:t>
      </w:r>
      <w:r w:rsidR="0048499E">
        <w:t xml:space="preserve"> The community itself is not targeted, and divers do not interfere with </w:t>
      </w:r>
      <w:r w:rsidR="002E33FE">
        <w:t>G</w:t>
      </w:r>
      <w:r w:rsidR="0048499E">
        <w:t xml:space="preserve">iant </w:t>
      </w:r>
      <w:r w:rsidR="002E33FE">
        <w:t>K</w:t>
      </w:r>
      <w:r w:rsidR="0048499E">
        <w:t xml:space="preserve">elp plants. </w:t>
      </w:r>
    </w:p>
    <w:p w14:paraId="5AF17E71" w14:textId="439DE14E" w:rsidR="0048499E" w:rsidRDefault="0048499E" w:rsidP="00C315D9">
      <w:bookmarkStart w:id="46" w:name="_Hlk202177663"/>
      <w:r>
        <w:t xml:space="preserve">Further mitigating risk, Tasmanian commercial divers are contracted to assist with </w:t>
      </w:r>
      <w:r w:rsidR="002E33FE">
        <w:t>G</w:t>
      </w:r>
      <w:r>
        <w:t xml:space="preserve">iant </w:t>
      </w:r>
      <w:r w:rsidR="002E33FE">
        <w:t>K</w:t>
      </w:r>
      <w:r>
        <w:t xml:space="preserve">elp restoration efforts led by IMAS, The Nature Conservancy (TNC), and Eaglehawk Dive Centre (EDC). After attending training, divers assist with clearing of other marine plant species and outplanting of lines seeded with baby </w:t>
      </w:r>
      <w:r w:rsidR="002E33FE">
        <w:t>G</w:t>
      </w:r>
      <w:r>
        <w:t xml:space="preserve">iant </w:t>
      </w:r>
      <w:r w:rsidR="002E33FE">
        <w:t>K</w:t>
      </w:r>
      <w:r>
        <w:t>elp plants, and they harvest urchins to reduce grazing pressures.</w:t>
      </w:r>
      <w:r w:rsidR="00F1326C">
        <w:t xml:space="preserve"> Operators within the Tasmanian Commercial Dive fishery are, therefore, highly cognisant and involved in the protection and restoration of </w:t>
      </w:r>
      <w:r w:rsidR="002E33FE">
        <w:t>G</w:t>
      </w:r>
      <w:r w:rsidR="00F1326C">
        <w:t xml:space="preserve">iant </w:t>
      </w:r>
      <w:r w:rsidR="002E33FE">
        <w:t>K</w:t>
      </w:r>
      <w:r w:rsidR="00F1326C">
        <w:t>elp communities.</w:t>
      </w:r>
    </w:p>
    <w:p w14:paraId="2A3A07A0" w14:textId="4C733E8A" w:rsidR="00801612" w:rsidRPr="00856AE6" w:rsidRDefault="00801612" w:rsidP="00801612">
      <w:r w:rsidRPr="00856AE6">
        <w:lastRenderedPageBreak/>
        <w:t xml:space="preserve">Harvesting of </w:t>
      </w:r>
      <w:r w:rsidR="00DB1B46">
        <w:t>L</w:t>
      </w:r>
      <w:r w:rsidRPr="00856AE6">
        <w:t xml:space="preserve">ongspined </w:t>
      </w:r>
      <w:r w:rsidR="00DB1B46">
        <w:t>S</w:t>
      </w:r>
      <w:r w:rsidRPr="00856AE6">
        <w:t xml:space="preserve">ea </w:t>
      </w:r>
      <w:r w:rsidR="00DB1B46">
        <w:t>U</w:t>
      </w:r>
      <w:r w:rsidRPr="00856AE6">
        <w:t xml:space="preserve">rchin from within </w:t>
      </w:r>
      <w:r w:rsidR="002E33FE">
        <w:t>G</w:t>
      </w:r>
      <w:r w:rsidRPr="00856AE6">
        <w:t xml:space="preserve">iant </w:t>
      </w:r>
      <w:r w:rsidR="002E33FE">
        <w:t>K</w:t>
      </w:r>
      <w:r w:rsidRPr="00856AE6">
        <w:t xml:space="preserve">elp forest restoration sites is critical to ensuring survivability of giant kelp outplants. Commercial divers have been engaged in this work under permit, and with specialised training from IMAS researchers they are now also involved in ongoing outplanting work. </w:t>
      </w:r>
    </w:p>
    <w:bookmarkEnd w:id="46"/>
    <w:p w14:paraId="0F4352AE" w14:textId="7D5E85A4" w:rsidR="00801612" w:rsidRPr="00856AE6" w:rsidRDefault="00801612" w:rsidP="00801612">
      <w:r w:rsidRPr="00856AE6">
        <w:t xml:space="preserve">The sum impact of the </w:t>
      </w:r>
      <w:r w:rsidR="00DB1B46">
        <w:t>L</w:t>
      </w:r>
      <w:r w:rsidR="00DB1B46" w:rsidRPr="00856AE6">
        <w:t xml:space="preserve">ongspined </w:t>
      </w:r>
      <w:r w:rsidR="00DB1B46">
        <w:t>S</w:t>
      </w:r>
      <w:r w:rsidR="00DB1B46" w:rsidRPr="00856AE6">
        <w:t xml:space="preserve">ea </w:t>
      </w:r>
      <w:r w:rsidR="00DB1B46">
        <w:t>U</w:t>
      </w:r>
      <w:r w:rsidR="00DB1B46" w:rsidRPr="00856AE6">
        <w:t xml:space="preserve">rchin </w:t>
      </w:r>
      <w:r w:rsidRPr="00856AE6">
        <w:t xml:space="preserve">fishery is positive, with evidence that the harvest is pushing the range-extended species into deeper water, limiting its incursions, and reducing formation of incipient urchin barrens. This is critical to protect habitat for all species including economically important species like </w:t>
      </w:r>
      <w:r w:rsidR="002E33FE">
        <w:t>A</w:t>
      </w:r>
      <w:r w:rsidRPr="00856AE6">
        <w:t xml:space="preserve">balone and </w:t>
      </w:r>
      <w:r w:rsidR="002E33FE">
        <w:t>S</w:t>
      </w:r>
      <w:r w:rsidRPr="00856AE6">
        <w:t xml:space="preserve">outhern </w:t>
      </w:r>
      <w:r w:rsidR="002E33FE">
        <w:t>R</w:t>
      </w:r>
      <w:r w:rsidRPr="00856AE6">
        <w:t xml:space="preserve">ock </w:t>
      </w:r>
      <w:r w:rsidR="002E33FE">
        <w:t>L</w:t>
      </w:r>
      <w:r w:rsidRPr="00856AE6">
        <w:t xml:space="preserve">obster, and also to provide broad socio-economic benefits for </w:t>
      </w:r>
      <w:r w:rsidR="002E33FE">
        <w:t>E</w:t>
      </w:r>
      <w:r w:rsidRPr="00856AE6">
        <w:t>ast coast communities.</w:t>
      </w:r>
    </w:p>
    <w:p w14:paraId="2514E2CD" w14:textId="7F71DA0A" w:rsidR="000307A8" w:rsidRDefault="009449E1" w:rsidP="000307A8">
      <w:pPr>
        <w:pStyle w:val="Heading2"/>
      </w:pPr>
      <w:bookmarkStart w:id="47" w:name="_Toc203722709"/>
      <w:r w:rsidRPr="000307A8">
        <w:t>CITES</w:t>
      </w:r>
      <w:r>
        <w:t>-</w:t>
      </w:r>
      <w:r w:rsidR="000307A8" w:rsidRPr="000307A8">
        <w:t>listed species</w:t>
      </w:r>
      <w:bookmarkEnd w:id="47"/>
    </w:p>
    <w:p w14:paraId="63AD97A1" w14:textId="0A21CACD" w:rsidR="00C315D9" w:rsidRPr="00C315D9" w:rsidRDefault="00C315D9" w:rsidP="00A40F40">
      <w:bookmarkStart w:id="48" w:name="_Hlk201323949"/>
      <w:r w:rsidRPr="00C315D9">
        <w:t>Not applicable. The fishery does not harvest CITES-listed species.</w:t>
      </w:r>
    </w:p>
    <w:p w14:paraId="54E54C08" w14:textId="3A79A556" w:rsidR="00C10962" w:rsidRPr="00527876" w:rsidRDefault="00C10962" w:rsidP="00314F4F">
      <w:pPr>
        <w:pStyle w:val="Heading1"/>
        <w:rPr>
          <w:b w:val="0"/>
          <w:bCs/>
          <w:sz w:val="36"/>
          <w:szCs w:val="36"/>
        </w:rPr>
      </w:pPr>
      <w:bookmarkStart w:id="49" w:name="_Toc203722710"/>
      <w:bookmarkEnd w:id="48"/>
      <w:r w:rsidRPr="00527876">
        <w:rPr>
          <w:bCs/>
          <w:sz w:val="36"/>
          <w:szCs w:val="36"/>
        </w:rPr>
        <w:t>Ecosystem</w:t>
      </w:r>
      <w:bookmarkEnd w:id="49"/>
    </w:p>
    <w:p w14:paraId="2317A763" w14:textId="4454ACB1" w:rsidR="00973658" w:rsidRPr="0055419B" w:rsidRDefault="0055419B" w:rsidP="0055419B">
      <w:pPr>
        <w:pStyle w:val="Heading2"/>
      </w:pPr>
      <w:bookmarkStart w:id="50" w:name="_Toc203722711"/>
      <w:r w:rsidRPr="0055419B">
        <w:t>Ecosystem m</w:t>
      </w:r>
      <w:r w:rsidR="00973658" w:rsidRPr="0055419B">
        <w:t>anagement actions</w:t>
      </w:r>
      <w:bookmarkEnd w:id="50"/>
    </w:p>
    <w:p w14:paraId="53268D82" w14:textId="5308FF5F" w:rsidR="009F1F4A" w:rsidRDefault="00904893" w:rsidP="009F1F4A">
      <w:r w:rsidRPr="00856AE6">
        <w:t xml:space="preserve">There are no concerns relating to ecosystem impacts from harvesting the native species due to the responsive annual </w:t>
      </w:r>
      <w:r>
        <w:t>catch limit</w:t>
      </w:r>
      <w:r w:rsidRPr="00856AE6">
        <w:t xml:space="preserve"> setting policy which involves consultation between IMAS, divers, and NRE Tas. In addition, diving and hand selection fishing methods are very gentle on marine habitats. </w:t>
      </w:r>
      <w:r w:rsidR="009F1F4A">
        <w:t xml:space="preserve">Commercial divers must not intentionally damage other organisms, and they must avoid dragging catch bags along the bottom or onto boulders per the </w:t>
      </w:r>
      <w:hyperlink r:id="rId64" w:history="1">
        <w:r w:rsidR="009F1F4A" w:rsidRPr="009F1F4A">
          <w:rPr>
            <w:rStyle w:val="Hyperlink"/>
          </w:rPr>
          <w:t>Australian Wild Abalone Quality Assurance Code of Practice Master Manual</w:t>
        </w:r>
      </w:hyperlink>
      <w:r w:rsidR="009F1F4A">
        <w:t xml:space="preserve">; although a separate fishery, commercial divers adhere to the relevant sections which are applicable across dive fisheries. </w:t>
      </w:r>
    </w:p>
    <w:p w14:paraId="48049185" w14:textId="71E6BB37" w:rsidR="00904893" w:rsidRPr="00856AE6" w:rsidRDefault="00904893" w:rsidP="00904893">
      <w:r w:rsidRPr="00856AE6">
        <w:t>Commercial divers are well educated regarding ecosystem management and habitat restoration, having become increasingly contracted into marine restoration work.</w:t>
      </w:r>
      <w:r w:rsidR="009F1F4A">
        <w:t xml:space="preserve"> </w:t>
      </w:r>
      <w:r w:rsidRPr="00856AE6">
        <w:t xml:space="preserve">The controlled harvest of native </w:t>
      </w:r>
      <w:r w:rsidR="00DB1B46">
        <w:t>S</w:t>
      </w:r>
      <w:r w:rsidR="00DB1B46" w:rsidRPr="00856AE6">
        <w:t xml:space="preserve">hortspined </w:t>
      </w:r>
      <w:r w:rsidR="00DB1B46">
        <w:t>S</w:t>
      </w:r>
      <w:r w:rsidR="00DB1B46" w:rsidRPr="00856AE6">
        <w:t xml:space="preserve">ea </w:t>
      </w:r>
      <w:r w:rsidR="00DB1B46">
        <w:t>U</w:t>
      </w:r>
      <w:r w:rsidR="00DB1B46" w:rsidRPr="00856AE6">
        <w:t xml:space="preserve">rchin </w:t>
      </w:r>
      <w:r w:rsidRPr="00856AE6">
        <w:t xml:space="preserve">from critical </w:t>
      </w:r>
      <w:r w:rsidR="002E33FE">
        <w:t>R</w:t>
      </w:r>
      <w:r w:rsidRPr="00856AE6">
        <w:t xml:space="preserve">ed </w:t>
      </w:r>
      <w:r w:rsidR="002E33FE">
        <w:t>H</w:t>
      </w:r>
      <w:r w:rsidRPr="00856AE6">
        <w:t xml:space="preserve">andfish habitat, with oversight and direction from handfish experts at IMAS, is reducing native urchin barrens in vulnerable habitat. This is paving the way for seagrass restoration work </w:t>
      </w:r>
      <w:r>
        <w:t xml:space="preserve">under permit </w:t>
      </w:r>
      <w:r w:rsidR="00F75253" w:rsidRPr="00856AE6">
        <w:t>soon</w:t>
      </w:r>
      <w:r w:rsidRPr="00856AE6">
        <w:t xml:space="preserve">. </w:t>
      </w:r>
    </w:p>
    <w:p w14:paraId="724F70BB" w14:textId="40689912" w:rsidR="00904893" w:rsidRPr="00856AE6" w:rsidRDefault="00904893" w:rsidP="00904893">
      <w:r w:rsidRPr="00856AE6">
        <w:t xml:space="preserve">Harvesting of </w:t>
      </w:r>
      <w:r w:rsidR="00DB1B46">
        <w:t>L</w:t>
      </w:r>
      <w:r w:rsidR="00DB1B46" w:rsidRPr="00856AE6">
        <w:t xml:space="preserve">ongspined </w:t>
      </w:r>
      <w:r w:rsidR="00DB1B46">
        <w:t>S</w:t>
      </w:r>
      <w:r w:rsidR="00DB1B46" w:rsidRPr="00856AE6">
        <w:t xml:space="preserve">ea </w:t>
      </w:r>
      <w:r w:rsidR="00DB1B46">
        <w:t>U</w:t>
      </w:r>
      <w:r w:rsidR="00DB1B46" w:rsidRPr="00856AE6">
        <w:t xml:space="preserve">rchin </w:t>
      </w:r>
      <w:r w:rsidRPr="00856AE6">
        <w:t xml:space="preserve">from within </w:t>
      </w:r>
      <w:r w:rsidR="002E33FE">
        <w:t>G</w:t>
      </w:r>
      <w:r w:rsidRPr="00856AE6">
        <w:t xml:space="preserve">iant </w:t>
      </w:r>
      <w:r w:rsidR="002E33FE">
        <w:t>K</w:t>
      </w:r>
      <w:r w:rsidRPr="00856AE6">
        <w:t xml:space="preserve">elp forest restoration sites is critical to ensuring survivability of </w:t>
      </w:r>
      <w:r w:rsidR="002E33FE">
        <w:t>G</w:t>
      </w:r>
      <w:r w:rsidRPr="00856AE6">
        <w:t xml:space="preserve">iant </w:t>
      </w:r>
      <w:r w:rsidR="002E33FE">
        <w:t>K</w:t>
      </w:r>
      <w:r w:rsidRPr="00856AE6">
        <w:t xml:space="preserve">elp outplants. Commercial divers have been engaged in this work under permit, and with specialised training from IMAS researchers they are now also involved in ongoing outplanting work. </w:t>
      </w:r>
    </w:p>
    <w:p w14:paraId="7AE76964" w14:textId="60FDCE57" w:rsidR="00904893" w:rsidRPr="003E197A" w:rsidRDefault="00904893" w:rsidP="003E197A">
      <w:pPr>
        <w:rPr>
          <w:color w:val="4000A6"/>
        </w:rPr>
      </w:pPr>
      <w:r w:rsidRPr="00856AE6">
        <w:t xml:space="preserve">The sum impact of the </w:t>
      </w:r>
      <w:r w:rsidR="00DB1B46">
        <w:t>L</w:t>
      </w:r>
      <w:r w:rsidR="00DB1B46" w:rsidRPr="00856AE6">
        <w:t xml:space="preserve">ongspined </w:t>
      </w:r>
      <w:r w:rsidR="00DB1B46">
        <w:t>S</w:t>
      </w:r>
      <w:r w:rsidR="00DB1B46" w:rsidRPr="00856AE6">
        <w:t xml:space="preserve">ea </w:t>
      </w:r>
      <w:r w:rsidR="00DB1B46">
        <w:t>U</w:t>
      </w:r>
      <w:r w:rsidR="00DB1B46" w:rsidRPr="00856AE6">
        <w:t xml:space="preserve">rchin </w:t>
      </w:r>
      <w:r w:rsidRPr="00856AE6">
        <w:t xml:space="preserve">fishery is positive, with evidence that the harvest is pushing the range-extended species into deeper water, limiting its incursions, and reducing formation of incipient urchin barrens. This is critical to protect </w:t>
      </w:r>
      <w:r w:rsidR="00F75253">
        <w:t xml:space="preserve">kelp and seaweed </w:t>
      </w:r>
      <w:r w:rsidRPr="00856AE6">
        <w:t xml:space="preserve">habitat for all species including economically important species like </w:t>
      </w:r>
      <w:r w:rsidR="002E33FE">
        <w:t>A</w:t>
      </w:r>
      <w:r w:rsidRPr="00856AE6">
        <w:t xml:space="preserve">balone and </w:t>
      </w:r>
      <w:r w:rsidR="002E33FE">
        <w:t>S</w:t>
      </w:r>
      <w:r w:rsidRPr="00856AE6">
        <w:t xml:space="preserve">outhern </w:t>
      </w:r>
      <w:r w:rsidR="002E33FE">
        <w:t>R</w:t>
      </w:r>
      <w:r w:rsidRPr="00856AE6">
        <w:t xml:space="preserve">ock </w:t>
      </w:r>
      <w:r w:rsidR="002E33FE">
        <w:t>L</w:t>
      </w:r>
      <w:r w:rsidRPr="00856AE6">
        <w:t xml:space="preserve">obster, and also to provide broad socio-economic benefits for </w:t>
      </w:r>
      <w:r w:rsidR="002E33FE">
        <w:t>E</w:t>
      </w:r>
      <w:r w:rsidRPr="00856AE6">
        <w:t>ast coast communities.</w:t>
      </w:r>
    </w:p>
    <w:p w14:paraId="34EF92C0" w14:textId="2380E371" w:rsidR="00973658" w:rsidRPr="0040486C" w:rsidRDefault="00431587" w:rsidP="0040486C">
      <w:pPr>
        <w:pStyle w:val="Heading2"/>
      </w:pPr>
      <w:bookmarkStart w:id="51" w:name="_Toc203722712"/>
      <w:r w:rsidRPr="0040486C">
        <w:t>M</w:t>
      </w:r>
      <w:r w:rsidR="00973658" w:rsidRPr="0040486C">
        <w:t>anagement responses</w:t>
      </w:r>
      <w:bookmarkEnd w:id="51"/>
      <w:r w:rsidR="00973658" w:rsidRPr="0040486C">
        <w:t xml:space="preserve"> </w:t>
      </w:r>
    </w:p>
    <w:p w14:paraId="49AA30C7" w14:textId="4691CBEA" w:rsidR="00F75253" w:rsidRPr="00F75253" w:rsidRDefault="00F75253" w:rsidP="00431587">
      <w:bookmarkStart w:id="52" w:name="_Hlk201323714"/>
      <w:r w:rsidRPr="00F75253">
        <w:t>There are no formal decision rules</w:t>
      </w:r>
      <w:r w:rsidR="00960C88">
        <w:t xml:space="preserve"> that trigger management responses when monitoring detects significant impacts on associated ecosystems. How</w:t>
      </w:r>
      <w:r w:rsidRPr="00F75253">
        <w:t xml:space="preserve">ever, harvest conditions are reviewed annually and spatial/temporal closures </w:t>
      </w:r>
      <w:r>
        <w:t>would be implemented in the first instance if detrimental ecosystem impacts were reasonably suspected or detected</w:t>
      </w:r>
      <w:r w:rsidRPr="00F75253">
        <w:t>.</w:t>
      </w:r>
    </w:p>
    <w:p w14:paraId="6422CC06" w14:textId="17D6B8EC" w:rsidR="00973658" w:rsidRPr="0040486C" w:rsidRDefault="0040486C" w:rsidP="0040486C">
      <w:pPr>
        <w:pStyle w:val="Heading2"/>
      </w:pPr>
      <w:bookmarkStart w:id="53" w:name="_Toc203722713"/>
      <w:bookmarkEnd w:id="52"/>
      <w:r w:rsidRPr="0040486C">
        <w:lastRenderedPageBreak/>
        <w:t>M</w:t>
      </w:r>
      <w:r w:rsidR="00973658" w:rsidRPr="0040486C">
        <w:t>arine bioregional plans</w:t>
      </w:r>
      <w:bookmarkEnd w:id="53"/>
    </w:p>
    <w:p w14:paraId="7C41038C" w14:textId="09BAFAA4" w:rsidR="00904893" w:rsidRPr="00904893" w:rsidRDefault="00904893" w:rsidP="00904893">
      <w:r>
        <w:t>The fishery operates within Tasmanian waters, however, u</w:t>
      </w:r>
      <w:r w:rsidRPr="00904893">
        <w:t>nder an Offshore Constitutional Settlement</w:t>
      </w:r>
      <w:r>
        <w:t xml:space="preserve"> (OCS) agreement the boundary extends into Commonwealth waters of the </w:t>
      </w:r>
      <w:hyperlink r:id="rId65" w:anchor=":~:text=Marine%20bioregional%20plans%20have%20been,by%20our%20marine%2Dbased%20industries." w:history="1">
        <w:r w:rsidRPr="00904893">
          <w:rPr>
            <w:rStyle w:val="Hyperlink"/>
          </w:rPr>
          <w:t>South-East Marine Bioregion</w:t>
        </w:r>
      </w:hyperlink>
      <w:r>
        <w:t>. This bioregion is not currently subject to a bioregional plan, and any catch from within the South-East Marine Bioregion would be negligible owing to</w:t>
      </w:r>
      <w:r w:rsidR="00F75253">
        <w:t xml:space="preserve"> natural</w:t>
      </w:r>
      <w:r>
        <w:t xml:space="preserve"> diver-depth limits</w:t>
      </w:r>
      <w:r w:rsidR="00F75253">
        <w:t xml:space="preserve"> (i.e., divers cannot </w:t>
      </w:r>
      <w:r w:rsidR="002E1F3A">
        <w:t xml:space="preserve">realistically </w:t>
      </w:r>
      <w:r w:rsidR="00F75253">
        <w:t>harvest below 30 metres depth)</w:t>
      </w:r>
      <w:r>
        <w:t>.</w:t>
      </w:r>
    </w:p>
    <w:p w14:paraId="23FE96AE" w14:textId="5784175A" w:rsidR="00362AE6" w:rsidRDefault="00F86EF0" w:rsidP="00F86EF0">
      <w:pPr>
        <w:pStyle w:val="Heading1"/>
        <w:rPr>
          <w:b w:val="0"/>
          <w:bCs/>
          <w:sz w:val="36"/>
          <w:szCs w:val="36"/>
        </w:rPr>
      </w:pPr>
      <w:bookmarkStart w:id="54" w:name="_Toc203722714"/>
      <w:r w:rsidRPr="00F86EF0">
        <w:rPr>
          <w:bCs/>
          <w:sz w:val="36"/>
          <w:szCs w:val="36"/>
        </w:rPr>
        <w:t>Research</w:t>
      </w:r>
      <w:bookmarkEnd w:id="54"/>
    </w:p>
    <w:p w14:paraId="041F5496" w14:textId="61FFE00F" w:rsidR="00036A4E" w:rsidRPr="002E1F3A" w:rsidRDefault="00036A4E" w:rsidP="00036A4E">
      <w:bookmarkStart w:id="55" w:name="_Hlk202169876"/>
      <w:r w:rsidRPr="002E1F3A">
        <w:t xml:space="preserve">A chapter published in the 2024 </w:t>
      </w:r>
      <w:r w:rsidRPr="002E1F3A">
        <w:rPr>
          <w:i/>
          <w:iCs/>
        </w:rPr>
        <w:t>Food and Agriculture Organization of the United Nations</w:t>
      </w:r>
      <w:r w:rsidRPr="002E1F3A">
        <w:t xml:space="preserve"> book</w:t>
      </w:r>
      <w:r w:rsidRPr="002E1F3A">
        <w:rPr>
          <w:rStyle w:val="FootnoteReference"/>
          <w:rFonts w:cstheme="minorHAnsi"/>
          <w:color w:val="000000" w:themeColor="text1"/>
        </w:rPr>
        <w:footnoteReference w:id="3"/>
      </w:r>
      <w:r w:rsidRPr="002E1F3A">
        <w:t xml:space="preserve"> discusses the Tasmanian </w:t>
      </w:r>
      <w:r w:rsidR="00DB1B46">
        <w:t>L</w:t>
      </w:r>
      <w:r w:rsidR="00DB1B46" w:rsidRPr="00856AE6">
        <w:t xml:space="preserve">ongspined </w:t>
      </w:r>
      <w:r w:rsidR="00DB1B46">
        <w:t>S</w:t>
      </w:r>
      <w:r w:rsidR="00DB1B46" w:rsidRPr="00856AE6">
        <w:t xml:space="preserve">ea </w:t>
      </w:r>
      <w:r w:rsidR="00DB1B46">
        <w:t>U</w:t>
      </w:r>
      <w:r w:rsidR="00DB1B46" w:rsidRPr="00856AE6">
        <w:t xml:space="preserve">rchin </w:t>
      </w:r>
      <w:r w:rsidRPr="002E1F3A">
        <w:t xml:space="preserve">as a case study for managing marine invasive species. Further, multiple fishery assessments have been conducted by IMAS since the last application. These can be viewed online here: </w:t>
      </w:r>
      <w:hyperlink r:id="rId66" w:history="1">
        <w:r w:rsidRPr="002E1F3A">
          <w:rPr>
            <w:rStyle w:val="Hyperlink"/>
            <w:rFonts w:cstheme="minorHAnsi"/>
          </w:rPr>
          <w:t>Longspined Sea Urchin Assessments</w:t>
        </w:r>
      </w:hyperlink>
      <w:r w:rsidRPr="002E1F3A">
        <w:t>.</w:t>
      </w:r>
    </w:p>
    <w:p w14:paraId="531BFFF8" w14:textId="05593DAF" w:rsidR="00426A55" w:rsidRPr="002E1F3A" w:rsidRDefault="00036A4E" w:rsidP="00036A4E">
      <w:r w:rsidRPr="002E1F3A">
        <w:t>FRDC p</w:t>
      </w:r>
      <w:r w:rsidR="00426A55" w:rsidRPr="002E1F3A">
        <w:t xml:space="preserve">roject </w:t>
      </w:r>
      <w:hyperlink r:id="rId67" w:history="1">
        <w:r w:rsidR="00426A55" w:rsidRPr="002E1F3A">
          <w:rPr>
            <w:rStyle w:val="Hyperlink"/>
            <w:rFonts w:cstheme="minorHAnsi"/>
          </w:rPr>
          <w:t>2022_039</w:t>
        </w:r>
      </w:hyperlink>
      <w:r w:rsidR="00426A55" w:rsidRPr="002E1F3A">
        <w:t xml:space="preserve"> remains current with funding from FRDC, and partnership between IMAS and NRE Tas. The project will develop methodologies for a robust commercial dive fishery stock assessment, inclusive of native species (</w:t>
      </w:r>
      <w:r w:rsidR="00DB1B46">
        <w:t>P</w:t>
      </w:r>
      <w:r w:rsidR="00426A55" w:rsidRPr="002E1F3A">
        <w:t xml:space="preserve">eriwinkles and </w:t>
      </w:r>
      <w:r w:rsidR="00DB1B46">
        <w:t>S</w:t>
      </w:r>
      <w:r w:rsidR="00DB1B46" w:rsidRPr="00856AE6">
        <w:t xml:space="preserve">hortspined </w:t>
      </w:r>
      <w:r w:rsidR="00DB1B46">
        <w:t>S</w:t>
      </w:r>
      <w:r w:rsidR="00DB1B46" w:rsidRPr="00856AE6">
        <w:t xml:space="preserve">ea </w:t>
      </w:r>
      <w:r w:rsidR="00DB1B46">
        <w:t>U</w:t>
      </w:r>
      <w:r w:rsidR="00DB1B46" w:rsidRPr="00856AE6">
        <w:t>rchin</w:t>
      </w:r>
      <w:r w:rsidR="00426A55" w:rsidRPr="002E1F3A">
        <w:t xml:space="preserve">) with broader application across ‘S-fisheries’ (i.e., small-scale, spatial structured, sedentary target species) in other parts of Australia. </w:t>
      </w:r>
    </w:p>
    <w:p w14:paraId="206ECFAC" w14:textId="60CF1A60" w:rsidR="00036A4E" w:rsidRPr="002E1F3A" w:rsidRDefault="00036A4E" w:rsidP="00036A4E">
      <w:r w:rsidRPr="002E1F3A">
        <w:t xml:space="preserve">FRDC project </w:t>
      </w:r>
      <w:hyperlink r:id="rId68" w:history="1">
        <w:r w:rsidRPr="002E1F3A">
          <w:rPr>
            <w:rStyle w:val="Hyperlink"/>
            <w:rFonts w:cstheme="minorHAnsi"/>
          </w:rPr>
          <w:t>2022_107</w:t>
        </w:r>
      </w:hyperlink>
      <w:r w:rsidRPr="002E1F3A">
        <w:t xml:space="preserve"> is researching, trialling and evaluating a market driven approach to commercialising </w:t>
      </w:r>
      <w:r w:rsidR="00DB1B46">
        <w:t>L</w:t>
      </w:r>
      <w:r w:rsidR="00DB1B46" w:rsidRPr="00856AE6">
        <w:t xml:space="preserve">ongspined </w:t>
      </w:r>
      <w:r w:rsidR="00DB1B46">
        <w:t>S</w:t>
      </w:r>
      <w:r w:rsidR="00DB1B46" w:rsidRPr="00856AE6">
        <w:t xml:space="preserve">ea </w:t>
      </w:r>
      <w:r w:rsidR="00DB1B46">
        <w:t>U</w:t>
      </w:r>
      <w:r w:rsidR="00DB1B46" w:rsidRPr="00856AE6">
        <w:t xml:space="preserve">rchin </w:t>
      </w:r>
      <w:r w:rsidRPr="002E1F3A">
        <w:t xml:space="preserve">in Tasmania. The project is </w:t>
      </w:r>
      <w:r w:rsidR="00A61CDC">
        <w:t>completed and undergoing review before publication</w:t>
      </w:r>
      <w:r w:rsidRPr="002E1F3A">
        <w:t>.</w:t>
      </w:r>
    </w:p>
    <w:p w14:paraId="50E00710" w14:textId="4BCBF77F" w:rsidR="00426A55" w:rsidRPr="002E1F3A" w:rsidRDefault="00426A55" w:rsidP="00036A4E">
      <w:r w:rsidRPr="002E1F3A">
        <w:t xml:space="preserve">The </w:t>
      </w:r>
      <w:hyperlink r:id="rId69" w:history="1">
        <w:r w:rsidRPr="002E1F3A">
          <w:rPr>
            <w:rStyle w:val="Hyperlink"/>
            <w:rFonts w:cstheme="minorHAnsi"/>
          </w:rPr>
          <w:t>Abalone Industry Reinvestment Fund</w:t>
        </w:r>
      </w:hyperlink>
      <w:r w:rsidRPr="002E1F3A">
        <w:t xml:space="preserve"> (AIRF) continues as a joint initiative between NRE Tas and the Tasmanian Abalone Council Limited (TACL) to fund abalone and </w:t>
      </w:r>
      <w:r w:rsidR="00DB1B46">
        <w:t>L</w:t>
      </w:r>
      <w:r w:rsidR="00DB1B46" w:rsidRPr="00856AE6">
        <w:t xml:space="preserve">ongspined </w:t>
      </w:r>
      <w:r w:rsidR="00DB1B46">
        <w:t>S</w:t>
      </w:r>
      <w:r w:rsidR="00DB1B46" w:rsidRPr="00856AE6">
        <w:t xml:space="preserve">ea </w:t>
      </w:r>
      <w:r w:rsidR="00DB1B46">
        <w:t>U</w:t>
      </w:r>
      <w:r w:rsidR="00DB1B46" w:rsidRPr="00856AE6">
        <w:t xml:space="preserve">rchin </w:t>
      </w:r>
      <w:r w:rsidRPr="002E1F3A">
        <w:t xml:space="preserve">projects. </w:t>
      </w:r>
      <w:r w:rsidR="00A926AD" w:rsidRPr="002E1F3A">
        <w:t>Please visit the webpage for a full list of relevant projects, otherwise a condensed list of r</w:t>
      </w:r>
      <w:r w:rsidRPr="002E1F3A">
        <w:t xml:space="preserve">ecent AIRF projects of significance for the fishery </w:t>
      </w:r>
      <w:r w:rsidR="00A926AD" w:rsidRPr="002E1F3A">
        <w:t>is included below</w:t>
      </w:r>
      <w:r w:rsidRPr="002E1F3A">
        <w:t>:</w:t>
      </w:r>
    </w:p>
    <w:p w14:paraId="17656CC4" w14:textId="79059884" w:rsidR="00036A4E" w:rsidRPr="002E1F3A" w:rsidRDefault="00426A55" w:rsidP="00036A4E">
      <w:pPr>
        <w:pStyle w:val="ListParagraph"/>
        <w:numPr>
          <w:ilvl w:val="0"/>
          <w:numId w:val="25"/>
        </w:numPr>
        <w:spacing w:after="120"/>
        <w:contextualSpacing w:val="0"/>
      </w:pPr>
      <w:r w:rsidRPr="002E1F3A">
        <w:t xml:space="preserve">In 2023, IMAS delivered a </w:t>
      </w:r>
      <w:hyperlink r:id="rId70" w:history="1">
        <w:r w:rsidR="00503E5E" w:rsidRPr="002E1F3A">
          <w:rPr>
            <w:rStyle w:val="Hyperlink"/>
          </w:rPr>
          <w:t xml:space="preserve">Risk Profile for the paralytic shellfish toxins (PST) from </w:t>
        </w:r>
        <w:r w:rsidR="00503E5E" w:rsidRPr="002E1F3A">
          <w:rPr>
            <w:rStyle w:val="Hyperlink"/>
            <w:i/>
            <w:iCs/>
          </w:rPr>
          <w:t>Alexandrium catenella</w:t>
        </w:r>
        <w:r w:rsidR="00503E5E" w:rsidRPr="002E1F3A">
          <w:rPr>
            <w:rStyle w:val="Hyperlink"/>
          </w:rPr>
          <w:t xml:space="preserve"> in Tasmanian Sea Urchins</w:t>
        </w:r>
      </w:hyperlink>
      <w:r w:rsidRPr="002E1F3A">
        <w:t xml:space="preserve">. The rick profile states that the probability of Tasmanian urchin roe accumulating concerning levels of PST during </w:t>
      </w:r>
      <w:r w:rsidRPr="002E1F3A">
        <w:rPr>
          <w:i/>
          <w:iCs/>
        </w:rPr>
        <w:t>Alexandrium catenella</w:t>
      </w:r>
      <w:r w:rsidRPr="002E1F3A">
        <w:t xml:space="preserve"> blooms is low. Risk during </w:t>
      </w:r>
      <w:r w:rsidRPr="002E1F3A">
        <w:rPr>
          <w:i/>
          <w:iCs/>
        </w:rPr>
        <w:t>G. catenatum</w:t>
      </w:r>
      <w:r w:rsidRPr="002E1F3A">
        <w:t xml:space="preserve"> blooms is currently unknown due to limited sampling during these blooms. The current control measures are highly conservative. There is no evidence that controls are needed to mitigate PST risk during low to moderate </w:t>
      </w:r>
      <w:r w:rsidRPr="002E1F3A">
        <w:rPr>
          <w:i/>
          <w:iCs/>
        </w:rPr>
        <w:t xml:space="preserve">A. catenella </w:t>
      </w:r>
      <w:r w:rsidRPr="002E1F3A">
        <w:t>blooms, although monitoring during more extensive blooms may be appropriate.</w:t>
      </w:r>
    </w:p>
    <w:p w14:paraId="538FBE04" w14:textId="01CFAE7C" w:rsidR="00426A55" w:rsidRPr="002E1F3A" w:rsidRDefault="00426A55" w:rsidP="00036A4E">
      <w:pPr>
        <w:pStyle w:val="ListParagraph"/>
        <w:spacing w:after="120"/>
        <w:contextualSpacing w:val="0"/>
      </w:pPr>
      <w:r w:rsidRPr="002E1F3A">
        <w:t xml:space="preserve">On the basis of the risk profile, NRE Tas has made several appeals to DCCEEW to review the recommendations and de-link Tasmanian urchins from the Abalone Biotoxin Risk Management Plan, and instead utilise risk monitoring results from other seafood biotoxin monitoring programs operating in Tasmania to determine potential PST risk associated with </w:t>
      </w:r>
      <w:r w:rsidRPr="002E1F3A">
        <w:rPr>
          <w:i/>
          <w:iCs/>
        </w:rPr>
        <w:t xml:space="preserve">Gymnodinium catenatum </w:t>
      </w:r>
      <w:r w:rsidRPr="002E1F3A">
        <w:t xml:space="preserve">and </w:t>
      </w:r>
      <w:r w:rsidRPr="002E1F3A">
        <w:rPr>
          <w:i/>
          <w:iCs/>
        </w:rPr>
        <w:t xml:space="preserve">Alexandrium catenella </w:t>
      </w:r>
      <w:r w:rsidRPr="002E1F3A">
        <w:t>(the latter during high bloom scenarios), considering both where and when harvest activity is occurring. Requests for review have gone unanswered since November 2023.</w:t>
      </w:r>
    </w:p>
    <w:p w14:paraId="4C798B0D" w14:textId="46302C42" w:rsidR="00426A55" w:rsidRPr="002E1F3A" w:rsidRDefault="00426A55" w:rsidP="00036A4E">
      <w:pPr>
        <w:pStyle w:val="ListParagraph"/>
        <w:numPr>
          <w:ilvl w:val="0"/>
          <w:numId w:val="25"/>
        </w:numPr>
        <w:spacing w:after="120"/>
        <w:contextualSpacing w:val="0"/>
      </w:pPr>
      <w:r w:rsidRPr="002E1F3A">
        <w:t xml:space="preserve">In 2024, an IMAS project to assess the risk profile for </w:t>
      </w:r>
      <w:r w:rsidR="00DB1B46">
        <w:t>P</w:t>
      </w:r>
      <w:r w:rsidRPr="002E1F3A">
        <w:t xml:space="preserve">eriwinkles got underway; this project will utilise lab trials in place of field data. </w:t>
      </w:r>
      <w:r w:rsidR="00A61CDC" w:rsidRPr="00A61CDC">
        <w:t xml:space="preserve">A scientific paper on this work has recently been </w:t>
      </w:r>
      <w:r w:rsidR="00A61CDC" w:rsidRPr="00A61CDC">
        <w:lastRenderedPageBreak/>
        <w:t xml:space="preserve">published: Toxin uptake and slowed reflexes by the marine snail </w:t>
      </w:r>
      <w:r w:rsidR="00A61CDC" w:rsidRPr="00A61CDC">
        <w:rPr>
          <w:i/>
          <w:iCs/>
        </w:rPr>
        <w:t>Lunella undulata</w:t>
      </w:r>
      <w:r w:rsidR="00A61CDC" w:rsidRPr="00A61CDC">
        <w:t xml:space="preserve"> following exposure to paralytic shellfish toxin producing </w:t>
      </w:r>
      <w:r w:rsidR="00A61CDC" w:rsidRPr="00A61CDC">
        <w:rPr>
          <w:i/>
          <w:iCs/>
        </w:rPr>
        <w:t>Alexandrium catenella</w:t>
      </w:r>
      <w:r w:rsidR="00A61CDC">
        <w:t>.</w:t>
      </w:r>
    </w:p>
    <w:p w14:paraId="6DD84544" w14:textId="4381B7B2" w:rsidR="00426A55" w:rsidRPr="002E1F3A" w:rsidRDefault="00426A55" w:rsidP="00036A4E">
      <w:pPr>
        <w:pStyle w:val="ListParagraph"/>
        <w:numPr>
          <w:ilvl w:val="0"/>
          <w:numId w:val="25"/>
        </w:numPr>
        <w:spacing w:after="120"/>
        <w:contextualSpacing w:val="0"/>
      </w:pPr>
      <w:r w:rsidRPr="002E1F3A">
        <w:t xml:space="preserve">In 2024, IMAS conducted a </w:t>
      </w:r>
      <w:hyperlink r:id="rId71" w:history="1">
        <w:r w:rsidR="00A97CA9">
          <w:rPr>
            <w:rStyle w:val="Hyperlink"/>
          </w:rPr>
          <w:t>su</w:t>
        </w:r>
        <w:r w:rsidRPr="002E1F3A">
          <w:rPr>
            <w:rStyle w:val="Hyperlink"/>
          </w:rPr>
          <w:t xml:space="preserve">rvey for </w:t>
        </w:r>
        <w:r w:rsidR="00DB1B46">
          <w:rPr>
            <w:rStyle w:val="Hyperlink"/>
          </w:rPr>
          <w:t>L</w:t>
        </w:r>
        <w:r w:rsidRPr="002E1F3A">
          <w:rPr>
            <w:rStyle w:val="Hyperlink"/>
          </w:rPr>
          <w:t xml:space="preserve">ongspined </w:t>
        </w:r>
        <w:r w:rsidR="00DB1B46">
          <w:rPr>
            <w:rStyle w:val="Hyperlink"/>
          </w:rPr>
          <w:t>S</w:t>
        </w:r>
        <w:r w:rsidRPr="002E1F3A">
          <w:rPr>
            <w:rStyle w:val="Hyperlink"/>
          </w:rPr>
          <w:t xml:space="preserve">ea </w:t>
        </w:r>
        <w:r w:rsidR="00DB1B46">
          <w:rPr>
            <w:rStyle w:val="Hyperlink"/>
          </w:rPr>
          <w:t>U</w:t>
        </w:r>
        <w:r w:rsidRPr="002E1F3A">
          <w:rPr>
            <w:rStyle w:val="Hyperlink"/>
          </w:rPr>
          <w:t>rchin in commercial fishing blocks 21 and 29</w:t>
        </w:r>
      </w:hyperlink>
      <w:r w:rsidRPr="002E1F3A">
        <w:t xml:space="preserve"> to determine the extent of their incursion along productive abalone fishing grounds. Outcomes of the survey informed the 2024-25 setting of </w:t>
      </w:r>
      <w:r w:rsidR="00DB1B46">
        <w:t>L</w:t>
      </w:r>
      <w:r w:rsidR="00DB1B46" w:rsidRPr="00856AE6">
        <w:t xml:space="preserve">ongspined </w:t>
      </w:r>
      <w:r w:rsidR="00DB1B46">
        <w:t>S</w:t>
      </w:r>
      <w:r w:rsidR="00DB1B46" w:rsidRPr="00856AE6">
        <w:t xml:space="preserve">ea </w:t>
      </w:r>
      <w:r w:rsidR="00DB1B46">
        <w:t>U</w:t>
      </w:r>
      <w:r w:rsidR="00DB1B46" w:rsidRPr="00856AE6">
        <w:t>rchin</w:t>
      </w:r>
      <w:r w:rsidRPr="002E1F3A">
        <w:t xml:space="preserve"> fishing incentives and directed commercial divers to harvest from priority abalone habitat. </w:t>
      </w:r>
    </w:p>
    <w:p w14:paraId="1CE62FDA" w14:textId="4CC4E8B5" w:rsidR="00426A55" w:rsidRPr="002E1F3A" w:rsidRDefault="00426A55" w:rsidP="00036A4E">
      <w:pPr>
        <w:pStyle w:val="ListParagraph"/>
        <w:numPr>
          <w:ilvl w:val="0"/>
          <w:numId w:val="25"/>
        </w:numPr>
        <w:spacing w:after="120"/>
        <w:contextualSpacing w:val="0"/>
      </w:pPr>
      <w:r w:rsidRPr="002E1F3A">
        <w:t xml:space="preserve">In 2022-25, IMAS led a </w:t>
      </w:r>
      <w:r w:rsidR="00503E5E" w:rsidRPr="002E1F3A">
        <w:t>​</w:t>
      </w:r>
      <w:hyperlink r:id="rId72" w:history="1">
        <w:r w:rsidR="00503E5E" w:rsidRPr="002E1F3A">
          <w:rPr>
            <w:rStyle w:val="Hyperlink"/>
          </w:rPr>
          <w:t>Restoration by Harvest Pilot Program in Fortescue Bay</w:t>
        </w:r>
      </w:hyperlink>
      <w:r w:rsidR="00503E5E" w:rsidRPr="002E1F3A">
        <w:t xml:space="preserve"> </w:t>
      </w:r>
      <w:r w:rsidRPr="002E1F3A">
        <w:t xml:space="preserve">that aimed to restore kelp habitat along a 5km stretch of coastline, providing valuable insights into the efficacy of expanded control programs in priority abalone habitat areas and to guide the Regional Centrostephanus Strategy development. This project is quantifying the considerable level of coordination and funding required to remove all size classes of </w:t>
      </w:r>
      <w:r w:rsidR="00DB1B46">
        <w:t>L</w:t>
      </w:r>
      <w:r w:rsidR="00DB1B46" w:rsidRPr="00856AE6">
        <w:t xml:space="preserve">ongspined </w:t>
      </w:r>
      <w:r w:rsidR="00DB1B46">
        <w:t>S</w:t>
      </w:r>
      <w:r w:rsidR="00DB1B46" w:rsidRPr="00856AE6">
        <w:t xml:space="preserve">ea </w:t>
      </w:r>
      <w:r w:rsidR="00DB1B46">
        <w:t>U</w:t>
      </w:r>
      <w:r w:rsidR="00DB1B46" w:rsidRPr="00856AE6">
        <w:t xml:space="preserve">rchin </w:t>
      </w:r>
      <w:r w:rsidRPr="002E1F3A">
        <w:t>from small patches to a level necessary to restore kelp habitat.</w:t>
      </w:r>
    </w:p>
    <w:p w14:paraId="45C67245" w14:textId="58EF5DE1" w:rsidR="00426A55" w:rsidRPr="002E1F3A" w:rsidRDefault="00426A55" w:rsidP="00036A4E">
      <w:pPr>
        <w:pStyle w:val="ListParagraph"/>
        <w:numPr>
          <w:ilvl w:val="0"/>
          <w:numId w:val="25"/>
        </w:numPr>
        <w:spacing w:after="120"/>
        <w:contextualSpacing w:val="0"/>
      </w:pPr>
      <w:r w:rsidRPr="002E1F3A">
        <w:t xml:space="preserve">In 2023-24, NRM South </w:t>
      </w:r>
      <w:r w:rsidR="00503E5E" w:rsidRPr="002E1F3A">
        <w:t xml:space="preserve">initiated </w:t>
      </w:r>
      <w:hyperlink r:id="rId73" w:history="1">
        <w:r w:rsidR="00503E5E" w:rsidRPr="002E1F3A">
          <w:rPr>
            <w:rStyle w:val="Hyperlink"/>
          </w:rPr>
          <w:t>Long-spined sea urchin on Tasmania's East Coast: an education and engagement program</w:t>
        </w:r>
      </w:hyperlink>
      <w:r w:rsidR="00503E5E" w:rsidRPr="002E1F3A">
        <w:t xml:space="preserve">. This was </w:t>
      </w:r>
      <w:r w:rsidRPr="002E1F3A">
        <w:t xml:space="preserve">a direct follow up to the 2022 </w:t>
      </w:r>
      <w:hyperlink r:id="rId74" w:history="1">
        <w:r w:rsidR="00DB1B46">
          <w:rPr>
            <w:rStyle w:val="Hyperlink"/>
          </w:rPr>
          <w:t>L</w:t>
        </w:r>
        <w:r w:rsidRPr="002E1F3A">
          <w:rPr>
            <w:rStyle w:val="Hyperlink"/>
          </w:rPr>
          <w:t xml:space="preserve">ongspined </w:t>
        </w:r>
        <w:r w:rsidR="00DB1B46">
          <w:rPr>
            <w:rStyle w:val="Hyperlink"/>
          </w:rPr>
          <w:t>S</w:t>
        </w:r>
        <w:r w:rsidRPr="002E1F3A">
          <w:rPr>
            <w:rStyle w:val="Hyperlink"/>
          </w:rPr>
          <w:t xml:space="preserve">ea </w:t>
        </w:r>
        <w:r w:rsidR="00DB1B46">
          <w:rPr>
            <w:rStyle w:val="Hyperlink"/>
          </w:rPr>
          <w:t>U</w:t>
        </w:r>
        <w:r w:rsidRPr="002E1F3A">
          <w:rPr>
            <w:rStyle w:val="Hyperlink"/>
          </w:rPr>
          <w:t>rchin removal volunteer program feasibility study</w:t>
        </w:r>
      </w:hyperlink>
      <w:r w:rsidR="00036A4E" w:rsidRPr="002E1F3A">
        <w:t xml:space="preserve">, which found that such a program was feasible but constrained by insurance and program lead considerations. </w:t>
      </w:r>
      <w:r w:rsidRPr="002E1F3A">
        <w:t xml:space="preserve">The new project undertook a community survey to identify knowledge gaps and sentiments regarding </w:t>
      </w:r>
      <w:r w:rsidR="00DB1B46">
        <w:t>L</w:t>
      </w:r>
      <w:r w:rsidR="00DB1B46" w:rsidRPr="00856AE6">
        <w:t xml:space="preserve">ongspined </w:t>
      </w:r>
      <w:r w:rsidR="00DB1B46">
        <w:t>S</w:t>
      </w:r>
      <w:r w:rsidR="00DB1B46" w:rsidRPr="00856AE6">
        <w:t xml:space="preserve">ea </w:t>
      </w:r>
      <w:r w:rsidR="00DB1B46">
        <w:t>U</w:t>
      </w:r>
      <w:r w:rsidR="00DB1B46" w:rsidRPr="00856AE6">
        <w:t>rchin</w:t>
      </w:r>
      <w:r w:rsidRPr="002E1F3A">
        <w:t>. Outcomes f</w:t>
      </w:r>
      <w:r w:rsidR="00036A4E" w:rsidRPr="002E1F3A">
        <w:t>r</w:t>
      </w:r>
      <w:r w:rsidR="00503E5E" w:rsidRPr="002E1F3A">
        <w:t>o</w:t>
      </w:r>
      <w:r w:rsidRPr="002E1F3A">
        <w:t>m the project are informing the way NRE Tas communicates the problem and engages at public events to build community awareness about the urchin problem and solutions.</w:t>
      </w:r>
    </w:p>
    <w:p w14:paraId="691AA41F" w14:textId="67998D5D" w:rsidR="00426A55" w:rsidRPr="002E1F3A" w:rsidRDefault="00426A55" w:rsidP="00036A4E">
      <w:pPr>
        <w:pStyle w:val="ListParagraph"/>
        <w:numPr>
          <w:ilvl w:val="0"/>
          <w:numId w:val="25"/>
        </w:numPr>
        <w:spacing w:after="120"/>
        <w:contextualSpacing w:val="0"/>
      </w:pPr>
      <w:r w:rsidRPr="002E1F3A">
        <w:t xml:space="preserve">In 2024-25, NRE Tas </w:t>
      </w:r>
      <w:r w:rsidR="00503E5E" w:rsidRPr="002E1F3A">
        <w:t xml:space="preserve">undertook </w:t>
      </w:r>
      <w:hyperlink r:id="rId75" w:history="1">
        <w:r w:rsidR="00503E5E" w:rsidRPr="002E1F3A">
          <w:rPr>
            <w:rStyle w:val="Hyperlink"/>
          </w:rPr>
          <w:t>website development and communication product development</w:t>
        </w:r>
      </w:hyperlink>
      <w:r w:rsidR="00503E5E" w:rsidRPr="002E1F3A">
        <w:t xml:space="preserve"> </w:t>
      </w:r>
      <w:r w:rsidRPr="002E1F3A">
        <w:t xml:space="preserve">to build a </w:t>
      </w:r>
      <w:r w:rsidR="00DB1B46">
        <w:t>L</w:t>
      </w:r>
      <w:r w:rsidR="00DB1B46" w:rsidRPr="00856AE6">
        <w:t xml:space="preserve">ongspined </w:t>
      </w:r>
      <w:r w:rsidR="00DB1B46">
        <w:t>S</w:t>
      </w:r>
      <w:r w:rsidR="00DB1B46" w:rsidRPr="00856AE6">
        <w:t xml:space="preserve">ea </w:t>
      </w:r>
      <w:r w:rsidR="00DB1B46">
        <w:t>U</w:t>
      </w:r>
      <w:r w:rsidR="00DB1B46" w:rsidRPr="00856AE6">
        <w:t xml:space="preserve">rchin </w:t>
      </w:r>
      <w:r w:rsidRPr="002E1F3A">
        <w:t xml:space="preserve">website to engage the community and inform them about the impacts. This </w:t>
      </w:r>
      <w:r w:rsidR="00503E5E" w:rsidRPr="002E1F3A">
        <w:t>is acting as</w:t>
      </w:r>
      <w:r w:rsidRPr="002E1F3A">
        <w:t xml:space="preserve"> a platform for NRE Tas and our many partners and stakeholders (i.e., NRM South, IMAS, TACL, TCDA, CSIRO, etc) to showcase their work combatting impacts from the urchin’s southward range-extension, and to build the profile of the commercial fishery.</w:t>
      </w:r>
      <w:r w:rsidR="00503E5E" w:rsidRPr="002E1F3A">
        <w:t xml:space="preserve"> The website can be found at: </w:t>
      </w:r>
      <w:hyperlink r:id="rId76" w:history="1">
        <w:r w:rsidR="00503E5E" w:rsidRPr="002E1F3A">
          <w:rPr>
            <w:rStyle w:val="Hyperlink"/>
          </w:rPr>
          <w:t>https://fishing.tas.gov.au/centro</w:t>
        </w:r>
      </w:hyperlink>
      <w:r w:rsidR="00503E5E" w:rsidRPr="002E1F3A">
        <w:t xml:space="preserve"> </w:t>
      </w:r>
    </w:p>
    <w:p w14:paraId="48D4F71B" w14:textId="57CD655C" w:rsidR="00A926AD" w:rsidRPr="002E1F3A" w:rsidRDefault="00A926AD" w:rsidP="00036A4E">
      <w:pPr>
        <w:pStyle w:val="ListParagraph"/>
        <w:numPr>
          <w:ilvl w:val="0"/>
          <w:numId w:val="25"/>
        </w:numPr>
        <w:spacing w:after="120"/>
        <w:contextualSpacing w:val="0"/>
      </w:pPr>
      <w:r w:rsidRPr="002E1F3A">
        <w:t>In 2024, ​</w:t>
      </w:r>
      <w:hyperlink r:id="rId77" w:history="1">
        <w:r w:rsidRPr="002E1F3A">
          <w:rPr>
            <w:rStyle w:val="Hyperlink"/>
          </w:rPr>
          <w:t>a spatial planning framework for long-spined sea urchin control in Tasmania</w:t>
        </w:r>
      </w:hyperlink>
      <w:r w:rsidRPr="002E1F3A">
        <w:t xml:space="preserve"> was developed by IMAS to inform the incentivised </w:t>
      </w:r>
      <w:r w:rsidR="00347335">
        <w:t>L</w:t>
      </w:r>
      <w:r w:rsidRPr="002E1F3A">
        <w:t xml:space="preserve">ongspined </w:t>
      </w:r>
      <w:r w:rsidR="00347335">
        <w:t>S</w:t>
      </w:r>
      <w:r w:rsidRPr="002E1F3A">
        <w:t xml:space="preserve">ea </w:t>
      </w:r>
      <w:r w:rsidR="00347335">
        <w:t>U</w:t>
      </w:r>
      <w:r w:rsidRPr="002E1F3A">
        <w:t>rchin fishing program.</w:t>
      </w:r>
    </w:p>
    <w:p w14:paraId="429369C1" w14:textId="4C5B328C" w:rsidR="00A926AD" w:rsidRPr="002E1F3A" w:rsidRDefault="00A926AD" w:rsidP="00036A4E">
      <w:pPr>
        <w:pStyle w:val="ListParagraph"/>
        <w:numPr>
          <w:ilvl w:val="0"/>
          <w:numId w:val="25"/>
        </w:numPr>
        <w:spacing w:after="120"/>
        <w:contextualSpacing w:val="0"/>
      </w:pPr>
      <w:r w:rsidRPr="002E1F3A">
        <w:t xml:space="preserve">In 2024, a </w:t>
      </w:r>
      <w:hyperlink r:id="rId78" w:history="1">
        <w:r w:rsidRPr="002E1F3A">
          <w:rPr>
            <w:rStyle w:val="Hyperlink"/>
          </w:rPr>
          <w:t>Social-economic analysis for the Tasmanian dive sector</w:t>
        </w:r>
      </w:hyperlink>
      <w:r w:rsidRPr="002E1F3A">
        <w:t xml:space="preserve"> (including both the commercial dive and abalone dive fisheries) was finalised, with figures used elsewhere in this report.</w:t>
      </w:r>
    </w:p>
    <w:p w14:paraId="3E17180C" w14:textId="7B49DEA3" w:rsidR="00426A55" w:rsidRPr="002E1F3A" w:rsidRDefault="00426A55" w:rsidP="00036A4E">
      <w:pPr>
        <w:pStyle w:val="ListParagraph"/>
        <w:numPr>
          <w:ilvl w:val="0"/>
          <w:numId w:val="25"/>
        </w:numPr>
        <w:spacing w:after="120"/>
        <w:contextualSpacing w:val="0"/>
      </w:pPr>
      <w:r w:rsidRPr="002E1F3A">
        <w:t>In 2024, Prime Perspectives Pty Ltd was funded to</w:t>
      </w:r>
      <w:r w:rsidR="00503E5E" w:rsidRPr="002E1F3A">
        <w:t xml:space="preserve"> create a documentary ​</w:t>
      </w:r>
      <w:hyperlink r:id="rId79" w:history="1">
        <w:r w:rsidR="00503E5E" w:rsidRPr="002E1F3A">
          <w:rPr>
            <w:rStyle w:val="Hyperlink"/>
          </w:rPr>
          <w:t>Hot water - Investigating Australia's Marine Ecosystem</w:t>
        </w:r>
      </w:hyperlink>
      <w:r w:rsidRPr="002E1F3A">
        <w:t xml:space="preserve"> </w:t>
      </w:r>
      <w:r w:rsidR="00503E5E" w:rsidRPr="002E1F3A">
        <w:t xml:space="preserve">which </w:t>
      </w:r>
      <w:r w:rsidRPr="002E1F3A">
        <w:t>include</w:t>
      </w:r>
      <w:r w:rsidR="00503E5E" w:rsidRPr="002E1F3A">
        <w:t>s a segment on</w:t>
      </w:r>
      <w:r w:rsidRPr="002E1F3A">
        <w:t xml:space="preserve"> </w:t>
      </w:r>
      <w:r w:rsidR="00DB1B46">
        <w:t>L</w:t>
      </w:r>
      <w:r w:rsidR="00DB1B46" w:rsidRPr="00856AE6">
        <w:t xml:space="preserve">ongspined </w:t>
      </w:r>
      <w:r w:rsidR="00DB1B46">
        <w:t>S</w:t>
      </w:r>
      <w:r w:rsidR="00DB1B46" w:rsidRPr="00856AE6">
        <w:t xml:space="preserve">ea </w:t>
      </w:r>
      <w:r w:rsidR="00DB1B46">
        <w:t>U</w:t>
      </w:r>
      <w:r w:rsidR="00DB1B46" w:rsidRPr="00856AE6">
        <w:t>rchin</w:t>
      </w:r>
      <w:r w:rsidR="00503E5E" w:rsidRPr="002E1F3A">
        <w:t>s</w:t>
      </w:r>
      <w:r w:rsidRPr="002E1F3A">
        <w:t xml:space="preserve"> to raise awareness and build the issues profile. </w:t>
      </w:r>
    </w:p>
    <w:p w14:paraId="6BEB758B" w14:textId="2188AC70" w:rsidR="00426A55" w:rsidRPr="002E1F3A" w:rsidRDefault="00426A55" w:rsidP="00D16765">
      <w:pPr>
        <w:pStyle w:val="ListParagraph"/>
        <w:numPr>
          <w:ilvl w:val="0"/>
          <w:numId w:val="25"/>
        </w:numPr>
        <w:spacing w:after="120"/>
        <w:contextualSpacing w:val="0"/>
      </w:pPr>
      <w:r w:rsidRPr="002E1F3A">
        <w:t xml:space="preserve">In 2024, a second National Centrostephanus Workshop was funded by FRDC and held in Melbourne, Victoria. As party to the </w:t>
      </w:r>
      <w:hyperlink r:id="rId80" w:history="1">
        <w:r w:rsidRPr="002E1F3A">
          <w:rPr>
            <w:rStyle w:val="Hyperlink"/>
          </w:rPr>
          <w:t>National Centrostephanus Task Force</w:t>
        </w:r>
      </w:hyperlink>
      <w:r w:rsidRPr="002E1F3A">
        <w:t>, NRE Tas helped coordinate and develop the agenda, and the AIRF funded Tasmanian representation at the event by TCDA, TACL, IMAS, and NRE Tas.</w:t>
      </w:r>
      <w:r w:rsidR="00503E5E" w:rsidRPr="002E1F3A">
        <w:t xml:space="preserve"> This followed the highly successful inaugural National Centrostephanus Workshop held in Launceston in 2023, jointly coordinated by NRE Tas and FRDC.</w:t>
      </w:r>
    </w:p>
    <w:p w14:paraId="64F1FB99" w14:textId="5F3A9816" w:rsidR="00A926AD" w:rsidRPr="00503E5E" w:rsidRDefault="00A926AD" w:rsidP="00D16765">
      <w:pPr>
        <w:pStyle w:val="ListParagraph"/>
        <w:numPr>
          <w:ilvl w:val="0"/>
          <w:numId w:val="25"/>
        </w:numPr>
        <w:spacing w:after="120"/>
        <w:contextualSpacing w:val="0"/>
      </w:pPr>
      <w:r w:rsidRPr="002E1F3A">
        <w:t xml:space="preserve">In 2025, an </w:t>
      </w:r>
      <w:hyperlink r:id="rId81" w:history="1">
        <w:r w:rsidRPr="002E1F3A">
          <w:rPr>
            <w:rStyle w:val="Hyperlink"/>
          </w:rPr>
          <w:t>Australian Sea Urchin Uni (Roe) Summit</w:t>
        </w:r>
      </w:hyperlink>
      <w:r w:rsidRPr="002E1F3A">
        <w:t xml:space="preserve"> will be held in Hobart, bringing together urchin experts from Japan and Australia to consider how best to increase the domestic market for urchin products.</w:t>
      </w:r>
      <w:bookmarkEnd w:id="55"/>
    </w:p>
    <w:p w14:paraId="1201AF30" w14:textId="77777777" w:rsidR="00F124CE" w:rsidRDefault="00F124CE" w:rsidP="00F124CE">
      <w:pPr>
        <w:rPr>
          <w:rFonts w:asciiTheme="majorHAnsi" w:eastAsiaTheme="majorEastAsia" w:hAnsiTheme="majorHAnsi" w:cstheme="majorBidi"/>
          <w:color w:val="000000" w:themeColor="text1"/>
        </w:rPr>
      </w:pPr>
      <w:r>
        <w:br w:type="page"/>
      </w:r>
    </w:p>
    <w:p w14:paraId="5FFDFA07" w14:textId="41A27F7D" w:rsidR="00952E61" w:rsidRDefault="00952E61" w:rsidP="00647FF6">
      <w:pPr>
        <w:pStyle w:val="Heading1"/>
        <w:rPr>
          <w:b w:val="0"/>
          <w:bCs/>
          <w:sz w:val="36"/>
          <w:szCs w:val="36"/>
        </w:rPr>
      </w:pPr>
      <w:bookmarkStart w:id="56" w:name="_Toc203722715"/>
      <w:r w:rsidRPr="00A664AF">
        <w:rPr>
          <w:bCs/>
          <w:sz w:val="36"/>
          <w:szCs w:val="36"/>
        </w:rPr>
        <w:lastRenderedPageBreak/>
        <w:t>P</w:t>
      </w:r>
      <w:r w:rsidR="00DE18DD" w:rsidRPr="00A664AF">
        <w:rPr>
          <w:bCs/>
          <w:sz w:val="36"/>
          <w:szCs w:val="36"/>
        </w:rPr>
        <w:t xml:space="preserve">rogress against </w:t>
      </w:r>
      <w:r w:rsidR="000F0946">
        <w:rPr>
          <w:bCs/>
          <w:sz w:val="36"/>
          <w:szCs w:val="36"/>
        </w:rPr>
        <w:t>current</w:t>
      </w:r>
      <w:r w:rsidR="00DE18DD" w:rsidRPr="00A664AF">
        <w:rPr>
          <w:bCs/>
          <w:sz w:val="36"/>
          <w:szCs w:val="36"/>
        </w:rPr>
        <w:t xml:space="preserve"> Conditions</w:t>
      </w:r>
      <w:bookmarkEnd w:id="56"/>
    </w:p>
    <w:p w14:paraId="54403E1A" w14:textId="77777777" w:rsidR="00F16E87" w:rsidRDefault="00F16E87" w:rsidP="00F16E87">
      <w:pPr>
        <w:rPr>
          <w:rFonts w:cs="Arial"/>
          <w:sz w:val="20"/>
          <w:szCs w:val="18"/>
        </w:rPr>
      </w:pPr>
      <w:bookmarkStart w:id="57" w:name="_Hlk202169123"/>
      <w:r w:rsidRPr="00B6625D">
        <w:rPr>
          <w:rFonts w:cs="Arial"/>
          <w:sz w:val="20"/>
          <w:szCs w:val="18"/>
        </w:rPr>
        <w:t xml:space="preserve">Table 2: Progress on conditions and/or recommendations since the last assessment. </w:t>
      </w:r>
    </w:p>
    <w:tbl>
      <w:tblPr>
        <w:tblStyle w:val="TableGrid"/>
        <w:tblW w:w="9067" w:type="dxa"/>
        <w:tblLook w:val="04A0" w:firstRow="1" w:lastRow="0" w:firstColumn="1" w:lastColumn="0" w:noHBand="0" w:noVBand="1"/>
      </w:tblPr>
      <w:tblGrid>
        <w:gridCol w:w="3256"/>
        <w:gridCol w:w="2126"/>
        <w:gridCol w:w="3685"/>
      </w:tblGrid>
      <w:tr w:rsidR="00A926AD" w:rsidRPr="00F16E87" w14:paraId="38E59AB9" w14:textId="77777777" w:rsidTr="00F16E87">
        <w:tc>
          <w:tcPr>
            <w:tcW w:w="3256" w:type="dxa"/>
          </w:tcPr>
          <w:bookmarkEnd w:id="57"/>
          <w:p w14:paraId="1CACED9A" w14:textId="77777777" w:rsidR="00A926AD" w:rsidRPr="00F16E87" w:rsidRDefault="00A926AD" w:rsidP="00ED42B9">
            <w:pPr>
              <w:rPr>
                <w:b/>
                <w:bCs/>
                <w:sz w:val="20"/>
                <w:szCs w:val="20"/>
              </w:rPr>
            </w:pPr>
            <w:r w:rsidRPr="00F16E87">
              <w:rPr>
                <w:b/>
                <w:bCs/>
                <w:sz w:val="20"/>
                <w:szCs w:val="20"/>
              </w:rPr>
              <w:t>CONDITIONS FOR TASMANIAN COMMERCIAL DIVE FISHERY</w:t>
            </w:r>
          </w:p>
        </w:tc>
        <w:tc>
          <w:tcPr>
            <w:tcW w:w="2126" w:type="dxa"/>
          </w:tcPr>
          <w:p w14:paraId="3123EC09" w14:textId="77777777" w:rsidR="00A926AD" w:rsidRPr="00F16E87" w:rsidRDefault="00A926AD" w:rsidP="00ED42B9">
            <w:pPr>
              <w:rPr>
                <w:b/>
                <w:bCs/>
                <w:sz w:val="20"/>
                <w:szCs w:val="20"/>
              </w:rPr>
            </w:pPr>
            <w:r w:rsidRPr="00F16E87">
              <w:rPr>
                <w:b/>
                <w:bCs/>
                <w:sz w:val="20"/>
                <w:szCs w:val="20"/>
              </w:rPr>
              <w:t>DUE DATE</w:t>
            </w:r>
          </w:p>
        </w:tc>
        <w:tc>
          <w:tcPr>
            <w:tcW w:w="3685" w:type="dxa"/>
          </w:tcPr>
          <w:p w14:paraId="4A22ECDC" w14:textId="4E327801" w:rsidR="00A926AD" w:rsidRPr="00F16E87" w:rsidRDefault="00A926AD" w:rsidP="00ED42B9">
            <w:pPr>
              <w:rPr>
                <w:b/>
                <w:bCs/>
                <w:sz w:val="20"/>
                <w:szCs w:val="20"/>
              </w:rPr>
            </w:pPr>
            <w:r w:rsidRPr="00F16E87">
              <w:rPr>
                <w:b/>
                <w:bCs/>
                <w:sz w:val="20"/>
                <w:szCs w:val="20"/>
              </w:rPr>
              <w:t xml:space="preserve">PROGRESS AGAINST THE CONDITION AS OF </w:t>
            </w:r>
            <w:r w:rsidR="002E1F3A" w:rsidRPr="00F16E87">
              <w:rPr>
                <w:b/>
                <w:bCs/>
                <w:sz w:val="20"/>
                <w:szCs w:val="20"/>
              </w:rPr>
              <w:t>JULY</w:t>
            </w:r>
            <w:r w:rsidRPr="00F16E87">
              <w:rPr>
                <w:b/>
                <w:bCs/>
                <w:sz w:val="20"/>
                <w:szCs w:val="20"/>
              </w:rPr>
              <w:t xml:space="preserve"> 202</w:t>
            </w:r>
            <w:r w:rsidR="00ED42B9" w:rsidRPr="00F16E87">
              <w:rPr>
                <w:b/>
                <w:bCs/>
                <w:sz w:val="20"/>
                <w:szCs w:val="20"/>
              </w:rPr>
              <w:t>5</w:t>
            </w:r>
          </w:p>
        </w:tc>
      </w:tr>
      <w:tr w:rsidR="00A926AD" w:rsidRPr="00F16E87" w14:paraId="4C580ABC" w14:textId="77777777" w:rsidTr="00F16E87">
        <w:tc>
          <w:tcPr>
            <w:tcW w:w="3256" w:type="dxa"/>
          </w:tcPr>
          <w:p w14:paraId="12CD56B0" w14:textId="77777777" w:rsidR="00A926AD" w:rsidRPr="00F16E87" w:rsidRDefault="00A926AD" w:rsidP="00ED42B9">
            <w:pPr>
              <w:rPr>
                <w:sz w:val="20"/>
                <w:szCs w:val="20"/>
              </w:rPr>
            </w:pPr>
            <w:r w:rsidRPr="00F16E87">
              <w:rPr>
                <w:sz w:val="20"/>
                <w:szCs w:val="20"/>
              </w:rPr>
              <w:t xml:space="preserve">The harvest from the Tasmanian Commercial Dive Fishery will be carried out in accordance with the </w:t>
            </w:r>
            <w:r w:rsidRPr="00F16E87">
              <w:rPr>
                <w:i/>
                <w:iCs/>
                <w:sz w:val="20"/>
                <w:szCs w:val="20"/>
              </w:rPr>
              <w:t xml:space="preserve">Fisheries (Commercial Dive) Rules 2021 </w:t>
            </w:r>
            <w:r w:rsidRPr="00F16E87">
              <w:rPr>
                <w:sz w:val="20"/>
                <w:szCs w:val="20"/>
              </w:rPr>
              <w:t xml:space="preserve">(Tas) in force under the </w:t>
            </w:r>
            <w:r w:rsidRPr="00F16E87">
              <w:rPr>
                <w:i/>
                <w:iCs/>
                <w:sz w:val="20"/>
                <w:szCs w:val="20"/>
              </w:rPr>
              <w:t xml:space="preserve">Living Marine Resources Management Act 1995 </w:t>
            </w:r>
            <w:r w:rsidRPr="00F16E87">
              <w:rPr>
                <w:sz w:val="20"/>
                <w:szCs w:val="20"/>
              </w:rPr>
              <w:t>(Tas).</w:t>
            </w:r>
          </w:p>
          <w:p w14:paraId="5B6D8D23" w14:textId="77777777" w:rsidR="00ED42B9" w:rsidRPr="00F16E87" w:rsidRDefault="00ED42B9" w:rsidP="00ED42B9">
            <w:pPr>
              <w:rPr>
                <w:sz w:val="20"/>
                <w:szCs w:val="20"/>
              </w:rPr>
            </w:pPr>
          </w:p>
        </w:tc>
        <w:tc>
          <w:tcPr>
            <w:tcW w:w="2126" w:type="dxa"/>
          </w:tcPr>
          <w:p w14:paraId="14CC6111" w14:textId="77777777" w:rsidR="00A926AD" w:rsidRPr="00F16E87" w:rsidRDefault="00A926AD" w:rsidP="00ED42B9">
            <w:pPr>
              <w:rPr>
                <w:sz w:val="20"/>
                <w:szCs w:val="20"/>
              </w:rPr>
            </w:pPr>
            <w:r w:rsidRPr="00F16E87">
              <w:rPr>
                <w:sz w:val="20"/>
                <w:szCs w:val="20"/>
              </w:rPr>
              <w:t xml:space="preserve">Unclear. Have aligned report with end of fishing season for data consistency. </w:t>
            </w:r>
          </w:p>
        </w:tc>
        <w:tc>
          <w:tcPr>
            <w:tcW w:w="3685" w:type="dxa"/>
          </w:tcPr>
          <w:p w14:paraId="7FB48B7C" w14:textId="2A780414" w:rsidR="00A926AD" w:rsidRPr="00F16E87" w:rsidRDefault="00A926AD" w:rsidP="00ED42B9">
            <w:pPr>
              <w:rPr>
                <w:sz w:val="20"/>
                <w:szCs w:val="20"/>
              </w:rPr>
            </w:pPr>
            <w:r w:rsidRPr="00F16E87">
              <w:rPr>
                <w:sz w:val="20"/>
                <w:szCs w:val="20"/>
              </w:rPr>
              <w:t xml:space="preserve">The operation of the commercial dive fishery has continued to be carried out in full accordance with the </w:t>
            </w:r>
            <w:r w:rsidRPr="00F16E87">
              <w:rPr>
                <w:i/>
                <w:iCs/>
                <w:sz w:val="20"/>
                <w:szCs w:val="20"/>
              </w:rPr>
              <w:t>Fisheries (Commercial Dive) Rules 202</w:t>
            </w:r>
            <w:r w:rsidR="006A4677" w:rsidRPr="00F16E87">
              <w:rPr>
                <w:i/>
                <w:iCs/>
                <w:sz w:val="20"/>
                <w:szCs w:val="20"/>
              </w:rPr>
              <w:t>1</w:t>
            </w:r>
            <w:r w:rsidRPr="00F16E87">
              <w:rPr>
                <w:sz w:val="20"/>
                <w:szCs w:val="20"/>
              </w:rPr>
              <w:t xml:space="preserve"> (Tas) in force under the </w:t>
            </w:r>
            <w:r w:rsidRPr="00F16E87">
              <w:rPr>
                <w:i/>
                <w:iCs/>
                <w:sz w:val="20"/>
                <w:szCs w:val="20"/>
              </w:rPr>
              <w:t xml:space="preserve">Living Marine Resources Management Act 1995 </w:t>
            </w:r>
            <w:r w:rsidRPr="00F16E87">
              <w:rPr>
                <w:sz w:val="20"/>
                <w:szCs w:val="20"/>
              </w:rPr>
              <w:t>(Tas).</w:t>
            </w:r>
          </w:p>
        </w:tc>
      </w:tr>
      <w:tr w:rsidR="00A926AD" w:rsidRPr="00F16E87" w14:paraId="4297BF29" w14:textId="77777777" w:rsidTr="00F16E87">
        <w:tc>
          <w:tcPr>
            <w:tcW w:w="3256" w:type="dxa"/>
          </w:tcPr>
          <w:p w14:paraId="68A09D58" w14:textId="77777777" w:rsidR="00A926AD" w:rsidRPr="00F16E87" w:rsidRDefault="00A926AD" w:rsidP="00ED42B9">
            <w:pPr>
              <w:rPr>
                <w:sz w:val="20"/>
                <w:szCs w:val="20"/>
              </w:rPr>
            </w:pPr>
            <w:r w:rsidRPr="00F16E87">
              <w:rPr>
                <w:sz w:val="20"/>
                <w:szCs w:val="20"/>
              </w:rPr>
              <w:t>The NRE Tas to advise [DCCEEW] of any intended amendments to the commercial dive fishery management arrangements that could affect the criteria on which EPBC Act decisions are based, within three months of that change being made.</w:t>
            </w:r>
          </w:p>
        </w:tc>
        <w:tc>
          <w:tcPr>
            <w:tcW w:w="2126" w:type="dxa"/>
          </w:tcPr>
          <w:p w14:paraId="74C12B02" w14:textId="77777777" w:rsidR="00A926AD" w:rsidRPr="00F16E87" w:rsidRDefault="00A926AD" w:rsidP="00ED42B9">
            <w:pPr>
              <w:rPr>
                <w:sz w:val="20"/>
                <w:szCs w:val="20"/>
              </w:rPr>
            </w:pPr>
            <w:r w:rsidRPr="00F16E87">
              <w:rPr>
                <w:sz w:val="20"/>
                <w:szCs w:val="20"/>
              </w:rPr>
              <w:t>Unclear. Have aligned report with end of fishing season for data consistency.</w:t>
            </w:r>
          </w:p>
        </w:tc>
        <w:tc>
          <w:tcPr>
            <w:tcW w:w="3685" w:type="dxa"/>
          </w:tcPr>
          <w:p w14:paraId="6BDB4FC7" w14:textId="1E1443F7" w:rsidR="006A4677" w:rsidRPr="00F16E87" w:rsidRDefault="006A4677" w:rsidP="006A4677">
            <w:pPr>
              <w:rPr>
                <w:sz w:val="20"/>
                <w:szCs w:val="20"/>
              </w:rPr>
            </w:pPr>
            <w:r w:rsidRPr="00F16E87">
              <w:rPr>
                <w:sz w:val="20"/>
                <w:szCs w:val="20"/>
              </w:rPr>
              <w:t xml:space="preserve">Any material changes within the Tasmanian commercial dive fishery management arrangements, which may affect the assessment against which </w:t>
            </w:r>
            <w:r w:rsidRPr="00F16E87">
              <w:rPr>
                <w:i/>
                <w:iCs/>
                <w:sz w:val="20"/>
                <w:szCs w:val="20"/>
              </w:rPr>
              <w:t>Environment Protection and Biodiversity Conservation Act 1999</w:t>
            </w:r>
            <w:r w:rsidRPr="00F16E87">
              <w:rPr>
                <w:sz w:val="20"/>
                <w:szCs w:val="20"/>
              </w:rPr>
              <w:t xml:space="preserve"> (Cth) decisions are made, have been outlined within this document and have been made to strengthen fishery arrangements.</w:t>
            </w:r>
          </w:p>
          <w:p w14:paraId="319BD71A" w14:textId="77777777" w:rsidR="00ED42B9" w:rsidRPr="00F16E87" w:rsidRDefault="00ED42B9" w:rsidP="00ED42B9">
            <w:pPr>
              <w:rPr>
                <w:sz w:val="20"/>
                <w:szCs w:val="20"/>
              </w:rPr>
            </w:pPr>
          </w:p>
        </w:tc>
      </w:tr>
      <w:tr w:rsidR="00A926AD" w:rsidRPr="00F16E87" w14:paraId="7D5057B7" w14:textId="77777777" w:rsidTr="00F16E87">
        <w:tc>
          <w:tcPr>
            <w:tcW w:w="3256" w:type="dxa"/>
          </w:tcPr>
          <w:p w14:paraId="4F3B16FE" w14:textId="77777777" w:rsidR="00A926AD" w:rsidRPr="00F16E87" w:rsidRDefault="00A926AD" w:rsidP="00ED42B9">
            <w:pPr>
              <w:rPr>
                <w:sz w:val="20"/>
                <w:szCs w:val="20"/>
              </w:rPr>
            </w:pPr>
            <w:r w:rsidRPr="00F16E87">
              <w:rPr>
                <w:sz w:val="20"/>
                <w:szCs w:val="20"/>
              </w:rPr>
              <w:t xml:space="preserve">Reports to be produced and presented to [DCCEEW] annually, as per Appendix B to the </w:t>
            </w:r>
            <w:r w:rsidRPr="00F16E87">
              <w:rPr>
                <w:i/>
                <w:iCs/>
                <w:sz w:val="20"/>
                <w:szCs w:val="20"/>
              </w:rPr>
              <w:t>Guidelines for the Ecological Sustainable Management of Fisheries – 2nd Edition</w:t>
            </w:r>
            <w:r w:rsidRPr="00F16E87">
              <w:rPr>
                <w:sz w:val="20"/>
                <w:szCs w:val="20"/>
              </w:rPr>
              <w:t>.</w:t>
            </w:r>
          </w:p>
          <w:p w14:paraId="528D6302" w14:textId="77777777" w:rsidR="00ED42B9" w:rsidRPr="00F16E87" w:rsidRDefault="00ED42B9" w:rsidP="00ED42B9">
            <w:pPr>
              <w:rPr>
                <w:sz w:val="20"/>
                <w:szCs w:val="20"/>
              </w:rPr>
            </w:pPr>
          </w:p>
        </w:tc>
        <w:tc>
          <w:tcPr>
            <w:tcW w:w="2126" w:type="dxa"/>
          </w:tcPr>
          <w:p w14:paraId="151C18C6" w14:textId="77777777" w:rsidR="00A926AD" w:rsidRPr="00F16E87" w:rsidRDefault="00A926AD" w:rsidP="00ED42B9">
            <w:pPr>
              <w:rPr>
                <w:sz w:val="20"/>
                <w:szCs w:val="20"/>
              </w:rPr>
            </w:pPr>
            <w:r w:rsidRPr="00F16E87">
              <w:rPr>
                <w:sz w:val="20"/>
                <w:szCs w:val="20"/>
              </w:rPr>
              <w:t>Unclear. Have aligned report with end of fishing season for data consistency.</w:t>
            </w:r>
          </w:p>
        </w:tc>
        <w:tc>
          <w:tcPr>
            <w:tcW w:w="3685" w:type="dxa"/>
          </w:tcPr>
          <w:p w14:paraId="71EF1D9F" w14:textId="295F90C3" w:rsidR="00A926AD" w:rsidRPr="00F16E87" w:rsidRDefault="006A4677" w:rsidP="00ED42B9">
            <w:pPr>
              <w:rPr>
                <w:sz w:val="20"/>
                <w:szCs w:val="20"/>
              </w:rPr>
            </w:pPr>
            <w:r w:rsidRPr="00F16E87">
              <w:rPr>
                <w:sz w:val="20"/>
                <w:szCs w:val="20"/>
              </w:rPr>
              <w:t>Annual submissions have been made and accepted.</w:t>
            </w:r>
          </w:p>
        </w:tc>
      </w:tr>
    </w:tbl>
    <w:p w14:paraId="0AD7D5EE" w14:textId="77777777" w:rsidR="000C4A49" w:rsidRDefault="000C4A49" w:rsidP="000C4A49">
      <w:pPr>
        <w:rPr>
          <w:color w:val="4000A6"/>
        </w:rPr>
      </w:pPr>
    </w:p>
    <w:p w14:paraId="692D1670" w14:textId="2683015B" w:rsidR="00DA4ADF" w:rsidRPr="006143BD" w:rsidRDefault="00DA4ADF" w:rsidP="00F124CE">
      <w:pPr>
        <w:pBdr>
          <w:bottom w:val="single" w:sz="4" w:space="1" w:color="auto"/>
        </w:pBdr>
      </w:pPr>
      <w:bookmarkStart w:id="58" w:name="_Toc203722716"/>
      <w:r w:rsidRPr="006143BD">
        <w:rPr>
          <w:rStyle w:val="Heading1Char"/>
        </w:rPr>
        <w:t>References</w:t>
      </w:r>
      <w:bookmarkEnd w:id="58"/>
    </w:p>
    <w:p w14:paraId="58362340" w14:textId="4988B24F" w:rsidR="006143BD" w:rsidRPr="00F16E87" w:rsidRDefault="00F16E87" w:rsidP="00647FF6">
      <w:r w:rsidRPr="0094772D">
        <w:t xml:space="preserve">Please use the links </w:t>
      </w:r>
      <w:r w:rsidR="00F124CE">
        <w:t xml:space="preserve">and view footnotes where </w:t>
      </w:r>
      <w:r w:rsidRPr="0094772D">
        <w:t>provided throughout the report.</w:t>
      </w:r>
    </w:p>
    <w:p w14:paraId="2C22AC26" w14:textId="77777777" w:rsidR="006143BD" w:rsidRDefault="006143BD" w:rsidP="00647FF6">
      <w:pPr>
        <w:rPr>
          <w:color w:val="4000A6"/>
        </w:rPr>
      </w:pPr>
      <w:r>
        <w:rPr>
          <w:color w:val="4000A6"/>
        </w:rPr>
        <w:br w:type="page"/>
      </w:r>
    </w:p>
    <w:p w14:paraId="57FBC021" w14:textId="0FFB2BA3" w:rsidR="0027650A" w:rsidRDefault="00B07F7B" w:rsidP="006571DA">
      <w:pPr>
        <w:pStyle w:val="Heading1"/>
      </w:pPr>
      <w:bookmarkStart w:id="59" w:name="_Toc203722717"/>
      <w:r w:rsidRPr="006143BD">
        <w:lastRenderedPageBreak/>
        <w:t>Append</w:t>
      </w:r>
      <w:r>
        <w:t>ed Data Tables</w:t>
      </w:r>
      <w:bookmarkEnd w:id="59"/>
    </w:p>
    <w:p w14:paraId="4C5799F0" w14:textId="77777777" w:rsidR="00B45BEB" w:rsidRDefault="00B45BEB" w:rsidP="00B45BEB">
      <w:pPr>
        <w:pStyle w:val="Heading2"/>
      </w:pPr>
      <w:bookmarkStart w:id="60" w:name="_Toc203722718"/>
      <w:r w:rsidRPr="00352F2D">
        <w:t>APPENDIX 1</w:t>
      </w:r>
      <w:r>
        <w:t xml:space="preserve"> – Retained catch data (target and byproduct species)</w:t>
      </w:r>
      <w:bookmarkEnd w:id="60"/>
    </w:p>
    <w:p w14:paraId="30AFBBDC" w14:textId="6255E2DC" w:rsidR="0017611C" w:rsidRPr="00F16E87" w:rsidRDefault="0017611C" w:rsidP="0017611C">
      <w:pPr>
        <w:rPr>
          <w:rFonts w:cstheme="minorHAnsi"/>
          <w:sz w:val="20"/>
          <w:szCs w:val="18"/>
        </w:rPr>
      </w:pPr>
      <w:bookmarkStart w:id="61" w:name="_Hlk201862528"/>
      <w:r w:rsidRPr="00F16E87">
        <w:rPr>
          <w:rFonts w:cstheme="minorHAnsi"/>
          <w:sz w:val="20"/>
          <w:szCs w:val="18"/>
        </w:rPr>
        <w:t xml:space="preserve">Table </w:t>
      </w:r>
      <w:r w:rsidR="00F16E87" w:rsidRPr="00F16E87">
        <w:rPr>
          <w:rFonts w:cstheme="minorHAnsi"/>
          <w:sz w:val="20"/>
          <w:szCs w:val="18"/>
        </w:rPr>
        <w:t>3</w:t>
      </w:r>
      <w:r w:rsidRPr="00F16E87">
        <w:rPr>
          <w:rFonts w:cstheme="minorHAnsi"/>
          <w:sz w:val="20"/>
          <w:szCs w:val="18"/>
        </w:rPr>
        <w:t xml:space="preserve">: Comparison of Tasmanian Commercial Dive Fishery harvests across recent seasons, noting that a season runs from 1 September to 31 August of the following year, and the reported unit is kilograms. </w:t>
      </w:r>
      <w:r w:rsidR="001A1A2E">
        <w:rPr>
          <w:rFonts w:cstheme="minorHAnsi"/>
          <w:sz w:val="20"/>
          <w:szCs w:val="18"/>
        </w:rPr>
        <w:t xml:space="preserve">Note, </w:t>
      </w:r>
      <w:r w:rsidR="001A1A2E" w:rsidRPr="001A1A2E">
        <w:rPr>
          <w:rFonts w:cstheme="minorHAnsi"/>
          <w:sz w:val="20"/>
          <w:szCs w:val="18"/>
        </w:rPr>
        <w:t>t</w:t>
      </w:r>
      <w:r w:rsidRPr="001A1A2E">
        <w:rPr>
          <w:rFonts w:cstheme="minorHAnsi"/>
          <w:sz w:val="20"/>
          <w:szCs w:val="18"/>
        </w:rPr>
        <w:t>he 2024</w:t>
      </w:r>
      <w:r w:rsidR="001A1A2E">
        <w:rPr>
          <w:rFonts w:cstheme="minorHAnsi"/>
          <w:sz w:val="20"/>
          <w:szCs w:val="18"/>
        </w:rPr>
        <w:t>-</w:t>
      </w:r>
      <w:r w:rsidRPr="001A1A2E">
        <w:rPr>
          <w:rFonts w:cstheme="minorHAnsi"/>
          <w:sz w:val="20"/>
          <w:szCs w:val="18"/>
        </w:rPr>
        <w:t>25 season data is current only to June 2025.</w:t>
      </w:r>
    </w:p>
    <w:tbl>
      <w:tblPr>
        <w:tblStyle w:val="TableGrid"/>
        <w:tblW w:w="0" w:type="auto"/>
        <w:tblLook w:val="04A0" w:firstRow="1" w:lastRow="0" w:firstColumn="1" w:lastColumn="0" w:noHBand="0" w:noVBand="1"/>
      </w:tblPr>
      <w:tblGrid>
        <w:gridCol w:w="473"/>
        <w:gridCol w:w="2357"/>
        <w:gridCol w:w="1031"/>
        <w:gridCol w:w="1031"/>
        <w:gridCol w:w="1031"/>
        <w:gridCol w:w="1031"/>
        <w:gridCol w:w="1031"/>
        <w:gridCol w:w="1031"/>
      </w:tblGrid>
      <w:tr w:rsidR="0017611C" w:rsidRPr="006E0E48" w14:paraId="5EA3678B" w14:textId="77777777" w:rsidTr="003C1533">
        <w:trPr>
          <w:trHeight w:val="375"/>
        </w:trPr>
        <w:tc>
          <w:tcPr>
            <w:tcW w:w="473" w:type="dxa"/>
          </w:tcPr>
          <w:p w14:paraId="60C6A4F6" w14:textId="77777777" w:rsidR="0017611C" w:rsidRPr="006E0E48" w:rsidRDefault="0017611C" w:rsidP="003C1533">
            <w:pPr>
              <w:jc w:val="center"/>
              <w:rPr>
                <w:rFonts w:cs="Arial"/>
                <w:b/>
                <w:sz w:val="20"/>
                <w:szCs w:val="18"/>
              </w:rPr>
            </w:pPr>
          </w:p>
        </w:tc>
        <w:tc>
          <w:tcPr>
            <w:tcW w:w="8543" w:type="dxa"/>
            <w:gridSpan w:val="7"/>
          </w:tcPr>
          <w:p w14:paraId="3FB35A7E" w14:textId="77777777" w:rsidR="0017611C" w:rsidRPr="006E0E48" w:rsidRDefault="0017611C" w:rsidP="003C1533">
            <w:pPr>
              <w:jc w:val="center"/>
              <w:rPr>
                <w:rFonts w:cs="Arial"/>
                <w:b/>
                <w:sz w:val="20"/>
                <w:szCs w:val="18"/>
              </w:rPr>
            </w:pPr>
            <w:r w:rsidRPr="006E0E48">
              <w:rPr>
                <w:rFonts w:cs="Arial"/>
                <w:b/>
                <w:sz w:val="20"/>
                <w:szCs w:val="18"/>
              </w:rPr>
              <w:t>Season (1 Sept – 31 Aug)</w:t>
            </w:r>
          </w:p>
        </w:tc>
      </w:tr>
      <w:tr w:rsidR="0017611C" w:rsidRPr="006E0E48" w14:paraId="74F35FD3" w14:textId="77777777" w:rsidTr="003C1533">
        <w:tc>
          <w:tcPr>
            <w:tcW w:w="473" w:type="dxa"/>
            <w:vMerge w:val="restart"/>
            <w:textDirection w:val="btLr"/>
          </w:tcPr>
          <w:p w14:paraId="3DC81C2F" w14:textId="77777777" w:rsidR="0017611C" w:rsidRPr="006E0E48" w:rsidRDefault="0017611C" w:rsidP="000F0F51">
            <w:pPr>
              <w:ind w:left="113" w:right="113"/>
              <w:jc w:val="center"/>
              <w:rPr>
                <w:rFonts w:cs="Arial"/>
                <w:b/>
                <w:sz w:val="20"/>
                <w:szCs w:val="18"/>
              </w:rPr>
            </w:pPr>
            <w:r w:rsidRPr="006E0E48">
              <w:rPr>
                <w:rFonts w:cs="Arial"/>
                <w:b/>
                <w:sz w:val="20"/>
                <w:szCs w:val="18"/>
              </w:rPr>
              <w:t>Species</w:t>
            </w:r>
          </w:p>
        </w:tc>
        <w:tc>
          <w:tcPr>
            <w:tcW w:w="2357" w:type="dxa"/>
          </w:tcPr>
          <w:p w14:paraId="40EE0500" w14:textId="77777777" w:rsidR="0017611C" w:rsidRPr="006E0E48" w:rsidRDefault="0017611C" w:rsidP="003C1533">
            <w:pPr>
              <w:rPr>
                <w:rFonts w:cs="Arial"/>
                <w:b/>
                <w:sz w:val="20"/>
                <w:szCs w:val="18"/>
              </w:rPr>
            </w:pPr>
          </w:p>
        </w:tc>
        <w:tc>
          <w:tcPr>
            <w:tcW w:w="1031" w:type="dxa"/>
          </w:tcPr>
          <w:p w14:paraId="0642A73F" w14:textId="77777777" w:rsidR="0017611C" w:rsidRPr="006E0E48" w:rsidRDefault="0017611C" w:rsidP="003C1533">
            <w:pPr>
              <w:rPr>
                <w:rFonts w:cs="Arial"/>
                <w:b/>
                <w:sz w:val="20"/>
                <w:szCs w:val="18"/>
              </w:rPr>
            </w:pPr>
            <w:r w:rsidRPr="006E0E48">
              <w:rPr>
                <w:rFonts w:cs="Arial"/>
                <w:b/>
                <w:sz w:val="20"/>
                <w:szCs w:val="18"/>
              </w:rPr>
              <w:t>2019-20</w:t>
            </w:r>
          </w:p>
        </w:tc>
        <w:tc>
          <w:tcPr>
            <w:tcW w:w="1031" w:type="dxa"/>
          </w:tcPr>
          <w:p w14:paraId="4616D1FC" w14:textId="77777777" w:rsidR="0017611C" w:rsidRPr="006E0E48" w:rsidRDefault="0017611C" w:rsidP="003C1533">
            <w:pPr>
              <w:rPr>
                <w:rFonts w:cs="Arial"/>
                <w:b/>
                <w:sz w:val="20"/>
                <w:szCs w:val="18"/>
              </w:rPr>
            </w:pPr>
            <w:r w:rsidRPr="006E0E48">
              <w:rPr>
                <w:rFonts w:cs="Arial"/>
                <w:b/>
                <w:sz w:val="20"/>
                <w:szCs w:val="18"/>
              </w:rPr>
              <w:t>2020-21</w:t>
            </w:r>
          </w:p>
        </w:tc>
        <w:tc>
          <w:tcPr>
            <w:tcW w:w="1031" w:type="dxa"/>
          </w:tcPr>
          <w:p w14:paraId="74828FED" w14:textId="77777777" w:rsidR="0017611C" w:rsidRPr="006E0E48" w:rsidRDefault="0017611C" w:rsidP="003C1533">
            <w:pPr>
              <w:rPr>
                <w:rFonts w:cs="Arial"/>
                <w:b/>
                <w:sz w:val="20"/>
                <w:szCs w:val="18"/>
              </w:rPr>
            </w:pPr>
            <w:r w:rsidRPr="006E0E48">
              <w:rPr>
                <w:rFonts w:cs="Arial"/>
                <w:b/>
                <w:sz w:val="20"/>
                <w:szCs w:val="18"/>
              </w:rPr>
              <w:t>2021-22</w:t>
            </w:r>
          </w:p>
        </w:tc>
        <w:tc>
          <w:tcPr>
            <w:tcW w:w="1031" w:type="dxa"/>
          </w:tcPr>
          <w:p w14:paraId="4FD88011" w14:textId="77777777" w:rsidR="0017611C" w:rsidRPr="006E0E48" w:rsidRDefault="0017611C" w:rsidP="003C1533">
            <w:pPr>
              <w:rPr>
                <w:rFonts w:cs="Arial"/>
                <w:b/>
                <w:sz w:val="20"/>
                <w:szCs w:val="18"/>
              </w:rPr>
            </w:pPr>
            <w:r w:rsidRPr="006E0E48">
              <w:rPr>
                <w:rFonts w:cs="Arial"/>
                <w:b/>
                <w:sz w:val="20"/>
                <w:szCs w:val="18"/>
              </w:rPr>
              <w:t>2022-23</w:t>
            </w:r>
          </w:p>
        </w:tc>
        <w:tc>
          <w:tcPr>
            <w:tcW w:w="1031" w:type="dxa"/>
          </w:tcPr>
          <w:p w14:paraId="3FB5E784" w14:textId="77777777" w:rsidR="0017611C" w:rsidRPr="006E0E48" w:rsidRDefault="0017611C" w:rsidP="003C1533">
            <w:pPr>
              <w:rPr>
                <w:rFonts w:cs="Arial"/>
                <w:b/>
                <w:sz w:val="20"/>
                <w:szCs w:val="18"/>
              </w:rPr>
            </w:pPr>
            <w:r w:rsidRPr="006E0E48">
              <w:rPr>
                <w:rFonts w:cs="Arial"/>
                <w:b/>
                <w:sz w:val="20"/>
                <w:szCs w:val="18"/>
              </w:rPr>
              <w:t>2023-24</w:t>
            </w:r>
          </w:p>
        </w:tc>
        <w:tc>
          <w:tcPr>
            <w:tcW w:w="1031" w:type="dxa"/>
          </w:tcPr>
          <w:p w14:paraId="407F768A" w14:textId="77777777" w:rsidR="0017611C" w:rsidRPr="006E0E48" w:rsidRDefault="0017611C" w:rsidP="003C1533">
            <w:pPr>
              <w:rPr>
                <w:rFonts w:cs="Arial"/>
                <w:b/>
                <w:sz w:val="20"/>
                <w:szCs w:val="18"/>
              </w:rPr>
            </w:pPr>
            <w:r w:rsidRPr="006E0E48">
              <w:rPr>
                <w:rFonts w:cs="Arial"/>
                <w:b/>
                <w:sz w:val="20"/>
                <w:szCs w:val="18"/>
              </w:rPr>
              <w:t>2024-25*</w:t>
            </w:r>
          </w:p>
        </w:tc>
      </w:tr>
      <w:tr w:rsidR="0017611C" w14:paraId="394825A9" w14:textId="77777777" w:rsidTr="000F0F51">
        <w:trPr>
          <w:trHeight w:val="412"/>
        </w:trPr>
        <w:tc>
          <w:tcPr>
            <w:tcW w:w="473" w:type="dxa"/>
            <w:vMerge/>
          </w:tcPr>
          <w:p w14:paraId="37B01DBC" w14:textId="77777777" w:rsidR="0017611C" w:rsidRPr="006E0E48" w:rsidRDefault="0017611C" w:rsidP="003C1533">
            <w:pPr>
              <w:rPr>
                <w:rFonts w:cs="Arial"/>
                <w:b/>
                <w:bCs/>
                <w:sz w:val="20"/>
                <w:szCs w:val="18"/>
              </w:rPr>
            </w:pPr>
          </w:p>
        </w:tc>
        <w:tc>
          <w:tcPr>
            <w:tcW w:w="2357" w:type="dxa"/>
          </w:tcPr>
          <w:p w14:paraId="7A718757" w14:textId="77777777" w:rsidR="0017611C" w:rsidRPr="006E0E48" w:rsidRDefault="0017611C" w:rsidP="003C1533">
            <w:pPr>
              <w:rPr>
                <w:rFonts w:cs="Arial"/>
                <w:b/>
                <w:bCs/>
                <w:sz w:val="20"/>
                <w:szCs w:val="18"/>
              </w:rPr>
            </w:pPr>
            <w:r w:rsidRPr="006E0E48">
              <w:rPr>
                <w:rFonts w:cs="Arial"/>
                <w:b/>
                <w:bCs/>
                <w:sz w:val="20"/>
                <w:szCs w:val="18"/>
              </w:rPr>
              <w:t>Periwinkles</w:t>
            </w:r>
          </w:p>
        </w:tc>
        <w:tc>
          <w:tcPr>
            <w:tcW w:w="1031" w:type="dxa"/>
          </w:tcPr>
          <w:p w14:paraId="706210D5" w14:textId="77777777" w:rsidR="0017611C" w:rsidRDefault="0017611C" w:rsidP="00E851E5">
            <w:pPr>
              <w:jc w:val="right"/>
              <w:rPr>
                <w:rFonts w:cs="Arial"/>
                <w:sz w:val="20"/>
                <w:szCs w:val="18"/>
              </w:rPr>
            </w:pPr>
            <w:r>
              <w:rPr>
                <w:rFonts w:cs="Arial"/>
                <w:sz w:val="20"/>
                <w:szCs w:val="18"/>
              </w:rPr>
              <w:t>42,531</w:t>
            </w:r>
          </w:p>
        </w:tc>
        <w:tc>
          <w:tcPr>
            <w:tcW w:w="1031" w:type="dxa"/>
          </w:tcPr>
          <w:p w14:paraId="7D2CC1DF" w14:textId="77777777" w:rsidR="0017611C" w:rsidRDefault="0017611C" w:rsidP="00E851E5">
            <w:pPr>
              <w:jc w:val="right"/>
              <w:rPr>
                <w:rFonts w:cs="Arial"/>
                <w:sz w:val="20"/>
                <w:szCs w:val="18"/>
              </w:rPr>
            </w:pPr>
            <w:r>
              <w:rPr>
                <w:rFonts w:cs="Arial"/>
                <w:sz w:val="20"/>
                <w:szCs w:val="18"/>
              </w:rPr>
              <w:t>41,683</w:t>
            </w:r>
          </w:p>
        </w:tc>
        <w:tc>
          <w:tcPr>
            <w:tcW w:w="1031" w:type="dxa"/>
          </w:tcPr>
          <w:p w14:paraId="39168A03" w14:textId="77777777" w:rsidR="0017611C" w:rsidRDefault="0017611C" w:rsidP="00E851E5">
            <w:pPr>
              <w:jc w:val="right"/>
              <w:rPr>
                <w:rFonts w:cs="Arial"/>
                <w:sz w:val="20"/>
                <w:szCs w:val="18"/>
              </w:rPr>
            </w:pPr>
            <w:r>
              <w:rPr>
                <w:rFonts w:cs="Arial"/>
                <w:sz w:val="20"/>
                <w:szCs w:val="18"/>
              </w:rPr>
              <w:t>43,429</w:t>
            </w:r>
          </w:p>
        </w:tc>
        <w:tc>
          <w:tcPr>
            <w:tcW w:w="1031" w:type="dxa"/>
          </w:tcPr>
          <w:p w14:paraId="30B974A0" w14:textId="77777777" w:rsidR="0017611C" w:rsidRDefault="0017611C" w:rsidP="00E851E5">
            <w:pPr>
              <w:jc w:val="right"/>
              <w:rPr>
                <w:rFonts w:cs="Arial"/>
                <w:sz w:val="20"/>
                <w:szCs w:val="18"/>
              </w:rPr>
            </w:pPr>
            <w:r>
              <w:rPr>
                <w:rFonts w:cs="Arial"/>
                <w:sz w:val="20"/>
                <w:szCs w:val="18"/>
              </w:rPr>
              <w:t>32,714</w:t>
            </w:r>
          </w:p>
        </w:tc>
        <w:tc>
          <w:tcPr>
            <w:tcW w:w="1031" w:type="dxa"/>
          </w:tcPr>
          <w:p w14:paraId="55BBE84E" w14:textId="77777777" w:rsidR="0017611C" w:rsidRDefault="0017611C" w:rsidP="00E851E5">
            <w:pPr>
              <w:jc w:val="right"/>
              <w:rPr>
                <w:rFonts w:cs="Arial"/>
                <w:sz w:val="20"/>
                <w:szCs w:val="18"/>
              </w:rPr>
            </w:pPr>
            <w:r>
              <w:rPr>
                <w:rFonts w:cs="Arial"/>
                <w:sz w:val="20"/>
                <w:szCs w:val="18"/>
              </w:rPr>
              <w:t>24,801</w:t>
            </w:r>
          </w:p>
        </w:tc>
        <w:tc>
          <w:tcPr>
            <w:tcW w:w="1031" w:type="dxa"/>
          </w:tcPr>
          <w:p w14:paraId="24CBCB6F" w14:textId="77777777" w:rsidR="0017611C" w:rsidRDefault="0017611C" w:rsidP="00E851E5">
            <w:pPr>
              <w:jc w:val="right"/>
              <w:rPr>
                <w:rFonts w:cs="Arial"/>
                <w:sz w:val="20"/>
                <w:szCs w:val="18"/>
              </w:rPr>
            </w:pPr>
            <w:r>
              <w:rPr>
                <w:rFonts w:cs="Arial"/>
                <w:sz w:val="20"/>
                <w:szCs w:val="18"/>
              </w:rPr>
              <w:t>9,633</w:t>
            </w:r>
          </w:p>
        </w:tc>
      </w:tr>
      <w:tr w:rsidR="0017611C" w14:paraId="6CBB564B" w14:textId="77777777" w:rsidTr="000F0F51">
        <w:trPr>
          <w:trHeight w:val="419"/>
        </w:trPr>
        <w:tc>
          <w:tcPr>
            <w:tcW w:w="473" w:type="dxa"/>
            <w:vMerge/>
          </w:tcPr>
          <w:p w14:paraId="1FD9910C" w14:textId="77777777" w:rsidR="0017611C" w:rsidRPr="006E0E48" w:rsidRDefault="0017611C" w:rsidP="003C1533">
            <w:pPr>
              <w:rPr>
                <w:rFonts w:cs="Arial"/>
                <w:b/>
                <w:bCs/>
                <w:sz w:val="20"/>
                <w:szCs w:val="18"/>
              </w:rPr>
            </w:pPr>
          </w:p>
        </w:tc>
        <w:tc>
          <w:tcPr>
            <w:tcW w:w="2357" w:type="dxa"/>
          </w:tcPr>
          <w:p w14:paraId="789E4C3A" w14:textId="77777777" w:rsidR="0017611C" w:rsidRPr="006E0E48" w:rsidRDefault="0017611C" w:rsidP="003C1533">
            <w:pPr>
              <w:rPr>
                <w:rFonts w:cs="Arial"/>
                <w:b/>
                <w:bCs/>
                <w:sz w:val="20"/>
                <w:szCs w:val="18"/>
              </w:rPr>
            </w:pPr>
            <w:r w:rsidRPr="006E0E48">
              <w:rPr>
                <w:rFonts w:cs="Arial"/>
                <w:b/>
                <w:bCs/>
                <w:sz w:val="20"/>
                <w:szCs w:val="18"/>
              </w:rPr>
              <w:t>Shortspined Sea Urchin</w:t>
            </w:r>
          </w:p>
        </w:tc>
        <w:tc>
          <w:tcPr>
            <w:tcW w:w="1031" w:type="dxa"/>
          </w:tcPr>
          <w:p w14:paraId="6BDF4939" w14:textId="77777777" w:rsidR="0017611C" w:rsidRDefault="0017611C" w:rsidP="00E851E5">
            <w:pPr>
              <w:jc w:val="right"/>
              <w:rPr>
                <w:rFonts w:cs="Arial"/>
                <w:sz w:val="20"/>
                <w:szCs w:val="18"/>
              </w:rPr>
            </w:pPr>
            <w:r>
              <w:rPr>
                <w:rFonts w:cs="Arial"/>
                <w:sz w:val="20"/>
                <w:szCs w:val="18"/>
              </w:rPr>
              <w:t>100,038</w:t>
            </w:r>
          </w:p>
        </w:tc>
        <w:tc>
          <w:tcPr>
            <w:tcW w:w="1031" w:type="dxa"/>
          </w:tcPr>
          <w:p w14:paraId="70090F28" w14:textId="77777777" w:rsidR="0017611C" w:rsidRDefault="0017611C" w:rsidP="00E851E5">
            <w:pPr>
              <w:jc w:val="right"/>
              <w:rPr>
                <w:rFonts w:cs="Arial"/>
                <w:sz w:val="20"/>
                <w:szCs w:val="18"/>
              </w:rPr>
            </w:pPr>
            <w:r>
              <w:rPr>
                <w:rFonts w:cs="Arial"/>
                <w:sz w:val="20"/>
                <w:szCs w:val="18"/>
              </w:rPr>
              <w:t>90,014</w:t>
            </w:r>
          </w:p>
        </w:tc>
        <w:tc>
          <w:tcPr>
            <w:tcW w:w="1031" w:type="dxa"/>
          </w:tcPr>
          <w:p w14:paraId="269770B0" w14:textId="77777777" w:rsidR="0017611C" w:rsidRDefault="0017611C" w:rsidP="00E851E5">
            <w:pPr>
              <w:jc w:val="right"/>
              <w:rPr>
                <w:rFonts w:cs="Arial"/>
                <w:sz w:val="20"/>
                <w:szCs w:val="18"/>
              </w:rPr>
            </w:pPr>
            <w:r>
              <w:rPr>
                <w:rFonts w:cs="Arial"/>
                <w:sz w:val="20"/>
                <w:szCs w:val="18"/>
              </w:rPr>
              <w:t>107,180</w:t>
            </w:r>
          </w:p>
        </w:tc>
        <w:tc>
          <w:tcPr>
            <w:tcW w:w="1031" w:type="dxa"/>
          </w:tcPr>
          <w:p w14:paraId="1ACACCDB" w14:textId="77777777" w:rsidR="0017611C" w:rsidRDefault="0017611C" w:rsidP="00E851E5">
            <w:pPr>
              <w:jc w:val="right"/>
              <w:rPr>
                <w:rFonts w:cs="Arial"/>
                <w:sz w:val="20"/>
                <w:szCs w:val="18"/>
              </w:rPr>
            </w:pPr>
            <w:r>
              <w:rPr>
                <w:rFonts w:cs="Arial"/>
                <w:sz w:val="20"/>
                <w:szCs w:val="18"/>
              </w:rPr>
              <w:t>129,719</w:t>
            </w:r>
          </w:p>
        </w:tc>
        <w:tc>
          <w:tcPr>
            <w:tcW w:w="1031" w:type="dxa"/>
          </w:tcPr>
          <w:p w14:paraId="7121BAE2" w14:textId="77777777" w:rsidR="0017611C" w:rsidRDefault="0017611C" w:rsidP="00E851E5">
            <w:pPr>
              <w:jc w:val="right"/>
              <w:rPr>
                <w:rFonts w:cs="Arial"/>
                <w:sz w:val="20"/>
                <w:szCs w:val="18"/>
              </w:rPr>
            </w:pPr>
            <w:r>
              <w:rPr>
                <w:rFonts w:cs="Arial"/>
                <w:sz w:val="20"/>
                <w:szCs w:val="18"/>
              </w:rPr>
              <w:t>94,464</w:t>
            </w:r>
          </w:p>
        </w:tc>
        <w:tc>
          <w:tcPr>
            <w:tcW w:w="1031" w:type="dxa"/>
          </w:tcPr>
          <w:p w14:paraId="360B5B53" w14:textId="77777777" w:rsidR="0017611C" w:rsidRDefault="0017611C" w:rsidP="00E851E5">
            <w:pPr>
              <w:jc w:val="right"/>
              <w:rPr>
                <w:rFonts w:cs="Arial"/>
                <w:sz w:val="20"/>
                <w:szCs w:val="18"/>
              </w:rPr>
            </w:pPr>
            <w:r>
              <w:rPr>
                <w:rFonts w:cs="Arial"/>
                <w:sz w:val="20"/>
                <w:szCs w:val="18"/>
              </w:rPr>
              <w:t>33,627</w:t>
            </w:r>
          </w:p>
        </w:tc>
      </w:tr>
      <w:tr w:rsidR="0017611C" w14:paraId="1B569B53" w14:textId="77777777" w:rsidTr="000F0F51">
        <w:trPr>
          <w:trHeight w:val="411"/>
        </w:trPr>
        <w:tc>
          <w:tcPr>
            <w:tcW w:w="473" w:type="dxa"/>
            <w:vMerge/>
          </w:tcPr>
          <w:p w14:paraId="69EA5E99" w14:textId="77777777" w:rsidR="0017611C" w:rsidRPr="006E0E48" w:rsidRDefault="0017611C" w:rsidP="003C1533">
            <w:pPr>
              <w:rPr>
                <w:rFonts w:cs="Arial"/>
                <w:b/>
                <w:bCs/>
                <w:sz w:val="20"/>
                <w:szCs w:val="18"/>
              </w:rPr>
            </w:pPr>
          </w:p>
        </w:tc>
        <w:tc>
          <w:tcPr>
            <w:tcW w:w="2357" w:type="dxa"/>
          </w:tcPr>
          <w:p w14:paraId="5F3C0E63" w14:textId="77777777" w:rsidR="0017611C" w:rsidRPr="006E0E48" w:rsidRDefault="0017611C" w:rsidP="003C1533">
            <w:pPr>
              <w:rPr>
                <w:rFonts w:cs="Arial"/>
                <w:b/>
                <w:bCs/>
                <w:sz w:val="20"/>
                <w:szCs w:val="18"/>
              </w:rPr>
            </w:pPr>
            <w:r w:rsidRPr="006E0E48">
              <w:rPr>
                <w:rFonts w:cs="Arial"/>
                <w:b/>
                <w:bCs/>
                <w:sz w:val="20"/>
                <w:szCs w:val="18"/>
              </w:rPr>
              <w:t>Longspined Sea Urchin</w:t>
            </w:r>
          </w:p>
        </w:tc>
        <w:tc>
          <w:tcPr>
            <w:tcW w:w="1031" w:type="dxa"/>
          </w:tcPr>
          <w:p w14:paraId="1E00E101" w14:textId="77777777" w:rsidR="0017611C" w:rsidRDefault="0017611C" w:rsidP="00E851E5">
            <w:pPr>
              <w:jc w:val="right"/>
              <w:rPr>
                <w:rFonts w:cs="Arial"/>
                <w:sz w:val="20"/>
                <w:szCs w:val="18"/>
              </w:rPr>
            </w:pPr>
            <w:r>
              <w:rPr>
                <w:rFonts w:cs="Arial"/>
                <w:sz w:val="20"/>
                <w:szCs w:val="18"/>
              </w:rPr>
              <w:t>360,527</w:t>
            </w:r>
          </w:p>
        </w:tc>
        <w:tc>
          <w:tcPr>
            <w:tcW w:w="1031" w:type="dxa"/>
          </w:tcPr>
          <w:p w14:paraId="22C4B291" w14:textId="77777777" w:rsidR="0017611C" w:rsidRDefault="0017611C" w:rsidP="00E851E5">
            <w:pPr>
              <w:jc w:val="right"/>
              <w:rPr>
                <w:rFonts w:cs="Arial"/>
                <w:sz w:val="20"/>
                <w:szCs w:val="18"/>
              </w:rPr>
            </w:pPr>
            <w:r>
              <w:rPr>
                <w:rFonts w:cs="Arial"/>
                <w:sz w:val="20"/>
                <w:szCs w:val="18"/>
              </w:rPr>
              <w:t>497,150</w:t>
            </w:r>
          </w:p>
        </w:tc>
        <w:tc>
          <w:tcPr>
            <w:tcW w:w="1031" w:type="dxa"/>
          </w:tcPr>
          <w:p w14:paraId="6F0317ED" w14:textId="77777777" w:rsidR="0017611C" w:rsidRDefault="0017611C" w:rsidP="00E851E5">
            <w:pPr>
              <w:jc w:val="right"/>
              <w:rPr>
                <w:rFonts w:cs="Arial"/>
                <w:sz w:val="20"/>
                <w:szCs w:val="18"/>
              </w:rPr>
            </w:pPr>
            <w:r>
              <w:rPr>
                <w:rFonts w:cs="Arial"/>
                <w:sz w:val="20"/>
                <w:szCs w:val="18"/>
              </w:rPr>
              <w:t>494,154</w:t>
            </w:r>
          </w:p>
        </w:tc>
        <w:tc>
          <w:tcPr>
            <w:tcW w:w="1031" w:type="dxa"/>
          </w:tcPr>
          <w:p w14:paraId="64B9C23A" w14:textId="77777777" w:rsidR="0017611C" w:rsidRDefault="0017611C" w:rsidP="00E851E5">
            <w:pPr>
              <w:jc w:val="right"/>
              <w:rPr>
                <w:rFonts w:cs="Arial"/>
                <w:sz w:val="20"/>
                <w:szCs w:val="18"/>
              </w:rPr>
            </w:pPr>
            <w:r>
              <w:rPr>
                <w:rFonts w:cs="Arial"/>
                <w:sz w:val="20"/>
                <w:szCs w:val="18"/>
              </w:rPr>
              <w:t>548,860</w:t>
            </w:r>
          </w:p>
        </w:tc>
        <w:tc>
          <w:tcPr>
            <w:tcW w:w="1031" w:type="dxa"/>
          </w:tcPr>
          <w:p w14:paraId="455D10E6" w14:textId="77777777" w:rsidR="0017611C" w:rsidRDefault="0017611C" w:rsidP="00E851E5">
            <w:pPr>
              <w:jc w:val="right"/>
              <w:rPr>
                <w:rFonts w:cs="Arial"/>
                <w:sz w:val="20"/>
                <w:szCs w:val="18"/>
              </w:rPr>
            </w:pPr>
            <w:r>
              <w:rPr>
                <w:rFonts w:cs="Arial"/>
                <w:sz w:val="20"/>
                <w:szCs w:val="18"/>
              </w:rPr>
              <w:t>387,909</w:t>
            </w:r>
          </w:p>
        </w:tc>
        <w:tc>
          <w:tcPr>
            <w:tcW w:w="1031" w:type="dxa"/>
          </w:tcPr>
          <w:p w14:paraId="1E5E1BA0" w14:textId="77777777" w:rsidR="0017611C" w:rsidRDefault="0017611C" w:rsidP="00E851E5">
            <w:pPr>
              <w:jc w:val="right"/>
              <w:rPr>
                <w:rFonts w:cs="Arial"/>
                <w:sz w:val="20"/>
                <w:szCs w:val="18"/>
              </w:rPr>
            </w:pPr>
            <w:r>
              <w:rPr>
                <w:rFonts w:cs="Arial"/>
                <w:sz w:val="20"/>
                <w:szCs w:val="18"/>
              </w:rPr>
              <w:t>262,956</w:t>
            </w:r>
          </w:p>
        </w:tc>
      </w:tr>
    </w:tbl>
    <w:p w14:paraId="40E5414E" w14:textId="64917C97" w:rsidR="00B07F7B" w:rsidRDefault="00B07F7B" w:rsidP="00E57B7A">
      <w:pPr>
        <w:rPr>
          <w:color w:val="7030A0"/>
        </w:rPr>
      </w:pPr>
    </w:p>
    <w:p w14:paraId="4BB13F80" w14:textId="31978586" w:rsidR="00C26D79" w:rsidRDefault="008B2554" w:rsidP="00E57B7A">
      <w:r w:rsidRPr="008B2554">
        <w:rPr>
          <w:noProof/>
        </w:rPr>
        <w:drawing>
          <wp:inline distT="0" distB="0" distL="0" distR="0" wp14:anchorId="1CEA3495" wp14:editId="5E85D968">
            <wp:extent cx="5731510" cy="1948815"/>
            <wp:effectExtent l="0" t="0" r="2540" b="0"/>
            <wp:docPr id="14221878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187853" name=""/>
                    <pic:cNvPicPr/>
                  </pic:nvPicPr>
                  <pic:blipFill>
                    <a:blip r:embed="rId82"/>
                    <a:stretch>
                      <a:fillRect/>
                    </a:stretch>
                  </pic:blipFill>
                  <pic:spPr>
                    <a:xfrm>
                      <a:off x="0" y="0"/>
                      <a:ext cx="5731510" cy="1948815"/>
                    </a:xfrm>
                    <a:prstGeom prst="rect">
                      <a:avLst/>
                    </a:prstGeom>
                  </pic:spPr>
                </pic:pic>
              </a:graphicData>
            </a:graphic>
          </wp:inline>
        </w:drawing>
      </w:r>
    </w:p>
    <w:p w14:paraId="35398D3B" w14:textId="6217D221" w:rsidR="008B2554" w:rsidRDefault="008B2554" w:rsidP="008B2554">
      <w:pPr>
        <w:rPr>
          <w:rFonts w:cs="Arial"/>
          <w:sz w:val="20"/>
          <w:szCs w:val="18"/>
        </w:rPr>
      </w:pPr>
      <w:r w:rsidRPr="00856AE6">
        <w:rPr>
          <w:rFonts w:cs="Arial"/>
          <w:sz w:val="20"/>
          <w:szCs w:val="18"/>
        </w:rPr>
        <w:t xml:space="preserve">Figure 1: Comparison of </w:t>
      </w:r>
      <w:r w:rsidR="00DB1B46">
        <w:rPr>
          <w:rFonts w:cs="Arial"/>
          <w:sz w:val="20"/>
          <w:szCs w:val="18"/>
        </w:rPr>
        <w:t>P</w:t>
      </w:r>
      <w:r w:rsidRPr="00856AE6">
        <w:rPr>
          <w:rFonts w:cs="Arial"/>
          <w:sz w:val="20"/>
          <w:szCs w:val="18"/>
        </w:rPr>
        <w:t>eriwinkle harvests across recent seasons, noting that a season runs from 1 September to 31 August of the following year, and the reported unit is kilograms.</w:t>
      </w:r>
      <w:r>
        <w:rPr>
          <w:rFonts w:cs="Arial"/>
          <w:sz w:val="20"/>
          <w:szCs w:val="18"/>
        </w:rPr>
        <w:t xml:space="preserve"> </w:t>
      </w:r>
      <w:r w:rsidR="001A1A2E">
        <w:rPr>
          <w:rFonts w:cs="Arial"/>
          <w:sz w:val="20"/>
          <w:szCs w:val="18"/>
        </w:rPr>
        <w:t>Note, t</w:t>
      </w:r>
      <w:r>
        <w:rPr>
          <w:rFonts w:cs="Arial"/>
          <w:sz w:val="20"/>
          <w:szCs w:val="18"/>
        </w:rPr>
        <w:t>he 2024</w:t>
      </w:r>
      <w:r w:rsidR="001A1A2E">
        <w:rPr>
          <w:rFonts w:cs="Arial"/>
          <w:sz w:val="20"/>
          <w:szCs w:val="18"/>
        </w:rPr>
        <w:t>-</w:t>
      </w:r>
      <w:r>
        <w:rPr>
          <w:rFonts w:cs="Arial"/>
          <w:sz w:val="20"/>
          <w:szCs w:val="18"/>
        </w:rPr>
        <w:t>25 season data is current</w:t>
      </w:r>
      <w:r w:rsidR="0017611C">
        <w:rPr>
          <w:rFonts w:cs="Arial"/>
          <w:sz w:val="20"/>
          <w:szCs w:val="18"/>
        </w:rPr>
        <w:t xml:space="preserve"> only</w:t>
      </w:r>
      <w:r>
        <w:rPr>
          <w:rFonts w:cs="Arial"/>
          <w:sz w:val="20"/>
          <w:szCs w:val="18"/>
        </w:rPr>
        <w:t xml:space="preserve"> to June 2025.</w:t>
      </w:r>
    </w:p>
    <w:bookmarkEnd w:id="61"/>
    <w:p w14:paraId="456D5129" w14:textId="6A1F6AAF" w:rsidR="00432D8D" w:rsidRPr="00856AE6" w:rsidRDefault="00432D8D" w:rsidP="00432D8D">
      <w:pPr>
        <w:rPr>
          <w:rFonts w:cs="Arial"/>
          <w:sz w:val="20"/>
          <w:szCs w:val="18"/>
        </w:rPr>
      </w:pPr>
      <w:r w:rsidRPr="00432D8D">
        <w:rPr>
          <w:rFonts w:cs="Arial"/>
          <w:noProof/>
          <w:sz w:val="20"/>
          <w:szCs w:val="18"/>
        </w:rPr>
        <w:drawing>
          <wp:inline distT="0" distB="0" distL="0" distR="0" wp14:anchorId="0B49B530" wp14:editId="0A231796">
            <wp:extent cx="5731510" cy="3130905"/>
            <wp:effectExtent l="0" t="0" r="2540" b="0"/>
            <wp:docPr id="918180012" name="Picture 1" descr="A graph of a grap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180012" name="Picture 1" descr="A graph of a graph&#10;&#10;Description automatically generated with medium confidence"/>
                    <pic:cNvPicPr/>
                  </pic:nvPicPr>
                  <pic:blipFill>
                    <a:blip r:embed="rId83"/>
                    <a:stretch>
                      <a:fillRect/>
                    </a:stretch>
                  </pic:blipFill>
                  <pic:spPr>
                    <a:xfrm>
                      <a:off x="0" y="0"/>
                      <a:ext cx="5737931" cy="3134412"/>
                    </a:xfrm>
                    <a:prstGeom prst="rect">
                      <a:avLst/>
                    </a:prstGeom>
                  </pic:spPr>
                </pic:pic>
              </a:graphicData>
            </a:graphic>
          </wp:inline>
        </w:drawing>
      </w:r>
      <w:r w:rsidRPr="00856AE6">
        <w:rPr>
          <w:rFonts w:cs="Arial"/>
          <w:sz w:val="20"/>
          <w:szCs w:val="18"/>
        </w:rPr>
        <w:t xml:space="preserve">Figure </w:t>
      </w:r>
      <w:r>
        <w:rPr>
          <w:rFonts w:cs="Arial"/>
          <w:sz w:val="20"/>
          <w:szCs w:val="18"/>
        </w:rPr>
        <w:t>2</w:t>
      </w:r>
      <w:r w:rsidRPr="00856AE6">
        <w:rPr>
          <w:rFonts w:cs="Arial"/>
          <w:sz w:val="20"/>
          <w:szCs w:val="18"/>
        </w:rPr>
        <w:t xml:space="preserve">: Breakdown of </w:t>
      </w:r>
      <w:r>
        <w:rPr>
          <w:rFonts w:cs="Arial"/>
          <w:sz w:val="20"/>
          <w:szCs w:val="18"/>
        </w:rPr>
        <w:t>the catch limits</w:t>
      </w:r>
      <w:r w:rsidRPr="00856AE6">
        <w:rPr>
          <w:rFonts w:cs="Arial"/>
          <w:sz w:val="20"/>
          <w:szCs w:val="18"/>
        </w:rPr>
        <w:t xml:space="preserve"> (black lines) and catch data (blue bars) for </w:t>
      </w:r>
      <w:r w:rsidR="00DB1B46">
        <w:rPr>
          <w:rFonts w:cs="Arial"/>
          <w:sz w:val="20"/>
          <w:szCs w:val="18"/>
        </w:rPr>
        <w:t>P</w:t>
      </w:r>
      <w:r w:rsidRPr="00856AE6">
        <w:rPr>
          <w:rFonts w:cs="Arial"/>
          <w:sz w:val="20"/>
          <w:szCs w:val="18"/>
        </w:rPr>
        <w:t>eriwinkles in each fishing zone in the 20</w:t>
      </w:r>
      <w:r>
        <w:rPr>
          <w:rFonts w:cs="Arial"/>
          <w:sz w:val="20"/>
          <w:szCs w:val="18"/>
        </w:rPr>
        <w:t>19</w:t>
      </w:r>
      <w:r w:rsidRPr="00856AE6">
        <w:rPr>
          <w:rFonts w:cs="Arial"/>
          <w:sz w:val="20"/>
          <w:szCs w:val="18"/>
        </w:rPr>
        <w:t>-</w:t>
      </w:r>
      <w:r>
        <w:rPr>
          <w:rFonts w:cs="Arial"/>
          <w:sz w:val="20"/>
          <w:szCs w:val="18"/>
        </w:rPr>
        <w:t>20 to 2023-24</w:t>
      </w:r>
      <w:r w:rsidRPr="00856AE6">
        <w:rPr>
          <w:rFonts w:cs="Arial"/>
          <w:sz w:val="20"/>
          <w:szCs w:val="18"/>
        </w:rPr>
        <w:t xml:space="preserve"> fishing seasons. The grey shading represents 60% and 80% of the </w:t>
      </w:r>
      <w:r>
        <w:rPr>
          <w:rFonts w:cs="Arial"/>
          <w:sz w:val="20"/>
          <w:szCs w:val="18"/>
        </w:rPr>
        <w:t>limit</w:t>
      </w:r>
      <w:r w:rsidRPr="00856AE6">
        <w:rPr>
          <w:rFonts w:cs="Arial"/>
          <w:sz w:val="20"/>
          <w:szCs w:val="18"/>
        </w:rPr>
        <w:t>.</w:t>
      </w:r>
    </w:p>
    <w:p w14:paraId="59DB197A" w14:textId="77777777" w:rsidR="00432D8D" w:rsidRPr="00856AE6" w:rsidRDefault="00432D8D" w:rsidP="008B2554">
      <w:pPr>
        <w:rPr>
          <w:rFonts w:cs="Arial"/>
          <w:sz w:val="20"/>
          <w:szCs w:val="18"/>
        </w:rPr>
      </w:pPr>
    </w:p>
    <w:p w14:paraId="1C92B5B0" w14:textId="34D14E9C" w:rsidR="008B2554" w:rsidRDefault="008B2554" w:rsidP="00E57B7A">
      <w:r w:rsidRPr="008B2554">
        <w:rPr>
          <w:noProof/>
        </w:rPr>
        <w:drawing>
          <wp:inline distT="0" distB="0" distL="0" distR="0" wp14:anchorId="5CC1899E" wp14:editId="739298B2">
            <wp:extent cx="5731510" cy="1950720"/>
            <wp:effectExtent l="0" t="0" r="2540" b="0"/>
            <wp:docPr id="12070916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091601" name=""/>
                    <pic:cNvPicPr/>
                  </pic:nvPicPr>
                  <pic:blipFill>
                    <a:blip r:embed="rId84"/>
                    <a:stretch>
                      <a:fillRect/>
                    </a:stretch>
                  </pic:blipFill>
                  <pic:spPr>
                    <a:xfrm>
                      <a:off x="0" y="0"/>
                      <a:ext cx="5731510" cy="1950720"/>
                    </a:xfrm>
                    <a:prstGeom prst="rect">
                      <a:avLst/>
                    </a:prstGeom>
                  </pic:spPr>
                </pic:pic>
              </a:graphicData>
            </a:graphic>
          </wp:inline>
        </w:drawing>
      </w:r>
    </w:p>
    <w:p w14:paraId="05DBDFC6" w14:textId="1C287C4F" w:rsidR="008B2554" w:rsidRDefault="008B2554" w:rsidP="008B2554">
      <w:pPr>
        <w:rPr>
          <w:rFonts w:cs="Arial"/>
          <w:sz w:val="20"/>
          <w:szCs w:val="18"/>
        </w:rPr>
      </w:pPr>
      <w:r w:rsidRPr="00856AE6">
        <w:rPr>
          <w:rFonts w:cs="Arial"/>
          <w:sz w:val="20"/>
          <w:szCs w:val="18"/>
        </w:rPr>
        <w:t xml:space="preserve">Figure </w:t>
      </w:r>
      <w:r w:rsidR="00432D8D">
        <w:rPr>
          <w:rFonts w:cs="Arial"/>
          <w:sz w:val="20"/>
          <w:szCs w:val="18"/>
        </w:rPr>
        <w:t>3</w:t>
      </w:r>
      <w:r w:rsidRPr="00856AE6">
        <w:rPr>
          <w:rFonts w:cs="Arial"/>
          <w:sz w:val="20"/>
          <w:szCs w:val="18"/>
        </w:rPr>
        <w:t xml:space="preserve">: Comparison of </w:t>
      </w:r>
      <w:r w:rsidR="00DB1B46" w:rsidRPr="00DB1B46">
        <w:rPr>
          <w:rFonts w:cs="Arial"/>
          <w:sz w:val="20"/>
          <w:szCs w:val="18"/>
        </w:rPr>
        <w:t xml:space="preserve">Shortspined Sea Urchin </w:t>
      </w:r>
      <w:r w:rsidRPr="00856AE6">
        <w:rPr>
          <w:rFonts w:cs="Arial"/>
          <w:sz w:val="20"/>
          <w:szCs w:val="18"/>
        </w:rPr>
        <w:t>harvests across recent seasons, noting that a season runs from 1 September to 31 August of the following year, and the reported unit is kilograms.</w:t>
      </w:r>
      <w:r>
        <w:rPr>
          <w:rFonts w:cs="Arial"/>
          <w:sz w:val="20"/>
          <w:szCs w:val="18"/>
        </w:rPr>
        <w:t xml:space="preserve"> </w:t>
      </w:r>
      <w:r w:rsidR="001A1A2E">
        <w:rPr>
          <w:rFonts w:cs="Arial"/>
          <w:sz w:val="20"/>
          <w:szCs w:val="18"/>
        </w:rPr>
        <w:t>Note, t</w:t>
      </w:r>
      <w:r>
        <w:rPr>
          <w:rFonts w:cs="Arial"/>
          <w:sz w:val="20"/>
          <w:szCs w:val="18"/>
        </w:rPr>
        <w:t>he 2024</w:t>
      </w:r>
      <w:r w:rsidR="001A1A2E">
        <w:rPr>
          <w:rFonts w:cs="Arial"/>
          <w:sz w:val="20"/>
          <w:szCs w:val="18"/>
        </w:rPr>
        <w:t>-</w:t>
      </w:r>
      <w:r>
        <w:rPr>
          <w:rFonts w:cs="Arial"/>
          <w:sz w:val="20"/>
          <w:szCs w:val="18"/>
        </w:rPr>
        <w:t>25 season data is current</w:t>
      </w:r>
      <w:r w:rsidR="0017611C">
        <w:rPr>
          <w:rFonts w:cs="Arial"/>
          <w:sz w:val="20"/>
          <w:szCs w:val="18"/>
        </w:rPr>
        <w:t xml:space="preserve"> only</w:t>
      </w:r>
      <w:r>
        <w:rPr>
          <w:rFonts w:cs="Arial"/>
          <w:sz w:val="20"/>
          <w:szCs w:val="18"/>
        </w:rPr>
        <w:t xml:space="preserve"> to June 2025.</w:t>
      </w:r>
    </w:p>
    <w:p w14:paraId="3541AB55" w14:textId="77777777" w:rsidR="00F16E87" w:rsidRDefault="00F16E87" w:rsidP="008B2554">
      <w:pPr>
        <w:rPr>
          <w:rFonts w:cs="Arial"/>
          <w:sz w:val="20"/>
          <w:szCs w:val="18"/>
        </w:rPr>
      </w:pPr>
    </w:p>
    <w:p w14:paraId="78D39F91" w14:textId="44A284D6" w:rsidR="00432D8D" w:rsidRDefault="00432D8D" w:rsidP="008B2554">
      <w:pPr>
        <w:rPr>
          <w:rFonts w:cs="Arial"/>
          <w:sz w:val="20"/>
          <w:szCs w:val="18"/>
        </w:rPr>
      </w:pPr>
      <w:r w:rsidRPr="00432D8D">
        <w:rPr>
          <w:rFonts w:cs="Arial"/>
          <w:noProof/>
          <w:sz w:val="20"/>
          <w:szCs w:val="18"/>
        </w:rPr>
        <w:drawing>
          <wp:inline distT="0" distB="0" distL="0" distR="0" wp14:anchorId="29CEDE4F" wp14:editId="358A04E6">
            <wp:extent cx="5731510" cy="3386455"/>
            <wp:effectExtent l="0" t="0" r="2540" b="0"/>
            <wp:docPr id="1608097293"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8097293" name="Picture 1" descr="A screenshot of a graph&#10;&#10;Description automatically generated"/>
                    <pic:cNvPicPr/>
                  </pic:nvPicPr>
                  <pic:blipFill>
                    <a:blip r:embed="rId85"/>
                    <a:stretch>
                      <a:fillRect/>
                    </a:stretch>
                  </pic:blipFill>
                  <pic:spPr>
                    <a:xfrm>
                      <a:off x="0" y="0"/>
                      <a:ext cx="5731510" cy="3386455"/>
                    </a:xfrm>
                    <a:prstGeom prst="rect">
                      <a:avLst/>
                    </a:prstGeom>
                  </pic:spPr>
                </pic:pic>
              </a:graphicData>
            </a:graphic>
          </wp:inline>
        </w:drawing>
      </w:r>
    </w:p>
    <w:p w14:paraId="568919CD" w14:textId="64BB8A1C" w:rsidR="00432D8D" w:rsidRPr="00856AE6" w:rsidRDefault="00432D8D" w:rsidP="008B2554">
      <w:pPr>
        <w:rPr>
          <w:rFonts w:cs="Arial"/>
          <w:sz w:val="20"/>
          <w:szCs w:val="18"/>
        </w:rPr>
      </w:pPr>
      <w:r w:rsidRPr="00856AE6">
        <w:rPr>
          <w:rFonts w:cs="Arial"/>
          <w:sz w:val="20"/>
          <w:szCs w:val="18"/>
        </w:rPr>
        <w:t xml:space="preserve">Figure </w:t>
      </w:r>
      <w:r>
        <w:rPr>
          <w:rFonts w:cs="Arial"/>
          <w:sz w:val="20"/>
          <w:szCs w:val="18"/>
        </w:rPr>
        <w:t>4</w:t>
      </w:r>
      <w:r w:rsidRPr="00856AE6">
        <w:rPr>
          <w:rFonts w:cs="Arial"/>
          <w:sz w:val="20"/>
          <w:szCs w:val="18"/>
        </w:rPr>
        <w:t xml:space="preserve">: Breakdown of </w:t>
      </w:r>
      <w:r>
        <w:rPr>
          <w:rFonts w:cs="Arial"/>
          <w:sz w:val="20"/>
          <w:szCs w:val="18"/>
        </w:rPr>
        <w:t>the catch limits</w:t>
      </w:r>
      <w:r w:rsidRPr="00856AE6">
        <w:rPr>
          <w:rFonts w:cs="Arial"/>
          <w:sz w:val="20"/>
          <w:szCs w:val="18"/>
        </w:rPr>
        <w:t xml:space="preserve"> (black lines) and catch data (blue bars) for </w:t>
      </w:r>
      <w:r w:rsidR="00DB1B46" w:rsidRPr="00DB1B46">
        <w:rPr>
          <w:rFonts w:cs="Arial"/>
          <w:sz w:val="20"/>
          <w:szCs w:val="18"/>
        </w:rPr>
        <w:t xml:space="preserve">Shortspined Sea Urchin </w:t>
      </w:r>
      <w:r w:rsidRPr="00856AE6">
        <w:rPr>
          <w:rFonts w:cs="Arial"/>
          <w:sz w:val="20"/>
          <w:szCs w:val="18"/>
        </w:rPr>
        <w:t>in each fishing zone in the 20</w:t>
      </w:r>
      <w:r>
        <w:rPr>
          <w:rFonts w:cs="Arial"/>
          <w:sz w:val="20"/>
          <w:szCs w:val="18"/>
        </w:rPr>
        <w:t>19</w:t>
      </w:r>
      <w:r w:rsidRPr="00856AE6">
        <w:rPr>
          <w:rFonts w:cs="Arial"/>
          <w:sz w:val="20"/>
          <w:szCs w:val="18"/>
        </w:rPr>
        <w:t>-</w:t>
      </w:r>
      <w:r>
        <w:rPr>
          <w:rFonts w:cs="Arial"/>
          <w:sz w:val="20"/>
          <w:szCs w:val="18"/>
        </w:rPr>
        <w:t>20 to 2023-24</w:t>
      </w:r>
      <w:r w:rsidRPr="00856AE6">
        <w:rPr>
          <w:rFonts w:cs="Arial"/>
          <w:sz w:val="20"/>
          <w:szCs w:val="18"/>
        </w:rPr>
        <w:t xml:space="preserve"> fishing seasons. </w:t>
      </w:r>
      <w:r w:rsidR="006B016B">
        <w:rPr>
          <w:rFonts w:cs="Arial"/>
          <w:sz w:val="20"/>
          <w:szCs w:val="18"/>
        </w:rPr>
        <w:t>G</w:t>
      </w:r>
      <w:r w:rsidRPr="00856AE6">
        <w:rPr>
          <w:rFonts w:cs="Arial"/>
          <w:sz w:val="20"/>
          <w:szCs w:val="18"/>
        </w:rPr>
        <w:t xml:space="preserve">rey shading represents 60% </w:t>
      </w:r>
      <w:r w:rsidR="006B016B">
        <w:rPr>
          <w:rFonts w:cs="Arial"/>
          <w:sz w:val="20"/>
          <w:szCs w:val="18"/>
        </w:rPr>
        <w:t>and</w:t>
      </w:r>
      <w:r w:rsidRPr="00856AE6">
        <w:rPr>
          <w:rFonts w:cs="Arial"/>
          <w:sz w:val="20"/>
          <w:szCs w:val="18"/>
        </w:rPr>
        <w:t xml:space="preserve"> 80% of the </w:t>
      </w:r>
      <w:r>
        <w:rPr>
          <w:rFonts w:cs="Arial"/>
          <w:sz w:val="20"/>
          <w:szCs w:val="18"/>
        </w:rPr>
        <w:t>limit</w:t>
      </w:r>
      <w:r w:rsidRPr="00856AE6">
        <w:rPr>
          <w:rFonts w:cs="Arial"/>
          <w:sz w:val="20"/>
          <w:szCs w:val="18"/>
        </w:rPr>
        <w:t>.</w:t>
      </w:r>
    </w:p>
    <w:p w14:paraId="3CC166C6" w14:textId="4C37EB5C" w:rsidR="008B2554" w:rsidRDefault="008B2554" w:rsidP="00E57B7A">
      <w:r w:rsidRPr="008B2554">
        <w:rPr>
          <w:noProof/>
        </w:rPr>
        <w:lastRenderedPageBreak/>
        <w:drawing>
          <wp:inline distT="0" distB="0" distL="0" distR="0" wp14:anchorId="184D0243" wp14:editId="24FC1C66">
            <wp:extent cx="5731510" cy="1944370"/>
            <wp:effectExtent l="0" t="0" r="2540" b="0"/>
            <wp:docPr id="4538365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836548" name=""/>
                    <pic:cNvPicPr/>
                  </pic:nvPicPr>
                  <pic:blipFill>
                    <a:blip r:embed="rId86"/>
                    <a:stretch>
                      <a:fillRect/>
                    </a:stretch>
                  </pic:blipFill>
                  <pic:spPr>
                    <a:xfrm>
                      <a:off x="0" y="0"/>
                      <a:ext cx="5731510" cy="1944370"/>
                    </a:xfrm>
                    <a:prstGeom prst="rect">
                      <a:avLst/>
                    </a:prstGeom>
                  </pic:spPr>
                </pic:pic>
              </a:graphicData>
            </a:graphic>
          </wp:inline>
        </w:drawing>
      </w:r>
    </w:p>
    <w:p w14:paraId="25CD309B" w14:textId="7E6320A8" w:rsidR="008B2554" w:rsidRDefault="008B2554" w:rsidP="008B2554">
      <w:pPr>
        <w:rPr>
          <w:rFonts w:cs="Arial"/>
          <w:sz w:val="20"/>
          <w:szCs w:val="18"/>
        </w:rPr>
      </w:pPr>
      <w:r w:rsidRPr="00856AE6">
        <w:rPr>
          <w:rFonts w:cs="Arial"/>
          <w:sz w:val="20"/>
          <w:szCs w:val="18"/>
        </w:rPr>
        <w:t xml:space="preserve">Figure </w:t>
      </w:r>
      <w:r w:rsidR="00432D8D">
        <w:rPr>
          <w:rFonts w:cs="Arial"/>
          <w:sz w:val="20"/>
          <w:szCs w:val="18"/>
        </w:rPr>
        <w:t>5</w:t>
      </w:r>
      <w:r w:rsidRPr="00856AE6">
        <w:rPr>
          <w:rFonts w:cs="Arial"/>
          <w:sz w:val="20"/>
          <w:szCs w:val="18"/>
        </w:rPr>
        <w:t xml:space="preserve">: Comparison of </w:t>
      </w:r>
      <w:r w:rsidR="00DB1B46">
        <w:rPr>
          <w:rFonts w:cs="Arial"/>
          <w:sz w:val="20"/>
          <w:szCs w:val="18"/>
        </w:rPr>
        <w:t>Longspined Sea Urchin</w:t>
      </w:r>
      <w:r w:rsidRPr="00856AE6">
        <w:rPr>
          <w:rFonts w:cs="Arial"/>
          <w:sz w:val="20"/>
          <w:szCs w:val="18"/>
        </w:rPr>
        <w:t xml:space="preserve"> harvests across recent seasons, noting that a season runs from 1 September to 31 August of the following year, and the reported unit is kilograms.</w:t>
      </w:r>
      <w:r>
        <w:rPr>
          <w:rFonts w:cs="Arial"/>
          <w:sz w:val="20"/>
          <w:szCs w:val="18"/>
        </w:rPr>
        <w:t xml:space="preserve"> </w:t>
      </w:r>
      <w:r w:rsidR="001A1A2E">
        <w:rPr>
          <w:rFonts w:cs="Arial"/>
          <w:sz w:val="20"/>
          <w:szCs w:val="18"/>
        </w:rPr>
        <w:t>Note, t</w:t>
      </w:r>
      <w:r>
        <w:rPr>
          <w:rFonts w:cs="Arial"/>
          <w:sz w:val="20"/>
          <w:szCs w:val="18"/>
        </w:rPr>
        <w:t>he 2024</w:t>
      </w:r>
      <w:r w:rsidR="001A1A2E">
        <w:rPr>
          <w:rFonts w:cs="Arial"/>
          <w:sz w:val="20"/>
          <w:szCs w:val="18"/>
        </w:rPr>
        <w:t>-</w:t>
      </w:r>
      <w:r>
        <w:rPr>
          <w:rFonts w:cs="Arial"/>
          <w:sz w:val="20"/>
          <w:szCs w:val="18"/>
        </w:rPr>
        <w:t xml:space="preserve">25 season data is current </w:t>
      </w:r>
      <w:r w:rsidR="0017611C">
        <w:rPr>
          <w:rFonts w:cs="Arial"/>
          <w:sz w:val="20"/>
          <w:szCs w:val="18"/>
        </w:rPr>
        <w:t xml:space="preserve">only </w:t>
      </w:r>
      <w:r>
        <w:rPr>
          <w:rFonts w:cs="Arial"/>
          <w:sz w:val="20"/>
          <w:szCs w:val="18"/>
        </w:rPr>
        <w:t>to June 2025.</w:t>
      </w:r>
    </w:p>
    <w:p w14:paraId="0CAFA349" w14:textId="50A597A4" w:rsidR="006E0E48" w:rsidRPr="00856AE6" w:rsidRDefault="006E0E48" w:rsidP="008B2554">
      <w:pPr>
        <w:rPr>
          <w:rFonts w:cs="Arial"/>
          <w:sz w:val="20"/>
          <w:szCs w:val="18"/>
        </w:rPr>
      </w:pPr>
    </w:p>
    <w:p w14:paraId="54E241DC" w14:textId="76734C09" w:rsidR="0027650A" w:rsidRDefault="0027650A" w:rsidP="006571DA">
      <w:pPr>
        <w:pStyle w:val="Heading2"/>
      </w:pPr>
      <w:bookmarkStart w:id="62" w:name="_Toc203722719"/>
      <w:r>
        <w:t xml:space="preserve">APPENDIX 2 – </w:t>
      </w:r>
      <w:r w:rsidR="00633FDE">
        <w:t xml:space="preserve">Discarded </w:t>
      </w:r>
      <w:r w:rsidR="00685ED0">
        <w:t>c</w:t>
      </w:r>
      <w:r w:rsidR="00633FDE">
        <w:t xml:space="preserve">atch </w:t>
      </w:r>
      <w:r w:rsidR="00685ED0">
        <w:t>d</w:t>
      </w:r>
      <w:r w:rsidR="00633FDE">
        <w:t>ata (target and non-target species)</w:t>
      </w:r>
      <w:bookmarkEnd w:id="62"/>
    </w:p>
    <w:p w14:paraId="10606B12" w14:textId="3C81A224" w:rsidR="004A0B06" w:rsidRDefault="004A0B06" w:rsidP="00B45BEB">
      <w:bookmarkStart w:id="63" w:name="_Hlk201862611"/>
      <w:r w:rsidRPr="004A0B06">
        <w:t>This section is not applicable in this fishery.</w:t>
      </w:r>
    </w:p>
    <w:p w14:paraId="16C4F4FC" w14:textId="5976CF9F" w:rsidR="008A7D3F" w:rsidRDefault="008A7D3F" w:rsidP="008A7D3F">
      <w:r>
        <w:t xml:space="preserve">Being a dive fishery with targeted hand collection and no quota, bycatch including discards (i.e. high-grading) is negligible to nil. </w:t>
      </w:r>
    </w:p>
    <w:p w14:paraId="4E1E3DA5" w14:textId="77777777" w:rsidR="008A7D3F" w:rsidRPr="004A0B06" w:rsidRDefault="008A7D3F" w:rsidP="00B45BEB"/>
    <w:p w14:paraId="39706847" w14:textId="4F21EDEE" w:rsidR="000352CC" w:rsidRDefault="0027650A" w:rsidP="006571DA">
      <w:pPr>
        <w:pStyle w:val="Heading2"/>
      </w:pPr>
      <w:bookmarkStart w:id="64" w:name="_Toc203722720"/>
      <w:bookmarkEnd w:id="63"/>
      <w:r>
        <w:t xml:space="preserve">APPENDIX 3 – </w:t>
      </w:r>
      <w:r w:rsidR="00695FC5">
        <w:t xml:space="preserve">Protected </w:t>
      </w:r>
      <w:r w:rsidR="00CB4E8B">
        <w:t>s</w:t>
      </w:r>
      <w:r w:rsidR="00695FC5">
        <w:t xml:space="preserve">pecies </w:t>
      </w:r>
      <w:r w:rsidR="00CB4E8B">
        <w:t>i</w:t>
      </w:r>
      <w:r w:rsidR="00AE5AE8">
        <w:t>nteraction</w:t>
      </w:r>
      <w:r w:rsidR="00695FC5">
        <w:t xml:space="preserve"> </w:t>
      </w:r>
      <w:r w:rsidR="00CB4E8B">
        <w:t>d</w:t>
      </w:r>
      <w:r w:rsidR="00AE5AE8">
        <w:t>ata</w:t>
      </w:r>
      <w:bookmarkEnd w:id="64"/>
    </w:p>
    <w:p w14:paraId="0EEA54A7" w14:textId="77777777" w:rsidR="00CB4AFE" w:rsidRDefault="00CB4AFE" w:rsidP="00CB4AFE">
      <w:r>
        <w:t xml:space="preserve">Interactions would be limited to vessel-strikes or hookah-line entanglement, the latter of which poses greater risk to divers than other species; there have been no such reports. </w:t>
      </w:r>
    </w:p>
    <w:p w14:paraId="4EBE4C28" w14:textId="77777777" w:rsidR="00CB4AFE" w:rsidRPr="004A0B06" w:rsidRDefault="00CB4AFE" w:rsidP="00CB4AFE">
      <w:r w:rsidRPr="006D5D6C">
        <w:t>Th</w:t>
      </w:r>
      <w:r>
        <w:t xml:space="preserve">e </w:t>
      </w:r>
      <w:r w:rsidRPr="006D5D6C">
        <w:t xml:space="preserve">risk of vessels striking </w:t>
      </w:r>
      <w:r>
        <w:t>TEPS</w:t>
      </w:r>
      <w:r w:rsidRPr="006D5D6C">
        <w:t xml:space="preserve"> is no greater than any other water users and the risk of hookah air-hose entanglements </w:t>
      </w:r>
      <w:r>
        <w:t>is</w:t>
      </w:r>
      <w:r w:rsidRPr="006D5D6C">
        <w:t xml:space="preserve"> negligible</w:t>
      </w:r>
      <w:r>
        <w:t>.</w:t>
      </w:r>
    </w:p>
    <w:p w14:paraId="70E57C3B" w14:textId="67F7261A" w:rsidR="0027650A" w:rsidRDefault="0027650A" w:rsidP="00C329F4">
      <w:pPr>
        <w:pStyle w:val="Heading2"/>
      </w:pPr>
      <w:bookmarkStart w:id="65" w:name="_Toc203722721"/>
      <w:r>
        <w:lastRenderedPageBreak/>
        <w:t>APPENDIX 4</w:t>
      </w:r>
      <w:r w:rsidR="006571DA">
        <w:t xml:space="preserve"> </w:t>
      </w:r>
      <w:r w:rsidR="00D020EB">
        <w:t>–</w:t>
      </w:r>
      <w:r w:rsidR="006571DA">
        <w:t xml:space="preserve"> </w:t>
      </w:r>
      <w:r w:rsidR="00D020EB">
        <w:t xml:space="preserve">Fishing </w:t>
      </w:r>
      <w:r w:rsidR="00CB4E8B">
        <w:t>e</w:t>
      </w:r>
      <w:r w:rsidR="00D020EB">
        <w:t>ffort</w:t>
      </w:r>
      <w:bookmarkEnd w:id="65"/>
    </w:p>
    <w:p w14:paraId="3BD64061" w14:textId="77777777" w:rsidR="006B016B" w:rsidRDefault="006B016B" w:rsidP="006B016B">
      <w:r>
        <w:rPr>
          <w:noProof/>
        </w:rPr>
        <w:drawing>
          <wp:inline distT="0" distB="0" distL="0" distR="0" wp14:anchorId="6CD3EBF2" wp14:editId="31F74E10">
            <wp:extent cx="4652645" cy="3452495"/>
            <wp:effectExtent l="0" t="0" r="14605" b="14605"/>
            <wp:docPr id="1668921286" name="Picture 2" descr="A graph of a number of days and month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921286" name="Picture 2" descr="A graph of a number of days and months&#10;&#10;Description automatically generated with medium confidence"/>
                    <pic:cNvPicPr>
                      <a:picLocks noChangeAspect="1" noChangeArrowheads="1"/>
                    </pic:cNvPicPr>
                  </pic:nvPicPr>
                  <pic:blipFill>
                    <a:blip r:embed="rId87" r:link="rId88">
                      <a:extLst>
                        <a:ext uri="{28A0092B-C50C-407E-A947-70E740481C1C}">
                          <a14:useLocalDpi xmlns:a14="http://schemas.microsoft.com/office/drawing/2010/main" val="0"/>
                        </a:ext>
                      </a:extLst>
                    </a:blip>
                    <a:srcRect/>
                    <a:stretch>
                      <a:fillRect/>
                    </a:stretch>
                  </pic:blipFill>
                  <pic:spPr bwMode="auto">
                    <a:xfrm>
                      <a:off x="0" y="0"/>
                      <a:ext cx="4652645" cy="3452495"/>
                    </a:xfrm>
                    <a:prstGeom prst="rect">
                      <a:avLst/>
                    </a:prstGeom>
                    <a:noFill/>
                    <a:ln>
                      <a:noFill/>
                    </a:ln>
                  </pic:spPr>
                </pic:pic>
              </a:graphicData>
            </a:graphic>
          </wp:inline>
        </w:drawing>
      </w:r>
    </w:p>
    <w:p w14:paraId="2570A0C2" w14:textId="32F76E6C" w:rsidR="006B016B" w:rsidRDefault="006B016B" w:rsidP="006B016B">
      <w:pPr>
        <w:rPr>
          <w:sz w:val="20"/>
          <w:szCs w:val="20"/>
        </w:rPr>
      </w:pPr>
      <w:r w:rsidRPr="00A61CDC">
        <w:rPr>
          <w:sz w:val="20"/>
          <w:szCs w:val="20"/>
        </w:rPr>
        <w:t xml:space="preserve">Figure </w:t>
      </w:r>
      <w:r>
        <w:rPr>
          <w:sz w:val="20"/>
          <w:szCs w:val="20"/>
        </w:rPr>
        <w:t>6</w:t>
      </w:r>
      <w:r w:rsidRPr="00A61CDC">
        <w:rPr>
          <w:sz w:val="20"/>
          <w:szCs w:val="20"/>
        </w:rPr>
        <w:t>. Periwinkle effort per season represented by n</w:t>
      </w:r>
      <w:r>
        <w:rPr>
          <w:sz w:val="20"/>
          <w:szCs w:val="20"/>
        </w:rPr>
        <w:t>umber</w:t>
      </w:r>
      <w:r w:rsidRPr="00A61CDC">
        <w:rPr>
          <w:sz w:val="20"/>
          <w:szCs w:val="20"/>
        </w:rPr>
        <w:t xml:space="preserve"> of active fishers (top) and total combined dive hours (bottom) for complete season</w:t>
      </w:r>
      <w:r>
        <w:rPr>
          <w:sz w:val="20"/>
          <w:szCs w:val="20"/>
        </w:rPr>
        <w:t>s</w:t>
      </w:r>
      <w:r w:rsidRPr="00A61CDC">
        <w:rPr>
          <w:sz w:val="20"/>
          <w:szCs w:val="20"/>
        </w:rPr>
        <w:t xml:space="preserve"> from 2005</w:t>
      </w:r>
      <w:r>
        <w:rPr>
          <w:sz w:val="20"/>
          <w:szCs w:val="20"/>
        </w:rPr>
        <w:t>-</w:t>
      </w:r>
      <w:r w:rsidRPr="00A61CDC">
        <w:rPr>
          <w:sz w:val="20"/>
          <w:szCs w:val="20"/>
        </w:rPr>
        <w:t>06 to 2023</w:t>
      </w:r>
      <w:r>
        <w:rPr>
          <w:sz w:val="20"/>
          <w:szCs w:val="20"/>
        </w:rPr>
        <w:t>-</w:t>
      </w:r>
      <w:r w:rsidRPr="00A61CDC">
        <w:rPr>
          <w:sz w:val="20"/>
          <w:szCs w:val="20"/>
        </w:rPr>
        <w:t>24.</w:t>
      </w:r>
    </w:p>
    <w:p w14:paraId="5255ACE2" w14:textId="77777777" w:rsidR="006B016B" w:rsidRPr="006B016B" w:rsidRDefault="006B016B" w:rsidP="006B016B"/>
    <w:p w14:paraId="5D27EEDC" w14:textId="038D6EB0" w:rsidR="00A61CDC" w:rsidRDefault="006B016B" w:rsidP="00A61CDC">
      <w:r>
        <w:rPr>
          <w:noProof/>
        </w:rPr>
        <w:drawing>
          <wp:inline distT="0" distB="0" distL="0" distR="0" wp14:anchorId="07F82461" wp14:editId="0C8391BD">
            <wp:extent cx="4659630" cy="3387090"/>
            <wp:effectExtent l="0" t="0" r="7620" b="3810"/>
            <wp:docPr id="124232729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9" r:link="rId90">
                      <a:extLst>
                        <a:ext uri="{28A0092B-C50C-407E-A947-70E740481C1C}">
                          <a14:useLocalDpi xmlns:a14="http://schemas.microsoft.com/office/drawing/2010/main" val="0"/>
                        </a:ext>
                      </a:extLst>
                    </a:blip>
                    <a:srcRect/>
                    <a:stretch>
                      <a:fillRect/>
                    </a:stretch>
                  </pic:blipFill>
                  <pic:spPr bwMode="auto">
                    <a:xfrm>
                      <a:off x="0" y="0"/>
                      <a:ext cx="4659630" cy="3387090"/>
                    </a:xfrm>
                    <a:prstGeom prst="rect">
                      <a:avLst/>
                    </a:prstGeom>
                    <a:noFill/>
                    <a:ln>
                      <a:noFill/>
                    </a:ln>
                  </pic:spPr>
                </pic:pic>
              </a:graphicData>
            </a:graphic>
          </wp:inline>
        </w:drawing>
      </w:r>
      <w:r w:rsidR="00A61CDC">
        <w:br/>
      </w:r>
      <w:r w:rsidR="00A61CDC" w:rsidRPr="00A61CDC">
        <w:rPr>
          <w:sz w:val="20"/>
          <w:szCs w:val="20"/>
        </w:rPr>
        <w:t xml:space="preserve">Figure </w:t>
      </w:r>
      <w:r>
        <w:rPr>
          <w:sz w:val="20"/>
          <w:szCs w:val="20"/>
        </w:rPr>
        <w:t>7</w:t>
      </w:r>
      <w:r w:rsidR="00A61CDC" w:rsidRPr="00A61CDC">
        <w:rPr>
          <w:sz w:val="20"/>
          <w:szCs w:val="20"/>
        </w:rPr>
        <w:t>. Shortspined Sea urchin effort per season represented by n</w:t>
      </w:r>
      <w:r w:rsidR="00A61CDC">
        <w:rPr>
          <w:sz w:val="20"/>
          <w:szCs w:val="20"/>
        </w:rPr>
        <w:t>umber</w:t>
      </w:r>
      <w:r w:rsidR="00A61CDC" w:rsidRPr="00A61CDC">
        <w:rPr>
          <w:sz w:val="20"/>
          <w:szCs w:val="20"/>
        </w:rPr>
        <w:t xml:space="preserve"> of active fishers (top) and total combined dive hours (bottom) for complete season</w:t>
      </w:r>
      <w:r w:rsidR="00A61CDC">
        <w:rPr>
          <w:sz w:val="20"/>
          <w:szCs w:val="20"/>
        </w:rPr>
        <w:t>s</w:t>
      </w:r>
      <w:r w:rsidR="00A61CDC" w:rsidRPr="00A61CDC">
        <w:rPr>
          <w:sz w:val="20"/>
          <w:szCs w:val="20"/>
        </w:rPr>
        <w:t xml:space="preserve"> from 2005</w:t>
      </w:r>
      <w:r w:rsidR="00A61CDC">
        <w:rPr>
          <w:sz w:val="20"/>
          <w:szCs w:val="20"/>
        </w:rPr>
        <w:t>-</w:t>
      </w:r>
      <w:r w:rsidR="00A61CDC" w:rsidRPr="00A61CDC">
        <w:rPr>
          <w:sz w:val="20"/>
          <w:szCs w:val="20"/>
        </w:rPr>
        <w:t>06 to 2023</w:t>
      </w:r>
      <w:r w:rsidR="00A61CDC">
        <w:rPr>
          <w:sz w:val="20"/>
          <w:szCs w:val="20"/>
        </w:rPr>
        <w:t>-</w:t>
      </w:r>
      <w:r w:rsidR="00A61CDC" w:rsidRPr="00A61CDC">
        <w:rPr>
          <w:sz w:val="20"/>
          <w:szCs w:val="20"/>
        </w:rPr>
        <w:t>24.</w:t>
      </w:r>
    </w:p>
    <w:p w14:paraId="60035ED6" w14:textId="77777777" w:rsidR="00A61CDC" w:rsidRDefault="00A61CDC" w:rsidP="00A61CDC"/>
    <w:p w14:paraId="2D26CA65" w14:textId="49A60B5B" w:rsidR="006B016B" w:rsidRPr="00A61CDC" w:rsidRDefault="006B016B" w:rsidP="00A61CDC">
      <w:pPr>
        <w:rPr>
          <w:sz w:val="20"/>
          <w:szCs w:val="20"/>
        </w:rPr>
      </w:pPr>
      <w:r>
        <w:rPr>
          <w:noProof/>
        </w:rPr>
        <w:lastRenderedPageBreak/>
        <w:drawing>
          <wp:inline distT="0" distB="0" distL="0" distR="0" wp14:anchorId="486EC67E" wp14:editId="020E75D6">
            <wp:extent cx="5295900" cy="3467100"/>
            <wp:effectExtent l="0" t="0" r="0" b="0"/>
            <wp:docPr id="269817264" name="Picture 4" descr="A graph of different sizes and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817264" name="Picture 4" descr="A graph of different sizes and numbers&#10;&#10;Description automatically generated with medium confidence"/>
                    <pic:cNvPicPr>
                      <a:picLocks noChangeAspect="1" noChangeArrowheads="1"/>
                    </pic:cNvPicPr>
                  </pic:nvPicPr>
                  <pic:blipFill>
                    <a:blip r:embed="rId91" r:link="rId92">
                      <a:extLst>
                        <a:ext uri="{28A0092B-C50C-407E-A947-70E740481C1C}">
                          <a14:useLocalDpi xmlns:a14="http://schemas.microsoft.com/office/drawing/2010/main" val="0"/>
                        </a:ext>
                      </a:extLst>
                    </a:blip>
                    <a:srcRect/>
                    <a:stretch>
                      <a:fillRect/>
                    </a:stretch>
                  </pic:blipFill>
                  <pic:spPr bwMode="auto">
                    <a:xfrm>
                      <a:off x="0" y="0"/>
                      <a:ext cx="5295900" cy="3467100"/>
                    </a:xfrm>
                    <a:prstGeom prst="rect">
                      <a:avLst/>
                    </a:prstGeom>
                    <a:noFill/>
                    <a:ln>
                      <a:noFill/>
                    </a:ln>
                  </pic:spPr>
                </pic:pic>
              </a:graphicData>
            </a:graphic>
          </wp:inline>
        </w:drawing>
      </w:r>
    </w:p>
    <w:p w14:paraId="4B1F0A1B" w14:textId="38BFF417" w:rsidR="006B016B" w:rsidRDefault="006B016B" w:rsidP="006B016B">
      <w:pPr>
        <w:rPr>
          <w:sz w:val="20"/>
          <w:szCs w:val="20"/>
        </w:rPr>
      </w:pPr>
      <w:r w:rsidRPr="00A61CDC">
        <w:rPr>
          <w:sz w:val="20"/>
          <w:szCs w:val="20"/>
        </w:rPr>
        <w:t xml:space="preserve">Figure </w:t>
      </w:r>
      <w:r>
        <w:rPr>
          <w:sz w:val="20"/>
          <w:szCs w:val="20"/>
        </w:rPr>
        <w:t>8</w:t>
      </w:r>
      <w:r w:rsidRPr="00A61CDC">
        <w:rPr>
          <w:sz w:val="20"/>
          <w:szCs w:val="20"/>
        </w:rPr>
        <w:t xml:space="preserve">. </w:t>
      </w:r>
      <w:r>
        <w:rPr>
          <w:sz w:val="20"/>
          <w:szCs w:val="20"/>
        </w:rPr>
        <w:t>Longspined Sea Urchin</w:t>
      </w:r>
      <w:r w:rsidRPr="00A61CDC">
        <w:rPr>
          <w:sz w:val="20"/>
          <w:szCs w:val="20"/>
        </w:rPr>
        <w:t xml:space="preserve"> effort per season represented by n</w:t>
      </w:r>
      <w:r>
        <w:rPr>
          <w:sz w:val="20"/>
          <w:szCs w:val="20"/>
        </w:rPr>
        <w:t>umber</w:t>
      </w:r>
      <w:r w:rsidRPr="00A61CDC">
        <w:rPr>
          <w:sz w:val="20"/>
          <w:szCs w:val="20"/>
        </w:rPr>
        <w:t xml:space="preserve"> of active fishers (top) and total combined dive hours (bottom) for complete season</w:t>
      </w:r>
      <w:r>
        <w:rPr>
          <w:sz w:val="20"/>
          <w:szCs w:val="20"/>
        </w:rPr>
        <w:t>s</w:t>
      </w:r>
      <w:r w:rsidRPr="00A61CDC">
        <w:rPr>
          <w:sz w:val="20"/>
          <w:szCs w:val="20"/>
        </w:rPr>
        <w:t xml:space="preserve"> from 2005</w:t>
      </w:r>
      <w:r>
        <w:rPr>
          <w:sz w:val="20"/>
          <w:szCs w:val="20"/>
        </w:rPr>
        <w:t>-</w:t>
      </w:r>
      <w:r w:rsidRPr="00A61CDC">
        <w:rPr>
          <w:sz w:val="20"/>
          <w:szCs w:val="20"/>
        </w:rPr>
        <w:t>06 to 2023</w:t>
      </w:r>
      <w:r>
        <w:rPr>
          <w:sz w:val="20"/>
          <w:szCs w:val="20"/>
        </w:rPr>
        <w:t>-</w:t>
      </w:r>
      <w:r w:rsidRPr="00A61CDC">
        <w:rPr>
          <w:sz w:val="20"/>
          <w:szCs w:val="20"/>
        </w:rPr>
        <w:t>24.</w:t>
      </w:r>
    </w:p>
    <w:p w14:paraId="68A27067" w14:textId="77777777" w:rsidR="004A0B06" w:rsidRDefault="004A0B06" w:rsidP="00BF27B2"/>
    <w:p w14:paraId="52A17745" w14:textId="5F05AC12" w:rsidR="00D34CAC" w:rsidRDefault="00D34CAC" w:rsidP="00D34CAC">
      <w:pPr>
        <w:pStyle w:val="Heading2"/>
      </w:pPr>
      <w:bookmarkStart w:id="66" w:name="_Toc203722722"/>
      <w:r>
        <w:lastRenderedPageBreak/>
        <w:t>APPENDIX 5 – Approved Logbooks</w:t>
      </w:r>
      <w:bookmarkEnd w:id="66"/>
    </w:p>
    <w:p w14:paraId="5DA306CA" w14:textId="3A02B36D" w:rsidR="00D34CAC" w:rsidRDefault="00F124CE" w:rsidP="00D34CAC">
      <w:r w:rsidRPr="00F124CE">
        <w:rPr>
          <w:noProof/>
        </w:rPr>
        <w:drawing>
          <wp:inline distT="0" distB="0" distL="0" distR="0" wp14:anchorId="14AA280E" wp14:editId="5ECF5130">
            <wp:extent cx="5163271" cy="8030696"/>
            <wp:effectExtent l="0" t="0" r="0" b="8890"/>
            <wp:docPr id="14364155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415550" name=""/>
                    <pic:cNvPicPr/>
                  </pic:nvPicPr>
                  <pic:blipFill>
                    <a:blip r:embed="rId93"/>
                    <a:stretch>
                      <a:fillRect/>
                    </a:stretch>
                  </pic:blipFill>
                  <pic:spPr>
                    <a:xfrm>
                      <a:off x="0" y="0"/>
                      <a:ext cx="5163271" cy="8030696"/>
                    </a:xfrm>
                    <a:prstGeom prst="rect">
                      <a:avLst/>
                    </a:prstGeom>
                  </pic:spPr>
                </pic:pic>
              </a:graphicData>
            </a:graphic>
          </wp:inline>
        </w:drawing>
      </w:r>
    </w:p>
    <w:p w14:paraId="2C440640" w14:textId="0870DB11" w:rsidR="00FF4CFF" w:rsidRPr="00FF4CFF" w:rsidRDefault="00FF4CFF" w:rsidP="00D34CAC">
      <w:pPr>
        <w:rPr>
          <w:sz w:val="20"/>
          <w:szCs w:val="20"/>
        </w:rPr>
      </w:pPr>
      <w:r w:rsidRPr="00F16E87">
        <w:rPr>
          <w:sz w:val="20"/>
          <w:szCs w:val="20"/>
        </w:rPr>
        <w:t xml:space="preserve">Figure </w:t>
      </w:r>
      <w:r w:rsidR="006B016B">
        <w:rPr>
          <w:sz w:val="20"/>
          <w:szCs w:val="20"/>
        </w:rPr>
        <w:t>9</w:t>
      </w:r>
      <w:r w:rsidRPr="00F16E87">
        <w:rPr>
          <w:sz w:val="20"/>
          <w:szCs w:val="20"/>
        </w:rPr>
        <w:t>.</w:t>
      </w:r>
      <w:r w:rsidRPr="00FF4CFF">
        <w:rPr>
          <w:sz w:val="20"/>
          <w:szCs w:val="20"/>
        </w:rPr>
        <w:t xml:space="preserve"> </w:t>
      </w:r>
      <w:r>
        <w:rPr>
          <w:sz w:val="20"/>
          <w:szCs w:val="20"/>
        </w:rPr>
        <w:t xml:space="preserve"> Copy of the approved Commercial Diver’s Docket </w:t>
      </w:r>
      <w:r w:rsidR="00F124CE">
        <w:rPr>
          <w:sz w:val="20"/>
          <w:szCs w:val="20"/>
        </w:rPr>
        <w:t>which</w:t>
      </w:r>
      <w:r>
        <w:rPr>
          <w:sz w:val="20"/>
          <w:szCs w:val="20"/>
        </w:rPr>
        <w:t xml:space="preserve"> capture</w:t>
      </w:r>
      <w:r w:rsidR="00F124CE">
        <w:rPr>
          <w:sz w:val="20"/>
          <w:szCs w:val="20"/>
        </w:rPr>
        <w:t>s</w:t>
      </w:r>
      <w:r>
        <w:rPr>
          <w:sz w:val="20"/>
          <w:szCs w:val="20"/>
        </w:rPr>
        <w:t xml:space="preserve"> harvest and disposal information.</w:t>
      </w:r>
    </w:p>
    <w:p w14:paraId="60199EE1" w14:textId="03DD1D32" w:rsidR="00D34CAC" w:rsidRDefault="00D34CAC" w:rsidP="00D34CAC">
      <w:pPr>
        <w:rPr>
          <w:noProof/>
        </w:rPr>
      </w:pPr>
      <w:r w:rsidRPr="00D34CAC">
        <w:rPr>
          <w:noProof/>
        </w:rPr>
        <w:lastRenderedPageBreak/>
        <w:drawing>
          <wp:inline distT="0" distB="0" distL="0" distR="0" wp14:anchorId="54B5C8F3" wp14:editId="14EC9F82">
            <wp:extent cx="5731510" cy="5707380"/>
            <wp:effectExtent l="0" t="0" r="2540" b="7620"/>
            <wp:docPr id="776923323" name="Picture 1" descr="A close-up of a fo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923323" name="Picture 1" descr="A close-up of a form&#10;&#10;Description automatically generated"/>
                    <pic:cNvPicPr/>
                  </pic:nvPicPr>
                  <pic:blipFill>
                    <a:blip r:embed="rId94"/>
                    <a:stretch>
                      <a:fillRect/>
                    </a:stretch>
                  </pic:blipFill>
                  <pic:spPr>
                    <a:xfrm>
                      <a:off x="0" y="0"/>
                      <a:ext cx="5731510" cy="5707380"/>
                    </a:xfrm>
                    <a:prstGeom prst="rect">
                      <a:avLst/>
                    </a:prstGeom>
                  </pic:spPr>
                </pic:pic>
              </a:graphicData>
            </a:graphic>
          </wp:inline>
        </w:drawing>
      </w:r>
    </w:p>
    <w:p w14:paraId="088F9341" w14:textId="386539B6" w:rsidR="00FF4CFF" w:rsidRPr="00FF4CFF" w:rsidRDefault="00FF4CFF" w:rsidP="00FF4CFF">
      <w:pPr>
        <w:rPr>
          <w:sz w:val="20"/>
          <w:szCs w:val="20"/>
        </w:rPr>
      </w:pPr>
      <w:bookmarkStart w:id="67" w:name="_Hlk201757630"/>
      <w:r w:rsidRPr="00F16E87">
        <w:rPr>
          <w:sz w:val="20"/>
          <w:szCs w:val="20"/>
        </w:rPr>
        <w:t xml:space="preserve">Figure </w:t>
      </w:r>
      <w:r w:rsidR="006B016B">
        <w:rPr>
          <w:sz w:val="20"/>
          <w:szCs w:val="20"/>
        </w:rPr>
        <w:t>10</w:t>
      </w:r>
      <w:r w:rsidRPr="00FF4CFF">
        <w:rPr>
          <w:sz w:val="20"/>
          <w:szCs w:val="20"/>
        </w:rPr>
        <w:t xml:space="preserve">. </w:t>
      </w:r>
      <w:r>
        <w:rPr>
          <w:sz w:val="20"/>
          <w:szCs w:val="20"/>
        </w:rPr>
        <w:t xml:space="preserve"> Copy of the approved General Fish Processor Monthly Return </w:t>
      </w:r>
      <w:r w:rsidR="00F124CE">
        <w:rPr>
          <w:sz w:val="20"/>
          <w:szCs w:val="20"/>
        </w:rPr>
        <w:t>which</w:t>
      </w:r>
      <w:r>
        <w:rPr>
          <w:sz w:val="20"/>
          <w:szCs w:val="20"/>
        </w:rPr>
        <w:t xml:space="preserve"> capture</w:t>
      </w:r>
      <w:r w:rsidR="00F124CE">
        <w:rPr>
          <w:sz w:val="20"/>
          <w:szCs w:val="20"/>
        </w:rPr>
        <w:t>s</w:t>
      </w:r>
      <w:r>
        <w:rPr>
          <w:sz w:val="20"/>
          <w:szCs w:val="20"/>
        </w:rPr>
        <w:t xml:space="preserve"> fishing data upon receipt at a licenced fish processing premises.</w:t>
      </w:r>
      <w:bookmarkEnd w:id="67"/>
    </w:p>
    <w:sectPr w:rsidR="00FF4CFF" w:rsidRPr="00FF4CFF" w:rsidSect="00240AE1">
      <w:headerReference w:type="even" r:id="rId95"/>
      <w:headerReference w:type="default" r:id="rId96"/>
      <w:footerReference w:type="even" r:id="rId97"/>
      <w:footerReference w:type="default" r:id="rId98"/>
      <w:headerReference w:type="first" r:id="rId99"/>
      <w:footerReference w:type="first" r:id="rId100"/>
      <w:pgSz w:w="11906" w:h="16838"/>
      <w:pgMar w:top="1134" w:right="1440" w:bottom="1440" w:left="1440"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D7D3A" w14:textId="77777777" w:rsidR="00C262F5" w:rsidRDefault="00C262F5" w:rsidP="00B91365">
      <w:pPr>
        <w:spacing w:after="0" w:line="240" w:lineRule="auto"/>
      </w:pPr>
      <w:r>
        <w:separator/>
      </w:r>
    </w:p>
  </w:endnote>
  <w:endnote w:type="continuationSeparator" w:id="0">
    <w:p w14:paraId="1A4D0327" w14:textId="77777777" w:rsidR="00C262F5" w:rsidRDefault="00C262F5" w:rsidP="00B91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01ADA" w14:textId="77777777" w:rsidR="00C24E55" w:rsidRDefault="00C24E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7201482"/>
      <w:docPartObj>
        <w:docPartGallery w:val="Page Numbers (Bottom of Page)"/>
        <w:docPartUnique/>
      </w:docPartObj>
    </w:sdtPr>
    <w:sdtEndPr>
      <w:rPr>
        <w:noProof/>
      </w:rPr>
    </w:sdtEndPr>
    <w:sdtContent>
      <w:p w14:paraId="19F101F7" w14:textId="0A999C85" w:rsidR="00741433" w:rsidRDefault="0074143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1B7DA3" w14:textId="77777777" w:rsidR="00741433" w:rsidRDefault="007414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78581" w14:textId="77777777" w:rsidR="00C24E55" w:rsidRDefault="00C24E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0C8DD" w14:textId="77777777" w:rsidR="00C262F5" w:rsidRDefault="00C262F5" w:rsidP="00B91365">
      <w:pPr>
        <w:spacing w:after="0" w:line="240" w:lineRule="auto"/>
      </w:pPr>
      <w:r>
        <w:separator/>
      </w:r>
    </w:p>
  </w:footnote>
  <w:footnote w:type="continuationSeparator" w:id="0">
    <w:p w14:paraId="71D4D0F4" w14:textId="77777777" w:rsidR="00C262F5" w:rsidRDefault="00C262F5" w:rsidP="00B91365">
      <w:pPr>
        <w:spacing w:after="0" w:line="240" w:lineRule="auto"/>
      </w:pPr>
      <w:r>
        <w:continuationSeparator/>
      </w:r>
    </w:p>
  </w:footnote>
  <w:footnote w:id="1">
    <w:p w14:paraId="53B8E124" w14:textId="77777777" w:rsidR="00FB46C5" w:rsidRPr="00FB46C5" w:rsidRDefault="00FB46C5" w:rsidP="00FB46C5">
      <w:pPr>
        <w:pStyle w:val="FootnoteText"/>
      </w:pPr>
      <w:r>
        <w:rPr>
          <w:rStyle w:val="FootnoteReference"/>
        </w:rPr>
        <w:footnoteRef/>
      </w:r>
      <w:r>
        <w:t xml:space="preserve"> </w:t>
      </w:r>
      <w:hyperlink r:id="rId1" w:tgtFrame="_blank" w:history="1">
        <w:r w:rsidRPr="00FB46C5">
          <w:rPr>
            <w:rStyle w:val="Hyperlink"/>
          </w:rPr>
          <w:t>Keane, JP, Lyle, J, Mundy, C and Hartmann, K 2014, Periwinkle Fishery of Tasmania: Supporting Management and a Profitable Industry, Institute for Marine and Antarctic Studies Hobart.</w:t>
        </w:r>
      </w:hyperlink>
    </w:p>
    <w:p w14:paraId="50B4AE8D" w14:textId="76A20EB9" w:rsidR="00FB46C5" w:rsidRDefault="00FB46C5">
      <w:pPr>
        <w:pStyle w:val="FootnoteText"/>
      </w:pPr>
    </w:p>
  </w:footnote>
  <w:footnote w:id="2">
    <w:p w14:paraId="21D383DA" w14:textId="1A07692B" w:rsidR="00FB46C5" w:rsidRDefault="00FB46C5">
      <w:pPr>
        <w:pStyle w:val="FootnoteText"/>
      </w:pPr>
      <w:r>
        <w:rPr>
          <w:rStyle w:val="FootnoteReference"/>
        </w:rPr>
        <w:footnoteRef/>
      </w:r>
      <w:r>
        <w:t xml:space="preserve"> </w:t>
      </w:r>
      <w:r w:rsidR="00A61CDC" w:rsidRPr="00A61CDC">
        <w:rPr>
          <w:rFonts w:cstheme="minorHAnsi"/>
        </w:rPr>
        <w:t xml:space="preserve">Keane J P., Walley, G. Jesson-Kerr, M, Campus, P., Yang, B, Bowditch Wharton, E.J., White, C., Adams, L.R., Bolch, C., Mundy, C., Ling, S. (in review), </w:t>
      </w:r>
      <w:r w:rsidR="00A61CDC" w:rsidRPr="00A61CDC">
        <w:rPr>
          <w:rFonts w:cstheme="minorHAnsi"/>
          <w:i/>
        </w:rPr>
        <w:t>Fisheries Biology of Shortspined Sea Urchins in Tasmania: Supporting a Profitable Harvest and Appropriate Management</w:t>
      </w:r>
      <w:r w:rsidR="00A61CDC" w:rsidRPr="00A61CDC">
        <w:rPr>
          <w:rFonts w:cstheme="minorHAnsi"/>
        </w:rPr>
        <w:t>, Institute for Marine and Antarctic Studies, Hobart.</w:t>
      </w:r>
    </w:p>
  </w:footnote>
  <w:footnote w:id="3">
    <w:p w14:paraId="40FCA83A" w14:textId="77777777" w:rsidR="00036A4E" w:rsidRDefault="00036A4E" w:rsidP="00036A4E">
      <w:pPr>
        <w:pStyle w:val="FootnoteText"/>
      </w:pPr>
      <w:r>
        <w:rPr>
          <w:rStyle w:val="FootnoteReference"/>
        </w:rPr>
        <w:footnoteRef/>
      </w:r>
      <w:r>
        <w:t xml:space="preserve"> </w:t>
      </w:r>
      <w:r w:rsidRPr="0005277E">
        <w:t>Azzurro, E., Bahri, T., Valbo-Jørgensen, J., Ma, X., Strafella, P. &amp; Vasconcellos, M., eds. 2024. </w:t>
      </w:r>
      <w:r w:rsidRPr="0005277E">
        <w:rPr>
          <w:i/>
          <w:iCs/>
        </w:rPr>
        <w:t>Fisheries responses to invasive species in a changing climate – Lessons learned from case studies</w:t>
      </w:r>
      <w:r w:rsidRPr="0005277E">
        <w:t>. FAO Fisheries Technical Paper, No. 704. Rome, FAO.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208BC" w14:textId="77777777" w:rsidR="00C24E55" w:rsidRDefault="00C24E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8E6A9" w14:textId="77777777" w:rsidR="00C24E55" w:rsidRDefault="00C24E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75F06" w14:textId="77777777" w:rsidR="00C24E55" w:rsidRDefault="00C24E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32E3"/>
    <w:multiLevelType w:val="multilevel"/>
    <w:tmpl w:val="F5764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2F0660"/>
    <w:multiLevelType w:val="hybridMultilevel"/>
    <w:tmpl w:val="CEF66A7E"/>
    <w:lvl w:ilvl="0" w:tplc="BD7243DE">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20471C2"/>
    <w:multiLevelType w:val="hybridMultilevel"/>
    <w:tmpl w:val="F26A524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038C4E10"/>
    <w:multiLevelType w:val="hybridMultilevel"/>
    <w:tmpl w:val="88BAC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4F00AB1"/>
    <w:multiLevelType w:val="hybridMultilevel"/>
    <w:tmpl w:val="A19A3062"/>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abstractNum w:abstractNumId="5" w15:restartNumberingAfterBreak="0">
    <w:nsid w:val="079D48E6"/>
    <w:multiLevelType w:val="hybridMultilevel"/>
    <w:tmpl w:val="9E96705A"/>
    <w:lvl w:ilvl="0" w:tplc="7C92878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C7750B"/>
    <w:multiLevelType w:val="hybridMultilevel"/>
    <w:tmpl w:val="DD6E825C"/>
    <w:lvl w:ilvl="0" w:tplc="FFFFFFFF">
      <w:start w:val="1"/>
      <w:numFmt w:val="decimal"/>
      <w:lvlText w:val="%1."/>
      <w:lvlJc w:val="left"/>
      <w:pPr>
        <w:ind w:left="720" w:hanging="360"/>
      </w:pPr>
    </w:lvl>
    <w:lvl w:ilvl="1" w:tplc="EB98D90C">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6F6E5B"/>
    <w:multiLevelType w:val="hybridMultilevel"/>
    <w:tmpl w:val="D2FED3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8A5AFB"/>
    <w:multiLevelType w:val="hybridMultilevel"/>
    <w:tmpl w:val="33605244"/>
    <w:lvl w:ilvl="0" w:tplc="EB98D90C">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E334B28"/>
    <w:multiLevelType w:val="hybridMultilevel"/>
    <w:tmpl w:val="B690436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3F0514"/>
    <w:multiLevelType w:val="hybridMultilevel"/>
    <w:tmpl w:val="E4A8BC84"/>
    <w:lvl w:ilvl="0" w:tplc="FFFFFFFF">
      <w:start w:val="1"/>
      <w:numFmt w:val="decimal"/>
      <w:lvlText w:val="%1."/>
      <w:lvlJc w:val="left"/>
      <w:pPr>
        <w:ind w:left="720" w:hanging="360"/>
      </w:pPr>
    </w:lvl>
    <w:lvl w:ilvl="1" w:tplc="EB98D90C">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E95BC9"/>
    <w:multiLevelType w:val="hybridMultilevel"/>
    <w:tmpl w:val="114ACA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A5C23F4"/>
    <w:multiLevelType w:val="hybridMultilevel"/>
    <w:tmpl w:val="E30284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1D79FA"/>
    <w:multiLevelType w:val="hybridMultilevel"/>
    <w:tmpl w:val="689ECC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0D5CEA"/>
    <w:multiLevelType w:val="hybridMultilevel"/>
    <w:tmpl w:val="F07C705E"/>
    <w:lvl w:ilvl="0" w:tplc="B1EC2092">
      <w:start w:val="1"/>
      <w:numFmt w:val="decimal"/>
      <w:lvlText w:val="%1."/>
      <w:lvlJc w:val="left"/>
      <w:pPr>
        <w:ind w:left="720" w:hanging="360"/>
      </w:pPr>
      <w:rPr>
        <w:rFonts w:cs="Times New Roman" w:hint="default"/>
        <w:b/>
        <w:sz w:val="36"/>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DAB521A"/>
    <w:multiLevelType w:val="hybridMultilevel"/>
    <w:tmpl w:val="1DBE7AEA"/>
    <w:lvl w:ilvl="0" w:tplc="FFFFFFFF">
      <w:start w:val="1"/>
      <w:numFmt w:val="decimal"/>
      <w:lvlText w:val="%1."/>
      <w:lvlJc w:val="left"/>
      <w:pPr>
        <w:ind w:left="720" w:hanging="360"/>
      </w:pPr>
    </w:lvl>
    <w:lvl w:ilvl="1" w:tplc="EB98D90C">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1DE785D"/>
    <w:multiLevelType w:val="hybridMultilevel"/>
    <w:tmpl w:val="BEC05E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3802F6B"/>
    <w:multiLevelType w:val="hybridMultilevel"/>
    <w:tmpl w:val="B5F61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7C546E"/>
    <w:multiLevelType w:val="hybridMultilevel"/>
    <w:tmpl w:val="A5D8C1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4B265C8"/>
    <w:multiLevelType w:val="hybridMultilevel"/>
    <w:tmpl w:val="0ED0C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69A2956"/>
    <w:multiLevelType w:val="hybridMultilevel"/>
    <w:tmpl w:val="F13ABD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8FE5503"/>
    <w:multiLevelType w:val="hybridMultilevel"/>
    <w:tmpl w:val="9DA09C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3EE701B"/>
    <w:multiLevelType w:val="multilevel"/>
    <w:tmpl w:val="F3F0DA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BFE3D96"/>
    <w:multiLevelType w:val="hybridMultilevel"/>
    <w:tmpl w:val="57FCF35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1DA7C2A"/>
    <w:multiLevelType w:val="hybridMultilevel"/>
    <w:tmpl w:val="30D4BF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E3057F5"/>
    <w:multiLevelType w:val="hybridMultilevel"/>
    <w:tmpl w:val="1B4CAF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E3F1111"/>
    <w:multiLevelType w:val="hybridMultilevel"/>
    <w:tmpl w:val="C804F9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EB82DF2"/>
    <w:multiLevelType w:val="hybridMultilevel"/>
    <w:tmpl w:val="57FCF35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71649870">
    <w:abstractNumId w:val="24"/>
  </w:num>
  <w:num w:numId="2" w16cid:durableId="2040156587">
    <w:abstractNumId w:val="14"/>
  </w:num>
  <w:num w:numId="3" w16cid:durableId="861744690">
    <w:abstractNumId w:val="26"/>
  </w:num>
  <w:num w:numId="4" w16cid:durableId="798301850">
    <w:abstractNumId w:val="13"/>
  </w:num>
  <w:num w:numId="5" w16cid:durableId="361633214">
    <w:abstractNumId w:val="1"/>
  </w:num>
  <w:num w:numId="6" w16cid:durableId="167672903">
    <w:abstractNumId w:val="2"/>
  </w:num>
  <w:num w:numId="7" w16cid:durableId="1494299569">
    <w:abstractNumId w:val="17"/>
  </w:num>
  <w:num w:numId="8" w16cid:durableId="297495264">
    <w:abstractNumId w:val="19"/>
  </w:num>
  <w:num w:numId="9" w16cid:durableId="432555774">
    <w:abstractNumId w:val="5"/>
  </w:num>
  <w:num w:numId="10" w16cid:durableId="709693853">
    <w:abstractNumId w:val="18"/>
  </w:num>
  <w:num w:numId="11" w16cid:durableId="1135832976">
    <w:abstractNumId w:val="11"/>
  </w:num>
  <w:num w:numId="12" w16cid:durableId="325977861">
    <w:abstractNumId w:val="8"/>
  </w:num>
  <w:num w:numId="13" w16cid:durableId="2047216683">
    <w:abstractNumId w:val="27"/>
  </w:num>
  <w:num w:numId="14" w16cid:durableId="749159233">
    <w:abstractNumId w:val="9"/>
  </w:num>
  <w:num w:numId="15" w16cid:durableId="2083135349">
    <w:abstractNumId w:val="15"/>
  </w:num>
  <w:num w:numId="16" w16cid:durableId="2075812339">
    <w:abstractNumId w:val="6"/>
  </w:num>
  <w:num w:numId="17" w16cid:durableId="180779462">
    <w:abstractNumId w:val="10"/>
  </w:num>
  <w:num w:numId="18" w16cid:durableId="1295912082">
    <w:abstractNumId w:val="22"/>
  </w:num>
  <w:num w:numId="19" w16cid:durableId="510069935">
    <w:abstractNumId w:val="12"/>
  </w:num>
  <w:num w:numId="20" w16cid:durableId="880554050">
    <w:abstractNumId w:val="3"/>
  </w:num>
  <w:num w:numId="21" w16cid:durableId="1100951616">
    <w:abstractNumId w:val="16"/>
  </w:num>
  <w:num w:numId="22" w16cid:durableId="620187888">
    <w:abstractNumId w:val="20"/>
  </w:num>
  <w:num w:numId="23" w16cid:durableId="1122184817">
    <w:abstractNumId w:val="21"/>
  </w:num>
  <w:num w:numId="24" w16cid:durableId="1055620204">
    <w:abstractNumId w:val="4"/>
  </w:num>
  <w:num w:numId="25" w16cid:durableId="1669793074">
    <w:abstractNumId w:val="23"/>
  </w:num>
  <w:num w:numId="26" w16cid:durableId="1531722050">
    <w:abstractNumId w:val="7"/>
  </w:num>
  <w:num w:numId="27" w16cid:durableId="1208418449">
    <w:abstractNumId w:val="0"/>
  </w:num>
  <w:num w:numId="28" w16cid:durableId="19087595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7FD"/>
    <w:rsid w:val="00010FA5"/>
    <w:rsid w:val="0001270E"/>
    <w:rsid w:val="00013CFC"/>
    <w:rsid w:val="00020924"/>
    <w:rsid w:val="00024456"/>
    <w:rsid w:val="000244B1"/>
    <w:rsid w:val="00026AF1"/>
    <w:rsid w:val="00030584"/>
    <w:rsid w:val="000307A8"/>
    <w:rsid w:val="00033E91"/>
    <w:rsid w:val="000352CC"/>
    <w:rsid w:val="0003551D"/>
    <w:rsid w:val="00035D43"/>
    <w:rsid w:val="00036A4E"/>
    <w:rsid w:val="000465E7"/>
    <w:rsid w:val="00046E76"/>
    <w:rsid w:val="000524FD"/>
    <w:rsid w:val="00054C9F"/>
    <w:rsid w:val="00055D4A"/>
    <w:rsid w:val="00056C87"/>
    <w:rsid w:val="00060456"/>
    <w:rsid w:val="00062F40"/>
    <w:rsid w:val="00067889"/>
    <w:rsid w:val="000706E3"/>
    <w:rsid w:val="0007276F"/>
    <w:rsid w:val="00077008"/>
    <w:rsid w:val="00082C4A"/>
    <w:rsid w:val="0008369B"/>
    <w:rsid w:val="00083A91"/>
    <w:rsid w:val="00090921"/>
    <w:rsid w:val="00091967"/>
    <w:rsid w:val="00092C81"/>
    <w:rsid w:val="00094B95"/>
    <w:rsid w:val="000A0238"/>
    <w:rsid w:val="000A3698"/>
    <w:rsid w:val="000B0CC4"/>
    <w:rsid w:val="000B1E49"/>
    <w:rsid w:val="000B6599"/>
    <w:rsid w:val="000B6C05"/>
    <w:rsid w:val="000B77EE"/>
    <w:rsid w:val="000C2583"/>
    <w:rsid w:val="000C2691"/>
    <w:rsid w:val="000C4A49"/>
    <w:rsid w:val="000C4C1E"/>
    <w:rsid w:val="000C7DE4"/>
    <w:rsid w:val="000D0DE8"/>
    <w:rsid w:val="000D3F96"/>
    <w:rsid w:val="000D5180"/>
    <w:rsid w:val="000E5E77"/>
    <w:rsid w:val="000E77BE"/>
    <w:rsid w:val="000E7DD8"/>
    <w:rsid w:val="000F0946"/>
    <w:rsid w:val="000F0F51"/>
    <w:rsid w:val="000F5837"/>
    <w:rsid w:val="001017DE"/>
    <w:rsid w:val="00103988"/>
    <w:rsid w:val="00104533"/>
    <w:rsid w:val="001051CF"/>
    <w:rsid w:val="0010590C"/>
    <w:rsid w:val="00105DC1"/>
    <w:rsid w:val="001130C6"/>
    <w:rsid w:val="00114691"/>
    <w:rsid w:val="00116C41"/>
    <w:rsid w:val="00122664"/>
    <w:rsid w:val="001226C6"/>
    <w:rsid w:val="001227B1"/>
    <w:rsid w:val="00125CBE"/>
    <w:rsid w:val="001265CD"/>
    <w:rsid w:val="00126B6E"/>
    <w:rsid w:val="00134926"/>
    <w:rsid w:val="00135AB3"/>
    <w:rsid w:val="001413F7"/>
    <w:rsid w:val="0014164E"/>
    <w:rsid w:val="00143183"/>
    <w:rsid w:val="0014673A"/>
    <w:rsid w:val="001474C7"/>
    <w:rsid w:val="00154869"/>
    <w:rsid w:val="00156188"/>
    <w:rsid w:val="00162E32"/>
    <w:rsid w:val="0016539D"/>
    <w:rsid w:val="0017359A"/>
    <w:rsid w:val="001741A3"/>
    <w:rsid w:val="00174954"/>
    <w:rsid w:val="0017606A"/>
    <w:rsid w:val="0017611C"/>
    <w:rsid w:val="00176580"/>
    <w:rsid w:val="00177F2E"/>
    <w:rsid w:val="0018409A"/>
    <w:rsid w:val="00185A07"/>
    <w:rsid w:val="00186515"/>
    <w:rsid w:val="00190D44"/>
    <w:rsid w:val="0019298D"/>
    <w:rsid w:val="00195CE5"/>
    <w:rsid w:val="001966CB"/>
    <w:rsid w:val="001A1A2E"/>
    <w:rsid w:val="001A225A"/>
    <w:rsid w:val="001B037B"/>
    <w:rsid w:val="001B107F"/>
    <w:rsid w:val="001B2FF8"/>
    <w:rsid w:val="001B3563"/>
    <w:rsid w:val="001B387D"/>
    <w:rsid w:val="001B4C17"/>
    <w:rsid w:val="001B4F3E"/>
    <w:rsid w:val="001B5614"/>
    <w:rsid w:val="001B61D9"/>
    <w:rsid w:val="001C55B3"/>
    <w:rsid w:val="001C7334"/>
    <w:rsid w:val="001D1B05"/>
    <w:rsid w:val="001D33A1"/>
    <w:rsid w:val="001D7784"/>
    <w:rsid w:val="001E29BD"/>
    <w:rsid w:val="001E5602"/>
    <w:rsid w:val="001E5B23"/>
    <w:rsid w:val="001E6EDD"/>
    <w:rsid w:val="001E6FA3"/>
    <w:rsid w:val="001E7F9E"/>
    <w:rsid w:val="001F04DC"/>
    <w:rsid w:val="001F0C58"/>
    <w:rsid w:val="001F35D5"/>
    <w:rsid w:val="001F49A8"/>
    <w:rsid w:val="001F7743"/>
    <w:rsid w:val="00201B34"/>
    <w:rsid w:val="002064A2"/>
    <w:rsid w:val="00206861"/>
    <w:rsid w:val="002105AA"/>
    <w:rsid w:val="00210B7C"/>
    <w:rsid w:val="00210BE3"/>
    <w:rsid w:val="0021230A"/>
    <w:rsid w:val="00213359"/>
    <w:rsid w:val="002143D3"/>
    <w:rsid w:val="00215489"/>
    <w:rsid w:val="00220F0C"/>
    <w:rsid w:val="00222850"/>
    <w:rsid w:val="00222E97"/>
    <w:rsid w:val="0022584C"/>
    <w:rsid w:val="0023291D"/>
    <w:rsid w:val="00232FB2"/>
    <w:rsid w:val="00235D38"/>
    <w:rsid w:val="00240AE1"/>
    <w:rsid w:val="00241A0D"/>
    <w:rsid w:val="00242791"/>
    <w:rsid w:val="00247CA4"/>
    <w:rsid w:val="00255334"/>
    <w:rsid w:val="0026139B"/>
    <w:rsid w:val="0026313B"/>
    <w:rsid w:val="00263DA4"/>
    <w:rsid w:val="0026448C"/>
    <w:rsid w:val="00270ABF"/>
    <w:rsid w:val="00272188"/>
    <w:rsid w:val="002742CC"/>
    <w:rsid w:val="00274F7E"/>
    <w:rsid w:val="0027650A"/>
    <w:rsid w:val="00280179"/>
    <w:rsid w:val="002801BD"/>
    <w:rsid w:val="0028067E"/>
    <w:rsid w:val="00285A56"/>
    <w:rsid w:val="00286A4C"/>
    <w:rsid w:val="002925B6"/>
    <w:rsid w:val="00297BBD"/>
    <w:rsid w:val="002A0643"/>
    <w:rsid w:val="002A128C"/>
    <w:rsid w:val="002A1B86"/>
    <w:rsid w:val="002A1DED"/>
    <w:rsid w:val="002A40AB"/>
    <w:rsid w:val="002A5CE6"/>
    <w:rsid w:val="002A6603"/>
    <w:rsid w:val="002A6FD6"/>
    <w:rsid w:val="002A78B1"/>
    <w:rsid w:val="002A7962"/>
    <w:rsid w:val="002B42F1"/>
    <w:rsid w:val="002B4A47"/>
    <w:rsid w:val="002B54EF"/>
    <w:rsid w:val="002B69D8"/>
    <w:rsid w:val="002C2D9A"/>
    <w:rsid w:val="002C3009"/>
    <w:rsid w:val="002C3EA4"/>
    <w:rsid w:val="002C4BA8"/>
    <w:rsid w:val="002D7242"/>
    <w:rsid w:val="002E1E79"/>
    <w:rsid w:val="002E1F3A"/>
    <w:rsid w:val="002E2B05"/>
    <w:rsid w:val="002E33FE"/>
    <w:rsid w:val="002E37BD"/>
    <w:rsid w:val="002E3BCE"/>
    <w:rsid w:val="002E6830"/>
    <w:rsid w:val="003038D3"/>
    <w:rsid w:val="0031055C"/>
    <w:rsid w:val="00313776"/>
    <w:rsid w:val="00314F4F"/>
    <w:rsid w:val="00315782"/>
    <w:rsid w:val="003174DC"/>
    <w:rsid w:val="00317EC2"/>
    <w:rsid w:val="00320B05"/>
    <w:rsid w:val="00321B1C"/>
    <w:rsid w:val="003248D1"/>
    <w:rsid w:val="00324B09"/>
    <w:rsid w:val="00326AB9"/>
    <w:rsid w:val="0032754B"/>
    <w:rsid w:val="00331F02"/>
    <w:rsid w:val="00334F9A"/>
    <w:rsid w:val="0033591E"/>
    <w:rsid w:val="00336DDD"/>
    <w:rsid w:val="0034327D"/>
    <w:rsid w:val="00347335"/>
    <w:rsid w:val="00347E10"/>
    <w:rsid w:val="00350FCE"/>
    <w:rsid w:val="00351C1B"/>
    <w:rsid w:val="00352F2D"/>
    <w:rsid w:val="0035373A"/>
    <w:rsid w:val="00353830"/>
    <w:rsid w:val="00355EBE"/>
    <w:rsid w:val="00356157"/>
    <w:rsid w:val="00360FFF"/>
    <w:rsid w:val="00361991"/>
    <w:rsid w:val="00362AE6"/>
    <w:rsid w:val="00362E36"/>
    <w:rsid w:val="003632DE"/>
    <w:rsid w:val="003667B5"/>
    <w:rsid w:val="003777A0"/>
    <w:rsid w:val="00377FFD"/>
    <w:rsid w:val="003816B6"/>
    <w:rsid w:val="00383945"/>
    <w:rsid w:val="00386BC1"/>
    <w:rsid w:val="003911C1"/>
    <w:rsid w:val="00394506"/>
    <w:rsid w:val="00395797"/>
    <w:rsid w:val="00397DE0"/>
    <w:rsid w:val="003A34F6"/>
    <w:rsid w:val="003A5465"/>
    <w:rsid w:val="003A682C"/>
    <w:rsid w:val="003B057C"/>
    <w:rsid w:val="003B251F"/>
    <w:rsid w:val="003B69D3"/>
    <w:rsid w:val="003B7CC6"/>
    <w:rsid w:val="003C4A88"/>
    <w:rsid w:val="003C62E8"/>
    <w:rsid w:val="003D0F5C"/>
    <w:rsid w:val="003D13EF"/>
    <w:rsid w:val="003D191F"/>
    <w:rsid w:val="003D1EC6"/>
    <w:rsid w:val="003D1F1C"/>
    <w:rsid w:val="003D26F9"/>
    <w:rsid w:val="003E197A"/>
    <w:rsid w:val="003E7156"/>
    <w:rsid w:val="003E733B"/>
    <w:rsid w:val="003E7AD1"/>
    <w:rsid w:val="003F0A70"/>
    <w:rsid w:val="003F106C"/>
    <w:rsid w:val="003F1B97"/>
    <w:rsid w:val="003F5994"/>
    <w:rsid w:val="00400240"/>
    <w:rsid w:val="00402E98"/>
    <w:rsid w:val="004033EE"/>
    <w:rsid w:val="0040486C"/>
    <w:rsid w:val="00406C7E"/>
    <w:rsid w:val="00414004"/>
    <w:rsid w:val="0042395D"/>
    <w:rsid w:val="004252A9"/>
    <w:rsid w:val="00426A55"/>
    <w:rsid w:val="00431587"/>
    <w:rsid w:val="00432203"/>
    <w:rsid w:val="00432BD1"/>
    <w:rsid w:val="00432D8D"/>
    <w:rsid w:val="00434368"/>
    <w:rsid w:val="004356B5"/>
    <w:rsid w:val="00435723"/>
    <w:rsid w:val="00440600"/>
    <w:rsid w:val="004415BA"/>
    <w:rsid w:val="0044543A"/>
    <w:rsid w:val="00445DEF"/>
    <w:rsid w:val="00445F7B"/>
    <w:rsid w:val="00446EB7"/>
    <w:rsid w:val="004549FD"/>
    <w:rsid w:val="00454E90"/>
    <w:rsid w:val="00455E13"/>
    <w:rsid w:val="0046021D"/>
    <w:rsid w:val="004605E3"/>
    <w:rsid w:val="00461BCE"/>
    <w:rsid w:val="00462755"/>
    <w:rsid w:val="004640E2"/>
    <w:rsid w:val="004657F1"/>
    <w:rsid w:val="00471DB3"/>
    <w:rsid w:val="00471E2E"/>
    <w:rsid w:val="0048146D"/>
    <w:rsid w:val="00481CE0"/>
    <w:rsid w:val="00482421"/>
    <w:rsid w:val="0048499E"/>
    <w:rsid w:val="00486D86"/>
    <w:rsid w:val="00487503"/>
    <w:rsid w:val="00487E3F"/>
    <w:rsid w:val="004944FD"/>
    <w:rsid w:val="0049544B"/>
    <w:rsid w:val="004A0B06"/>
    <w:rsid w:val="004A1FC9"/>
    <w:rsid w:val="004A5CAF"/>
    <w:rsid w:val="004A61D0"/>
    <w:rsid w:val="004B05AE"/>
    <w:rsid w:val="004B4287"/>
    <w:rsid w:val="004B48A9"/>
    <w:rsid w:val="004B566D"/>
    <w:rsid w:val="004B6865"/>
    <w:rsid w:val="004C0B8B"/>
    <w:rsid w:val="004C1B16"/>
    <w:rsid w:val="004C5BB9"/>
    <w:rsid w:val="004C6021"/>
    <w:rsid w:val="004C7C0D"/>
    <w:rsid w:val="004E20F5"/>
    <w:rsid w:val="004E2F54"/>
    <w:rsid w:val="004E3085"/>
    <w:rsid w:val="004E752A"/>
    <w:rsid w:val="004E7D42"/>
    <w:rsid w:val="004F3889"/>
    <w:rsid w:val="004F4F7E"/>
    <w:rsid w:val="004F7067"/>
    <w:rsid w:val="004F7AED"/>
    <w:rsid w:val="00503D9F"/>
    <w:rsid w:val="00503E5E"/>
    <w:rsid w:val="0051348C"/>
    <w:rsid w:val="00514185"/>
    <w:rsid w:val="00515AA6"/>
    <w:rsid w:val="005165D0"/>
    <w:rsid w:val="00520211"/>
    <w:rsid w:val="005252A7"/>
    <w:rsid w:val="00527876"/>
    <w:rsid w:val="005311C9"/>
    <w:rsid w:val="00536EB0"/>
    <w:rsid w:val="00542132"/>
    <w:rsid w:val="005426D4"/>
    <w:rsid w:val="00543AEB"/>
    <w:rsid w:val="0054705A"/>
    <w:rsid w:val="0055419B"/>
    <w:rsid w:val="00554A33"/>
    <w:rsid w:val="00554F3B"/>
    <w:rsid w:val="0055632A"/>
    <w:rsid w:val="00560C36"/>
    <w:rsid w:val="00565AD6"/>
    <w:rsid w:val="00565B85"/>
    <w:rsid w:val="00570858"/>
    <w:rsid w:val="00571BDD"/>
    <w:rsid w:val="00573BF5"/>
    <w:rsid w:val="005740C8"/>
    <w:rsid w:val="0057484A"/>
    <w:rsid w:val="00577825"/>
    <w:rsid w:val="00581BE2"/>
    <w:rsid w:val="005871E0"/>
    <w:rsid w:val="005878D0"/>
    <w:rsid w:val="00590014"/>
    <w:rsid w:val="005A02EA"/>
    <w:rsid w:val="005A05E3"/>
    <w:rsid w:val="005A45E4"/>
    <w:rsid w:val="005A5BA4"/>
    <w:rsid w:val="005B10E9"/>
    <w:rsid w:val="005B11D1"/>
    <w:rsid w:val="005B121E"/>
    <w:rsid w:val="005B143B"/>
    <w:rsid w:val="005B316B"/>
    <w:rsid w:val="005B5B2B"/>
    <w:rsid w:val="005B7193"/>
    <w:rsid w:val="005C1AC9"/>
    <w:rsid w:val="005C1DAC"/>
    <w:rsid w:val="005C431E"/>
    <w:rsid w:val="005D069A"/>
    <w:rsid w:val="005D0E57"/>
    <w:rsid w:val="005D2251"/>
    <w:rsid w:val="005E1EE1"/>
    <w:rsid w:val="005E2529"/>
    <w:rsid w:val="005E311D"/>
    <w:rsid w:val="005E3124"/>
    <w:rsid w:val="005E4896"/>
    <w:rsid w:val="005F11E4"/>
    <w:rsid w:val="005F39A8"/>
    <w:rsid w:val="005F4C57"/>
    <w:rsid w:val="005F65C8"/>
    <w:rsid w:val="006004E3"/>
    <w:rsid w:val="00600CF2"/>
    <w:rsid w:val="00601AA8"/>
    <w:rsid w:val="0060281D"/>
    <w:rsid w:val="00602AA6"/>
    <w:rsid w:val="00603750"/>
    <w:rsid w:val="006058E7"/>
    <w:rsid w:val="00605E24"/>
    <w:rsid w:val="00607795"/>
    <w:rsid w:val="006110CB"/>
    <w:rsid w:val="00611BA9"/>
    <w:rsid w:val="00612239"/>
    <w:rsid w:val="006143BD"/>
    <w:rsid w:val="00614761"/>
    <w:rsid w:val="00615855"/>
    <w:rsid w:val="00621261"/>
    <w:rsid w:val="006227EE"/>
    <w:rsid w:val="00622EEA"/>
    <w:rsid w:val="0062391F"/>
    <w:rsid w:val="00623A42"/>
    <w:rsid w:val="00624AC1"/>
    <w:rsid w:val="00630C6E"/>
    <w:rsid w:val="00633EEF"/>
    <w:rsid w:val="00633FDE"/>
    <w:rsid w:val="00634724"/>
    <w:rsid w:val="006348B0"/>
    <w:rsid w:val="00637108"/>
    <w:rsid w:val="006425A6"/>
    <w:rsid w:val="00642884"/>
    <w:rsid w:val="006428C1"/>
    <w:rsid w:val="006439DF"/>
    <w:rsid w:val="00645ED7"/>
    <w:rsid w:val="00647FF6"/>
    <w:rsid w:val="00650605"/>
    <w:rsid w:val="0065102F"/>
    <w:rsid w:val="00656165"/>
    <w:rsid w:val="006571DA"/>
    <w:rsid w:val="00662DDB"/>
    <w:rsid w:val="00663299"/>
    <w:rsid w:val="00664297"/>
    <w:rsid w:val="00673122"/>
    <w:rsid w:val="006820E0"/>
    <w:rsid w:val="006854F8"/>
    <w:rsid w:val="00685B88"/>
    <w:rsid w:val="00685ED0"/>
    <w:rsid w:val="0069314A"/>
    <w:rsid w:val="0069547F"/>
    <w:rsid w:val="006955ED"/>
    <w:rsid w:val="00695FC5"/>
    <w:rsid w:val="0069701D"/>
    <w:rsid w:val="006A0B97"/>
    <w:rsid w:val="006A1159"/>
    <w:rsid w:val="006A20D9"/>
    <w:rsid w:val="006A4677"/>
    <w:rsid w:val="006A6011"/>
    <w:rsid w:val="006B016B"/>
    <w:rsid w:val="006B21FC"/>
    <w:rsid w:val="006B2F3F"/>
    <w:rsid w:val="006B5080"/>
    <w:rsid w:val="006B5DE3"/>
    <w:rsid w:val="006B5F8C"/>
    <w:rsid w:val="006B723A"/>
    <w:rsid w:val="006C43B9"/>
    <w:rsid w:val="006C4B20"/>
    <w:rsid w:val="006C74DB"/>
    <w:rsid w:val="006C7826"/>
    <w:rsid w:val="006D2645"/>
    <w:rsid w:val="006D5F6F"/>
    <w:rsid w:val="006E0E48"/>
    <w:rsid w:val="006E1E1F"/>
    <w:rsid w:val="006E4D9D"/>
    <w:rsid w:val="006E6CA3"/>
    <w:rsid w:val="006E781B"/>
    <w:rsid w:val="006F3582"/>
    <w:rsid w:val="006F3C71"/>
    <w:rsid w:val="006F5125"/>
    <w:rsid w:val="006F54AE"/>
    <w:rsid w:val="006F7B42"/>
    <w:rsid w:val="0070449F"/>
    <w:rsid w:val="00704963"/>
    <w:rsid w:val="00704DBB"/>
    <w:rsid w:val="00707C17"/>
    <w:rsid w:val="0071150E"/>
    <w:rsid w:val="007141E8"/>
    <w:rsid w:val="00716F49"/>
    <w:rsid w:val="007177E8"/>
    <w:rsid w:val="00721DDE"/>
    <w:rsid w:val="007230C1"/>
    <w:rsid w:val="007235E8"/>
    <w:rsid w:val="00723A24"/>
    <w:rsid w:val="0072489D"/>
    <w:rsid w:val="00726108"/>
    <w:rsid w:val="00736443"/>
    <w:rsid w:val="00741433"/>
    <w:rsid w:val="00742BD8"/>
    <w:rsid w:val="007436E8"/>
    <w:rsid w:val="00746F21"/>
    <w:rsid w:val="007470BF"/>
    <w:rsid w:val="0075117B"/>
    <w:rsid w:val="00752AE0"/>
    <w:rsid w:val="00752D11"/>
    <w:rsid w:val="00756A29"/>
    <w:rsid w:val="00756C49"/>
    <w:rsid w:val="00760052"/>
    <w:rsid w:val="00760137"/>
    <w:rsid w:val="0076131B"/>
    <w:rsid w:val="00764E51"/>
    <w:rsid w:val="00765E1F"/>
    <w:rsid w:val="00765EC1"/>
    <w:rsid w:val="0076610D"/>
    <w:rsid w:val="00767E3F"/>
    <w:rsid w:val="00773240"/>
    <w:rsid w:val="00784741"/>
    <w:rsid w:val="00787EDD"/>
    <w:rsid w:val="00797E2B"/>
    <w:rsid w:val="007A08CD"/>
    <w:rsid w:val="007A38E1"/>
    <w:rsid w:val="007A5D00"/>
    <w:rsid w:val="007A6AF1"/>
    <w:rsid w:val="007B079F"/>
    <w:rsid w:val="007B27EE"/>
    <w:rsid w:val="007C1411"/>
    <w:rsid w:val="007C331F"/>
    <w:rsid w:val="007C3845"/>
    <w:rsid w:val="007C4501"/>
    <w:rsid w:val="007C6BDD"/>
    <w:rsid w:val="007D1784"/>
    <w:rsid w:val="007D5529"/>
    <w:rsid w:val="007D689C"/>
    <w:rsid w:val="007E0DCE"/>
    <w:rsid w:val="007E1A93"/>
    <w:rsid w:val="007E34FE"/>
    <w:rsid w:val="007E435C"/>
    <w:rsid w:val="007E51CB"/>
    <w:rsid w:val="007E62B7"/>
    <w:rsid w:val="007E6F28"/>
    <w:rsid w:val="007E7D49"/>
    <w:rsid w:val="007E7E5F"/>
    <w:rsid w:val="007F27B0"/>
    <w:rsid w:val="007F3127"/>
    <w:rsid w:val="007F39F9"/>
    <w:rsid w:val="007F5744"/>
    <w:rsid w:val="007F5988"/>
    <w:rsid w:val="007F5C88"/>
    <w:rsid w:val="007F7303"/>
    <w:rsid w:val="0080026E"/>
    <w:rsid w:val="00801612"/>
    <w:rsid w:val="00803901"/>
    <w:rsid w:val="00811968"/>
    <w:rsid w:val="00813B2E"/>
    <w:rsid w:val="00814088"/>
    <w:rsid w:val="008164E1"/>
    <w:rsid w:val="008178A3"/>
    <w:rsid w:val="00817DFE"/>
    <w:rsid w:val="00823E26"/>
    <w:rsid w:val="00827B68"/>
    <w:rsid w:val="00831E3F"/>
    <w:rsid w:val="0083236D"/>
    <w:rsid w:val="00835B61"/>
    <w:rsid w:val="0083628A"/>
    <w:rsid w:val="0083648B"/>
    <w:rsid w:val="00836AF5"/>
    <w:rsid w:val="0084290C"/>
    <w:rsid w:val="00846B4F"/>
    <w:rsid w:val="008506DB"/>
    <w:rsid w:val="00860A50"/>
    <w:rsid w:val="00861565"/>
    <w:rsid w:val="008623E7"/>
    <w:rsid w:val="008657B0"/>
    <w:rsid w:val="00874F24"/>
    <w:rsid w:val="008768F9"/>
    <w:rsid w:val="0088018D"/>
    <w:rsid w:val="00882E98"/>
    <w:rsid w:val="00884B3C"/>
    <w:rsid w:val="008862A8"/>
    <w:rsid w:val="00887DD6"/>
    <w:rsid w:val="00890D00"/>
    <w:rsid w:val="00891499"/>
    <w:rsid w:val="0089229F"/>
    <w:rsid w:val="008946F1"/>
    <w:rsid w:val="008950F6"/>
    <w:rsid w:val="008962D0"/>
    <w:rsid w:val="00896AE3"/>
    <w:rsid w:val="008A2857"/>
    <w:rsid w:val="008A2D1B"/>
    <w:rsid w:val="008A4A14"/>
    <w:rsid w:val="008A5E48"/>
    <w:rsid w:val="008A6CEF"/>
    <w:rsid w:val="008A7D3F"/>
    <w:rsid w:val="008B0431"/>
    <w:rsid w:val="008B2554"/>
    <w:rsid w:val="008C1A45"/>
    <w:rsid w:val="008C4BAD"/>
    <w:rsid w:val="008C6433"/>
    <w:rsid w:val="008D27FA"/>
    <w:rsid w:val="008D2875"/>
    <w:rsid w:val="008D2B81"/>
    <w:rsid w:val="008D7F6F"/>
    <w:rsid w:val="008E187A"/>
    <w:rsid w:val="008E6CFB"/>
    <w:rsid w:val="008F0123"/>
    <w:rsid w:val="008F3045"/>
    <w:rsid w:val="008F43CC"/>
    <w:rsid w:val="008F6CDC"/>
    <w:rsid w:val="008F6CE0"/>
    <w:rsid w:val="00904893"/>
    <w:rsid w:val="00906715"/>
    <w:rsid w:val="00910CDE"/>
    <w:rsid w:val="00912A3D"/>
    <w:rsid w:val="0091533A"/>
    <w:rsid w:val="009169D1"/>
    <w:rsid w:val="00917F8E"/>
    <w:rsid w:val="009235E8"/>
    <w:rsid w:val="00924DBF"/>
    <w:rsid w:val="00930C5D"/>
    <w:rsid w:val="009349CF"/>
    <w:rsid w:val="009373CF"/>
    <w:rsid w:val="009375BC"/>
    <w:rsid w:val="00937928"/>
    <w:rsid w:val="00940173"/>
    <w:rsid w:val="009449E1"/>
    <w:rsid w:val="00947A91"/>
    <w:rsid w:val="0095250F"/>
    <w:rsid w:val="00952E61"/>
    <w:rsid w:val="009538CB"/>
    <w:rsid w:val="00953B46"/>
    <w:rsid w:val="00960C88"/>
    <w:rsid w:val="0096103A"/>
    <w:rsid w:val="00961986"/>
    <w:rsid w:val="00962308"/>
    <w:rsid w:val="00964351"/>
    <w:rsid w:val="00964426"/>
    <w:rsid w:val="00965E30"/>
    <w:rsid w:val="00970D15"/>
    <w:rsid w:val="009710C9"/>
    <w:rsid w:val="00971DD8"/>
    <w:rsid w:val="00973658"/>
    <w:rsid w:val="00974E26"/>
    <w:rsid w:val="00980755"/>
    <w:rsid w:val="009824EB"/>
    <w:rsid w:val="00984AA9"/>
    <w:rsid w:val="0099103D"/>
    <w:rsid w:val="009917C5"/>
    <w:rsid w:val="0099282F"/>
    <w:rsid w:val="0099714E"/>
    <w:rsid w:val="009972F4"/>
    <w:rsid w:val="009A01D8"/>
    <w:rsid w:val="009A60AD"/>
    <w:rsid w:val="009B4C5C"/>
    <w:rsid w:val="009B5352"/>
    <w:rsid w:val="009B74F2"/>
    <w:rsid w:val="009C0A31"/>
    <w:rsid w:val="009C14FE"/>
    <w:rsid w:val="009C1A1B"/>
    <w:rsid w:val="009C1CEC"/>
    <w:rsid w:val="009C3676"/>
    <w:rsid w:val="009C40AE"/>
    <w:rsid w:val="009C7219"/>
    <w:rsid w:val="009D5100"/>
    <w:rsid w:val="009D60D4"/>
    <w:rsid w:val="009D70F4"/>
    <w:rsid w:val="009E2610"/>
    <w:rsid w:val="009E2823"/>
    <w:rsid w:val="009E2C43"/>
    <w:rsid w:val="009E5657"/>
    <w:rsid w:val="009E6517"/>
    <w:rsid w:val="009F1F4A"/>
    <w:rsid w:val="009F756A"/>
    <w:rsid w:val="00A004AE"/>
    <w:rsid w:val="00A00600"/>
    <w:rsid w:val="00A0188A"/>
    <w:rsid w:val="00A01C0E"/>
    <w:rsid w:val="00A034ED"/>
    <w:rsid w:val="00A06953"/>
    <w:rsid w:val="00A0743C"/>
    <w:rsid w:val="00A1287F"/>
    <w:rsid w:val="00A15CFC"/>
    <w:rsid w:val="00A1725D"/>
    <w:rsid w:val="00A2171B"/>
    <w:rsid w:val="00A277FA"/>
    <w:rsid w:val="00A27AE2"/>
    <w:rsid w:val="00A3097C"/>
    <w:rsid w:val="00A31E94"/>
    <w:rsid w:val="00A34B5D"/>
    <w:rsid w:val="00A36048"/>
    <w:rsid w:val="00A374E1"/>
    <w:rsid w:val="00A375AF"/>
    <w:rsid w:val="00A40F40"/>
    <w:rsid w:val="00A4100C"/>
    <w:rsid w:val="00A41BFE"/>
    <w:rsid w:val="00A50318"/>
    <w:rsid w:val="00A505E5"/>
    <w:rsid w:val="00A517A0"/>
    <w:rsid w:val="00A52121"/>
    <w:rsid w:val="00A523F0"/>
    <w:rsid w:val="00A5375C"/>
    <w:rsid w:val="00A61CDC"/>
    <w:rsid w:val="00A62983"/>
    <w:rsid w:val="00A664AF"/>
    <w:rsid w:val="00A706D2"/>
    <w:rsid w:val="00A72FAE"/>
    <w:rsid w:val="00A80884"/>
    <w:rsid w:val="00A81E4F"/>
    <w:rsid w:val="00A832D4"/>
    <w:rsid w:val="00A83CDC"/>
    <w:rsid w:val="00A84E2D"/>
    <w:rsid w:val="00A84ECD"/>
    <w:rsid w:val="00A91A12"/>
    <w:rsid w:val="00A926AD"/>
    <w:rsid w:val="00A94F0B"/>
    <w:rsid w:val="00A9573B"/>
    <w:rsid w:val="00A95DC8"/>
    <w:rsid w:val="00A96C7B"/>
    <w:rsid w:val="00A96DCC"/>
    <w:rsid w:val="00A97CA9"/>
    <w:rsid w:val="00AA0235"/>
    <w:rsid w:val="00AA0C5D"/>
    <w:rsid w:val="00AA2F87"/>
    <w:rsid w:val="00AA31B0"/>
    <w:rsid w:val="00AA74EB"/>
    <w:rsid w:val="00AB150E"/>
    <w:rsid w:val="00AB30B8"/>
    <w:rsid w:val="00AC1A70"/>
    <w:rsid w:val="00AC3E19"/>
    <w:rsid w:val="00AC4E35"/>
    <w:rsid w:val="00AC5F28"/>
    <w:rsid w:val="00AC6F72"/>
    <w:rsid w:val="00AD0D49"/>
    <w:rsid w:val="00AD1536"/>
    <w:rsid w:val="00AD6C26"/>
    <w:rsid w:val="00AD7486"/>
    <w:rsid w:val="00AD7F83"/>
    <w:rsid w:val="00AE279D"/>
    <w:rsid w:val="00AE345B"/>
    <w:rsid w:val="00AE5AE8"/>
    <w:rsid w:val="00AE5CD4"/>
    <w:rsid w:val="00AE6040"/>
    <w:rsid w:val="00AF1DD0"/>
    <w:rsid w:val="00B02C5C"/>
    <w:rsid w:val="00B046DE"/>
    <w:rsid w:val="00B04C24"/>
    <w:rsid w:val="00B06BDA"/>
    <w:rsid w:val="00B075E9"/>
    <w:rsid w:val="00B07F7B"/>
    <w:rsid w:val="00B138AB"/>
    <w:rsid w:val="00B15521"/>
    <w:rsid w:val="00B1702C"/>
    <w:rsid w:val="00B17334"/>
    <w:rsid w:val="00B20D96"/>
    <w:rsid w:val="00B216C2"/>
    <w:rsid w:val="00B220CF"/>
    <w:rsid w:val="00B262E3"/>
    <w:rsid w:val="00B30733"/>
    <w:rsid w:val="00B31325"/>
    <w:rsid w:val="00B36663"/>
    <w:rsid w:val="00B36732"/>
    <w:rsid w:val="00B40E4A"/>
    <w:rsid w:val="00B42962"/>
    <w:rsid w:val="00B45BEB"/>
    <w:rsid w:val="00B46C86"/>
    <w:rsid w:val="00B5295D"/>
    <w:rsid w:val="00B56980"/>
    <w:rsid w:val="00B578AB"/>
    <w:rsid w:val="00B6030F"/>
    <w:rsid w:val="00B62819"/>
    <w:rsid w:val="00B62D45"/>
    <w:rsid w:val="00B65C8F"/>
    <w:rsid w:val="00B675F2"/>
    <w:rsid w:val="00B67E5B"/>
    <w:rsid w:val="00B70D10"/>
    <w:rsid w:val="00B73D6E"/>
    <w:rsid w:val="00B74EF7"/>
    <w:rsid w:val="00B76C8B"/>
    <w:rsid w:val="00B807E1"/>
    <w:rsid w:val="00B80B48"/>
    <w:rsid w:val="00B844F4"/>
    <w:rsid w:val="00B84BE8"/>
    <w:rsid w:val="00B9094A"/>
    <w:rsid w:val="00B91365"/>
    <w:rsid w:val="00B915B9"/>
    <w:rsid w:val="00B920D1"/>
    <w:rsid w:val="00B92640"/>
    <w:rsid w:val="00B94AD5"/>
    <w:rsid w:val="00B95712"/>
    <w:rsid w:val="00B976E9"/>
    <w:rsid w:val="00B9791B"/>
    <w:rsid w:val="00BA4FF5"/>
    <w:rsid w:val="00BA7809"/>
    <w:rsid w:val="00BB6C23"/>
    <w:rsid w:val="00BB7161"/>
    <w:rsid w:val="00BC484D"/>
    <w:rsid w:val="00BD3691"/>
    <w:rsid w:val="00BD3A93"/>
    <w:rsid w:val="00BD5372"/>
    <w:rsid w:val="00BD5A7B"/>
    <w:rsid w:val="00BD5AF1"/>
    <w:rsid w:val="00BE1A41"/>
    <w:rsid w:val="00BE298F"/>
    <w:rsid w:val="00BE4EA8"/>
    <w:rsid w:val="00BE5478"/>
    <w:rsid w:val="00BE6B72"/>
    <w:rsid w:val="00BF04ED"/>
    <w:rsid w:val="00BF27B2"/>
    <w:rsid w:val="00BF3199"/>
    <w:rsid w:val="00BF5ED4"/>
    <w:rsid w:val="00BF662D"/>
    <w:rsid w:val="00C022AD"/>
    <w:rsid w:val="00C02DCF"/>
    <w:rsid w:val="00C050F3"/>
    <w:rsid w:val="00C10962"/>
    <w:rsid w:val="00C12DA7"/>
    <w:rsid w:val="00C13862"/>
    <w:rsid w:val="00C14CD1"/>
    <w:rsid w:val="00C15394"/>
    <w:rsid w:val="00C24E55"/>
    <w:rsid w:val="00C2539A"/>
    <w:rsid w:val="00C262F5"/>
    <w:rsid w:val="00C26D79"/>
    <w:rsid w:val="00C315D9"/>
    <w:rsid w:val="00C329F4"/>
    <w:rsid w:val="00C338A7"/>
    <w:rsid w:val="00C358D7"/>
    <w:rsid w:val="00C36451"/>
    <w:rsid w:val="00C376F0"/>
    <w:rsid w:val="00C41389"/>
    <w:rsid w:val="00C4166C"/>
    <w:rsid w:val="00C420E6"/>
    <w:rsid w:val="00C437D5"/>
    <w:rsid w:val="00C440C0"/>
    <w:rsid w:val="00C4566B"/>
    <w:rsid w:val="00C457B5"/>
    <w:rsid w:val="00C51C46"/>
    <w:rsid w:val="00C52351"/>
    <w:rsid w:val="00C563CF"/>
    <w:rsid w:val="00C57E87"/>
    <w:rsid w:val="00C62E1C"/>
    <w:rsid w:val="00C64433"/>
    <w:rsid w:val="00C64B41"/>
    <w:rsid w:val="00C701AF"/>
    <w:rsid w:val="00C70A57"/>
    <w:rsid w:val="00C7204A"/>
    <w:rsid w:val="00C734B5"/>
    <w:rsid w:val="00C81DCE"/>
    <w:rsid w:val="00C83994"/>
    <w:rsid w:val="00C871B6"/>
    <w:rsid w:val="00C87C51"/>
    <w:rsid w:val="00C90AA8"/>
    <w:rsid w:val="00C91B07"/>
    <w:rsid w:val="00C975AC"/>
    <w:rsid w:val="00CA30DC"/>
    <w:rsid w:val="00CA4937"/>
    <w:rsid w:val="00CA75CE"/>
    <w:rsid w:val="00CB4AFE"/>
    <w:rsid w:val="00CB4D31"/>
    <w:rsid w:val="00CB4E8B"/>
    <w:rsid w:val="00CC10D2"/>
    <w:rsid w:val="00CC2B50"/>
    <w:rsid w:val="00CC586E"/>
    <w:rsid w:val="00CC7E42"/>
    <w:rsid w:val="00CD54CE"/>
    <w:rsid w:val="00CE0184"/>
    <w:rsid w:val="00CE0DE4"/>
    <w:rsid w:val="00CE1150"/>
    <w:rsid w:val="00CE1FB9"/>
    <w:rsid w:val="00CE3E5F"/>
    <w:rsid w:val="00CE538C"/>
    <w:rsid w:val="00CE70F8"/>
    <w:rsid w:val="00CE79D0"/>
    <w:rsid w:val="00CF53A6"/>
    <w:rsid w:val="00D020EB"/>
    <w:rsid w:val="00D06C3F"/>
    <w:rsid w:val="00D113F0"/>
    <w:rsid w:val="00D12C95"/>
    <w:rsid w:val="00D14180"/>
    <w:rsid w:val="00D16765"/>
    <w:rsid w:val="00D167CD"/>
    <w:rsid w:val="00D24341"/>
    <w:rsid w:val="00D24B21"/>
    <w:rsid w:val="00D301C0"/>
    <w:rsid w:val="00D30F88"/>
    <w:rsid w:val="00D31912"/>
    <w:rsid w:val="00D31C99"/>
    <w:rsid w:val="00D34CAC"/>
    <w:rsid w:val="00D34EC9"/>
    <w:rsid w:val="00D35C69"/>
    <w:rsid w:val="00D35FE0"/>
    <w:rsid w:val="00D368E2"/>
    <w:rsid w:val="00D426DA"/>
    <w:rsid w:val="00D44A40"/>
    <w:rsid w:val="00D53B42"/>
    <w:rsid w:val="00D56759"/>
    <w:rsid w:val="00D57C40"/>
    <w:rsid w:val="00D608DB"/>
    <w:rsid w:val="00D64176"/>
    <w:rsid w:val="00D661C7"/>
    <w:rsid w:val="00D7343C"/>
    <w:rsid w:val="00D73599"/>
    <w:rsid w:val="00D77568"/>
    <w:rsid w:val="00D77FD4"/>
    <w:rsid w:val="00D81235"/>
    <w:rsid w:val="00D81A71"/>
    <w:rsid w:val="00D852DF"/>
    <w:rsid w:val="00D854DB"/>
    <w:rsid w:val="00D85D7D"/>
    <w:rsid w:val="00D91341"/>
    <w:rsid w:val="00D96C80"/>
    <w:rsid w:val="00D97215"/>
    <w:rsid w:val="00DA06D2"/>
    <w:rsid w:val="00DA1A9B"/>
    <w:rsid w:val="00DA2DAB"/>
    <w:rsid w:val="00DA4ADF"/>
    <w:rsid w:val="00DB1B46"/>
    <w:rsid w:val="00DB7389"/>
    <w:rsid w:val="00DC0541"/>
    <w:rsid w:val="00DC1CEE"/>
    <w:rsid w:val="00DC1E91"/>
    <w:rsid w:val="00DC3217"/>
    <w:rsid w:val="00DD1679"/>
    <w:rsid w:val="00DD2B3F"/>
    <w:rsid w:val="00DD2BE0"/>
    <w:rsid w:val="00DD46A9"/>
    <w:rsid w:val="00DE0C99"/>
    <w:rsid w:val="00DE0FD2"/>
    <w:rsid w:val="00DE18DD"/>
    <w:rsid w:val="00DE44B2"/>
    <w:rsid w:val="00DE62C0"/>
    <w:rsid w:val="00DF0D97"/>
    <w:rsid w:val="00DF33CE"/>
    <w:rsid w:val="00DF37FD"/>
    <w:rsid w:val="00DF516B"/>
    <w:rsid w:val="00DF68F9"/>
    <w:rsid w:val="00DF799F"/>
    <w:rsid w:val="00DF7A90"/>
    <w:rsid w:val="00E00A47"/>
    <w:rsid w:val="00E033A4"/>
    <w:rsid w:val="00E06C51"/>
    <w:rsid w:val="00E10691"/>
    <w:rsid w:val="00E12AF6"/>
    <w:rsid w:val="00E12C6B"/>
    <w:rsid w:val="00E12CCE"/>
    <w:rsid w:val="00E17D04"/>
    <w:rsid w:val="00E24D9E"/>
    <w:rsid w:val="00E30231"/>
    <w:rsid w:val="00E31A2B"/>
    <w:rsid w:val="00E37280"/>
    <w:rsid w:val="00E507D4"/>
    <w:rsid w:val="00E52A67"/>
    <w:rsid w:val="00E53F8F"/>
    <w:rsid w:val="00E54B60"/>
    <w:rsid w:val="00E57827"/>
    <w:rsid w:val="00E5785E"/>
    <w:rsid w:val="00E57AA4"/>
    <w:rsid w:val="00E57B7A"/>
    <w:rsid w:val="00E62C67"/>
    <w:rsid w:val="00E639BF"/>
    <w:rsid w:val="00E703E1"/>
    <w:rsid w:val="00E71ED4"/>
    <w:rsid w:val="00E72E0B"/>
    <w:rsid w:val="00E73030"/>
    <w:rsid w:val="00E75223"/>
    <w:rsid w:val="00E76043"/>
    <w:rsid w:val="00E77045"/>
    <w:rsid w:val="00E8278F"/>
    <w:rsid w:val="00E83203"/>
    <w:rsid w:val="00E8372C"/>
    <w:rsid w:val="00E851E5"/>
    <w:rsid w:val="00E85961"/>
    <w:rsid w:val="00E85A10"/>
    <w:rsid w:val="00E931B1"/>
    <w:rsid w:val="00E941FB"/>
    <w:rsid w:val="00E96AAE"/>
    <w:rsid w:val="00E97988"/>
    <w:rsid w:val="00EA1F77"/>
    <w:rsid w:val="00EA2EFD"/>
    <w:rsid w:val="00EA496A"/>
    <w:rsid w:val="00EA4E98"/>
    <w:rsid w:val="00EA5568"/>
    <w:rsid w:val="00EB0DA0"/>
    <w:rsid w:val="00EB1D31"/>
    <w:rsid w:val="00EB720C"/>
    <w:rsid w:val="00EC04B7"/>
    <w:rsid w:val="00EC2C04"/>
    <w:rsid w:val="00EC385B"/>
    <w:rsid w:val="00EC4E1E"/>
    <w:rsid w:val="00EC5F01"/>
    <w:rsid w:val="00ED0486"/>
    <w:rsid w:val="00ED15F7"/>
    <w:rsid w:val="00ED1748"/>
    <w:rsid w:val="00ED1ACC"/>
    <w:rsid w:val="00ED3207"/>
    <w:rsid w:val="00ED3B8F"/>
    <w:rsid w:val="00ED3E6A"/>
    <w:rsid w:val="00ED42B9"/>
    <w:rsid w:val="00ED4525"/>
    <w:rsid w:val="00EE14E1"/>
    <w:rsid w:val="00EE7ABA"/>
    <w:rsid w:val="00EF0729"/>
    <w:rsid w:val="00EF1B61"/>
    <w:rsid w:val="00EF272A"/>
    <w:rsid w:val="00EF35EC"/>
    <w:rsid w:val="00EF45F0"/>
    <w:rsid w:val="00EF60A8"/>
    <w:rsid w:val="00F0141E"/>
    <w:rsid w:val="00F014E4"/>
    <w:rsid w:val="00F04DFD"/>
    <w:rsid w:val="00F0742E"/>
    <w:rsid w:val="00F10855"/>
    <w:rsid w:val="00F124CE"/>
    <w:rsid w:val="00F130C6"/>
    <w:rsid w:val="00F1326C"/>
    <w:rsid w:val="00F13304"/>
    <w:rsid w:val="00F1487F"/>
    <w:rsid w:val="00F16E87"/>
    <w:rsid w:val="00F268C6"/>
    <w:rsid w:val="00F27E97"/>
    <w:rsid w:val="00F3051B"/>
    <w:rsid w:val="00F33F83"/>
    <w:rsid w:val="00F350CC"/>
    <w:rsid w:val="00F3518E"/>
    <w:rsid w:val="00F3640F"/>
    <w:rsid w:val="00F368F9"/>
    <w:rsid w:val="00F43655"/>
    <w:rsid w:val="00F43DAC"/>
    <w:rsid w:val="00F44B84"/>
    <w:rsid w:val="00F44BA4"/>
    <w:rsid w:val="00F471A4"/>
    <w:rsid w:val="00F5219C"/>
    <w:rsid w:val="00F52B9F"/>
    <w:rsid w:val="00F52F00"/>
    <w:rsid w:val="00F5304E"/>
    <w:rsid w:val="00F576E2"/>
    <w:rsid w:val="00F63239"/>
    <w:rsid w:val="00F65A8D"/>
    <w:rsid w:val="00F670C5"/>
    <w:rsid w:val="00F67A37"/>
    <w:rsid w:val="00F72513"/>
    <w:rsid w:val="00F74503"/>
    <w:rsid w:val="00F75253"/>
    <w:rsid w:val="00F813B9"/>
    <w:rsid w:val="00F81E76"/>
    <w:rsid w:val="00F846DD"/>
    <w:rsid w:val="00F84F4C"/>
    <w:rsid w:val="00F86EF0"/>
    <w:rsid w:val="00FA103F"/>
    <w:rsid w:val="00FA4E12"/>
    <w:rsid w:val="00FB03C3"/>
    <w:rsid w:val="00FB1262"/>
    <w:rsid w:val="00FB3414"/>
    <w:rsid w:val="00FB46C5"/>
    <w:rsid w:val="00FB5BDE"/>
    <w:rsid w:val="00FB73AF"/>
    <w:rsid w:val="00FC0FCF"/>
    <w:rsid w:val="00FC12C2"/>
    <w:rsid w:val="00FC184C"/>
    <w:rsid w:val="00FC1AB9"/>
    <w:rsid w:val="00FC2C2E"/>
    <w:rsid w:val="00FC63BE"/>
    <w:rsid w:val="00FD0F44"/>
    <w:rsid w:val="00FD24DF"/>
    <w:rsid w:val="00FD265F"/>
    <w:rsid w:val="00FD2967"/>
    <w:rsid w:val="00FD2CAB"/>
    <w:rsid w:val="00FD6AB4"/>
    <w:rsid w:val="00FD7230"/>
    <w:rsid w:val="00FE0892"/>
    <w:rsid w:val="00FE71C5"/>
    <w:rsid w:val="00FF3FBB"/>
    <w:rsid w:val="00FF3FF6"/>
    <w:rsid w:val="00FF4A78"/>
    <w:rsid w:val="00FF4CFF"/>
    <w:rsid w:val="00FF7A4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90557"/>
  <w15:chartTrackingRefBased/>
  <w15:docId w15:val="{50286948-8EB2-4F33-8227-FF3F49C3E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016B"/>
  </w:style>
  <w:style w:type="paragraph" w:styleId="Heading1">
    <w:name w:val="heading 1"/>
    <w:basedOn w:val="Normal"/>
    <w:next w:val="Normal"/>
    <w:link w:val="Heading1Char"/>
    <w:uiPriority w:val="9"/>
    <w:qFormat/>
    <w:rsid w:val="003B7CC6"/>
    <w:pPr>
      <w:keepNext/>
      <w:keepLines/>
      <w:pBdr>
        <w:bottom w:val="single" w:sz="4" w:space="1" w:color="auto"/>
      </w:pBdr>
      <w:spacing w:before="240" w:after="120"/>
      <w:outlineLvl w:val="0"/>
    </w:pPr>
    <w:rPr>
      <w:rFonts w:asciiTheme="majorHAnsi" w:eastAsiaTheme="majorEastAsia" w:hAnsiTheme="majorHAnsi" w:cstheme="majorBidi"/>
      <w:b/>
      <w:color w:val="000000" w:themeColor="text1"/>
      <w:sz w:val="32"/>
      <w:szCs w:val="32"/>
    </w:rPr>
  </w:style>
  <w:style w:type="paragraph" w:styleId="Heading2">
    <w:name w:val="heading 2"/>
    <w:basedOn w:val="Normal"/>
    <w:next w:val="Normal"/>
    <w:link w:val="Heading2Char"/>
    <w:uiPriority w:val="9"/>
    <w:unhideWhenUsed/>
    <w:qFormat/>
    <w:rsid w:val="003B7CC6"/>
    <w:pPr>
      <w:keepNext/>
      <w:keepLines/>
      <w:spacing w:before="240" w:after="120"/>
      <w:ind w:left="170"/>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3D1EC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9">
    <w:name w:val="heading 9"/>
    <w:basedOn w:val="Normal"/>
    <w:next w:val="Normal"/>
    <w:link w:val="Heading9Char"/>
    <w:uiPriority w:val="9"/>
    <w:semiHidden/>
    <w:unhideWhenUsed/>
    <w:qFormat/>
    <w:rsid w:val="00ED1AC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37FD"/>
    <w:pPr>
      <w:ind w:left="720"/>
      <w:contextualSpacing/>
    </w:pPr>
  </w:style>
  <w:style w:type="character" w:customStyle="1" w:styleId="Heading1Char">
    <w:name w:val="Heading 1 Char"/>
    <w:basedOn w:val="DefaultParagraphFont"/>
    <w:link w:val="Heading1"/>
    <w:uiPriority w:val="9"/>
    <w:rsid w:val="003B7CC6"/>
    <w:rPr>
      <w:rFonts w:asciiTheme="majorHAnsi" w:eastAsiaTheme="majorEastAsia" w:hAnsiTheme="majorHAnsi" w:cstheme="majorBidi"/>
      <w:b/>
      <w:color w:val="000000" w:themeColor="text1"/>
      <w:sz w:val="32"/>
      <w:szCs w:val="32"/>
    </w:rPr>
  </w:style>
  <w:style w:type="paragraph" w:styleId="TOCHeading">
    <w:name w:val="TOC Heading"/>
    <w:basedOn w:val="Heading1"/>
    <w:next w:val="Normal"/>
    <w:uiPriority w:val="39"/>
    <w:unhideWhenUsed/>
    <w:qFormat/>
    <w:rsid w:val="00973658"/>
    <w:pPr>
      <w:outlineLvl w:val="9"/>
    </w:pPr>
    <w:rPr>
      <w:lang w:val="en-US"/>
    </w:rPr>
  </w:style>
  <w:style w:type="paragraph" w:styleId="TOC2">
    <w:name w:val="toc 2"/>
    <w:basedOn w:val="Normal"/>
    <w:next w:val="Normal"/>
    <w:autoRedefine/>
    <w:uiPriority w:val="39"/>
    <w:unhideWhenUsed/>
    <w:rsid w:val="009449E1"/>
    <w:pPr>
      <w:spacing w:after="0"/>
      <w:ind w:left="220"/>
    </w:pPr>
    <w:rPr>
      <w:rFonts w:cstheme="minorHAnsi"/>
      <w:smallCaps/>
      <w:sz w:val="20"/>
      <w:szCs w:val="24"/>
    </w:rPr>
  </w:style>
  <w:style w:type="paragraph" w:styleId="TOC1">
    <w:name w:val="toc 1"/>
    <w:basedOn w:val="Normal"/>
    <w:next w:val="Normal"/>
    <w:autoRedefine/>
    <w:uiPriority w:val="39"/>
    <w:unhideWhenUsed/>
    <w:rsid w:val="00487503"/>
    <w:pPr>
      <w:tabs>
        <w:tab w:val="right" w:leader="dot" w:pos="9016"/>
      </w:tabs>
      <w:spacing w:before="60" w:after="60"/>
    </w:pPr>
    <w:rPr>
      <w:rFonts w:cstheme="minorHAnsi"/>
      <w:b/>
      <w:bCs/>
      <w:caps/>
      <w:sz w:val="20"/>
      <w:szCs w:val="24"/>
    </w:rPr>
  </w:style>
  <w:style w:type="paragraph" w:styleId="TOC3">
    <w:name w:val="toc 3"/>
    <w:basedOn w:val="Normal"/>
    <w:next w:val="Normal"/>
    <w:autoRedefine/>
    <w:uiPriority w:val="39"/>
    <w:unhideWhenUsed/>
    <w:rsid w:val="00973658"/>
    <w:pPr>
      <w:spacing w:after="0"/>
      <w:ind w:left="440"/>
    </w:pPr>
    <w:rPr>
      <w:rFonts w:cstheme="minorHAnsi"/>
      <w:i/>
      <w:iCs/>
      <w:sz w:val="20"/>
      <w:szCs w:val="24"/>
    </w:rPr>
  </w:style>
  <w:style w:type="character" w:styleId="Hyperlink">
    <w:name w:val="Hyperlink"/>
    <w:basedOn w:val="DefaultParagraphFont"/>
    <w:uiPriority w:val="99"/>
    <w:unhideWhenUsed/>
    <w:rsid w:val="003D1EC6"/>
    <w:rPr>
      <w:color w:val="0563C1" w:themeColor="hyperlink"/>
      <w:u w:val="single"/>
    </w:rPr>
  </w:style>
  <w:style w:type="character" w:customStyle="1" w:styleId="Heading2Char">
    <w:name w:val="Heading 2 Char"/>
    <w:basedOn w:val="DefaultParagraphFont"/>
    <w:link w:val="Heading2"/>
    <w:uiPriority w:val="9"/>
    <w:rsid w:val="003B7CC6"/>
    <w:rPr>
      <w:rFonts w:asciiTheme="majorHAnsi" w:eastAsiaTheme="majorEastAsia" w:hAnsiTheme="majorHAnsi" w:cstheme="majorBidi"/>
      <w:b/>
      <w:color w:val="000000" w:themeColor="text1"/>
      <w:sz w:val="28"/>
      <w:szCs w:val="26"/>
    </w:rPr>
  </w:style>
  <w:style w:type="character" w:customStyle="1" w:styleId="Heading3Char">
    <w:name w:val="Heading 3 Char"/>
    <w:basedOn w:val="DefaultParagraphFont"/>
    <w:link w:val="Heading3"/>
    <w:uiPriority w:val="9"/>
    <w:rsid w:val="003D1EC6"/>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D97215"/>
    <w:rPr>
      <w:color w:val="605E5C"/>
      <w:shd w:val="clear" w:color="auto" w:fill="E1DFDD"/>
    </w:rPr>
  </w:style>
  <w:style w:type="paragraph" w:styleId="NoSpacing">
    <w:name w:val="No Spacing"/>
    <w:link w:val="NoSpacingChar"/>
    <w:uiPriority w:val="1"/>
    <w:qFormat/>
    <w:rsid w:val="00BF319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F3199"/>
    <w:rPr>
      <w:rFonts w:eastAsiaTheme="minorEastAsia"/>
      <w:lang w:val="en-US"/>
    </w:rPr>
  </w:style>
  <w:style w:type="paragraph" w:styleId="Revision">
    <w:name w:val="Revision"/>
    <w:hidden/>
    <w:uiPriority w:val="99"/>
    <w:semiHidden/>
    <w:rsid w:val="00E12C6B"/>
    <w:pPr>
      <w:spacing w:after="0" w:line="240" w:lineRule="auto"/>
    </w:pPr>
  </w:style>
  <w:style w:type="paragraph" w:styleId="BodyText">
    <w:name w:val="Body Text"/>
    <w:basedOn w:val="Normal"/>
    <w:link w:val="BodyTextChar"/>
    <w:uiPriority w:val="99"/>
    <w:rsid w:val="006D5F6F"/>
    <w:pPr>
      <w:framePr w:w="2196" w:h="223" w:wrap="auto" w:vAnchor="page" w:hAnchor="page" w:x="1701" w:y="9634"/>
      <w:widowControl w:val="0"/>
      <w:autoSpaceDE w:val="0"/>
      <w:autoSpaceDN w:val="0"/>
      <w:adjustRightInd w:val="0"/>
      <w:spacing w:after="0" w:line="240" w:lineRule="auto"/>
    </w:pPr>
    <w:rPr>
      <w:rFonts w:ascii="Arial" w:eastAsia="Times New Roman" w:hAnsi="Arial" w:cs="Arial"/>
      <w:color w:val="000000"/>
      <w:sz w:val="19"/>
      <w:szCs w:val="19"/>
    </w:rPr>
  </w:style>
  <w:style w:type="character" w:customStyle="1" w:styleId="BodyTextChar">
    <w:name w:val="Body Text Char"/>
    <w:basedOn w:val="DefaultParagraphFont"/>
    <w:link w:val="BodyText"/>
    <w:uiPriority w:val="99"/>
    <w:rsid w:val="006D5F6F"/>
    <w:rPr>
      <w:rFonts w:ascii="Arial" w:eastAsia="Times New Roman" w:hAnsi="Arial" w:cs="Arial"/>
      <w:color w:val="000000"/>
      <w:sz w:val="19"/>
      <w:szCs w:val="19"/>
    </w:rPr>
  </w:style>
  <w:style w:type="character" w:customStyle="1" w:styleId="Heading9Char">
    <w:name w:val="Heading 9 Char"/>
    <w:basedOn w:val="DefaultParagraphFont"/>
    <w:link w:val="Heading9"/>
    <w:uiPriority w:val="9"/>
    <w:semiHidden/>
    <w:rsid w:val="00ED1ACC"/>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semiHidden/>
    <w:unhideWhenUsed/>
    <w:rsid w:val="00BB6C23"/>
    <w:rPr>
      <w:color w:val="954F72" w:themeColor="followedHyperlink"/>
      <w:u w:val="single"/>
    </w:rPr>
  </w:style>
  <w:style w:type="paragraph" w:styleId="Title">
    <w:name w:val="Title"/>
    <w:basedOn w:val="Normal"/>
    <w:next w:val="Normal"/>
    <w:link w:val="TitleChar"/>
    <w:uiPriority w:val="10"/>
    <w:qFormat/>
    <w:rsid w:val="000706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6E3"/>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601AA8"/>
    <w:rPr>
      <w:sz w:val="16"/>
      <w:szCs w:val="16"/>
    </w:rPr>
  </w:style>
  <w:style w:type="paragraph" w:styleId="CommentText">
    <w:name w:val="annotation text"/>
    <w:basedOn w:val="Normal"/>
    <w:link w:val="CommentTextChar"/>
    <w:uiPriority w:val="99"/>
    <w:unhideWhenUsed/>
    <w:rsid w:val="00601AA8"/>
    <w:pPr>
      <w:spacing w:line="240" w:lineRule="auto"/>
    </w:pPr>
    <w:rPr>
      <w:sz w:val="20"/>
      <w:szCs w:val="20"/>
    </w:rPr>
  </w:style>
  <w:style w:type="character" w:customStyle="1" w:styleId="CommentTextChar">
    <w:name w:val="Comment Text Char"/>
    <w:basedOn w:val="DefaultParagraphFont"/>
    <w:link w:val="CommentText"/>
    <w:uiPriority w:val="99"/>
    <w:rsid w:val="00601AA8"/>
    <w:rPr>
      <w:sz w:val="20"/>
      <w:szCs w:val="20"/>
    </w:rPr>
  </w:style>
  <w:style w:type="paragraph" w:styleId="CommentSubject">
    <w:name w:val="annotation subject"/>
    <w:basedOn w:val="CommentText"/>
    <w:next w:val="CommentText"/>
    <w:link w:val="CommentSubjectChar"/>
    <w:uiPriority w:val="99"/>
    <w:semiHidden/>
    <w:unhideWhenUsed/>
    <w:rsid w:val="00601AA8"/>
    <w:rPr>
      <w:b/>
      <w:bCs/>
    </w:rPr>
  </w:style>
  <w:style w:type="character" w:customStyle="1" w:styleId="CommentSubjectChar">
    <w:name w:val="Comment Subject Char"/>
    <w:basedOn w:val="CommentTextChar"/>
    <w:link w:val="CommentSubject"/>
    <w:uiPriority w:val="99"/>
    <w:semiHidden/>
    <w:rsid w:val="00601AA8"/>
    <w:rPr>
      <w:b/>
      <w:bCs/>
      <w:sz w:val="20"/>
      <w:szCs w:val="20"/>
    </w:rPr>
  </w:style>
  <w:style w:type="paragraph" w:customStyle="1" w:styleId="Default">
    <w:name w:val="Default"/>
    <w:rsid w:val="00A3097C"/>
    <w:pPr>
      <w:autoSpaceDE w:val="0"/>
      <w:autoSpaceDN w:val="0"/>
      <w:adjustRightInd w:val="0"/>
      <w:spacing w:after="0" w:line="240" w:lineRule="auto"/>
    </w:pPr>
    <w:rPr>
      <w:rFonts w:ascii="Arial" w:hAnsi="Arial" w:cs="Arial"/>
      <w:color w:val="000000"/>
      <w:sz w:val="24"/>
      <w:szCs w:val="24"/>
    </w:rPr>
  </w:style>
  <w:style w:type="paragraph" w:customStyle="1" w:styleId="pf0">
    <w:name w:val="pf0"/>
    <w:basedOn w:val="Normal"/>
    <w:rsid w:val="009E2C4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9E2C43"/>
    <w:rPr>
      <w:rFonts w:ascii="Segoe UI" w:hAnsi="Segoe UI" w:cs="Segoe UI" w:hint="default"/>
      <w:b/>
      <w:bCs/>
      <w:sz w:val="18"/>
      <w:szCs w:val="18"/>
    </w:rPr>
  </w:style>
  <w:style w:type="character" w:customStyle="1" w:styleId="cf21">
    <w:name w:val="cf21"/>
    <w:basedOn w:val="DefaultParagraphFont"/>
    <w:rsid w:val="009E2C43"/>
    <w:rPr>
      <w:rFonts w:ascii="Segoe UI" w:hAnsi="Segoe UI" w:cs="Segoe UI" w:hint="default"/>
      <w:sz w:val="18"/>
      <w:szCs w:val="18"/>
    </w:rPr>
  </w:style>
  <w:style w:type="character" w:customStyle="1" w:styleId="cf31">
    <w:name w:val="cf31"/>
    <w:basedOn w:val="DefaultParagraphFont"/>
    <w:rsid w:val="009E2C43"/>
    <w:rPr>
      <w:rFonts w:ascii="Segoe UI" w:hAnsi="Segoe UI" w:cs="Segoe UI" w:hint="default"/>
      <w:i/>
      <w:iCs/>
      <w:sz w:val="18"/>
      <w:szCs w:val="18"/>
    </w:rPr>
  </w:style>
  <w:style w:type="paragraph" w:styleId="FootnoteText">
    <w:name w:val="footnote text"/>
    <w:basedOn w:val="Normal"/>
    <w:link w:val="FootnoteTextChar"/>
    <w:uiPriority w:val="99"/>
    <w:semiHidden/>
    <w:unhideWhenUsed/>
    <w:rsid w:val="00B913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1365"/>
    <w:rPr>
      <w:sz w:val="20"/>
      <w:szCs w:val="20"/>
    </w:rPr>
  </w:style>
  <w:style w:type="character" w:styleId="FootnoteReference">
    <w:name w:val="footnote reference"/>
    <w:basedOn w:val="DefaultParagraphFont"/>
    <w:uiPriority w:val="99"/>
    <w:semiHidden/>
    <w:unhideWhenUsed/>
    <w:rsid w:val="00B91365"/>
    <w:rPr>
      <w:vertAlign w:val="superscript"/>
    </w:rPr>
  </w:style>
  <w:style w:type="paragraph" w:styleId="Header">
    <w:name w:val="header"/>
    <w:basedOn w:val="Normal"/>
    <w:link w:val="HeaderChar"/>
    <w:uiPriority w:val="99"/>
    <w:unhideWhenUsed/>
    <w:rsid w:val="00B913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1365"/>
  </w:style>
  <w:style w:type="paragraph" w:styleId="Footer">
    <w:name w:val="footer"/>
    <w:basedOn w:val="Normal"/>
    <w:link w:val="FooterChar"/>
    <w:uiPriority w:val="99"/>
    <w:unhideWhenUsed/>
    <w:rsid w:val="00B913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1365"/>
  </w:style>
  <w:style w:type="paragraph" w:styleId="TOC4">
    <w:name w:val="toc 4"/>
    <w:basedOn w:val="Normal"/>
    <w:next w:val="Normal"/>
    <w:autoRedefine/>
    <w:uiPriority w:val="39"/>
    <w:unhideWhenUsed/>
    <w:rsid w:val="000E77BE"/>
    <w:pPr>
      <w:spacing w:after="0"/>
      <w:ind w:left="660"/>
    </w:pPr>
    <w:rPr>
      <w:rFonts w:cstheme="minorHAnsi"/>
      <w:sz w:val="18"/>
      <w:szCs w:val="21"/>
    </w:rPr>
  </w:style>
  <w:style w:type="paragraph" w:styleId="TOC5">
    <w:name w:val="toc 5"/>
    <w:basedOn w:val="Normal"/>
    <w:next w:val="Normal"/>
    <w:autoRedefine/>
    <w:uiPriority w:val="39"/>
    <w:unhideWhenUsed/>
    <w:rsid w:val="000E77BE"/>
    <w:pPr>
      <w:spacing w:after="0"/>
      <w:ind w:left="880"/>
    </w:pPr>
    <w:rPr>
      <w:rFonts w:cstheme="minorHAnsi"/>
      <w:sz w:val="18"/>
      <w:szCs w:val="21"/>
    </w:rPr>
  </w:style>
  <w:style w:type="paragraph" w:styleId="TOC6">
    <w:name w:val="toc 6"/>
    <w:basedOn w:val="Normal"/>
    <w:next w:val="Normal"/>
    <w:autoRedefine/>
    <w:uiPriority w:val="39"/>
    <w:unhideWhenUsed/>
    <w:rsid w:val="000E77BE"/>
    <w:pPr>
      <w:spacing w:after="0"/>
      <w:ind w:left="1100"/>
    </w:pPr>
    <w:rPr>
      <w:rFonts w:cstheme="minorHAnsi"/>
      <w:sz w:val="18"/>
      <w:szCs w:val="21"/>
    </w:rPr>
  </w:style>
  <w:style w:type="paragraph" w:styleId="TOC7">
    <w:name w:val="toc 7"/>
    <w:basedOn w:val="Normal"/>
    <w:next w:val="Normal"/>
    <w:autoRedefine/>
    <w:uiPriority w:val="39"/>
    <w:unhideWhenUsed/>
    <w:rsid w:val="000E77BE"/>
    <w:pPr>
      <w:spacing w:after="0"/>
      <w:ind w:left="1320"/>
    </w:pPr>
    <w:rPr>
      <w:rFonts w:cstheme="minorHAnsi"/>
      <w:sz w:val="18"/>
      <w:szCs w:val="21"/>
    </w:rPr>
  </w:style>
  <w:style w:type="paragraph" w:styleId="TOC8">
    <w:name w:val="toc 8"/>
    <w:basedOn w:val="Normal"/>
    <w:next w:val="Normal"/>
    <w:autoRedefine/>
    <w:uiPriority w:val="39"/>
    <w:unhideWhenUsed/>
    <w:rsid w:val="000E77BE"/>
    <w:pPr>
      <w:spacing w:after="0"/>
      <w:ind w:left="1540"/>
    </w:pPr>
    <w:rPr>
      <w:rFonts w:cstheme="minorHAnsi"/>
      <w:sz w:val="18"/>
      <w:szCs w:val="21"/>
    </w:rPr>
  </w:style>
  <w:style w:type="paragraph" w:styleId="TOC9">
    <w:name w:val="toc 9"/>
    <w:basedOn w:val="Normal"/>
    <w:next w:val="Normal"/>
    <w:autoRedefine/>
    <w:uiPriority w:val="39"/>
    <w:unhideWhenUsed/>
    <w:rsid w:val="000E77BE"/>
    <w:pPr>
      <w:spacing w:after="0"/>
      <w:ind w:left="1760"/>
    </w:pPr>
    <w:rPr>
      <w:rFonts w:cstheme="minorHAnsi"/>
      <w:sz w:val="18"/>
      <w:szCs w:val="21"/>
    </w:rPr>
  </w:style>
  <w:style w:type="table" w:styleId="TableGrid">
    <w:name w:val="Table Grid"/>
    <w:basedOn w:val="TableNormal"/>
    <w:rsid w:val="00AE2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CE70F8"/>
    <w:pPr>
      <w:spacing w:after="0" w:line="240" w:lineRule="auto"/>
      <w:ind w:left="720"/>
    </w:pPr>
    <w:rPr>
      <w:rFonts w:ascii="Calibri" w:hAnsi="Calibri" w:cs="Calibri"/>
      <w:lang w:eastAsia="en-AU"/>
    </w:rPr>
  </w:style>
  <w:style w:type="paragraph" w:customStyle="1" w:styleId="Instructiontext">
    <w:name w:val="Instruction text"/>
    <w:basedOn w:val="CommentText"/>
    <w:qFormat/>
    <w:rsid w:val="00426A55"/>
    <w:pPr>
      <w:spacing w:before="120" w:after="120"/>
    </w:pPr>
    <w:rPr>
      <w:rFonts w:ascii="Calibri" w:eastAsia="Calibri" w:hAnsi="Calibri" w:cs="Arial"/>
      <w:color w:val="44546A" w:themeColor="text2"/>
      <w:sz w:val="22"/>
      <w:szCs w:val="22"/>
    </w:rPr>
  </w:style>
  <w:style w:type="character" w:styleId="SubtleReference">
    <w:name w:val="Subtle Reference"/>
    <w:basedOn w:val="DefaultParagraphFont"/>
    <w:uiPriority w:val="31"/>
    <w:qFormat/>
    <w:rsid w:val="00A926AD"/>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9803">
      <w:bodyDiv w:val="1"/>
      <w:marLeft w:val="0"/>
      <w:marRight w:val="0"/>
      <w:marTop w:val="0"/>
      <w:marBottom w:val="0"/>
      <w:divBdr>
        <w:top w:val="none" w:sz="0" w:space="0" w:color="auto"/>
        <w:left w:val="none" w:sz="0" w:space="0" w:color="auto"/>
        <w:bottom w:val="none" w:sz="0" w:space="0" w:color="auto"/>
        <w:right w:val="none" w:sz="0" w:space="0" w:color="auto"/>
      </w:divBdr>
    </w:div>
    <w:div w:id="24060527">
      <w:bodyDiv w:val="1"/>
      <w:marLeft w:val="0"/>
      <w:marRight w:val="0"/>
      <w:marTop w:val="0"/>
      <w:marBottom w:val="0"/>
      <w:divBdr>
        <w:top w:val="none" w:sz="0" w:space="0" w:color="auto"/>
        <w:left w:val="none" w:sz="0" w:space="0" w:color="auto"/>
        <w:bottom w:val="none" w:sz="0" w:space="0" w:color="auto"/>
        <w:right w:val="none" w:sz="0" w:space="0" w:color="auto"/>
      </w:divBdr>
    </w:div>
    <w:div w:id="63454305">
      <w:bodyDiv w:val="1"/>
      <w:marLeft w:val="0"/>
      <w:marRight w:val="0"/>
      <w:marTop w:val="0"/>
      <w:marBottom w:val="0"/>
      <w:divBdr>
        <w:top w:val="none" w:sz="0" w:space="0" w:color="auto"/>
        <w:left w:val="none" w:sz="0" w:space="0" w:color="auto"/>
        <w:bottom w:val="none" w:sz="0" w:space="0" w:color="auto"/>
        <w:right w:val="none" w:sz="0" w:space="0" w:color="auto"/>
      </w:divBdr>
    </w:div>
    <w:div w:id="261376320">
      <w:bodyDiv w:val="1"/>
      <w:marLeft w:val="0"/>
      <w:marRight w:val="0"/>
      <w:marTop w:val="0"/>
      <w:marBottom w:val="0"/>
      <w:divBdr>
        <w:top w:val="none" w:sz="0" w:space="0" w:color="auto"/>
        <w:left w:val="none" w:sz="0" w:space="0" w:color="auto"/>
        <w:bottom w:val="none" w:sz="0" w:space="0" w:color="auto"/>
        <w:right w:val="none" w:sz="0" w:space="0" w:color="auto"/>
      </w:divBdr>
    </w:div>
    <w:div w:id="332530242">
      <w:bodyDiv w:val="1"/>
      <w:marLeft w:val="0"/>
      <w:marRight w:val="0"/>
      <w:marTop w:val="0"/>
      <w:marBottom w:val="0"/>
      <w:divBdr>
        <w:top w:val="none" w:sz="0" w:space="0" w:color="auto"/>
        <w:left w:val="none" w:sz="0" w:space="0" w:color="auto"/>
        <w:bottom w:val="none" w:sz="0" w:space="0" w:color="auto"/>
        <w:right w:val="none" w:sz="0" w:space="0" w:color="auto"/>
      </w:divBdr>
    </w:div>
    <w:div w:id="383600486">
      <w:bodyDiv w:val="1"/>
      <w:marLeft w:val="0"/>
      <w:marRight w:val="0"/>
      <w:marTop w:val="0"/>
      <w:marBottom w:val="0"/>
      <w:divBdr>
        <w:top w:val="none" w:sz="0" w:space="0" w:color="auto"/>
        <w:left w:val="none" w:sz="0" w:space="0" w:color="auto"/>
        <w:bottom w:val="none" w:sz="0" w:space="0" w:color="auto"/>
        <w:right w:val="none" w:sz="0" w:space="0" w:color="auto"/>
      </w:divBdr>
    </w:div>
    <w:div w:id="690566310">
      <w:bodyDiv w:val="1"/>
      <w:marLeft w:val="0"/>
      <w:marRight w:val="0"/>
      <w:marTop w:val="0"/>
      <w:marBottom w:val="0"/>
      <w:divBdr>
        <w:top w:val="none" w:sz="0" w:space="0" w:color="auto"/>
        <w:left w:val="none" w:sz="0" w:space="0" w:color="auto"/>
        <w:bottom w:val="none" w:sz="0" w:space="0" w:color="auto"/>
        <w:right w:val="none" w:sz="0" w:space="0" w:color="auto"/>
      </w:divBdr>
    </w:div>
    <w:div w:id="719207964">
      <w:bodyDiv w:val="1"/>
      <w:marLeft w:val="0"/>
      <w:marRight w:val="0"/>
      <w:marTop w:val="0"/>
      <w:marBottom w:val="0"/>
      <w:divBdr>
        <w:top w:val="none" w:sz="0" w:space="0" w:color="auto"/>
        <w:left w:val="none" w:sz="0" w:space="0" w:color="auto"/>
        <w:bottom w:val="none" w:sz="0" w:space="0" w:color="auto"/>
        <w:right w:val="none" w:sz="0" w:space="0" w:color="auto"/>
      </w:divBdr>
    </w:div>
    <w:div w:id="769088777">
      <w:bodyDiv w:val="1"/>
      <w:marLeft w:val="0"/>
      <w:marRight w:val="0"/>
      <w:marTop w:val="0"/>
      <w:marBottom w:val="0"/>
      <w:divBdr>
        <w:top w:val="none" w:sz="0" w:space="0" w:color="auto"/>
        <w:left w:val="none" w:sz="0" w:space="0" w:color="auto"/>
        <w:bottom w:val="none" w:sz="0" w:space="0" w:color="auto"/>
        <w:right w:val="none" w:sz="0" w:space="0" w:color="auto"/>
      </w:divBdr>
    </w:div>
    <w:div w:id="1015576654">
      <w:bodyDiv w:val="1"/>
      <w:marLeft w:val="0"/>
      <w:marRight w:val="0"/>
      <w:marTop w:val="0"/>
      <w:marBottom w:val="0"/>
      <w:divBdr>
        <w:top w:val="none" w:sz="0" w:space="0" w:color="auto"/>
        <w:left w:val="none" w:sz="0" w:space="0" w:color="auto"/>
        <w:bottom w:val="none" w:sz="0" w:space="0" w:color="auto"/>
        <w:right w:val="none" w:sz="0" w:space="0" w:color="auto"/>
      </w:divBdr>
    </w:div>
    <w:div w:id="1023283052">
      <w:bodyDiv w:val="1"/>
      <w:marLeft w:val="0"/>
      <w:marRight w:val="0"/>
      <w:marTop w:val="0"/>
      <w:marBottom w:val="0"/>
      <w:divBdr>
        <w:top w:val="none" w:sz="0" w:space="0" w:color="auto"/>
        <w:left w:val="none" w:sz="0" w:space="0" w:color="auto"/>
        <w:bottom w:val="none" w:sz="0" w:space="0" w:color="auto"/>
        <w:right w:val="none" w:sz="0" w:space="0" w:color="auto"/>
      </w:divBdr>
    </w:div>
    <w:div w:id="1144934788">
      <w:bodyDiv w:val="1"/>
      <w:marLeft w:val="0"/>
      <w:marRight w:val="0"/>
      <w:marTop w:val="0"/>
      <w:marBottom w:val="0"/>
      <w:divBdr>
        <w:top w:val="none" w:sz="0" w:space="0" w:color="auto"/>
        <w:left w:val="none" w:sz="0" w:space="0" w:color="auto"/>
        <w:bottom w:val="none" w:sz="0" w:space="0" w:color="auto"/>
        <w:right w:val="none" w:sz="0" w:space="0" w:color="auto"/>
      </w:divBdr>
    </w:div>
    <w:div w:id="1331325370">
      <w:bodyDiv w:val="1"/>
      <w:marLeft w:val="0"/>
      <w:marRight w:val="0"/>
      <w:marTop w:val="0"/>
      <w:marBottom w:val="0"/>
      <w:divBdr>
        <w:top w:val="none" w:sz="0" w:space="0" w:color="auto"/>
        <w:left w:val="none" w:sz="0" w:space="0" w:color="auto"/>
        <w:bottom w:val="none" w:sz="0" w:space="0" w:color="auto"/>
        <w:right w:val="none" w:sz="0" w:space="0" w:color="auto"/>
      </w:divBdr>
    </w:div>
    <w:div w:id="1446080776">
      <w:bodyDiv w:val="1"/>
      <w:marLeft w:val="0"/>
      <w:marRight w:val="0"/>
      <w:marTop w:val="0"/>
      <w:marBottom w:val="0"/>
      <w:divBdr>
        <w:top w:val="none" w:sz="0" w:space="0" w:color="auto"/>
        <w:left w:val="none" w:sz="0" w:space="0" w:color="auto"/>
        <w:bottom w:val="none" w:sz="0" w:space="0" w:color="auto"/>
        <w:right w:val="none" w:sz="0" w:space="0" w:color="auto"/>
      </w:divBdr>
    </w:div>
    <w:div w:id="1481801368">
      <w:bodyDiv w:val="1"/>
      <w:marLeft w:val="0"/>
      <w:marRight w:val="0"/>
      <w:marTop w:val="0"/>
      <w:marBottom w:val="0"/>
      <w:divBdr>
        <w:top w:val="none" w:sz="0" w:space="0" w:color="auto"/>
        <w:left w:val="none" w:sz="0" w:space="0" w:color="auto"/>
        <w:bottom w:val="none" w:sz="0" w:space="0" w:color="auto"/>
        <w:right w:val="none" w:sz="0" w:space="0" w:color="auto"/>
      </w:divBdr>
    </w:div>
    <w:div w:id="1528984697">
      <w:bodyDiv w:val="1"/>
      <w:marLeft w:val="0"/>
      <w:marRight w:val="0"/>
      <w:marTop w:val="0"/>
      <w:marBottom w:val="0"/>
      <w:divBdr>
        <w:top w:val="none" w:sz="0" w:space="0" w:color="auto"/>
        <w:left w:val="none" w:sz="0" w:space="0" w:color="auto"/>
        <w:bottom w:val="none" w:sz="0" w:space="0" w:color="auto"/>
        <w:right w:val="none" w:sz="0" w:space="0" w:color="auto"/>
      </w:divBdr>
    </w:div>
    <w:div w:id="1570535537">
      <w:bodyDiv w:val="1"/>
      <w:marLeft w:val="0"/>
      <w:marRight w:val="0"/>
      <w:marTop w:val="0"/>
      <w:marBottom w:val="0"/>
      <w:divBdr>
        <w:top w:val="none" w:sz="0" w:space="0" w:color="auto"/>
        <w:left w:val="none" w:sz="0" w:space="0" w:color="auto"/>
        <w:bottom w:val="none" w:sz="0" w:space="0" w:color="auto"/>
        <w:right w:val="none" w:sz="0" w:space="0" w:color="auto"/>
      </w:divBdr>
    </w:div>
    <w:div w:id="1621452010">
      <w:bodyDiv w:val="1"/>
      <w:marLeft w:val="0"/>
      <w:marRight w:val="0"/>
      <w:marTop w:val="0"/>
      <w:marBottom w:val="0"/>
      <w:divBdr>
        <w:top w:val="none" w:sz="0" w:space="0" w:color="auto"/>
        <w:left w:val="none" w:sz="0" w:space="0" w:color="auto"/>
        <w:bottom w:val="none" w:sz="0" w:space="0" w:color="auto"/>
        <w:right w:val="none" w:sz="0" w:space="0" w:color="auto"/>
      </w:divBdr>
    </w:div>
    <w:div w:id="1621717067">
      <w:bodyDiv w:val="1"/>
      <w:marLeft w:val="0"/>
      <w:marRight w:val="0"/>
      <w:marTop w:val="0"/>
      <w:marBottom w:val="0"/>
      <w:divBdr>
        <w:top w:val="none" w:sz="0" w:space="0" w:color="auto"/>
        <w:left w:val="none" w:sz="0" w:space="0" w:color="auto"/>
        <w:bottom w:val="none" w:sz="0" w:space="0" w:color="auto"/>
        <w:right w:val="none" w:sz="0" w:space="0" w:color="auto"/>
      </w:divBdr>
    </w:div>
    <w:div w:id="1738700853">
      <w:bodyDiv w:val="1"/>
      <w:marLeft w:val="0"/>
      <w:marRight w:val="0"/>
      <w:marTop w:val="0"/>
      <w:marBottom w:val="0"/>
      <w:divBdr>
        <w:top w:val="none" w:sz="0" w:space="0" w:color="auto"/>
        <w:left w:val="none" w:sz="0" w:space="0" w:color="auto"/>
        <w:bottom w:val="none" w:sz="0" w:space="0" w:color="auto"/>
        <w:right w:val="none" w:sz="0" w:space="0" w:color="auto"/>
      </w:divBdr>
    </w:div>
    <w:div w:id="1899170556">
      <w:bodyDiv w:val="1"/>
      <w:marLeft w:val="0"/>
      <w:marRight w:val="0"/>
      <w:marTop w:val="0"/>
      <w:marBottom w:val="0"/>
      <w:divBdr>
        <w:top w:val="none" w:sz="0" w:space="0" w:color="auto"/>
        <w:left w:val="none" w:sz="0" w:space="0" w:color="auto"/>
        <w:bottom w:val="none" w:sz="0" w:space="0" w:color="auto"/>
        <w:right w:val="none" w:sz="0" w:space="0" w:color="auto"/>
      </w:divBdr>
    </w:div>
    <w:div w:id="1902016808">
      <w:bodyDiv w:val="1"/>
      <w:marLeft w:val="0"/>
      <w:marRight w:val="0"/>
      <w:marTop w:val="0"/>
      <w:marBottom w:val="0"/>
      <w:divBdr>
        <w:top w:val="none" w:sz="0" w:space="0" w:color="auto"/>
        <w:left w:val="none" w:sz="0" w:space="0" w:color="auto"/>
        <w:bottom w:val="none" w:sz="0" w:space="0" w:color="auto"/>
        <w:right w:val="none" w:sz="0" w:space="0" w:color="auto"/>
      </w:divBdr>
    </w:div>
    <w:div w:id="1999113986">
      <w:bodyDiv w:val="1"/>
      <w:marLeft w:val="0"/>
      <w:marRight w:val="0"/>
      <w:marTop w:val="0"/>
      <w:marBottom w:val="0"/>
      <w:divBdr>
        <w:top w:val="none" w:sz="0" w:space="0" w:color="auto"/>
        <w:left w:val="none" w:sz="0" w:space="0" w:color="auto"/>
        <w:bottom w:val="none" w:sz="0" w:space="0" w:color="auto"/>
        <w:right w:val="none" w:sz="0" w:space="0" w:color="auto"/>
      </w:divBdr>
    </w:div>
    <w:div w:id="2113747449">
      <w:bodyDiv w:val="1"/>
      <w:marLeft w:val="0"/>
      <w:marRight w:val="0"/>
      <w:marTop w:val="0"/>
      <w:marBottom w:val="0"/>
      <w:divBdr>
        <w:top w:val="none" w:sz="0" w:space="0" w:color="auto"/>
        <w:left w:val="none" w:sz="0" w:space="0" w:color="auto"/>
        <w:bottom w:val="none" w:sz="0" w:space="0" w:color="auto"/>
        <w:right w:val="none" w:sz="0" w:space="0" w:color="auto"/>
      </w:divBdr>
    </w:div>
    <w:div w:id="211755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lation.tas.gov.au/view/html/inforce/current/act-1995-025" TargetMode="External"/><Relationship Id="rId21" Type="http://schemas.openxmlformats.org/officeDocument/2006/relationships/hyperlink" Target="https://www.legislation.tas.gov.au/view/html/inforce/current/sr-2021-012" TargetMode="External"/><Relationship Id="rId42" Type="http://schemas.openxmlformats.org/officeDocument/2006/relationships/hyperlink" Target="https://www.frdc.com.au/project/2022-039" TargetMode="External"/><Relationship Id="rId47" Type="http://schemas.openxmlformats.org/officeDocument/2006/relationships/hyperlink" Target="https://fishing.tas.gov.au/Documents/Commercial%20Dive%20Policy%20Paper%202011.pdf" TargetMode="External"/><Relationship Id="rId63" Type="http://schemas.openxmlformats.org/officeDocument/2006/relationships/hyperlink" Target="https://www.dcceew.gov.au/environment/biodiversity/threatened/action-plan/priority-fish/red-handfish" TargetMode="External"/><Relationship Id="rId68" Type="http://schemas.openxmlformats.org/officeDocument/2006/relationships/hyperlink" Target="https://www.frdc.com.au/project/2022-107" TargetMode="External"/><Relationship Id="rId84" Type="http://schemas.openxmlformats.org/officeDocument/2006/relationships/image" Target="media/image4.png"/><Relationship Id="rId89" Type="http://schemas.openxmlformats.org/officeDocument/2006/relationships/image" Target="media/image8.png"/><Relationship Id="rId16" Type="http://schemas.openxmlformats.org/officeDocument/2006/relationships/hyperlink" Target="https://fishing.nre.tas.gov.au/Documents/AIRF%202022_55%20Final%20Report%20Tas%20Dive%20Sector%20Social-economic%20analysis.pdf" TargetMode="External"/><Relationship Id="rId11" Type="http://schemas.openxmlformats.org/officeDocument/2006/relationships/hyperlink" Target="https://maps.thelist.tas.gov.au/listmap/app/list/map?bookmarkId=823191" TargetMode="External"/><Relationship Id="rId32" Type="http://schemas.openxmlformats.org/officeDocument/2006/relationships/hyperlink" Target="https://fishing.tas.gov.au/centro/airf" TargetMode="External"/><Relationship Id="rId37" Type="http://schemas.openxmlformats.org/officeDocument/2006/relationships/hyperlink" Target="https://tasfisheriesresearch.org/centro/status/" TargetMode="External"/><Relationship Id="rId53" Type="http://schemas.openxmlformats.org/officeDocument/2006/relationships/hyperlink" Target="https://fish.gov.au/report/408-Longspined-Sea-Urchin-2023" TargetMode="External"/><Relationship Id="rId58" Type="http://schemas.openxmlformats.org/officeDocument/2006/relationships/hyperlink" Target="https://www.fish.gov.au/report/408-Longspined-Sea-Urchin-2023" TargetMode="External"/><Relationship Id="rId74" Type="http://schemas.openxmlformats.org/officeDocument/2006/relationships/hyperlink" Target="https://fishing.tas.gov.au/Documents/Volunteer%20Urchin%20Management%20Program.pdf" TargetMode="External"/><Relationship Id="rId79" Type="http://schemas.openxmlformats.org/officeDocument/2006/relationships/hyperlink" Target="https://fishing.tas.gov.au/Documents/Hot%20Water%20Investigating%20Aust%20Marine%20Ecosystem.pdf" TargetMode="External"/><Relationship Id="rId102"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image" Target="cid:image004.png@01DBF738.8395E670" TargetMode="External"/><Relationship Id="rId95" Type="http://schemas.openxmlformats.org/officeDocument/2006/relationships/header" Target="header1.xml"/><Relationship Id="rId22" Type="http://schemas.openxmlformats.org/officeDocument/2006/relationships/hyperlink" Target="https://fishing.tas.gov.au/Documents/Operational%20Guide%20for%20the%20Commercial%20Dive%20Shellfish%20Undaria%20Fishery.pdf" TargetMode="External"/><Relationship Id="rId27" Type="http://schemas.openxmlformats.org/officeDocument/2006/relationships/hyperlink" Target="https://www.utas.edu.au/imas/research/partnerships-and-collaborations/major-collaborations/sustainable-marine-research-collaboration-agreement" TargetMode="External"/><Relationship Id="rId43" Type="http://schemas.openxmlformats.org/officeDocument/2006/relationships/hyperlink" Target="https://www.tas.gov.au/publicinfo" TargetMode="External"/><Relationship Id="rId48" Type="http://schemas.openxmlformats.org/officeDocument/2006/relationships/hyperlink" Target="https://www.frdc.com.au/project/2022-039" TargetMode="External"/><Relationship Id="rId64" Type="http://schemas.openxmlformats.org/officeDocument/2006/relationships/hyperlink" Target="https://www.abalonecouncil.com.au/public/69/files/Australian-Wild-Abalone-Quality-Assurance-Code-of-Practice-Master-Manual_June-2013-compressed.pdf" TargetMode="External"/><Relationship Id="rId69" Type="http://schemas.openxmlformats.org/officeDocument/2006/relationships/hyperlink" Target="https://fishing.tas.gov.au/centro/airf" TargetMode="External"/><Relationship Id="rId80" Type="http://schemas.openxmlformats.org/officeDocument/2006/relationships/hyperlink" Target="https://fishing.tas.gov.au/centro/the-national-centro-taskforce" TargetMode="External"/><Relationship Id="rId85" Type="http://schemas.openxmlformats.org/officeDocument/2006/relationships/image" Target="media/image5.png"/><Relationship Id="rId12" Type="http://schemas.openxmlformats.org/officeDocument/2006/relationships/hyperlink" Target="https://www.legislation.tas.gov.au/view/html/inforce/current/sr-2021-119" TargetMode="External"/><Relationship Id="rId17" Type="http://schemas.openxmlformats.org/officeDocument/2006/relationships/hyperlink" Target="https://www.legislation.tas.gov.au/view/html/inforce/current/act-1995-025" TargetMode="External"/><Relationship Id="rId25" Type="http://schemas.openxmlformats.org/officeDocument/2006/relationships/hyperlink" Target="https://fishing.tas.gov.au/centro/airf" TargetMode="External"/><Relationship Id="rId33" Type="http://schemas.openxmlformats.org/officeDocument/2006/relationships/hyperlink" Target="https://fishing.tas.gov.au/Documents/Commercial%20Dive%20Final%20Policy%20Dec%202005.pdf" TargetMode="External"/><Relationship Id="rId38" Type="http://schemas.openxmlformats.org/officeDocument/2006/relationships/hyperlink" Target="https://tasfisheriesresearch.org/periwinkle/status/" TargetMode="External"/><Relationship Id="rId46" Type="http://schemas.openxmlformats.org/officeDocument/2006/relationships/hyperlink" Target="https://fishing.tas.gov.au/Documents/Commercial%20Dive%20Final%20Policy%20Dec%202005.pdf" TargetMode="External"/><Relationship Id="rId59" Type="http://schemas.openxmlformats.org/officeDocument/2006/relationships/hyperlink" Target="https://www.fish.gov.au/Archived-Reports/2020/Longspined%20Sea%20Urchin%20(2020).pdf" TargetMode="External"/><Relationship Id="rId67" Type="http://schemas.openxmlformats.org/officeDocument/2006/relationships/hyperlink" Target="https://www.frdc.com.au/project/2022-039" TargetMode="External"/><Relationship Id="rId20" Type="http://schemas.openxmlformats.org/officeDocument/2006/relationships/hyperlink" Target="https://www.legislation.tas.gov.au/view/html/inforce/current/sr-2016-030" TargetMode="External"/><Relationship Id="rId41" Type="http://schemas.openxmlformats.org/officeDocument/2006/relationships/hyperlink" Target="https://fish.gov.au/report/407-Wavy-Periwinkle-2023" TargetMode="External"/><Relationship Id="rId54" Type="http://schemas.openxmlformats.org/officeDocument/2006/relationships/hyperlink" Target="https://www.fish.gov.au/report/407-Wavy-Periwinkle-2023" TargetMode="External"/><Relationship Id="rId62" Type="http://schemas.openxmlformats.org/officeDocument/2006/relationships/hyperlink" Target="https://fish.gov.au/report/408-Longspined-Sea-Urchin-2023" TargetMode="External"/><Relationship Id="rId70" Type="http://schemas.openxmlformats.org/officeDocument/2006/relationships/hyperlink" Target="https://fishing.tas.gov.au/Documents/Risk%20Profile%20PST%20in%20sea%20urchins.pdf" TargetMode="External"/><Relationship Id="rId75" Type="http://schemas.openxmlformats.org/officeDocument/2006/relationships/hyperlink" Target="https://fishing.tas.gov.au/Documents/Website%20Development.pdf" TargetMode="External"/><Relationship Id="rId83" Type="http://schemas.openxmlformats.org/officeDocument/2006/relationships/image" Target="media/image3.png"/><Relationship Id="rId88" Type="http://schemas.openxmlformats.org/officeDocument/2006/relationships/image" Target="cid:image003.png@01DBF738.8395E670" TargetMode="External"/><Relationship Id="rId91" Type="http://schemas.openxmlformats.org/officeDocument/2006/relationships/image" Target="media/image9.gif"/><Relationship Id="rId9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fishing.tas.gov.au/centro/whats-being-done" TargetMode="External"/><Relationship Id="rId23" Type="http://schemas.openxmlformats.org/officeDocument/2006/relationships/hyperlink" Target="https://www.legislation.tas.gov.au/view/html/inforce/current/sr-2021-119" TargetMode="External"/><Relationship Id="rId28" Type="http://schemas.openxmlformats.org/officeDocument/2006/relationships/hyperlink" Target="https://www.facebook.com/TasmanianCommercialDivers/" TargetMode="External"/><Relationship Id="rId36" Type="http://schemas.openxmlformats.org/officeDocument/2006/relationships/hyperlink" Target="https://tasfisheriesresearch.org/helio/" TargetMode="External"/><Relationship Id="rId49" Type="http://schemas.openxmlformats.org/officeDocument/2006/relationships/hyperlink" Target="https://www.dcceew.gov.au/environment/biodiversity/threatened/threat-abatement-plans/approved" TargetMode="External"/><Relationship Id="rId57" Type="http://schemas.openxmlformats.org/officeDocument/2006/relationships/hyperlink" Target="https://www.fish.gov.au/report/423-Shortspined-Sea-Urchin-2023" TargetMode="External"/><Relationship Id="rId10" Type="http://schemas.openxmlformats.org/officeDocument/2006/relationships/hyperlink" Target="https://fishing.tas.gov.au/commercial-fishing/commercial-fisheries/commercial-dive-fishery/commercial-dive-zones" TargetMode="External"/><Relationship Id="rId31" Type="http://schemas.openxmlformats.org/officeDocument/2006/relationships/hyperlink" Target="https://fishing.tas.gov.au/get-involved/fisher-representation" TargetMode="External"/><Relationship Id="rId44" Type="http://schemas.openxmlformats.org/officeDocument/2006/relationships/hyperlink" Target="https://fishing.tas.gov.au/commercial-fishing/commercial-fisheries/commercial-dive-fishery/catch-and-closures" TargetMode="External"/><Relationship Id="rId52" Type="http://schemas.openxmlformats.org/officeDocument/2006/relationships/hyperlink" Target="https://fishing.tas.gov.au/Documents/Operational%20Guide%20for%20the%20Commercial%20Dive%20Shellfish%20Undaria%20Fishery.pdf" TargetMode="External"/><Relationship Id="rId60" Type="http://schemas.openxmlformats.org/officeDocument/2006/relationships/hyperlink" Target="https://fish.gov.au/report/407-Wavy-Periwinkle-2023" TargetMode="External"/><Relationship Id="rId65" Type="http://schemas.openxmlformats.org/officeDocument/2006/relationships/hyperlink" Target="https://www.dcceew.gov.au/environment/marine/marine-bioregional-plans" TargetMode="External"/><Relationship Id="rId73" Type="http://schemas.openxmlformats.org/officeDocument/2006/relationships/hyperlink" Target="https://fishing.tas.gov.au/Documents/Centrostephanus%20Community%20Education%20and%20Engagement%20Program.pdf" TargetMode="External"/><Relationship Id="rId78" Type="http://schemas.openxmlformats.org/officeDocument/2006/relationships/hyperlink" Target="https://fishing.tas.gov.au/Documents/Social%20economic%20analysis%20for%20Tas%20dive%20sector.pdf" TargetMode="External"/><Relationship Id="rId81" Type="http://schemas.openxmlformats.org/officeDocument/2006/relationships/hyperlink" Target="https://fishing.tas.gov.au/Documents/Australian%20UNI%20Summit.pdf" TargetMode="External"/><Relationship Id="rId86" Type="http://schemas.openxmlformats.org/officeDocument/2006/relationships/image" Target="media/image6.png"/><Relationship Id="rId94" Type="http://schemas.openxmlformats.org/officeDocument/2006/relationships/image" Target="media/image11.png"/><Relationship Id="rId99" Type="http://schemas.openxmlformats.org/officeDocument/2006/relationships/header" Target="header3.xm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legislation.tas.gov.au/view/whole/html/inforce/current/sr-2021-119" TargetMode="External"/><Relationship Id="rId13" Type="http://schemas.openxmlformats.org/officeDocument/2006/relationships/hyperlink" Target="https://www.legislation.tas.gov.au/view/html/inforce/current/sr-2021-119" TargetMode="External"/><Relationship Id="rId18" Type="http://schemas.openxmlformats.org/officeDocument/2006/relationships/hyperlink" Target="https://www.legislation.tas.gov.au/view/html/inforce/current/sr-2021-119" TargetMode="External"/><Relationship Id="rId39" Type="http://schemas.openxmlformats.org/officeDocument/2006/relationships/hyperlink" Target="https://fish.gov.au/report/408-Longspined-Sea-Urchin-2023" TargetMode="External"/><Relationship Id="rId34" Type="http://schemas.openxmlformats.org/officeDocument/2006/relationships/hyperlink" Target="https://fishing.tas.gov.au/Documents/Commercial%20Dive%20Policy%20Paper%202011.pdf" TargetMode="External"/><Relationship Id="rId50" Type="http://schemas.openxmlformats.org/officeDocument/2006/relationships/hyperlink" Target="http://www.environment.gov.au/cgi-bin/sprat/public/publicshowallrps.pl" TargetMode="External"/><Relationship Id="rId55" Type="http://schemas.openxmlformats.org/officeDocument/2006/relationships/hyperlink" Target="https://www.fish.gov.au/Archived-Reports/2020/Wavy%20Periwinkle%20(2020).pdf" TargetMode="External"/><Relationship Id="rId76" Type="http://schemas.openxmlformats.org/officeDocument/2006/relationships/hyperlink" Target="https://fishing.tas.gov.au/centro" TargetMode="External"/><Relationship Id="rId97"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fishing.tas.gov.au/Documents/Block%2021%20and%2029%20Centro%20Assessment.pdf" TargetMode="External"/><Relationship Id="rId92" Type="http://schemas.openxmlformats.org/officeDocument/2006/relationships/image" Target="cid:image009.png@01DBF738.8395E670" TargetMode="External"/><Relationship Id="rId2" Type="http://schemas.openxmlformats.org/officeDocument/2006/relationships/numbering" Target="numbering.xml"/><Relationship Id="rId29" Type="http://schemas.openxmlformats.org/officeDocument/2006/relationships/hyperlink" Target="https://sit.org.au/" TargetMode="External"/><Relationship Id="rId24" Type="http://schemas.openxmlformats.org/officeDocument/2006/relationships/hyperlink" Target="https://fishing.tas.gov.au/centro/whats-being-done" TargetMode="External"/><Relationship Id="rId40" Type="http://schemas.openxmlformats.org/officeDocument/2006/relationships/hyperlink" Target="https://fish.gov.au/report/423-Shortspined-Sea-Urchin-2023" TargetMode="External"/><Relationship Id="rId45" Type="http://schemas.openxmlformats.org/officeDocument/2006/relationships/hyperlink" Target="https://www.legislation.tas.gov.au/view/whole/html/inforce/current/sr-2021-119" TargetMode="External"/><Relationship Id="rId66" Type="http://schemas.openxmlformats.org/officeDocument/2006/relationships/hyperlink" Target="https://tasfisheriesresearch.org/centro/references/" TargetMode="External"/><Relationship Id="rId87" Type="http://schemas.openxmlformats.org/officeDocument/2006/relationships/image" Target="media/image7.png"/><Relationship Id="rId61" Type="http://schemas.openxmlformats.org/officeDocument/2006/relationships/hyperlink" Target="https://fish.gov.au/report/423-Shortspined-Sea-Urchin-2023" TargetMode="External"/><Relationship Id="rId82" Type="http://schemas.openxmlformats.org/officeDocument/2006/relationships/image" Target="media/image2.png"/><Relationship Id="rId19" Type="http://schemas.openxmlformats.org/officeDocument/2006/relationships/hyperlink" Target="https://www.legislation.tas.gov.au/view/html/inforce/current/sr-2019-067" TargetMode="External"/><Relationship Id="rId14" Type="http://schemas.openxmlformats.org/officeDocument/2006/relationships/hyperlink" Target="https://fishing.tas.gov.au/commercial-fishing/commercial-fisheries/commercial-dive-fishery/catch-and-closures" TargetMode="External"/><Relationship Id="rId30" Type="http://schemas.openxmlformats.org/officeDocument/2006/relationships/hyperlink" Target="https://www.legislation.tas.gov.au/view/html/inforce/current/act-1995-025" TargetMode="External"/><Relationship Id="rId35" Type="http://schemas.openxmlformats.org/officeDocument/2006/relationships/hyperlink" Target="https://www.nature.com/articles/s41893-025-01526-8" TargetMode="External"/><Relationship Id="rId56" Type="http://schemas.openxmlformats.org/officeDocument/2006/relationships/hyperlink" Target="https://www.fish.gov.au/Archived-Reports/2018/Wavy%20Periwinkle%20(2018).pdf" TargetMode="External"/><Relationship Id="rId77" Type="http://schemas.openxmlformats.org/officeDocument/2006/relationships/hyperlink" Target="https://fishing.tas.gov.au/Documents/Developing%20a%20spatial%20planning%20framework.pdf" TargetMode="External"/><Relationship Id="rId100" Type="http://schemas.openxmlformats.org/officeDocument/2006/relationships/footer" Target="footer3.xml"/><Relationship Id="rId8" Type="http://schemas.openxmlformats.org/officeDocument/2006/relationships/image" Target="media/image1.jpeg"/><Relationship Id="rId51" Type="http://schemas.openxmlformats.org/officeDocument/2006/relationships/hyperlink" Target="https://www.agriculture.gov.au/agriculture-land/fisheries/environment/bycatch/nat_by_policy_1999" TargetMode="External"/><Relationship Id="rId72" Type="http://schemas.openxmlformats.org/officeDocument/2006/relationships/hyperlink" Target="https://fishing.tas.gov.au/Documents/Restoration%20by%20Harvest%20Pilot%20Program.pdf" TargetMode="External"/><Relationship Id="rId93" Type="http://schemas.openxmlformats.org/officeDocument/2006/relationships/image" Target="media/image10.png"/><Relationship Id="rId98" Type="http://schemas.openxmlformats.org/officeDocument/2006/relationships/footer" Target="footer2.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www.imas.utas.edu.au/__data/assets/pdf_file/0007/743227/Periwinkle-Fishery-of-Tasmani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7B8C2-1633-4A26-902D-F2AC8B7C0AE6}">
  <ds:schemaRefs>
    <ds:schemaRef ds:uri="http://schemas.openxmlformats.org/officeDocument/2006/bibliography"/>
  </ds:schemaRefs>
</ds:datastoreItem>
</file>

<file path=docMetadata/LabelInfo.xml><?xml version="1.0" encoding="utf-8"?>
<clbl:labelList xmlns:clbl="http://schemas.microsoft.com/office/2020/mipLabelMetadata">
  <clbl:label id="{2e6ba7ff-9897-4e65-9803-3be34fd9cf5a}"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190</TotalTime>
  <Pages>26</Pages>
  <Words>10171</Words>
  <Characters>57975</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Application for assessment of the [Jurisdiction, Fishery] for approval as a Wildlife Trade Operation under the Environment Protection and Biodiversity Conservation Act 1999</vt:lpstr>
    </vt:vector>
  </TitlesOfParts>
  <Company>Department of Agriculture, Water and the Environment</Company>
  <LinksUpToDate>false</LinksUpToDate>
  <CharactersWithSpaces>68010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assessment of the [Jurisdiction, Fishery] for approval as a Wildlife Trade Operation under the Environment Protection and Biodiversity Conservation Act 1999</dc:title>
  <dc:subject/>
  <dc:creator>Auld, Steve</dc:creator>
  <cp:keywords/>
  <dc:description/>
  <cp:lastModifiedBy>Celina RICHARDS</cp:lastModifiedBy>
  <cp:revision>10</cp:revision>
  <cp:lastPrinted>2025-07-23T06:11:00Z</cp:lastPrinted>
  <dcterms:created xsi:type="dcterms:W3CDTF">2025-06-30T01:21:00Z</dcterms:created>
  <dcterms:modified xsi:type="dcterms:W3CDTF">2025-07-23T06:11:00Z</dcterms:modified>
</cp:coreProperties>
</file>