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40A3" w14:textId="17DE8E95" w:rsidR="002573BE" w:rsidRPr="005D1ABF" w:rsidRDefault="002573BE" w:rsidP="008103FF">
      <w:pPr>
        <w:spacing w:after="160" w:line="276"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5FB1E373" w14:textId="6EC1080D" w:rsidR="002573BE" w:rsidRPr="005D1ABF" w:rsidRDefault="31FA7C5F" w:rsidP="008103FF">
      <w:pPr>
        <w:spacing w:after="160" w:line="276" w:lineRule="auto"/>
        <w:jc w:val="center"/>
        <w:rPr>
          <w:rFonts w:ascii="Times New Roman" w:hAnsi="Times New Roman" w:cs="Times New Roman"/>
          <w:sz w:val="24"/>
          <w:szCs w:val="24"/>
        </w:rPr>
      </w:pPr>
      <w:r w:rsidRPr="33750E9F">
        <w:rPr>
          <w:rFonts w:ascii="Times New Roman" w:hAnsi="Times New Roman" w:cs="Times New Roman"/>
          <w:sz w:val="24"/>
          <w:szCs w:val="24"/>
          <w:u w:val="single"/>
        </w:rPr>
        <w:t xml:space="preserve">Issued by </w:t>
      </w:r>
      <w:r w:rsidR="5E4363D6" w:rsidRPr="33750E9F">
        <w:rPr>
          <w:rFonts w:ascii="Times New Roman" w:hAnsi="Times New Roman" w:cs="Times New Roman"/>
          <w:sz w:val="24"/>
          <w:szCs w:val="24"/>
          <w:u w:val="single"/>
        </w:rPr>
        <w:t>the a</w:t>
      </w:r>
      <w:r w:rsidRPr="33750E9F">
        <w:rPr>
          <w:rFonts w:ascii="Times New Roman" w:hAnsi="Times New Roman" w:cs="Times New Roman"/>
          <w:sz w:val="24"/>
          <w:szCs w:val="24"/>
          <w:u w:val="single"/>
        </w:rPr>
        <w:t xml:space="preserve">uthority of the Assistant Minister for </w:t>
      </w:r>
      <w:r w:rsidR="0C884D9A" w:rsidRPr="33750E9F">
        <w:rPr>
          <w:rFonts w:ascii="Times New Roman" w:hAnsi="Times New Roman" w:cs="Times New Roman"/>
          <w:sz w:val="24"/>
          <w:szCs w:val="24"/>
          <w:u w:val="single"/>
        </w:rPr>
        <w:t>Climate Change and Energy</w:t>
      </w:r>
      <w:r w:rsidRPr="33750E9F">
        <w:rPr>
          <w:rFonts w:ascii="Times New Roman" w:hAnsi="Times New Roman" w:cs="Times New Roman"/>
          <w:sz w:val="24"/>
          <w:szCs w:val="24"/>
          <w:u w:val="single"/>
        </w:rPr>
        <w:t xml:space="preserve"> </w:t>
      </w:r>
    </w:p>
    <w:p w14:paraId="435DB972" w14:textId="77777777" w:rsidR="00C648AD" w:rsidRPr="00852597" w:rsidDel="0017365C" w:rsidRDefault="00C648AD" w:rsidP="008103FF">
      <w:pPr>
        <w:spacing w:after="160" w:line="276" w:lineRule="auto"/>
        <w:jc w:val="center"/>
        <w:rPr>
          <w:rFonts w:ascii="Times New Roman" w:hAnsi="Times New Roman" w:cs="Times New Roman"/>
          <w:sz w:val="24"/>
          <w:szCs w:val="24"/>
        </w:rPr>
      </w:pPr>
      <w:r w:rsidRPr="33750E9F">
        <w:rPr>
          <w:rFonts w:ascii="Times New Roman" w:hAnsi="Times New Roman" w:cs="Times New Roman"/>
          <w:i/>
          <w:iCs/>
          <w:snapToGrid w:val="0"/>
          <w:sz w:val="24"/>
          <w:szCs w:val="24"/>
        </w:rPr>
        <w:t>Carbon Credits (Carbon Farming Initiative) Act 2011</w:t>
      </w:r>
    </w:p>
    <w:p w14:paraId="3668604D" w14:textId="77777777" w:rsidR="00A92A71" w:rsidRPr="00890C27" w:rsidRDefault="00A92A71" w:rsidP="008103FF">
      <w:pPr>
        <w:spacing w:after="160" w:line="276" w:lineRule="auto"/>
        <w:jc w:val="center"/>
        <w:rPr>
          <w:rFonts w:ascii="Times New Roman" w:hAnsi="Times New Roman" w:cs="Times New Roman"/>
          <w:i/>
          <w:color w:val="000000" w:themeColor="text1"/>
          <w:sz w:val="24"/>
          <w:szCs w:val="24"/>
        </w:rPr>
      </w:pPr>
      <w:bookmarkStart w:id="0" w:name="OLE_LINK10"/>
      <w:bookmarkStart w:id="1" w:name="OLE_LINK11"/>
      <w:r w:rsidRPr="00890C27">
        <w:rPr>
          <w:rFonts w:ascii="Times New Roman" w:hAnsi="Times New Roman" w:cs="Times New Roman"/>
          <w:i/>
          <w:color w:val="000000" w:themeColor="text1"/>
          <w:sz w:val="24"/>
          <w:szCs w:val="24"/>
        </w:rPr>
        <w:t>Carbon Credits (Carbon Farming Initiative—Savanna Fire Management—Sequestration and Emissions Avoidance) Methodology Determination 2025</w:t>
      </w:r>
    </w:p>
    <w:bookmarkEnd w:id="0"/>
    <w:bookmarkEnd w:id="1"/>
    <w:p w14:paraId="27D635F5" w14:textId="235F0FF3" w:rsidR="002573BE" w:rsidRPr="003858ED" w:rsidRDefault="002573BE" w:rsidP="008103FF">
      <w:pPr>
        <w:tabs>
          <w:tab w:val="left" w:pos="1701"/>
          <w:tab w:val="right" w:pos="9072"/>
        </w:tabs>
        <w:spacing w:after="160" w:line="276" w:lineRule="auto"/>
        <w:rPr>
          <w:rFonts w:ascii="Times New Roman" w:hAnsi="Times New Roman" w:cs="Times New Roman"/>
          <w:sz w:val="24"/>
          <w:szCs w:val="24"/>
        </w:rPr>
      </w:pPr>
      <w:r w:rsidRPr="003858ED">
        <w:rPr>
          <w:rFonts w:ascii="Times New Roman" w:hAnsi="Times New Roman" w:cs="Times New Roman"/>
          <w:b/>
          <w:sz w:val="24"/>
          <w:szCs w:val="24"/>
        </w:rPr>
        <w:t>Legislative Authority</w:t>
      </w:r>
    </w:p>
    <w:p w14:paraId="16FE798D" w14:textId="4741DBC7" w:rsidR="00115091" w:rsidRPr="001643B7" w:rsidRDefault="00D56ACB" w:rsidP="008103FF">
      <w:pPr>
        <w:tabs>
          <w:tab w:val="left" w:pos="2760"/>
        </w:tabs>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106(1) of the </w:t>
      </w:r>
      <w:r w:rsidRPr="33750E9F">
        <w:rPr>
          <w:rFonts w:ascii="Times New Roman" w:hAnsi="Times New Roman" w:cs="Times New Roman"/>
          <w:i/>
          <w:iCs/>
          <w:sz w:val="24"/>
          <w:szCs w:val="24"/>
        </w:rPr>
        <w:t>Carbon Credits (Carbon Farming Initiative) Act 2011</w:t>
      </w:r>
      <w:r w:rsidRPr="33750E9F">
        <w:rPr>
          <w:rFonts w:ascii="Times New Roman" w:hAnsi="Times New Roman" w:cs="Times New Roman"/>
          <w:sz w:val="24"/>
          <w:szCs w:val="24"/>
        </w:rPr>
        <w:t xml:space="preserve"> (the Act) empowers the Minister to make, by legislative instrument, a methodology determination.</w:t>
      </w:r>
    </w:p>
    <w:p w14:paraId="5E535016" w14:textId="7274A1F3" w:rsidR="00115091" w:rsidRPr="001643B7" w:rsidRDefault="00440B5F"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For the purposes of</w:t>
      </w:r>
      <w:r w:rsidR="00115091" w:rsidRPr="33750E9F">
        <w:rPr>
          <w:rFonts w:ascii="Times New Roman" w:hAnsi="Times New Roman" w:cs="Times New Roman"/>
          <w:sz w:val="24"/>
          <w:szCs w:val="24"/>
        </w:rPr>
        <w:t xml:space="preserve"> subsections 106(4) and (4AA) of the </w:t>
      </w:r>
      <w:r w:rsidR="00D81A23" w:rsidRPr="00890C27">
        <w:rPr>
          <w:rFonts w:ascii="Times New Roman" w:hAnsi="Times New Roman" w:cs="Times New Roman"/>
          <w:sz w:val="24"/>
          <w:szCs w:val="24"/>
        </w:rPr>
        <w:t>Act</w:t>
      </w:r>
      <w:r w:rsidR="00115091" w:rsidRPr="33750E9F">
        <w:rPr>
          <w:rFonts w:ascii="Times New Roman" w:hAnsi="Times New Roman" w:cs="Times New Roman"/>
          <w:sz w:val="24"/>
          <w:szCs w:val="24"/>
        </w:rPr>
        <w:t>, in making the</w:t>
      </w:r>
      <w:r w:rsidR="00115091" w:rsidRPr="00890C27">
        <w:rPr>
          <w:rFonts w:ascii="Times New Roman" w:hAnsi="Times New Roman" w:cs="Times New Roman"/>
          <w:i/>
          <w:color w:val="000000" w:themeColor="text1"/>
          <w:sz w:val="24"/>
          <w:szCs w:val="24"/>
        </w:rPr>
        <w:t xml:space="preserve"> </w:t>
      </w:r>
      <w:r w:rsidR="00CB2517" w:rsidRPr="33750E9F">
        <w:rPr>
          <w:rFonts w:ascii="Times New Roman" w:hAnsi="Times New Roman" w:cs="Times New Roman"/>
          <w:i/>
          <w:iCs/>
          <w:sz w:val="24"/>
          <w:szCs w:val="24"/>
        </w:rPr>
        <w:t xml:space="preserve">Carbon Credits (Carbon Farming Initiative—Savanna Fire Management—Sequestration and Emissions Avoidance) Methodology </w:t>
      </w:r>
      <w:r w:rsidR="00115091" w:rsidRPr="33750E9F">
        <w:rPr>
          <w:rFonts w:ascii="Times New Roman" w:hAnsi="Times New Roman" w:cs="Times New Roman"/>
          <w:i/>
          <w:iCs/>
          <w:sz w:val="24"/>
          <w:szCs w:val="24"/>
        </w:rPr>
        <w:t>Determination</w:t>
      </w:r>
      <w:r w:rsidR="00CB2517" w:rsidRPr="33750E9F">
        <w:rPr>
          <w:rFonts w:ascii="Times New Roman" w:hAnsi="Times New Roman" w:cs="Times New Roman"/>
          <w:i/>
          <w:iCs/>
          <w:sz w:val="24"/>
          <w:szCs w:val="24"/>
        </w:rPr>
        <w:t xml:space="preserve"> 2025</w:t>
      </w:r>
      <w:r w:rsidR="00115091" w:rsidRPr="33750E9F">
        <w:rPr>
          <w:rFonts w:ascii="Times New Roman" w:hAnsi="Times New Roman" w:cs="Times New Roman"/>
          <w:sz w:val="24"/>
          <w:szCs w:val="24"/>
        </w:rPr>
        <w:t xml:space="preserve"> </w:t>
      </w:r>
      <w:r w:rsidR="00CB2517" w:rsidRPr="33750E9F">
        <w:rPr>
          <w:rFonts w:ascii="Times New Roman" w:hAnsi="Times New Roman" w:cs="Times New Roman"/>
          <w:sz w:val="24"/>
          <w:szCs w:val="24"/>
        </w:rPr>
        <w:t>(</w:t>
      </w:r>
      <w:r w:rsidR="00D81A23" w:rsidRPr="00890C27">
        <w:rPr>
          <w:rFonts w:ascii="Times New Roman" w:hAnsi="Times New Roman" w:cs="Times New Roman"/>
          <w:sz w:val="24"/>
          <w:szCs w:val="24"/>
        </w:rPr>
        <w:t xml:space="preserve">the </w:t>
      </w:r>
      <w:r w:rsidR="004D74F5">
        <w:rPr>
          <w:rFonts w:ascii="Times New Roman" w:hAnsi="Times New Roman" w:cs="Times New Roman"/>
          <w:sz w:val="24"/>
          <w:szCs w:val="24"/>
        </w:rPr>
        <w:t>d</w:t>
      </w:r>
      <w:r w:rsidR="004D74F5" w:rsidRPr="00890C27">
        <w:rPr>
          <w:rFonts w:ascii="Times New Roman" w:hAnsi="Times New Roman" w:cs="Times New Roman"/>
          <w:sz w:val="24"/>
          <w:szCs w:val="24"/>
        </w:rPr>
        <w:t>etermination</w:t>
      </w:r>
      <w:r w:rsidR="00CB2517" w:rsidRPr="33750E9F">
        <w:rPr>
          <w:rFonts w:ascii="Times New Roman" w:hAnsi="Times New Roman" w:cs="Times New Roman"/>
          <w:sz w:val="24"/>
          <w:szCs w:val="24"/>
        </w:rPr>
        <w:t>),</w:t>
      </w:r>
      <w:r w:rsidR="00115091" w:rsidRPr="33750E9F">
        <w:rPr>
          <w:rFonts w:ascii="Times New Roman" w:hAnsi="Times New Roman" w:cs="Times New Roman"/>
          <w:sz w:val="24"/>
          <w:szCs w:val="24"/>
        </w:rPr>
        <w:t xml:space="preserve"> the Minister:</w:t>
      </w:r>
    </w:p>
    <w:p w14:paraId="4E7499B3" w14:textId="6B71F524" w:rsidR="001643B7" w:rsidRPr="001643B7" w:rsidRDefault="00007E4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was satisfied that 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complies with the </w:t>
      </w:r>
      <w:proofErr w:type="gramStart"/>
      <w:r w:rsidRPr="33750E9F">
        <w:rPr>
          <w:rFonts w:ascii="Times New Roman" w:hAnsi="Times New Roman" w:cs="Times New Roman"/>
          <w:sz w:val="24"/>
          <w:szCs w:val="24"/>
        </w:rPr>
        <w:t>offsets</w:t>
      </w:r>
      <w:proofErr w:type="gramEnd"/>
      <w:r w:rsidRPr="33750E9F">
        <w:rPr>
          <w:rFonts w:ascii="Times New Roman" w:hAnsi="Times New Roman" w:cs="Times New Roman"/>
          <w:sz w:val="24"/>
          <w:szCs w:val="24"/>
        </w:rPr>
        <w:t xml:space="preserve"> integrity standards (OIS</w:t>
      </w:r>
      <w:proofErr w:type="gramStart"/>
      <w:r w:rsidRPr="33750E9F">
        <w:rPr>
          <w:rFonts w:ascii="Times New Roman" w:hAnsi="Times New Roman" w:cs="Times New Roman"/>
          <w:sz w:val="24"/>
          <w:szCs w:val="24"/>
        </w:rPr>
        <w:t>);</w:t>
      </w:r>
      <w:proofErr w:type="gramEnd"/>
    </w:p>
    <w:p w14:paraId="7AB2CF9F" w14:textId="7A14EF17" w:rsidR="001643B7" w:rsidRPr="001643B7" w:rsidRDefault="004F2D98"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had regard to and </w:t>
      </w:r>
      <w:r w:rsidR="00115091" w:rsidRPr="33750E9F">
        <w:rPr>
          <w:rFonts w:ascii="Times New Roman" w:hAnsi="Times New Roman" w:cs="Times New Roman"/>
          <w:sz w:val="24"/>
          <w:szCs w:val="24"/>
        </w:rPr>
        <w:t>agree</w:t>
      </w:r>
      <w:r w:rsidR="00887717" w:rsidRPr="33750E9F">
        <w:rPr>
          <w:rFonts w:ascii="Times New Roman" w:hAnsi="Times New Roman" w:cs="Times New Roman"/>
          <w:sz w:val="24"/>
          <w:szCs w:val="24"/>
        </w:rPr>
        <w:t>d</w:t>
      </w:r>
      <w:r w:rsidR="00115091" w:rsidRPr="33750E9F">
        <w:rPr>
          <w:rFonts w:ascii="Times New Roman" w:hAnsi="Times New Roman" w:cs="Times New Roman"/>
          <w:sz w:val="24"/>
          <w:szCs w:val="24"/>
        </w:rPr>
        <w:t xml:space="preserve"> with the advice of the </w:t>
      </w:r>
      <w:r w:rsidR="006617C4" w:rsidRPr="00890C27">
        <w:rPr>
          <w:rFonts w:ascii="Times New Roman" w:hAnsi="Times New Roman" w:cs="Times New Roman"/>
          <w:sz w:val="24"/>
          <w:szCs w:val="24"/>
        </w:rPr>
        <w:t>Emissions Re</w:t>
      </w:r>
      <w:r w:rsidR="00F56EF0" w:rsidRPr="00890C27">
        <w:rPr>
          <w:rFonts w:ascii="Times New Roman" w:hAnsi="Times New Roman" w:cs="Times New Roman"/>
          <w:sz w:val="24"/>
          <w:szCs w:val="24"/>
        </w:rPr>
        <w:t>duction Assurance Committee</w:t>
      </w:r>
      <w:r w:rsidR="00115091" w:rsidRPr="00890C27">
        <w:rPr>
          <w:rFonts w:ascii="Times New Roman" w:hAnsi="Times New Roman" w:cs="Times New Roman"/>
          <w:sz w:val="24"/>
          <w:szCs w:val="24"/>
        </w:rPr>
        <w:t xml:space="preserve"> </w:t>
      </w:r>
      <w:r w:rsidR="00F56EF0" w:rsidRPr="00890C27">
        <w:rPr>
          <w:rFonts w:ascii="Times New Roman" w:hAnsi="Times New Roman" w:cs="Times New Roman"/>
          <w:sz w:val="24"/>
          <w:szCs w:val="24"/>
        </w:rPr>
        <w:t>(</w:t>
      </w:r>
      <w:r w:rsidR="00115091" w:rsidRPr="33750E9F">
        <w:rPr>
          <w:rFonts w:ascii="Times New Roman" w:hAnsi="Times New Roman" w:cs="Times New Roman"/>
          <w:sz w:val="24"/>
          <w:szCs w:val="24"/>
        </w:rPr>
        <w:t>ERAC</w:t>
      </w:r>
      <w:r w:rsidR="00F56EF0" w:rsidRPr="00890C27">
        <w:rPr>
          <w:rFonts w:ascii="Times New Roman" w:hAnsi="Times New Roman" w:cs="Times New Roman"/>
          <w:sz w:val="24"/>
          <w:szCs w:val="24"/>
        </w:rPr>
        <w:t>)</w:t>
      </w:r>
      <w:r w:rsidR="005371D8" w:rsidRPr="33750E9F">
        <w:rPr>
          <w:rFonts w:ascii="Times New Roman" w:hAnsi="Times New Roman" w:cs="Times New Roman"/>
          <w:sz w:val="24"/>
          <w:szCs w:val="24"/>
        </w:rPr>
        <w:t xml:space="preserve"> given to the Minister under subsection 123</w:t>
      </w:r>
      <w:proofErr w:type="gramStart"/>
      <w:r w:rsidR="005371D8" w:rsidRPr="33750E9F">
        <w:rPr>
          <w:rFonts w:ascii="Times New Roman" w:hAnsi="Times New Roman" w:cs="Times New Roman"/>
          <w:sz w:val="24"/>
          <w:szCs w:val="24"/>
        </w:rPr>
        <w:t>A(</w:t>
      </w:r>
      <w:proofErr w:type="gramEnd"/>
      <w:r w:rsidR="005371D8" w:rsidRPr="33750E9F">
        <w:rPr>
          <w:rFonts w:ascii="Times New Roman" w:hAnsi="Times New Roman" w:cs="Times New Roman"/>
          <w:sz w:val="24"/>
          <w:szCs w:val="24"/>
        </w:rPr>
        <w:t xml:space="preserve">2) of the </w:t>
      </w:r>
      <w:proofErr w:type="gramStart"/>
      <w:r w:rsidR="00D81A23" w:rsidRPr="00890C27">
        <w:rPr>
          <w:rFonts w:ascii="Times New Roman" w:hAnsi="Times New Roman" w:cs="Times New Roman"/>
          <w:sz w:val="24"/>
          <w:szCs w:val="24"/>
        </w:rPr>
        <w:t>Act</w:t>
      </w:r>
      <w:r w:rsidR="00115091" w:rsidRPr="00890C27">
        <w:rPr>
          <w:rFonts w:ascii="Times New Roman" w:hAnsi="Times New Roman" w:cs="Times New Roman"/>
          <w:sz w:val="24"/>
          <w:szCs w:val="24"/>
        </w:rPr>
        <w:t>;</w:t>
      </w:r>
      <w:proofErr w:type="gramEnd"/>
      <w:r w:rsidR="00115091" w:rsidRPr="00890C27">
        <w:rPr>
          <w:rFonts w:ascii="Times New Roman" w:hAnsi="Times New Roman" w:cs="Times New Roman"/>
          <w:sz w:val="24"/>
          <w:szCs w:val="24"/>
        </w:rPr>
        <w:t xml:space="preserve"> </w:t>
      </w:r>
    </w:p>
    <w:p w14:paraId="265FCB95" w14:textId="5AB250F2" w:rsidR="001643B7" w:rsidRPr="00696584" w:rsidRDefault="00115091" w:rsidP="008103FF">
      <w:pPr>
        <w:numPr>
          <w:ilvl w:val="0"/>
          <w:numId w:val="1"/>
        </w:num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had regard to any adverse environmental, economic or social impacts </w:t>
      </w:r>
      <w:r w:rsidR="00B8406D" w:rsidRPr="33750E9F">
        <w:rPr>
          <w:rFonts w:ascii="Times New Roman" w:hAnsi="Times New Roman" w:cs="Times New Roman"/>
          <w:sz w:val="24"/>
          <w:szCs w:val="24"/>
        </w:rPr>
        <w:t xml:space="preserve">likely to arise </w:t>
      </w:r>
      <w:r w:rsidRPr="33750E9F">
        <w:rPr>
          <w:rFonts w:ascii="Times New Roman" w:hAnsi="Times New Roman" w:cs="Times New Roman"/>
          <w:sz w:val="24"/>
          <w:szCs w:val="24"/>
        </w:rPr>
        <w:t xml:space="preserve">from the carrying out of the kind of projects to which 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w:t>
      </w:r>
      <w:r w:rsidR="00B8406D" w:rsidRPr="33750E9F">
        <w:rPr>
          <w:rFonts w:ascii="Times New Roman" w:hAnsi="Times New Roman" w:cs="Times New Roman"/>
          <w:sz w:val="24"/>
          <w:szCs w:val="24"/>
        </w:rPr>
        <w:t>applies</w:t>
      </w:r>
      <w:r w:rsidRPr="33750E9F">
        <w:rPr>
          <w:rFonts w:ascii="Times New Roman" w:hAnsi="Times New Roman" w:cs="Times New Roman"/>
          <w:sz w:val="24"/>
          <w:szCs w:val="24"/>
        </w:rPr>
        <w:t>.</w:t>
      </w:r>
    </w:p>
    <w:p w14:paraId="25136D50" w14:textId="443E1B03" w:rsidR="001643B7" w:rsidRPr="001643B7" w:rsidRDefault="005E4E37"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For the purposes of</w:t>
      </w:r>
      <w:r w:rsidR="001643B7" w:rsidRPr="165183F2">
        <w:rPr>
          <w:rFonts w:ascii="Times New Roman" w:hAnsi="Times New Roman" w:cs="Times New Roman"/>
          <w:sz w:val="24"/>
          <w:szCs w:val="24"/>
        </w:rPr>
        <w:t xml:space="preserve"> 106(4</w:t>
      </w:r>
      <w:r w:rsidR="009A4612" w:rsidRPr="165183F2">
        <w:rPr>
          <w:rFonts w:ascii="Times New Roman" w:hAnsi="Times New Roman" w:cs="Times New Roman"/>
          <w:sz w:val="24"/>
          <w:szCs w:val="24"/>
        </w:rPr>
        <w:t>A</w:t>
      </w:r>
      <w:r w:rsidR="001643B7" w:rsidRPr="165183F2">
        <w:rPr>
          <w:rFonts w:ascii="Times New Roman" w:hAnsi="Times New Roman" w:cs="Times New Roman"/>
          <w:sz w:val="24"/>
          <w:szCs w:val="24"/>
        </w:rPr>
        <w:t xml:space="preserve">) and (4B) of </w:t>
      </w:r>
      <w:r w:rsidR="00D81A23" w:rsidRPr="165183F2">
        <w:rPr>
          <w:rFonts w:ascii="Times New Roman" w:hAnsi="Times New Roman" w:cs="Times New Roman"/>
          <w:sz w:val="24"/>
          <w:szCs w:val="24"/>
        </w:rPr>
        <w:t>the Act</w:t>
      </w:r>
      <w:r w:rsidR="001643B7" w:rsidRPr="165183F2">
        <w:rPr>
          <w:rFonts w:ascii="Times New Roman" w:hAnsi="Times New Roman" w:cs="Times New Roman"/>
          <w:sz w:val="24"/>
          <w:szCs w:val="24"/>
        </w:rPr>
        <w:t>:</w:t>
      </w:r>
    </w:p>
    <w:p w14:paraId="6942623B" w14:textId="73D730FD" w:rsidR="001643B7" w:rsidRPr="001643B7" w:rsidRDefault="001643B7" w:rsidP="008103FF">
      <w:pPr>
        <w:numPr>
          <w:ilvl w:val="0"/>
          <w:numId w:val="1"/>
        </w:num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a project made in accordance with 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would provide for eligible carbon abatement; and</w:t>
      </w:r>
    </w:p>
    <w:p w14:paraId="1C5C72D5" w14:textId="33C764AA" w:rsidR="001643B7" w:rsidRPr="006365B3" w:rsidRDefault="001643B7" w:rsidP="008103FF">
      <w:pPr>
        <w:numPr>
          <w:ilvl w:val="0"/>
          <w:numId w:val="1"/>
        </w:num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complies with </w:t>
      </w:r>
      <w:proofErr w:type="gramStart"/>
      <w:r w:rsidRPr="33750E9F">
        <w:rPr>
          <w:rFonts w:ascii="Times New Roman" w:hAnsi="Times New Roman" w:cs="Times New Roman"/>
          <w:sz w:val="24"/>
          <w:szCs w:val="24"/>
        </w:rPr>
        <w:t>all of</w:t>
      </w:r>
      <w:proofErr w:type="gramEnd"/>
      <w:r w:rsidRPr="33750E9F">
        <w:rPr>
          <w:rFonts w:ascii="Times New Roman" w:hAnsi="Times New Roman" w:cs="Times New Roman"/>
          <w:sz w:val="24"/>
          <w:szCs w:val="24"/>
        </w:rPr>
        <w:t xml:space="preserve"> the OIS following advice from the ERAC.</w:t>
      </w:r>
    </w:p>
    <w:p w14:paraId="5C1A326D" w14:textId="39515383" w:rsidR="008421D0" w:rsidRPr="006365B3" w:rsidRDefault="008421D0"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In accordance with subsection 106(11</w:t>
      </w:r>
      <w:r w:rsidR="001D4B31" w:rsidRPr="165183F2">
        <w:rPr>
          <w:rFonts w:ascii="Times New Roman" w:hAnsi="Times New Roman" w:cs="Times New Roman"/>
          <w:sz w:val="24"/>
          <w:szCs w:val="24"/>
        </w:rPr>
        <w:t>)</w:t>
      </w:r>
      <w:r w:rsidRPr="165183F2">
        <w:rPr>
          <w:rFonts w:ascii="Times New Roman" w:hAnsi="Times New Roman" w:cs="Times New Roman"/>
          <w:sz w:val="24"/>
          <w:szCs w:val="24"/>
        </w:rPr>
        <w:t xml:space="preserve"> of the </w:t>
      </w:r>
      <w:r w:rsidR="00D81A23" w:rsidRPr="165183F2">
        <w:rPr>
          <w:rFonts w:ascii="Times New Roman" w:hAnsi="Times New Roman" w:cs="Times New Roman"/>
          <w:sz w:val="24"/>
          <w:szCs w:val="24"/>
        </w:rPr>
        <w:t>Act</w:t>
      </w:r>
      <w:r w:rsidRPr="165183F2">
        <w:rPr>
          <w:rFonts w:ascii="Times New Roman" w:hAnsi="Times New Roman" w:cs="Times New Roman"/>
          <w:sz w:val="24"/>
          <w:szCs w:val="24"/>
        </w:rPr>
        <w:t>, the Minister published a copy of the advice from the ERAC on the website of the Department of Climate Change, Energy, the Environment and Water</w:t>
      </w:r>
      <w:r w:rsidR="008F1B1F" w:rsidRPr="165183F2">
        <w:rPr>
          <w:rFonts w:ascii="Times New Roman" w:hAnsi="Times New Roman" w:cs="Times New Roman"/>
          <w:sz w:val="24"/>
          <w:szCs w:val="24"/>
        </w:rPr>
        <w:t xml:space="preserve"> (the </w:t>
      </w:r>
      <w:r w:rsidR="004D74F5" w:rsidRPr="165183F2">
        <w:rPr>
          <w:rFonts w:ascii="Times New Roman" w:hAnsi="Times New Roman" w:cs="Times New Roman"/>
          <w:sz w:val="24"/>
          <w:szCs w:val="24"/>
        </w:rPr>
        <w:t>department</w:t>
      </w:r>
      <w:r w:rsidR="008F1B1F" w:rsidRPr="165183F2">
        <w:rPr>
          <w:rFonts w:ascii="Times New Roman" w:hAnsi="Times New Roman" w:cs="Times New Roman"/>
          <w:sz w:val="24"/>
          <w:szCs w:val="24"/>
        </w:rPr>
        <w:t>)</w:t>
      </w:r>
      <w:r w:rsidR="001D4B31" w:rsidRPr="165183F2">
        <w:rPr>
          <w:rFonts w:ascii="Times New Roman" w:hAnsi="Times New Roman" w:cs="Times New Roman"/>
          <w:sz w:val="24"/>
          <w:szCs w:val="24"/>
        </w:rPr>
        <w:t>.</w:t>
      </w:r>
    </w:p>
    <w:p w14:paraId="659BCD71" w14:textId="0A171D42" w:rsidR="002573BE" w:rsidRPr="003858ED" w:rsidRDefault="002573BE" w:rsidP="008103FF">
      <w:pPr>
        <w:tabs>
          <w:tab w:val="left" w:pos="1701"/>
          <w:tab w:val="right" w:pos="9072"/>
        </w:tabs>
        <w:spacing w:after="160" w:line="276" w:lineRule="auto"/>
        <w:rPr>
          <w:rFonts w:ascii="Times New Roman" w:hAnsi="Times New Roman" w:cs="Times New Roman"/>
          <w:b/>
          <w:sz w:val="24"/>
          <w:szCs w:val="24"/>
        </w:rPr>
      </w:pPr>
      <w:r w:rsidRPr="003858ED">
        <w:rPr>
          <w:rFonts w:ascii="Times New Roman" w:hAnsi="Times New Roman" w:cs="Times New Roman"/>
          <w:b/>
          <w:sz w:val="24"/>
          <w:szCs w:val="24"/>
        </w:rPr>
        <w:t>Purpose</w:t>
      </w:r>
    </w:p>
    <w:p w14:paraId="7998B07B" w14:textId="57E0AE28" w:rsidR="00A62C89" w:rsidRDefault="00A22563"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enables projects that store carbon in living and dead biomass and avoid emissions through fire management to generate Australian </w:t>
      </w:r>
      <w:r w:rsidR="0059371B" w:rsidRPr="165183F2">
        <w:rPr>
          <w:rFonts w:ascii="Times New Roman" w:hAnsi="Times New Roman" w:cs="Times New Roman"/>
          <w:sz w:val="24"/>
          <w:szCs w:val="24"/>
        </w:rPr>
        <w:t>carbon credit units</w:t>
      </w:r>
      <w:r w:rsidRPr="165183F2">
        <w:rPr>
          <w:rFonts w:ascii="Times New Roman" w:hAnsi="Times New Roman" w:cs="Times New Roman"/>
          <w:sz w:val="24"/>
          <w:szCs w:val="24"/>
        </w:rPr>
        <w:t xml:space="preserve"> (ACCUs).</w:t>
      </w:r>
      <w:r w:rsidR="008E1234" w:rsidRPr="165183F2">
        <w:rPr>
          <w:rFonts w:ascii="Times New Roman" w:hAnsi="Times New Roman" w:cs="Times New Roman"/>
        </w:rPr>
        <w:t xml:space="preserve"> </w:t>
      </w:r>
      <w:r w:rsidR="008E1234" w:rsidRPr="165183F2">
        <w:rPr>
          <w:rFonts w:ascii="Times New Roman" w:hAnsi="Times New Roman" w:cs="Times New Roman"/>
          <w:sz w:val="24"/>
          <w:szCs w:val="24"/>
        </w:rPr>
        <w:t>Strate</w:t>
      </w:r>
      <w:r w:rsidR="00BE5E08" w:rsidRPr="165183F2">
        <w:rPr>
          <w:rFonts w:ascii="Times New Roman" w:hAnsi="Times New Roman" w:cs="Times New Roman"/>
          <w:sz w:val="24"/>
          <w:szCs w:val="24"/>
        </w:rPr>
        <w:t>gic s</w:t>
      </w:r>
      <w:r w:rsidR="008E1234" w:rsidRPr="165183F2">
        <w:rPr>
          <w:rFonts w:ascii="Times New Roman" w:hAnsi="Times New Roman" w:cs="Times New Roman"/>
          <w:sz w:val="24"/>
          <w:szCs w:val="24"/>
        </w:rPr>
        <w:t xml:space="preserve">avanna fire management </w:t>
      </w:r>
      <w:r w:rsidR="00BE5E08" w:rsidRPr="165183F2">
        <w:rPr>
          <w:rFonts w:ascii="Times New Roman" w:hAnsi="Times New Roman" w:cs="Times New Roman"/>
          <w:sz w:val="24"/>
          <w:szCs w:val="24"/>
        </w:rPr>
        <w:t>reduces</w:t>
      </w:r>
      <w:r w:rsidR="008E1234" w:rsidRPr="165183F2">
        <w:rPr>
          <w:rFonts w:ascii="Times New Roman" w:hAnsi="Times New Roman" w:cs="Times New Roman"/>
          <w:sz w:val="24"/>
          <w:szCs w:val="24"/>
        </w:rPr>
        <w:t xml:space="preserve"> greenhouse gas emissions by shifting the timing, frequency, and intensity of fires in Australia’s tropical savanna ecosystems from the late dry season to the early dry season.</w:t>
      </w:r>
    </w:p>
    <w:p w14:paraId="5AE21169" w14:textId="56299BB8" w:rsidR="003529D1" w:rsidRDefault="00C9434A"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w:t>
      </w:r>
      <w:r w:rsidR="003529D1" w:rsidRPr="00890C27">
        <w:rPr>
          <w:rFonts w:ascii="Times New Roman" w:hAnsi="Times New Roman" w:cs="Times New Roman"/>
          <w:sz w:val="24"/>
          <w:szCs w:val="24"/>
        </w:rPr>
        <w:t xml:space="preserve"> </w:t>
      </w:r>
      <w:r w:rsidR="004D74F5">
        <w:rPr>
          <w:rFonts w:ascii="Times New Roman" w:hAnsi="Times New Roman" w:cs="Times New Roman"/>
          <w:sz w:val="24"/>
          <w:szCs w:val="24"/>
        </w:rPr>
        <w:t>determination</w:t>
      </w:r>
      <w:r w:rsidR="003529D1" w:rsidRPr="00890C27">
        <w:rPr>
          <w:rFonts w:ascii="Times New Roman" w:hAnsi="Times New Roman" w:cs="Times New Roman"/>
          <w:sz w:val="24"/>
          <w:szCs w:val="24"/>
        </w:rPr>
        <w:t xml:space="preserve"> builds on </w:t>
      </w:r>
      <w:r w:rsidR="005D56BA" w:rsidRPr="00890C27">
        <w:rPr>
          <w:rFonts w:ascii="Times New Roman" w:hAnsi="Times New Roman" w:cs="Times New Roman"/>
          <w:sz w:val="24"/>
          <w:szCs w:val="24"/>
        </w:rPr>
        <w:t>the</w:t>
      </w:r>
      <w:r w:rsidR="003529D1" w:rsidRPr="00890C27">
        <w:rPr>
          <w:rFonts w:ascii="Times New Roman" w:hAnsi="Times New Roman" w:cs="Times New Roman"/>
          <w:sz w:val="24"/>
          <w:szCs w:val="24"/>
        </w:rPr>
        <w:t xml:space="preserve"> </w:t>
      </w:r>
      <w:r w:rsidR="008734D3" w:rsidRPr="00CB7BD8">
        <w:rPr>
          <w:rFonts w:ascii="Times New Roman" w:hAnsi="Times New Roman" w:cs="Times New Roman"/>
          <w:i/>
          <w:sz w:val="24"/>
          <w:szCs w:val="24"/>
        </w:rPr>
        <w:t>Carbon Credits (Carbon Farming Initiative—Savanna Fire Management—Sequestration and Emissions Avoidance) Methodology Determination 2018</w:t>
      </w:r>
      <w:r w:rsidR="008734D3" w:rsidRPr="00890C27" w:rsidDel="008734D3">
        <w:rPr>
          <w:rFonts w:ascii="Times New Roman" w:hAnsi="Times New Roman" w:cs="Times New Roman"/>
          <w:sz w:val="24"/>
          <w:szCs w:val="24"/>
        </w:rPr>
        <w:t xml:space="preserve"> </w:t>
      </w:r>
      <w:r w:rsidR="008734D3" w:rsidRPr="00890C27">
        <w:rPr>
          <w:rFonts w:ascii="Times New Roman" w:hAnsi="Times New Roman" w:cs="Times New Roman"/>
          <w:sz w:val="24"/>
          <w:szCs w:val="24"/>
        </w:rPr>
        <w:t xml:space="preserve">and aims to </w:t>
      </w:r>
      <w:r w:rsidR="003529D1" w:rsidRPr="00890C27">
        <w:rPr>
          <w:rFonts w:ascii="Times New Roman" w:hAnsi="Times New Roman" w:cs="Times New Roman"/>
          <w:sz w:val="24"/>
          <w:szCs w:val="24"/>
        </w:rPr>
        <w:t>address</w:t>
      </w:r>
      <w:r w:rsidR="00574C90" w:rsidRPr="00890C27">
        <w:rPr>
          <w:rFonts w:ascii="Times New Roman" w:hAnsi="Times New Roman" w:cs="Times New Roman"/>
          <w:sz w:val="24"/>
          <w:szCs w:val="24"/>
        </w:rPr>
        <w:t xml:space="preserve"> the following</w:t>
      </w:r>
      <w:r w:rsidR="003529D1" w:rsidRPr="00890C27">
        <w:rPr>
          <w:rFonts w:ascii="Times New Roman" w:hAnsi="Times New Roman" w:cs="Times New Roman"/>
          <w:sz w:val="24"/>
          <w:szCs w:val="24"/>
        </w:rPr>
        <w:t>:</w:t>
      </w:r>
    </w:p>
    <w:p w14:paraId="6671B108" w14:textId="1D416712" w:rsidR="003529D1" w:rsidRPr="00CB7BD8" w:rsidRDefault="003529D1"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7BD8">
        <w:rPr>
          <w:rFonts w:ascii="Times New Roman" w:hAnsi="Times New Roman" w:cs="Times New Roman"/>
          <w:sz w:val="24"/>
          <w:szCs w:val="24"/>
        </w:rPr>
        <w:t>Scientific advancements—new research has improved our understanding and data on fire dynamics, carbon stocks, and emissions factors that can refine method accuracy.</w:t>
      </w:r>
    </w:p>
    <w:p w14:paraId="32A16BCE" w14:textId="4F2827E7" w:rsidR="003529D1" w:rsidRPr="00CB7BD8" w:rsidRDefault="003529D1"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7BD8">
        <w:rPr>
          <w:rFonts w:ascii="Times New Roman" w:hAnsi="Times New Roman" w:cs="Times New Roman"/>
          <w:sz w:val="24"/>
          <w:szCs w:val="24"/>
        </w:rPr>
        <w:lastRenderedPageBreak/>
        <w:t>Consistency and integrity—ensuring alignment with the evolving requirements of the ACCU Scheme and international best practice.</w:t>
      </w:r>
    </w:p>
    <w:p w14:paraId="5B916BEC" w14:textId="5A1164A5" w:rsidR="003529D1" w:rsidRPr="00CB7BD8" w:rsidRDefault="003529D1"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7BD8">
        <w:rPr>
          <w:rFonts w:ascii="Times New Roman" w:hAnsi="Times New Roman" w:cs="Times New Roman"/>
          <w:sz w:val="24"/>
          <w:szCs w:val="24"/>
        </w:rPr>
        <w:t>Scalability and equity—ensuring the methods support equitable access across project sizes and regions, and account for land tenure complexities.</w:t>
      </w:r>
    </w:p>
    <w:p w14:paraId="1E84583E" w14:textId="7BA34646" w:rsidR="00A22563" w:rsidRPr="003858ED" w:rsidRDefault="00A22563"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sets out the rules for calculating, crediting and reporting the abatement from undertaking eligible project activities for the purpose of creating ACCUs. It also sets out the rules for eligibility of projects to be credited for carbon sequestration and emissions avoidance, and specific notification and monitoring requirements.</w:t>
      </w:r>
    </w:p>
    <w:p w14:paraId="2B8BE3CD" w14:textId="77777777" w:rsidR="002573BE" w:rsidRPr="003858ED" w:rsidRDefault="002573BE" w:rsidP="165183F2">
      <w:pPr>
        <w:keepNext/>
        <w:tabs>
          <w:tab w:val="left" w:pos="1701"/>
          <w:tab w:val="right" w:pos="9072"/>
        </w:tabs>
        <w:spacing w:after="160" w:line="276" w:lineRule="auto"/>
        <w:rPr>
          <w:rFonts w:ascii="Times New Roman" w:hAnsi="Times New Roman" w:cs="Times New Roman"/>
          <w:b/>
          <w:bCs/>
          <w:sz w:val="24"/>
          <w:szCs w:val="24"/>
        </w:rPr>
      </w:pPr>
      <w:r w:rsidRPr="165183F2">
        <w:rPr>
          <w:rFonts w:ascii="Times New Roman" w:hAnsi="Times New Roman" w:cs="Times New Roman"/>
          <w:b/>
          <w:bCs/>
          <w:sz w:val="24"/>
          <w:szCs w:val="24"/>
        </w:rPr>
        <w:t>Background</w:t>
      </w:r>
    </w:p>
    <w:p w14:paraId="7AA97C35" w14:textId="3A1AFC12" w:rsidR="00FB111C" w:rsidRPr="003858ED" w:rsidRDefault="00D81A23" w:rsidP="008103FF">
      <w:pPr>
        <w:keepNext/>
        <w:tabs>
          <w:tab w:val="right" w:pos="9072"/>
        </w:tabs>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w:t>
      </w:r>
      <w:r w:rsidR="0066140C" w:rsidRPr="33750E9F">
        <w:rPr>
          <w:rFonts w:ascii="Times New Roman" w:hAnsi="Times New Roman" w:cs="Times New Roman"/>
          <w:sz w:val="24"/>
          <w:szCs w:val="24"/>
        </w:rPr>
        <w:t xml:space="preserve"> </w:t>
      </w:r>
      <w:r w:rsidR="00FB111C" w:rsidRPr="33750E9F">
        <w:rPr>
          <w:rFonts w:ascii="Times New Roman" w:hAnsi="Times New Roman" w:cs="Times New Roman"/>
          <w:sz w:val="24"/>
          <w:szCs w:val="24"/>
        </w:rPr>
        <w:t>Act enables the crediting of greenhouse gas abatement from emissions reduction activities across the economy. Greenhouse gas abatement is achieved either by avoiding emissions or by carbon sequestration</w:t>
      </w:r>
      <w:r w:rsidR="00F1405B" w:rsidRPr="33750E9F">
        <w:rPr>
          <w:rFonts w:ascii="Times New Roman" w:hAnsi="Times New Roman" w:cs="Times New Roman"/>
          <w:sz w:val="24"/>
          <w:szCs w:val="24"/>
        </w:rPr>
        <w:t>. Carbon sequestration</w:t>
      </w:r>
      <w:r w:rsidR="00FB111C" w:rsidRPr="33750E9F">
        <w:rPr>
          <w:rFonts w:ascii="Times New Roman" w:hAnsi="Times New Roman" w:cs="Times New Roman"/>
          <w:sz w:val="24"/>
          <w:szCs w:val="24"/>
        </w:rPr>
        <w:t xml:space="preserve"> is the process of capturing atmospheric carbon and storing it in soil or trees. The process for establishing an offsets project, which is defined in section 5 of the </w:t>
      </w:r>
      <w:r w:rsidRPr="00890C27">
        <w:rPr>
          <w:rFonts w:ascii="Times New Roman" w:hAnsi="Times New Roman" w:cs="Times New Roman"/>
          <w:sz w:val="24"/>
          <w:szCs w:val="24"/>
        </w:rPr>
        <w:t>Act</w:t>
      </w:r>
      <w:r w:rsidR="00FB111C" w:rsidRPr="33750E9F">
        <w:rPr>
          <w:rFonts w:ascii="Times New Roman" w:hAnsi="Times New Roman" w:cs="Times New Roman"/>
          <w:sz w:val="24"/>
          <w:szCs w:val="24"/>
        </w:rPr>
        <w:t xml:space="preserve">, is set out in Part 3 of the </w:t>
      </w:r>
      <w:r w:rsidRPr="00890C27">
        <w:rPr>
          <w:rFonts w:ascii="Times New Roman" w:hAnsi="Times New Roman" w:cs="Times New Roman"/>
          <w:sz w:val="24"/>
          <w:szCs w:val="24"/>
        </w:rPr>
        <w:t>Act</w:t>
      </w:r>
      <w:r w:rsidR="00FB111C" w:rsidRPr="00890C27">
        <w:rPr>
          <w:rFonts w:ascii="Times New Roman" w:hAnsi="Times New Roman" w:cs="Times New Roman"/>
          <w:sz w:val="24"/>
          <w:szCs w:val="24"/>
        </w:rPr>
        <w:t>.</w:t>
      </w:r>
      <w:r w:rsidR="00FB111C" w:rsidRPr="33750E9F">
        <w:rPr>
          <w:rFonts w:ascii="Times New Roman" w:hAnsi="Times New Roman" w:cs="Times New Roman"/>
          <w:sz w:val="24"/>
          <w:szCs w:val="24"/>
        </w:rPr>
        <w:t xml:space="preserve"> An offsets project must be covered by, and carried out in accordance with, a methodology determination.</w:t>
      </w:r>
    </w:p>
    <w:p w14:paraId="66C15AEE" w14:textId="38451CCD" w:rsidR="00860FCC" w:rsidRDefault="00FB111C" w:rsidP="008103FF">
      <w:pPr>
        <w:tabs>
          <w:tab w:val="right" w:pos="9072"/>
        </w:tabs>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A methodology determination sets out the requirements for a project to be an offsets project and establishes procedures for estimating abatement from eligible offsets projects, as well as the rules for monitoring, record-keeping, and reporting. Methodology determinations ensure that emissions reductions are genuine, real, and additional to business as usual.</w:t>
      </w:r>
    </w:p>
    <w:p w14:paraId="7EB15F2E" w14:textId="4E6EAB48" w:rsidR="00FB111C" w:rsidRDefault="00C57FE3" w:rsidP="008103FF">
      <w:pPr>
        <w:tabs>
          <w:tab w:val="right" w:pos="9072"/>
        </w:tabs>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Before </w:t>
      </w:r>
      <w:r w:rsidR="00FB111C" w:rsidRPr="33750E9F">
        <w:rPr>
          <w:rFonts w:ascii="Times New Roman" w:hAnsi="Times New Roman" w:cs="Times New Roman"/>
          <w:sz w:val="24"/>
          <w:szCs w:val="24"/>
        </w:rPr>
        <w:t xml:space="preserve">making a methodology determination, the Minister must have regard to the advice of the ERAC, an independent expert panel established to advise the Minister on </w:t>
      </w:r>
      <w:r w:rsidR="0BF700C9" w:rsidRPr="00890C27">
        <w:rPr>
          <w:rFonts w:ascii="Times New Roman" w:hAnsi="Times New Roman" w:cs="Times New Roman"/>
          <w:sz w:val="24"/>
          <w:szCs w:val="24"/>
        </w:rPr>
        <w:t xml:space="preserve">the </w:t>
      </w:r>
      <w:r w:rsidR="00FB111C" w:rsidRPr="33750E9F">
        <w:rPr>
          <w:rFonts w:ascii="Times New Roman" w:hAnsi="Times New Roman" w:cs="Times New Roman"/>
          <w:sz w:val="24"/>
          <w:szCs w:val="24"/>
        </w:rPr>
        <w:t>integrity of methodology determinations. The Minister must not make or vary a methodology determination if the ERAC has advised that it does not comply with one or more of the OIS</w:t>
      </w:r>
      <w:r w:rsidR="001F78F9" w:rsidRPr="33750E9F">
        <w:rPr>
          <w:rFonts w:ascii="Times New Roman" w:hAnsi="Times New Roman" w:cs="Times New Roman"/>
          <w:sz w:val="24"/>
          <w:szCs w:val="24"/>
        </w:rPr>
        <w:t xml:space="preserve"> (</w:t>
      </w:r>
      <w:r w:rsidR="00FB111C" w:rsidRPr="33750E9F">
        <w:rPr>
          <w:rFonts w:ascii="Times New Roman" w:hAnsi="Times New Roman" w:cs="Times New Roman"/>
          <w:sz w:val="24"/>
          <w:szCs w:val="24"/>
        </w:rPr>
        <w:t>set out in section 133 of the</w:t>
      </w:r>
      <w:r w:rsidR="001F78F9" w:rsidRPr="33750E9F">
        <w:rPr>
          <w:rFonts w:ascii="Times New Roman" w:hAnsi="Times New Roman" w:cs="Times New Roman"/>
          <w:sz w:val="24"/>
          <w:szCs w:val="24"/>
        </w:rPr>
        <w:t xml:space="preserve"> </w:t>
      </w:r>
      <w:r w:rsidR="00D81A23" w:rsidRPr="00890C27">
        <w:rPr>
          <w:rFonts w:ascii="Times New Roman" w:hAnsi="Times New Roman" w:cs="Times New Roman"/>
          <w:sz w:val="24"/>
          <w:szCs w:val="24"/>
        </w:rPr>
        <w:t>Act</w:t>
      </w:r>
      <w:r w:rsidR="001F78F9" w:rsidRPr="00890C27">
        <w:rPr>
          <w:rFonts w:ascii="Times New Roman" w:hAnsi="Times New Roman" w:cs="Times New Roman"/>
          <w:sz w:val="24"/>
          <w:szCs w:val="24"/>
        </w:rPr>
        <w:t>)</w:t>
      </w:r>
      <w:r w:rsidR="00FB111C" w:rsidRPr="00890C27">
        <w:rPr>
          <w:rFonts w:ascii="Times New Roman" w:hAnsi="Times New Roman" w:cs="Times New Roman"/>
          <w:sz w:val="24"/>
          <w:szCs w:val="24"/>
        </w:rPr>
        <w:t>.</w:t>
      </w:r>
      <w:r w:rsidR="00FB111C" w:rsidRPr="33750E9F">
        <w:rPr>
          <w:rFonts w:ascii="Times New Roman" w:hAnsi="Times New Roman" w:cs="Times New Roman"/>
          <w:sz w:val="24"/>
          <w:szCs w:val="24"/>
        </w:rPr>
        <w:t xml:space="preserve"> In making a methodology determination, the Minister must be satisfied it complies with the OIS, and must have considered any adverse environmental, economic or social impacts likely to arise </w:t>
      </w:r>
      <w:proofErr w:type="gramStart"/>
      <w:r w:rsidR="00FB111C" w:rsidRPr="33750E9F">
        <w:rPr>
          <w:rFonts w:ascii="Times New Roman" w:hAnsi="Times New Roman" w:cs="Times New Roman"/>
          <w:sz w:val="24"/>
          <w:szCs w:val="24"/>
        </w:rPr>
        <w:t>as a result of</w:t>
      </w:r>
      <w:proofErr w:type="gramEnd"/>
      <w:r w:rsidR="00FB111C" w:rsidRPr="33750E9F">
        <w:rPr>
          <w:rFonts w:ascii="Times New Roman" w:hAnsi="Times New Roman" w:cs="Times New Roman"/>
          <w:sz w:val="24"/>
          <w:szCs w:val="24"/>
        </w:rPr>
        <w:t xml:space="preserve"> projects to which a methodology determination applies.</w:t>
      </w:r>
    </w:p>
    <w:p w14:paraId="1CF0083D" w14:textId="77777777" w:rsidR="006C05BA" w:rsidRPr="003858ED" w:rsidRDefault="006C05BA" w:rsidP="008103FF">
      <w:pPr>
        <w:spacing w:after="160" w:line="276" w:lineRule="auto"/>
        <w:rPr>
          <w:rFonts w:ascii="Times New Roman" w:hAnsi="Times New Roman" w:cs="Times New Roman"/>
          <w:sz w:val="24"/>
          <w:szCs w:val="24"/>
          <w:lang w:eastAsia="en-AU"/>
        </w:rPr>
      </w:pPr>
      <w:r w:rsidRPr="165183F2">
        <w:rPr>
          <w:rFonts w:ascii="Times New Roman" w:hAnsi="Times New Roman" w:cs="Times New Roman"/>
          <w:sz w:val="24"/>
          <w:szCs w:val="24"/>
          <w:lang w:eastAsia="en-AU"/>
        </w:rPr>
        <w:t>The rules in the determination meet the requirements of the OIS set out in section 133 of the Act.</w:t>
      </w:r>
    </w:p>
    <w:p w14:paraId="3F78C45B" w14:textId="42B9980B" w:rsidR="006C05BA" w:rsidRPr="003858ED" w:rsidRDefault="006C05BA" w:rsidP="008103FF">
      <w:pPr>
        <w:numPr>
          <w:ilvl w:val="0"/>
          <w:numId w:val="31"/>
        </w:numPr>
        <w:spacing w:after="160" w:line="276" w:lineRule="auto"/>
        <w:rPr>
          <w:rFonts w:ascii="Times New Roman" w:hAnsi="Times New Roman" w:cs="Times New Roman"/>
          <w:sz w:val="24"/>
          <w:szCs w:val="24"/>
        </w:rPr>
      </w:pPr>
      <w:r w:rsidRPr="003858ED">
        <w:rPr>
          <w:rFonts w:ascii="Times New Roman" w:hAnsi="Times New Roman" w:cs="Times New Roman"/>
          <w:b/>
          <w:bCs/>
          <w:sz w:val="24"/>
          <w:szCs w:val="24"/>
        </w:rPr>
        <w:t>Additionality:</w:t>
      </w:r>
      <w:r w:rsidRPr="003858ED">
        <w:rPr>
          <w:rFonts w:ascii="Times New Roman" w:hAnsi="Times New Roman" w:cs="Times New Roman"/>
          <w:sz w:val="24"/>
          <w:szCs w:val="24"/>
        </w:rPr>
        <w:t xml:space="preserve"> A method should result in carbon abatement that is unlikely to occur in the ordinary course of events (disregarding the effect of the Act).</w:t>
      </w:r>
    </w:p>
    <w:p w14:paraId="1711B9BE" w14:textId="627EF6C1" w:rsidR="006C05BA" w:rsidRPr="003858ED" w:rsidRDefault="006C05BA" w:rsidP="008103FF">
      <w:pPr>
        <w:numPr>
          <w:ilvl w:val="0"/>
          <w:numId w:val="31"/>
        </w:numPr>
        <w:spacing w:after="160" w:line="276" w:lineRule="auto"/>
        <w:rPr>
          <w:rFonts w:ascii="Times New Roman" w:hAnsi="Times New Roman" w:cs="Times New Roman"/>
          <w:sz w:val="24"/>
          <w:szCs w:val="24"/>
        </w:rPr>
      </w:pPr>
      <w:r w:rsidRPr="003858ED">
        <w:rPr>
          <w:rFonts w:ascii="Times New Roman" w:hAnsi="Times New Roman" w:cs="Times New Roman"/>
          <w:b/>
          <w:bCs/>
          <w:sz w:val="24"/>
          <w:szCs w:val="24"/>
        </w:rPr>
        <w:t>Measurable and verifiable:</w:t>
      </w:r>
      <w:r w:rsidRPr="003858ED">
        <w:rPr>
          <w:rFonts w:ascii="Times New Roman" w:hAnsi="Times New Roman" w:cs="Times New Roman"/>
          <w:sz w:val="24"/>
          <w:szCs w:val="24"/>
        </w:rPr>
        <w:t xml:space="preserve"> A method involving the removal, reduction or emissions of greenhouse gases should be measurable and capable of being verified.</w:t>
      </w:r>
    </w:p>
    <w:p w14:paraId="1E0F69F8" w14:textId="3BCD34E3" w:rsidR="006C05BA" w:rsidRPr="003858ED" w:rsidRDefault="006C05BA" w:rsidP="008103FF">
      <w:pPr>
        <w:numPr>
          <w:ilvl w:val="0"/>
          <w:numId w:val="31"/>
        </w:numPr>
        <w:spacing w:after="160" w:line="276" w:lineRule="auto"/>
        <w:rPr>
          <w:rFonts w:ascii="Times New Roman" w:hAnsi="Times New Roman" w:cs="Times New Roman"/>
          <w:sz w:val="24"/>
          <w:szCs w:val="24"/>
        </w:rPr>
      </w:pPr>
      <w:r w:rsidRPr="003858ED">
        <w:rPr>
          <w:rFonts w:ascii="Times New Roman" w:hAnsi="Times New Roman" w:cs="Times New Roman"/>
          <w:b/>
          <w:bCs/>
          <w:sz w:val="24"/>
          <w:szCs w:val="24"/>
        </w:rPr>
        <w:t>Eligible carbon abatement:</w:t>
      </w:r>
      <w:r w:rsidRPr="003858ED">
        <w:rPr>
          <w:rFonts w:ascii="Times New Roman" w:hAnsi="Times New Roman" w:cs="Times New Roman"/>
          <w:sz w:val="24"/>
          <w:szCs w:val="24"/>
        </w:rPr>
        <w:t xml:space="preserve"> A method should provide abatement that is able to be used to meet Australia’s international mitigation obligations.</w:t>
      </w:r>
    </w:p>
    <w:p w14:paraId="50610E8F" w14:textId="77777777" w:rsidR="006C05BA" w:rsidRPr="003858ED" w:rsidRDefault="006C05BA" w:rsidP="008103FF">
      <w:pPr>
        <w:numPr>
          <w:ilvl w:val="0"/>
          <w:numId w:val="31"/>
        </w:numPr>
        <w:spacing w:after="160" w:line="276" w:lineRule="auto"/>
        <w:rPr>
          <w:rFonts w:ascii="Times New Roman" w:hAnsi="Times New Roman" w:cs="Times New Roman"/>
          <w:sz w:val="24"/>
          <w:szCs w:val="24"/>
        </w:rPr>
      </w:pPr>
      <w:r w:rsidRPr="003858ED">
        <w:rPr>
          <w:rFonts w:ascii="Times New Roman" w:hAnsi="Times New Roman" w:cs="Times New Roman"/>
          <w:b/>
          <w:bCs/>
          <w:sz w:val="24"/>
          <w:szCs w:val="24"/>
        </w:rPr>
        <w:t>Evidence-based:</w:t>
      </w:r>
      <w:r w:rsidRPr="003858ED">
        <w:rPr>
          <w:rFonts w:ascii="Times New Roman" w:hAnsi="Times New Roman" w:cs="Times New Roman"/>
          <w:sz w:val="24"/>
          <w:szCs w:val="24"/>
        </w:rPr>
        <w:t xml:space="preserve"> A method should be supported by clear and convincing evidence.</w:t>
      </w:r>
    </w:p>
    <w:p w14:paraId="39833946" w14:textId="0256F65A" w:rsidR="00DE2924" w:rsidRPr="00890C27" w:rsidRDefault="006C05BA" w:rsidP="008103FF">
      <w:pPr>
        <w:numPr>
          <w:ilvl w:val="0"/>
          <w:numId w:val="31"/>
        </w:numPr>
        <w:spacing w:after="160" w:line="276" w:lineRule="auto"/>
        <w:rPr>
          <w:rFonts w:ascii="Times New Roman" w:hAnsi="Times New Roman" w:cs="Times New Roman"/>
          <w:sz w:val="24"/>
          <w:szCs w:val="24"/>
        </w:rPr>
      </w:pPr>
      <w:r w:rsidRPr="003858ED">
        <w:rPr>
          <w:rFonts w:ascii="Times New Roman" w:hAnsi="Times New Roman" w:cs="Times New Roman"/>
          <w:b/>
          <w:bCs/>
          <w:sz w:val="24"/>
          <w:szCs w:val="24"/>
        </w:rPr>
        <w:lastRenderedPageBreak/>
        <w:t>Project emissions:</w:t>
      </w:r>
      <w:r w:rsidRPr="003858ED">
        <w:rPr>
          <w:rFonts w:ascii="Times New Roman" w:hAnsi="Times New Roman" w:cs="Times New Roman"/>
          <w:sz w:val="24"/>
          <w:szCs w:val="24"/>
        </w:rPr>
        <w:t xml:space="preserve"> Material greenhouse gas emissions emitted as a direct result of the project should be deducted.</w:t>
      </w:r>
    </w:p>
    <w:p w14:paraId="2F66F70A" w14:textId="0F3A1510" w:rsidR="00FB111C" w:rsidRPr="003858ED" w:rsidRDefault="006C05BA" w:rsidP="008103FF">
      <w:pPr>
        <w:numPr>
          <w:ilvl w:val="0"/>
          <w:numId w:val="31"/>
        </w:numPr>
        <w:spacing w:after="160" w:line="276" w:lineRule="auto"/>
        <w:rPr>
          <w:rFonts w:ascii="Times New Roman" w:hAnsi="Times New Roman" w:cs="Times New Roman"/>
          <w:sz w:val="24"/>
          <w:szCs w:val="24"/>
        </w:rPr>
      </w:pPr>
      <w:r w:rsidRPr="003858ED">
        <w:rPr>
          <w:rFonts w:ascii="Times New Roman" w:hAnsi="Times New Roman" w:cs="Times New Roman"/>
          <w:b/>
          <w:bCs/>
          <w:sz w:val="24"/>
          <w:szCs w:val="24"/>
        </w:rPr>
        <w:t>Conservative:</w:t>
      </w:r>
      <w:r w:rsidRPr="003858ED">
        <w:rPr>
          <w:rFonts w:ascii="Times New Roman" w:hAnsi="Times New Roman" w:cs="Times New Roman"/>
          <w:sz w:val="24"/>
          <w:szCs w:val="24"/>
        </w:rPr>
        <w:t xml:space="preserve"> Where a method involves an estimate, projection or assumption, it should be conservative.</w:t>
      </w:r>
    </w:p>
    <w:p w14:paraId="4DF80AF7" w14:textId="61C101E3" w:rsidR="002573BE" w:rsidRPr="003858ED" w:rsidRDefault="00FB111C" w:rsidP="008103FF">
      <w:pPr>
        <w:tabs>
          <w:tab w:val="right" w:pos="9072"/>
        </w:tabs>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Offsets projects carried out in accordance with a methodology determination and </w:t>
      </w:r>
      <w:r w:rsidR="001012A0" w:rsidRPr="165183F2">
        <w:rPr>
          <w:rFonts w:ascii="Times New Roman" w:hAnsi="Times New Roman" w:cs="Times New Roman"/>
          <w:sz w:val="24"/>
          <w:szCs w:val="24"/>
        </w:rPr>
        <w:t xml:space="preserve">administered </w:t>
      </w:r>
      <w:r w:rsidRPr="165183F2">
        <w:rPr>
          <w:rFonts w:ascii="Times New Roman" w:hAnsi="Times New Roman" w:cs="Times New Roman"/>
          <w:sz w:val="24"/>
          <w:szCs w:val="24"/>
        </w:rPr>
        <w:t>by the Clean Energy Regulator (the Regulator) can generate ACCUs which represent greenhouse gas abatement achieved by eligible offsets projects.</w:t>
      </w:r>
    </w:p>
    <w:p w14:paraId="7C79EC62" w14:textId="52DFA535" w:rsidR="00FB111C" w:rsidRPr="003858ED" w:rsidRDefault="00FB111C" w:rsidP="008103FF">
      <w:pPr>
        <w:tabs>
          <w:tab w:val="right" w:pos="9072"/>
        </w:tabs>
        <w:spacing w:after="160" w:line="276" w:lineRule="auto"/>
        <w:rPr>
          <w:rFonts w:ascii="Times New Roman" w:hAnsi="Times New Roman" w:cs="Times New Roman"/>
          <w:sz w:val="24"/>
          <w:szCs w:val="24"/>
          <w:u w:val="single"/>
        </w:rPr>
      </w:pPr>
      <w:r w:rsidRPr="165183F2">
        <w:rPr>
          <w:rFonts w:ascii="Times New Roman" w:hAnsi="Times New Roman" w:cs="Times New Roman"/>
          <w:sz w:val="24"/>
          <w:szCs w:val="24"/>
          <w:u w:val="single"/>
        </w:rPr>
        <w:t>Accounting for abatement from fire management activities</w:t>
      </w:r>
    </w:p>
    <w:p w14:paraId="0617F128" w14:textId="3BF8C4F8" w:rsidR="00C95156" w:rsidRDefault="00C95156" w:rsidP="008103FF">
      <w:pPr>
        <w:tabs>
          <w:tab w:val="right" w:pos="9072"/>
        </w:tabs>
        <w:spacing w:after="160" w:line="276" w:lineRule="auto"/>
        <w:rPr>
          <w:rFonts w:ascii="Times New Roman" w:hAnsi="Times New Roman" w:cs="Times New Roman"/>
          <w:sz w:val="24"/>
          <w:szCs w:val="24"/>
        </w:rPr>
      </w:pPr>
      <w:r w:rsidRPr="00C95156">
        <w:rPr>
          <w:rFonts w:ascii="Times New Roman" w:hAnsi="Times New Roman" w:cs="Times New Roman"/>
          <w:sz w:val="24"/>
          <w:szCs w:val="24"/>
        </w:rPr>
        <w:t xml:space="preserve">In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9D616C">
        <w:rPr>
          <w:rFonts w:ascii="Times New Roman" w:hAnsi="Times New Roman" w:cs="Times New Roman"/>
          <w:sz w:val="24"/>
          <w:szCs w:val="24"/>
        </w:rPr>
        <w:t>,</w:t>
      </w:r>
      <w:r w:rsidRPr="00C95156">
        <w:rPr>
          <w:rFonts w:ascii="Times New Roman" w:hAnsi="Times New Roman" w:cs="Times New Roman"/>
          <w:sz w:val="24"/>
          <w:szCs w:val="24"/>
        </w:rPr>
        <w:t xml:space="preserve"> net abatement is the sum of </w:t>
      </w:r>
      <w:r w:rsidR="32521145" w:rsidRPr="2E79DF14">
        <w:rPr>
          <w:rFonts w:ascii="Times New Roman" w:hAnsi="Times New Roman" w:cs="Times New Roman"/>
          <w:sz w:val="24"/>
          <w:szCs w:val="24"/>
        </w:rPr>
        <w:t xml:space="preserve">two </w:t>
      </w:r>
      <w:r w:rsidRPr="00C95156">
        <w:rPr>
          <w:rFonts w:ascii="Times New Roman" w:hAnsi="Times New Roman" w:cs="Times New Roman"/>
          <w:sz w:val="24"/>
          <w:szCs w:val="24"/>
        </w:rPr>
        <w:t xml:space="preserve">key components: emissions avoidance and carbon sequestration. Emissions from fires and sequestration of carbon during the project are compared to the baseline scenario. Calculations can be performed using </w:t>
      </w:r>
      <w:r w:rsidR="00232FC1" w:rsidRPr="00890C27">
        <w:rPr>
          <w:rFonts w:ascii="Times New Roman" w:hAnsi="Times New Roman" w:cs="Times New Roman"/>
          <w:sz w:val="24"/>
          <w:szCs w:val="24"/>
        </w:rPr>
        <w:t>the Savanna Carbon Abatement Model</w:t>
      </w:r>
      <w:r w:rsidRPr="00890C27">
        <w:rPr>
          <w:rFonts w:ascii="Times New Roman" w:hAnsi="Times New Roman" w:cs="Times New Roman"/>
          <w:sz w:val="24"/>
          <w:szCs w:val="24"/>
        </w:rPr>
        <w:t xml:space="preserve"> </w:t>
      </w:r>
      <w:r w:rsidR="00232FC1" w:rsidRPr="00890C27">
        <w:rPr>
          <w:rFonts w:ascii="Times New Roman" w:hAnsi="Times New Roman" w:cs="Times New Roman"/>
          <w:sz w:val="24"/>
          <w:szCs w:val="24"/>
        </w:rPr>
        <w:t>(</w:t>
      </w:r>
      <w:proofErr w:type="spellStart"/>
      <w:r w:rsidRPr="00C95156">
        <w:rPr>
          <w:rFonts w:ascii="Times New Roman" w:hAnsi="Times New Roman" w:cs="Times New Roman"/>
          <w:sz w:val="24"/>
          <w:szCs w:val="24"/>
        </w:rPr>
        <w:t>SavCAM</w:t>
      </w:r>
      <w:proofErr w:type="spellEnd"/>
      <w:r w:rsidR="00232FC1" w:rsidRPr="00890C27">
        <w:rPr>
          <w:rFonts w:ascii="Times New Roman" w:hAnsi="Times New Roman" w:cs="Times New Roman"/>
          <w:sz w:val="24"/>
          <w:szCs w:val="24"/>
        </w:rPr>
        <w:t>)</w:t>
      </w:r>
      <w:r w:rsidRPr="00C95156">
        <w:rPr>
          <w:rFonts w:ascii="Times New Roman" w:hAnsi="Times New Roman" w:cs="Times New Roman"/>
          <w:sz w:val="24"/>
          <w:szCs w:val="24"/>
        </w:rPr>
        <w:t xml:space="preserve"> or by following the equations in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C95156">
        <w:rPr>
          <w:rFonts w:ascii="Times New Roman" w:hAnsi="Times New Roman" w:cs="Times New Roman"/>
          <w:sz w:val="24"/>
          <w:szCs w:val="24"/>
        </w:rPr>
        <w:t>.</w:t>
      </w:r>
    </w:p>
    <w:p w14:paraId="1695A984" w14:textId="77777777" w:rsidR="001123F5" w:rsidRPr="00CB2B4A" w:rsidRDefault="001123F5" w:rsidP="008103FF">
      <w:pPr>
        <w:tabs>
          <w:tab w:val="right" w:pos="9072"/>
        </w:tabs>
        <w:spacing w:after="160" w:line="276" w:lineRule="auto"/>
        <w:rPr>
          <w:rFonts w:ascii="Times New Roman" w:hAnsi="Times New Roman" w:cs="Times New Roman"/>
          <w:i/>
          <w:sz w:val="24"/>
          <w:szCs w:val="24"/>
        </w:rPr>
      </w:pPr>
      <w:r w:rsidRPr="00CB2B4A">
        <w:rPr>
          <w:rFonts w:ascii="Times New Roman" w:hAnsi="Times New Roman" w:cs="Times New Roman"/>
          <w:i/>
          <w:sz w:val="24"/>
          <w:szCs w:val="24"/>
        </w:rPr>
        <w:t>Emissions Avoidance</w:t>
      </w:r>
    </w:p>
    <w:p w14:paraId="5611FC9B" w14:textId="34F7C814" w:rsidR="001123F5" w:rsidRPr="00CB2B4A"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2B4A">
        <w:rPr>
          <w:rFonts w:ascii="Times New Roman" w:hAnsi="Times New Roman" w:cs="Times New Roman"/>
          <w:sz w:val="24"/>
          <w:szCs w:val="24"/>
        </w:rPr>
        <w:t>Abatement is calculated as the difference between baseline fire emissions and fire emissions in the project year.</w:t>
      </w:r>
    </w:p>
    <w:p w14:paraId="0B14B176" w14:textId="609EFC13" w:rsidR="001123F5" w:rsidRPr="00CB2B4A"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2B4A">
        <w:rPr>
          <w:rFonts w:ascii="Times New Roman" w:hAnsi="Times New Roman" w:cs="Times New Roman"/>
          <w:sz w:val="24"/>
          <w:szCs w:val="24"/>
        </w:rPr>
        <w:t>Abatement is adjusted using an uncertainty buffer, which accounts for inter-annual variability of fires and risk of over-crediting.</w:t>
      </w:r>
    </w:p>
    <w:p w14:paraId="33E8A59A" w14:textId="13A7F59B" w:rsidR="001123F5" w:rsidRPr="00CB2B4A"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2B4A">
        <w:rPr>
          <w:rFonts w:ascii="Times New Roman" w:hAnsi="Times New Roman" w:cs="Times New Roman"/>
          <w:sz w:val="24"/>
          <w:szCs w:val="24"/>
        </w:rPr>
        <w:t>The buffer is capped at 5% of average annual baseline emissions and the value for the uncertainty buffer is updated annually.</w:t>
      </w:r>
    </w:p>
    <w:p w14:paraId="7F25E573" w14:textId="54E1D7F2" w:rsidR="001123F5" w:rsidRPr="00CB2B4A"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2B4A">
        <w:rPr>
          <w:rFonts w:ascii="Times New Roman" w:hAnsi="Times New Roman" w:cs="Times New Roman"/>
          <w:sz w:val="24"/>
          <w:szCs w:val="24"/>
        </w:rPr>
        <w:t>If there is a year with negative abatement (e.g. more emissions released than avoided), credits are only issued again after the loss has been covered using buffer credits, and if needed, from positive abatement in future years.</w:t>
      </w:r>
    </w:p>
    <w:p w14:paraId="6BE06B2E" w14:textId="77777777" w:rsidR="001123F5" w:rsidRPr="00CB2B4A" w:rsidRDefault="001123F5" w:rsidP="008103FF">
      <w:pPr>
        <w:tabs>
          <w:tab w:val="right" w:pos="9072"/>
        </w:tabs>
        <w:spacing w:after="160" w:line="276" w:lineRule="auto"/>
        <w:rPr>
          <w:rFonts w:ascii="Times New Roman" w:hAnsi="Times New Roman" w:cs="Times New Roman"/>
          <w:i/>
          <w:sz w:val="24"/>
          <w:szCs w:val="24"/>
        </w:rPr>
      </w:pPr>
      <w:r w:rsidRPr="00CB2B4A">
        <w:rPr>
          <w:rFonts w:ascii="Times New Roman" w:hAnsi="Times New Roman" w:cs="Times New Roman"/>
          <w:i/>
          <w:sz w:val="24"/>
          <w:szCs w:val="24"/>
        </w:rPr>
        <w:t>Sequestration</w:t>
      </w:r>
    </w:p>
    <w:p w14:paraId="1B7CAE09" w14:textId="0EA246AE" w:rsidR="001123F5" w:rsidRPr="00CB2B4A"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2B4A">
        <w:rPr>
          <w:rFonts w:ascii="Times New Roman" w:hAnsi="Times New Roman" w:cs="Times New Roman"/>
          <w:sz w:val="24"/>
          <w:szCs w:val="24"/>
        </w:rPr>
        <w:t>Abatement is calculated as the change in carbon stock in living and dead biomass compared to the average carbon stock during the baseline period.</w:t>
      </w:r>
    </w:p>
    <w:p w14:paraId="192D5F85" w14:textId="05069BEA" w:rsidR="001123F5" w:rsidRPr="00354366"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B2B4A">
        <w:rPr>
          <w:rFonts w:ascii="Times New Roman" w:hAnsi="Times New Roman" w:cs="Times New Roman"/>
          <w:sz w:val="24"/>
          <w:szCs w:val="24"/>
        </w:rPr>
        <w:t xml:space="preserve">For the first year, </w:t>
      </w:r>
      <w:r w:rsidRPr="00354366">
        <w:rPr>
          <w:rFonts w:ascii="Times New Roman" w:hAnsi="Times New Roman" w:cs="Times New Roman"/>
          <w:sz w:val="24"/>
          <w:szCs w:val="24"/>
        </w:rPr>
        <w:t>it</w:t>
      </w:r>
      <w:r w:rsidR="00790487">
        <w:rPr>
          <w:rFonts w:ascii="Times New Roman" w:hAnsi="Times New Roman" w:cs="Times New Roman"/>
          <w:sz w:val="24"/>
          <w:szCs w:val="24"/>
        </w:rPr>
        <w:t xml:space="preserve"> i</w:t>
      </w:r>
      <w:r w:rsidRPr="00354366">
        <w:rPr>
          <w:rFonts w:ascii="Times New Roman" w:hAnsi="Times New Roman" w:cs="Times New Roman"/>
          <w:sz w:val="24"/>
          <w:szCs w:val="24"/>
        </w:rPr>
        <w:t>s the difference between current carbon stock and the baseline average.</w:t>
      </w:r>
    </w:p>
    <w:p w14:paraId="7CB63965" w14:textId="17D20A58" w:rsidR="001123F5" w:rsidRPr="00354366"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354366">
        <w:rPr>
          <w:rFonts w:ascii="Times New Roman" w:hAnsi="Times New Roman" w:cs="Times New Roman"/>
          <w:sz w:val="24"/>
          <w:szCs w:val="24"/>
        </w:rPr>
        <w:t>For subsequent years, it</w:t>
      </w:r>
      <w:r w:rsidR="00790487">
        <w:rPr>
          <w:rFonts w:ascii="Times New Roman" w:hAnsi="Times New Roman" w:cs="Times New Roman"/>
          <w:sz w:val="24"/>
          <w:szCs w:val="24"/>
        </w:rPr>
        <w:t xml:space="preserve"> i</w:t>
      </w:r>
      <w:r w:rsidRPr="00354366">
        <w:rPr>
          <w:rFonts w:ascii="Times New Roman" w:hAnsi="Times New Roman" w:cs="Times New Roman"/>
          <w:sz w:val="24"/>
          <w:szCs w:val="24"/>
        </w:rPr>
        <w:t xml:space="preserve">s the difference between </w:t>
      </w:r>
      <w:r w:rsidR="001F799E">
        <w:rPr>
          <w:rFonts w:ascii="Times New Roman" w:hAnsi="Times New Roman" w:cs="Times New Roman"/>
          <w:sz w:val="24"/>
          <w:szCs w:val="24"/>
        </w:rPr>
        <w:t xml:space="preserve">the </w:t>
      </w:r>
      <w:r w:rsidRPr="00354366">
        <w:rPr>
          <w:rFonts w:ascii="Times New Roman" w:hAnsi="Times New Roman" w:cs="Times New Roman"/>
          <w:sz w:val="24"/>
          <w:szCs w:val="24"/>
        </w:rPr>
        <w:t>current and previous year’s stock.</w:t>
      </w:r>
    </w:p>
    <w:p w14:paraId="75C4CDDA" w14:textId="614FF7CD" w:rsidR="001123F5" w:rsidRPr="00354366"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354366">
        <w:rPr>
          <w:rFonts w:ascii="Times New Roman" w:hAnsi="Times New Roman" w:cs="Times New Roman"/>
          <w:sz w:val="24"/>
          <w:szCs w:val="24"/>
        </w:rPr>
        <w:t>It is adjusted using a sequestration buffer (25% for 25-year permanence, 5% for 100-year permanence) to account for the risk of reversal.</w:t>
      </w:r>
    </w:p>
    <w:p w14:paraId="1A1A0F45" w14:textId="4DDE9BDB" w:rsidR="001123F5" w:rsidRPr="00354366" w:rsidRDefault="001123F5"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354366">
        <w:rPr>
          <w:rFonts w:ascii="Times New Roman" w:hAnsi="Times New Roman" w:cs="Times New Roman"/>
          <w:sz w:val="24"/>
          <w:szCs w:val="24"/>
        </w:rPr>
        <w:t>As with the avoidance component, negative abatement is carried forward and deducted from future positive abatement.</w:t>
      </w:r>
    </w:p>
    <w:p w14:paraId="10D754F8" w14:textId="1E802B03" w:rsidR="00FB111C" w:rsidRPr="003858ED" w:rsidRDefault="001123F5" w:rsidP="008103FF">
      <w:pPr>
        <w:tabs>
          <w:tab w:val="right" w:pos="9072"/>
        </w:tabs>
        <w:spacing w:after="160" w:line="276" w:lineRule="auto"/>
        <w:rPr>
          <w:rFonts w:ascii="Times New Roman" w:hAnsi="Times New Roman" w:cs="Times New Roman"/>
          <w:sz w:val="24"/>
          <w:szCs w:val="24"/>
        </w:rPr>
      </w:pPr>
      <w:r w:rsidRPr="001123F5">
        <w:rPr>
          <w:rFonts w:ascii="Times New Roman" w:hAnsi="Times New Roman" w:cs="Times New Roman"/>
          <w:sz w:val="24"/>
          <w:szCs w:val="24"/>
        </w:rPr>
        <w:lastRenderedPageBreak/>
        <w:t>Both components are calculated separately for each project area and rainfall zone. Negative values in one area cannot offset positive values in another. Extensive science sits behind the parameters used</w:t>
      </w:r>
      <w:r w:rsidR="0071054F" w:rsidRPr="00890C27">
        <w:rPr>
          <w:rFonts w:ascii="Times New Roman" w:hAnsi="Times New Roman" w:cs="Times New Roman"/>
          <w:sz w:val="24"/>
          <w:szCs w:val="24"/>
        </w:rPr>
        <w:t>.</w:t>
      </w:r>
    </w:p>
    <w:p w14:paraId="0D219955" w14:textId="07B5F944" w:rsidR="00E10650" w:rsidRPr="00696584" w:rsidRDefault="00E10650" w:rsidP="008103FF">
      <w:pPr>
        <w:tabs>
          <w:tab w:val="right" w:pos="9072"/>
        </w:tabs>
        <w:spacing w:after="160" w:line="276" w:lineRule="auto"/>
        <w:rPr>
          <w:rFonts w:ascii="Times New Roman" w:hAnsi="Times New Roman" w:cs="Times New Roman"/>
          <w:b/>
          <w:sz w:val="24"/>
          <w:szCs w:val="24"/>
        </w:rPr>
      </w:pPr>
      <w:r w:rsidRPr="00696584">
        <w:rPr>
          <w:rFonts w:ascii="Times New Roman" w:hAnsi="Times New Roman" w:cs="Times New Roman"/>
          <w:b/>
          <w:sz w:val="24"/>
          <w:szCs w:val="24"/>
        </w:rPr>
        <w:t>Operation</w:t>
      </w:r>
    </w:p>
    <w:p w14:paraId="104C7B88" w14:textId="30191C04" w:rsidR="004903DB" w:rsidRPr="003858ED" w:rsidRDefault="00E10650"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Project proponents must make an application to the Regulator under section 22 or section 128 of the </w:t>
      </w:r>
      <w:r w:rsidR="00D81A23" w:rsidRPr="165183F2">
        <w:rPr>
          <w:rFonts w:ascii="Times New Roman" w:hAnsi="Times New Roman" w:cs="Times New Roman"/>
          <w:sz w:val="24"/>
          <w:szCs w:val="24"/>
        </w:rPr>
        <w:t>Act</w:t>
      </w:r>
      <w:r w:rsidRPr="165183F2">
        <w:rPr>
          <w:rFonts w:ascii="Times New Roman" w:hAnsi="Times New Roman" w:cs="Times New Roman"/>
          <w:sz w:val="24"/>
          <w:szCs w:val="24"/>
        </w:rPr>
        <w:t xml:space="preserve"> if they </w:t>
      </w:r>
      <w:r w:rsidR="00B56BE1" w:rsidRPr="165183F2">
        <w:rPr>
          <w:rFonts w:ascii="Times New Roman" w:hAnsi="Times New Roman" w:cs="Times New Roman"/>
          <w:sz w:val="24"/>
          <w:szCs w:val="24"/>
        </w:rPr>
        <w:t xml:space="preserve">wish </w:t>
      </w:r>
      <w:r w:rsidRPr="165183F2">
        <w:rPr>
          <w:rFonts w:ascii="Times New Roman" w:hAnsi="Times New Roman" w:cs="Times New Roman"/>
          <w:sz w:val="24"/>
          <w:szCs w:val="24"/>
        </w:rPr>
        <w:t xml:space="preserve">to have a savanna fire management project declared as an eligible offsets project under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They must also meet the general eligibility requirements for an offsets project set out in subsection 27(4) of the </w:t>
      </w:r>
      <w:r w:rsidR="00D81A23" w:rsidRPr="165183F2">
        <w:rPr>
          <w:rFonts w:ascii="Times New Roman" w:hAnsi="Times New Roman" w:cs="Times New Roman"/>
          <w:sz w:val="24"/>
          <w:szCs w:val="24"/>
        </w:rPr>
        <w:t>Act</w:t>
      </w:r>
      <w:r w:rsidRPr="165183F2">
        <w:rPr>
          <w:rFonts w:ascii="Times New Roman" w:hAnsi="Times New Roman" w:cs="Times New Roman"/>
          <w:sz w:val="24"/>
          <w:szCs w:val="24"/>
        </w:rPr>
        <w:t xml:space="preserve">, which include compliance with the requirements set out in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and meeting the additionality requirements set out in subsection 27(4A) of the </w:t>
      </w:r>
      <w:r w:rsidR="00D81A23" w:rsidRPr="165183F2">
        <w:rPr>
          <w:rFonts w:ascii="Times New Roman" w:hAnsi="Times New Roman" w:cs="Times New Roman"/>
          <w:sz w:val="24"/>
          <w:szCs w:val="24"/>
        </w:rPr>
        <w:t>Act</w:t>
      </w:r>
      <w:r w:rsidRPr="165183F2">
        <w:rPr>
          <w:rFonts w:ascii="Times New Roman" w:hAnsi="Times New Roman" w:cs="Times New Roman"/>
          <w:sz w:val="24"/>
          <w:szCs w:val="24"/>
        </w:rPr>
        <w:t xml:space="preserve">. </w:t>
      </w:r>
      <w:r w:rsidR="004903DB" w:rsidRPr="165183F2">
        <w:rPr>
          <w:rFonts w:ascii="Times New Roman" w:hAnsi="Times New Roman" w:cs="Times New Roman"/>
          <w:sz w:val="24"/>
          <w:szCs w:val="24"/>
        </w:rPr>
        <w:t>The additionality requirements are</w:t>
      </w:r>
      <w:r w:rsidR="00A82364" w:rsidRPr="165183F2">
        <w:rPr>
          <w:rFonts w:ascii="Times New Roman" w:hAnsi="Times New Roman" w:cs="Times New Roman"/>
          <w:sz w:val="24"/>
          <w:szCs w:val="24"/>
        </w:rPr>
        <w:t xml:space="preserve"> the</w:t>
      </w:r>
      <w:r w:rsidR="004903DB" w:rsidRPr="165183F2">
        <w:rPr>
          <w:rFonts w:ascii="Times New Roman" w:hAnsi="Times New Roman" w:cs="Times New Roman"/>
          <w:sz w:val="24"/>
          <w:szCs w:val="24"/>
        </w:rPr>
        <w:t>:</w:t>
      </w:r>
    </w:p>
    <w:p w14:paraId="612BD351" w14:textId="570AB7C0" w:rsidR="004903DB" w:rsidRPr="003858ED" w:rsidRDefault="004903DB"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3858ED">
        <w:rPr>
          <w:rFonts w:ascii="Times New Roman" w:hAnsi="Times New Roman" w:cs="Times New Roman"/>
          <w:sz w:val="24"/>
          <w:szCs w:val="24"/>
        </w:rPr>
        <w:t xml:space="preserve">newness </w:t>
      </w:r>
      <w:proofErr w:type="gramStart"/>
      <w:r w:rsidRPr="003858ED">
        <w:rPr>
          <w:rFonts w:ascii="Times New Roman" w:hAnsi="Times New Roman" w:cs="Times New Roman"/>
          <w:sz w:val="24"/>
          <w:szCs w:val="24"/>
        </w:rPr>
        <w:t>requirement;</w:t>
      </w:r>
      <w:proofErr w:type="gramEnd"/>
    </w:p>
    <w:p w14:paraId="7DC56F15" w14:textId="0D00F921" w:rsidR="00A82364" w:rsidRPr="00890C27" w:rsidRDefault="004903DB"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3858ED">
        <w:rPr>
          <w:rFonts w:ascii="Times New Roman" w:hAnsi="Times New Roman" w:cs="Times New Roman"/>
          <w:sz w:val="24"/>
          <w:szCs w:val="24"/>
        </w:rPr>
        <w:t>regulatory additionality requirement; and</w:t>
      </w:r>
    </w:p>
    <w:p w14:paraId="186CDC46" w14:textId="43AC6154" w:rsidR="00E10650" w:rsidRPr="007A5BB8" w:rsidRDefault="004903DB" w:rsidP="165183F2">
      <w:pPr>
        <w:pStyle w:val="ListParagraph"/>
        <w:numPr>
          <w:ilvl w:val="0"/>
          <w:numId w:val="55"/>
        </w:numPr>
        <w:spacing w:after="160" w:line="276" w:lineRule="auto"/>
        <w:ind w:left="714" w:hanging="357"/>
        <w:rPr>
          <w:rFonts w:ascii="Times New Roman" w:hAnsi="Times New Roman" w:cs="Times New Roman"/>
        </w:rPr>
      </w:pPr>
      <w:r w:rsidRPr="165183F2">
        <w:rPr>
          <w:rFonts w:ascii="Times New Roman" w:hAnsi="Times New Roman" w:cs="Times New Roman"/>
          <w:sz w:val="24"/>
          <w:szCs w:val="24"/>
        </w:rPr>
        <w:t>government program requirement.</w:t>
      </w:r>
    </w:p>
    <w:p w14:paraId="234B3B2E" w14:textId="7DE84099" w:rsidR="00E10650" w:rsidRDefault="00E1065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27(4A) of the </w:t>
      </w:r>
      <w:r w:rsidR="00D81A23" w:rsidRPr="00890C27">
        <w:rPr>
          <w:rFonts w:ascii="Times New Roman" w:hAnsi="Times New Roman" w:cs="Times New Roman"/>
          <w:sz w:val="24"/>
          <w:szCs w:val="24"/>
        </w:rPr>
        <w:t>Act</w:t>
      </w:r>
      <w:r w:rsidRPr="33750E9F">
        <w:rPr>
          <w:rFonts w:ascii="Times New Roman" w:hAnsi="Times New Roman" w:cs="Times New Roman"/>
          <w:sz w:val="24"/>
          <w:szCs w:val="24"/>
        </w:rPr>
        <w:t xml:space="preserve"> provides that a methodology determination may specify requirements in lieu of the newness requirement or the regulatory additionality requirements.</w:t>
      </w:r>
    </w:p>
    <w:p w14:paraId="205CA2DC" w14:textId="21E94DBC" w:rsidR="00E10650" w:rsidRDefault="00E10650"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The regulatory additionality requirements under subsection 27(4A) of the </w:t>
      </w:r>
      <w:r w:rsidR="00D81A23" w:rsidRPr="165183F2">
        <w:rPr>
          <w:rFonts w:ascii="Times New Roman" w:hAnsi="Times New Roman" w:cs="Times New Roman"/>
          <w:sz w:val="24"/>
          <w:szCs w:val="24"/>
        </w:rPr>
        <w:t>Act</w:t>
      </w:r>
      <w:r w:rsidRPr="165183F2">
        <w:rPr>
          <w:rFonts w:ascii="Times New Roman" w:hAnsi="Times New Roman" w:cs="Times New Roman"/>
          <w:sz w:val="24"/>
          <w:szCs w:val="24"/>
        </w:rPr>
        <w:t xml:space="preserve"> apply to landfill gas projects covered by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The government program requirement is provided for in the </w:t>
      </w:r>
      <w:r w:rsidRPr="165183F2">
        <w:rPr>
          <w:rFonts w:ascii="Times New Roman" w:hAnsi="Times New Roman" w:cs="Times New Roman"/>
          <w:i/>
          <w:iCs/>
          <w:sz w:val="24"/>
          <w:szCs w:val="24"/>
        </w:rPr>
        <w:t>Carbon Credits (Carbon Farming Initiative) Rule 2015</w:t>
      </w:r>
      <w:r w:rsidRPr="165183F2">
        <w:rPr>
          <w:rFonts w:ascii="Times New Roman" w:hAnsi="Times New Roman" w:cs="Times New Roman"/>
          <w:sz w:val="24"/>
          <w:szCs w:val="24"/>
        </w:rPr>
        <w:t xml:space="preserve"> (the Rule).</w:t>
      </w:r>
    </w:p>
    <w:p w14:paraId="3FC9771A" w14:textId="1781181A" w:rsidR="002573BE" w:rsidRPr="003858ED" w:rsidDel="00322AA5" w:rsidRDefault="002573BE" w:rsidP="165183F2">
      <w:pPr>
        <w:tabs>
          <w:tab w:val="left" w:pos="1701"/>
          <w:tab w:val="right" w:pos="9072"/>
        </w:tabs>
        <w:spacing w:after="160" w:line="276" w:lineRule="auto"/>
        <w:rPr>
          <w:rFonts w:ascii="Times New Roman" w:hAnsi="Times New Roman" w:cs="Times New Roman"/>
          <w:b/>
          <w:bCs/>
          <w:sz w:val="24"/>
          <w:szCs w:val="24"/>
        </w:rPr>
      </w:pPr>
      <w:r w:rsidRPr="165183F2">
        <w:rPr>
          <w:rFonts w:ascii="Times New Roman" w:hAnsi="Times New Roman" w:cs="Times New Roman"/>
          <w:b/>
          <w:bCs/>
          <w:sz w:val="24"/>
          <w:szCs w:val="24"/>
        </w:rPr>
        <w:t>Impact and Effect</w:t>
      </w:r>
    </w:p>
    <w:p w14:paraId="0911C2DE" w14:textId="29F286CD" w:rsidR="002573BE" w:rsidRPr="003858ED" w:rsidDel="00322AA5" w:rsidRDefault="002573BE" w:rsidP="008103FF">
      <w:pPr>
        <w:tabs>
          <w:tab w:val="right" w:pos="9072"/>
        </w:tabs>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This section summarises any likely impact and effects of the instrument.</w:t>
      </w:r>
    </w:p>
    <w:p w14:paraId="446A2232" w14:textId="77777777" w:rsidR="002573BE" w:rsidRPr="003858ED" w:rsidRDefault="002573BE" w:rsidP="008103FF">
      <w:pPr>
        <w:tabs>
          <w:tab w:val="left" w:pos="1701"/>
          <w:tab w:val="right" w:pos="9072"/>
        </w:tabs>
        <w:spacing w:after="160" w:line="276" w:lineRule="auto"/>
        <w:rPr>
          <w:rFonts w:ascii="Times New Roman" w:hAnsi="Times New Roman" w:cs="Times New Roman"/>
          <w:sz w:val="24"/>
          <w:szCs w:val="24"/>
        </w:rPr>
      </w:pPr>
      <w:r w:rsidRPr="003858ED">
        <w:rPr>
          <w:rFonts w:ascii="Times New Roman" w:hAnsi="Times New Roman" w:cs="Times New Roman"/>
          <w:b/>
          <w:sz w:val="24"/>
          <w:szCs w:val="24"/>
        </w:rPr>
        <w:t>Consultation</w:t>
      </w:r>
    </w:p>
    <w:p w14:paraId="4CEA5E12" w14:textId="4AF844D9" w:rsidR="002573BE" w:rsidRPr="003858ED" w:rsidRDefault="002049B4" w:rsidP="008103FF">
      <w:pPr>
        <w:tabs>
          <w:tab w:val="right" w:pos="9072"/>
        </w:tabs>
        <w:spacing w:after="160" w:line="276" w:lineRule="auto"/>
        <w:rPr>
          <w:rFonts w:ascii="Times New Roman" w:eastAsia="Cambria" w:hAnsi="Times New Roman" w:cs="Times New Roman"/>
          <w:sz w:val="24"/>
          <w:szCs w:val="24"/>
        </w:rPr>
      </w:pPr>
      <w:r w:rsidRPr="165183F2">
        <w:rPr>
          <w:rFonts w:ascii="Times New Roman" w:eastAsia="Cambria" w:hAnsi="Times New Roman" w:cs="Times New Roman"/>
          <w:sz w:val="24"/>
          <w:szCs w:val="24"/>
        </w:rPr>
        <w:t>[This section to be completed post public consultation, including – results from public consultation, including but not limited to, the timeframe the exposure draft was open for consultation and the number of submissions received].</w:t>
      </w:r>
    </w:p>
    <w:p w14:paraId="7EF6B255" w14:textId="0AA674B2" w:rsidR="00011E25" w:rsidRPr="007A5BB8" w:rsidRDefault="00011E25" w:rsidP="165183F2">
      <w:pPr>
        <w:spacing w:after="160" w:line="276" w:lineRule="auto"/>
        <w:rPr>
          <w:rFonts w:ascii="Times New Roman" w:hAnsi="Times New Roman" w:cs="Times New Roman"/>
          <w:b/>
          <w:bCs/>
          <w:sz w:val="24"/>
          <w:szCs w:val="24"/>
        </w:rPr>
      </w:pPr>
      <w:r w:rsidRPr="165183F2">
        <w:rPr>
          <w:rFonts w:ascii="Times New Roman" w:hAnsi="Times New Roman" w:cs="Times New Roman"/>
          <w:b/>
          <w:bCs/>
          <w:sz w:val="24"/>
          <w:szCs w:val="24"/>
        </w:rPr>
        <w:t>Incorporation by Reference</w:t>
      </w:r>
    </w:p>
    <w:p w14:paraId="537B344C" w14:textId="24825565" w:rsidR="008F1B1F" w:rsidRDefault="008F1B1F"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Paragraph 106(8)(b) of the </w:t>
      </w:r>
      <w:r w:rsidR="00D81A23" w:rsidRPr="00890C27">
        <w:rPr>
          <w:rFonts w:ascii="Times New Roman" w:hAnsi="Times New Roman" w:cs="Times New Roman"/>
          <w:sz w:val="24"/>
          <w:szCs w:val="24"/>
        </w:rPr>
        <w:t>Act</w:t>
      </w:r>
      <w:r w:rsidRPr="33750E9F">
        <w:rPr>
          <w:rFonts w:ascii="Times New Roman" w:hAnsi="Times New Roman" w:cs="Times New Roman"/>
          <w:sz w:val="24"/>
          <w:szCs w:val="24"/>
        </w:rPr>
        <w:t xml:space="preserve"> provides that a methodology determination may make provision in relation to a matter by applying, adopting or incorporating, with or without modification, a matter contained in an instrument or writing as in force or existing from time to time.</w:t>
      </w:r>
    </w:p>
    <w:p w14:paraId="28A9EF81" w14:textId="7976CF7A" w:rsidR="00BB7429" w:rsidRDefault="00011E25"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The </w:t>
      </w:r>
      <w:r w:rsidRPr="165183F2">
        <w:rPr>
          <w:rFonts w:ascii="Times New Roman" w:hAnsi="Times New Roman" w:cs="Times New Roman"/>
          <w:i/>
          <w:iCs/>
          <w:sz w:val="24"/>
          <w:szCs w:val="24"/>
        </w:rPr>
        <w:t>Savanna Fire Management Methods (2025) Technical Guidance Document</w:t>
      </w:r>
      <w:r w:rsidRPr="165183F2">
        <w:rPr>
          <w:rFonts w:ascii="Times New Roman" w:hAnsi="Times New Roman" w:cs="Times New Roman"/>
          <w:sz w:val="24"/>
          <w:szCs w:val="24"/>
        </w:rPr>
        <w:t xml:space="preserve"> is incorporated</w:t>
      </w:r>
      <w:r w:rsidR="00F234D6" w:rsidRPr="165183F2">
        <w:rPr>
          <w:rFonts w:ascii="Times New Roman" w:hAnsi="Times New Roman" w:cs="Times New Roman"/>
          <w:sz w:val="24"/>
          <w:szCs w:val="24"/>
        </w:rPr>
        <w:t xml:space="preserve"> by reference in</w:t>
      </w:r>
      <w:r w:rsidRPr="165183F2">
        <w:rPr>
          <w:rFonts w:ascii="Times New Roman" w:hAnsi="Times New Roman" w:cs="Times New Roman"/>
          <w:sz w:val="24"/>
          <w:szCs w:val="24"/>
        </w:rPr>
        <w:t xml:space="preserve">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as </w:t>
      </w:r>
      <w:r w:rsidR="00F234D6" w:rsidRPr="165183F2">
        <w:rPr>
          <w:rFonts w:ascii="Times New Roman" w:hAnsi="Times New Roman" w:cs="Times New Roman"/>
          <w:sz w:val="24"/>
          <w:szCs w:val="24"/>
        </w:rPr>
        <w:t xml:space="preserve">it is </w:t>
      </w:r>
      <w:r w:rsidRPr="165183F2">
        <w:rPr>
          <w:rFonts w:ascii="Times New Roman" w:hAnsi="Times New Roman" w:cs="Times New Roman"/>
          <w:sz w:val="24"/>
          <w:szCs w:val="24"/>
        </w:rPr>
        <w:t>in force from time to time</w:t>
      </w:r>
      <w:r w:rsidR="00F234D6" w:rsidRPr="165183F2">
        <w:rPr>
          <w:rFonts w:ascii="Times New Roman" w:hAnsi="Times New Roman" w:cs="Times New Roman"/>
          <w:sz w:val="24"/>
          <w:szCs w:val="24"/>
        </w:rPr>
        <w:t>.</w:t>
      </w:r>
      <w:r w:rsidRPr="165183F2">
        <w:rPr>
          <w:rFonts w:ascii="Times New Roman" w:hAnsi="Times New Roman" w:cs="Times New Roman"/>
          <w:sz w:val="24"/>
          <w:szCs w:val="24"/>
        </w:rPr>
        <w:t xml:space="preserve"> As of </w:t>
      </w:r>
      <w:r w:rsidR="000E7E9F" w:rsidRPr="165183F2">
        <w:rPr>
          <w:rFonts w:ascii="Times New Roman" w:hAnsi="Times New Roman" w:cs="Times New Roman"/>
          <w:sz w:val="24"/>
          <w:szCs w:val="24"/>
        </w:rPr>
        <w:t>[</w:t>
      </w:r>
      <w:r w:rsidR="004B1B9C" w:rsidRPr="165183F2">
        <w:rPr>
          <w:rFonts w:ascii="Times New Roman" w:hAnsi="Times New Roman" w:cs="Times New Roman"/>
          <w:sz w:val="24"/>
          <w:szCs w:val="24"/>
        </w:rPr>
        <w:t xml:space="preserve">DD Month </w:t>
      </w:r>
      <w:r w:rsidRPr="165183F2">
        <w:rPr>
          <w:rFonts w:ascii="Times New Roman" w:hAnsi="Times New Roman" w:cs="Times New Roman"/>
          <w:sz w:val="24"/>
          <w:szCs w:val="24"/>
        </w:rPr>
        <w:t>2025</w:t>
      </w:r>
      <w:r w:rsidR="000E7E9F" w:rsidRPr="165183F2">
        <w:rPr>
          <w:rFonts w:ascii="Times New Roman" w:hAnsi="Times New Roman" w:cs="Times New Roman"/>
          <w:sz w:val="24"/>
          <w:szCs w:val="24"/>
        </w:rPr>
        <w:t>]</w:t>
      </w:r>
      <w:r w:rsidRPr="165183F2">
        <w:rPr>
          <w:rFonts w:ascii="Times New Roman" w:hAnsi="Times New Roman" w:cs="Times New Roman"/>
          <w:sz w:val="24"/>
          <w:szCs w:val="24"/>
        </w:rPr>
        <w:t>,</w:t>
      </w:r>
      <w:r w:rsidR="008F050C" w:rsidRPr="165183F2">
        <w:rPr>
          <w:rFonts w:ascii="Times New Roman" w:hAnsi="Times New Roman" w:cs="Times New Roman"/>
          <w:sz w:val="24"/>
          <w:szCs w:val="24"/>
        </w:rPr>
        <w:t xml:space="preserve"> the</w:t>
      </w:r>
      <w:r w:rsidRPr="165183F2">
        <w:rPr>
          <w:rFonts w:ascii="Times New Roman" w:hAnsi="Times New Roman" w:cs="Times New Roman"/>
          <w:sz w:val="24"/>
          <w:szCs w:val="24"/>
        </w:rPr>
        <w:t xml:space="preserve"> </w:t>
      </w:r>
      <w:r w:rsidR="008F050C" w:rsidRPr="165183F2">
        <w:rPr>
          <w:rFonts w:ascii="Times New Roman" w:hAnsi="Times New Roman" w:cs="Times New Roman"/>
          <w:i/>
          <w:iCs/>
          <w:sz w:val="24"/>
          <w:szCs w:val="24"/>
        </w:rPr>
        <w:t xml:space="preserve">Savanna Fire Management Methods (2025) Technical Guidance Document </w:t>
      </w:r>
      <w:r w:rsidRPr="165183F2">
        <w:rPr>
          <w:rFonts w:ascii="Times New Roman" w:hAnsi="Times New Roman" w:cs="Times New Roman"/>
          <w:sz w:val="24"/>
          <w:szCs w:val="24"/>
        </w:rPr>
        <w:t xml:space="preserve">can be freely accessed via the </w:t>
      </w:r>
      <w:r w:rsidR="004D74F5" w:rsidRPr="165183F2">
        <w:rPr>
          <w:rFonts w:ascii="Times New Roman" w:hAnsi="Times New Roman" w:cs="Times New Roman"/>
          <w:sz w:val="24"/>
          <w:szCs w:val="24"/>
        </w:rPr>
        <w:t>department</w:t>
      </w:r>
      <w:r w:rsidR="008F1B1F" w:rsidRPr="165183F2">
        <w:rPr>
          <w:rFonts w:ascii="Times New Roman" w:hAnsi="Times New Roman" w:cs="Times New Roman"/>
          <w:sz w:val="24"/>
          <w:szCs w:val="24"/>
        </w:rPr>
        <w:t xml:space="preserve">’s </w:t>
      </w:r>
      <w:r w:rsidRPr="165183F2">
        <w:rPr>
          <w:rFonts w:ascii="Times New Roman" w:hAnsi="Times New Roman" w:cs="Times New Roman"/>
          <w:sz w:val="24"/>
          <w:szCs w:val="24"/>
        </w:rPr>
        <w:t>website.</w:t>
      </w:r>
    </w:p>
    <w:p w14:paraId="260B6579" w14:textId="7A7501EC" w:rsidR="008F1B1F" w:rsidRDefault="008A3B14"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The </w:t>
      </w:r>
      <w:proofErr w:type="spellStart"/>
      <w:r w:rsidR="008F1B1F" w:rsidRPr="165183F2">
        <w:rPr>
          <w:rFonts w:ascii="Times New Roman" w:hAnsi="Times New Roman" w:cs="Times New Roman"/>
          <w:sz w:val="24"/>
          <w:szCs w:val="24"/>
        </w:rPr>
        <w:t>SavCAM</w:t>
      </w:r>
      <w:proofErr w:type="spellEnd"/>
      <w:r w:rsidR="008F1B1F" w:rsidRPr="165183F2">
        <w:rPr>
          <w:rFonts w:ascii="Times New Roman" w:hAnsi="Times New Roman" w:cs="Times New Roman"/>
          <w:sz w:val="24"/>
          <w:szCs w:val="24"/>
        </w:rPr>
        <w:t xml:space="preserve"> is also incorporated by reference in the </w:t>
      </w:r>
      <w:r w:rsidR="004D74F5" w:rsidRPr="165183F2">
        <w:rPr>
          <w:rFonts w:ascii="Times New Roman" w:hAnsi="Times New Roman" w:cs="Times New Roman"/>
          <w:sz w:val="24"/>
          <w:szCs w:val="24"/>
        </w:rPr>
        <w:t>determination</w:t>
      </w:r>
      <w:r w:rsidR="008F1B1F" w:rsidRPr="165183F2">
        <w:rPr>
          <w:rFonts w:ascii="Times New Roman" w:hAnsi="Times New Roman" w:cs="Times New Roman"/>
          <w:sz w:val="24"/>
          <w:szCs w:val="24"/>
        </w:rPr>
        <w:t xml:space="preserve"> as it is in force from time to time. As of </w:t>
      </w:r>
      <w:r w:rsidR="000E7E9F" w:rsidRPr="165183F2">
        <w:rPr>
          <w:rFonts w:ascii="Times New Roman" w:hAnsi="Times New Roman" w:cs="Times New Roman"/>
          <w:sz w:val="24"/>
          <w:szCs w:val="24"/>
        </w:rPr>
        <w:t>[</w:t>
      </w:r>
      <w:r w:rsidR="004B1B9C" w:rsidRPr="165183F2">
        <w:rPr>
          <w:rFonts w:ascii="Times New Roman" w:hAnsi="Times New Roman" w:cs="Times New Roman"/>
          <w:sz w:val="24"/>
          <w:szCs w:val="24"/>
        </w:rPr>
        <w:t xml:space="preserve">DD Month </w:t>
      </w:r>
      <w:r w:rsidR="008F1B1F" w:rsidRPr="165183F2">
        <w:rPr>
          <w:rFonts w:ascii="Times New Roman" w:hAnsi="Times New Roman" w:cs="Times New Roman"/>
          <w:sz w:val="24"/>
          <w:szCs w:val="24"/>
        </w:rPr>
        <w:t>2025</w:t>
      </w:r>
      <w:r w:rsidR="000E7E9F" w:rsidRPr="165183F2">
        <w:rPr>
          <w:rFonts w:ascii="Times New Roman" w:hAnsi="Times New Roman" w:cs="Times New Roman"/>
          <w:sz w:val="24"/>
          <w:szCs w:val="24"/>
        </w:rPr>
        <w:t>]</w:t>
      </w:r>
      <w:r w:rsidR="008F1B1F" w:rsidRPr="165183F2">
        <w:rPr>
          <w:rFonts w:ascii="Times New Roman" w:hAnsi="Times New Roman" w:cs="Times New Roman"/>
          <w:sz w:val="24"/>
          <w:szCs w:val="24"/>
        </w:rPr>
        <w:t xml:space="preserve">, </w:t>
      </w:r>
      <w:r w:rsidR="003037E9" w:rsidRPr="165183F2">
        <w:rPr>
          <w:rFonts w:ascii="Times New Roman" w:hAnsi="Times New Roman" w:cs="Times New Roman"/>
          <w:sz w:val="24"/>
          <w:szCs w:val="24"/>
        </w:rPr>
        <w:t xml:space="preserve">the </w:t>
      </w:r>
      <w:proofErr w:type="spellStart"/>
      <w:r w:rsidR="003037E9" w:rsidRPr="165183F2">
        <w:rPr>
          <w:rFonts w:ascii="Times New Roman" w:hAnsi="Times New Roman" w:cs="Times New Roman"/>
          <w:sz w:val="24"/>
          <w:szCs w:val="24"/>
        </w:rPr>
        <w:t>SavCAM</w:t>
      </w:r>
      <w:proofErr w:type="spellEnd"/>
      <w:r w:rsidR="008F1B1F" w:rsidRPr="165183F2">
        <w:rPr>
          <w:rFonts w:ascii="Times New Roman" w:hAnsi="Times New Roman" w:cs="Times New Roman"/>
          <w:sz w:val="24"/>
          <w:szCs w:val="24"/>
        </w:rPr>
        <w:t xml:space="preserve"> can be freely accessed via the </w:t>
      </w:r>
      <w:r w:rsidR="004D74F5" w:rsidRPr="165183F2">
        <w:rPr>
          <w:rFonts w:ascii="Times New Roman" w:hAnsi="Times New Roman" w:cs="Times New Roman"/>
          <w:sz w:val="24"/>
          <w:szCs w:val="24"/>
        </w:rPr>
        <w:t>department</w:t>
      </w:r>
      <w:r w:rsidR="008F1B1F" w:rsidRPr="165183F2">
        <w:rPr>
          <w:rFonts w:ascii="Times New Roman" w:hAnsi="Times New Roman" w:cs="Times New Roman"/>
          <w:sz w:val="24"/>
          <w:szCs w:val="24"/>
        </w:rPr>
        <w:t>’s website.</w:t>
      </w:r>
    </w:p>
    <w:p w14:paraId="774FCBC5" w14:textId="22A77CA6" w:rsidR="00A95F89" w:rsidRDefault="00A95F89"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lastRenderedPageBreak/>
        <w:t xml:space="preserve">The </w:t>
      </w:r>
      <w:r w:rsidR="00D47DE0" w:rsidRPr="165183F2">
        <w:rPr>
          <w:rFonts w:ascii="Times New Roman" w:hAnsi="Times New Roman" w:cs="Times New Roman"/>
          <w:i/>
          <w:iCs/>
          <w:sz w:val="24"/>
          <w:szCs w:val="24"/>
        </w:rPr>
        <w:t xml:space="preserve">Relevant Weeds Risk spatial data layer </w:t>
      </w:r>
      <w:r w:rsidRPr="165183F2">
        <w:rPr>
          <w:rFonts w:ascii="Times New Roman" w:hAnsi="Times New Roman" w:cs="Times New Roman"/>
          <w:sz w:val="24"/>
          <w:szCs w:val="24"/>
        </w:rPr>
        <w:t xml:space="preserve">is incorporated by reference in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as it is in force from time to time. As of [</w:t>
      </w:r>
      <w:r w:rsidR="00F62AE0" w:rsidRPr="165183F2">
        <w:rPr>
          <w:rFonts w:ascii="Times New Roman" w:hAnsi="Times New Roman" w:cs="Times New Roman"/>
          <w:sz w:val="24"/>
          <w:szCs w:val="24"/>
        </w:rPr>
        <w:t>DD Month</w:t>
      </w:r>
      <w:r w:rsidRPr="165183F2">
        <w:rPr>
          <w:rFonts w:ascii="Times New Roman" w:hAnsi="Times New Roman" w:cs="Times New Roman"/>
          <w:sz w:val="24"/>
          <w:szCs w:val="24"/>
        </w:rPr>
        <w:t xml:space="preserve"> 2025], the </w:t>
      </w:r>
      <w:r w:rsidR="00A36A78" w:rsidRPr="165183F2">
        <w:rPr>
          <w:rFonts w:ascii="Times New Roman" w:hAnsi="Times New Roman" w:cs="Times New Roman"/>
          <w:i/>
          <w:iCs/>
          <w:sz w:val="24"/>
          <w:szCs w:val="24"/>
        </w:rPr>
        <w:t xml:space="preserve">Relevant Weeds Risk spatial data layer </w:t>
      </w:r>
      <w:r w:rsidRPr="165183F2">
        <w:rPr>
          <w:rFonts w:ascii="Times New Roman" w:hAnsi="Times New Roman" w:cs="Times New Roman"/>
          <w:sz w:val="24"/>
          <w:szCs w:val="24"/>
        </w:rPr>
        <w:t xml:space="preserve">can be freely accessed via the </w:t>
      </w:r>
      <w:r w:rsidR="004D74F5" w:rsidRPr="165183F2">
        <w:rPr>
          <w:rFonts w:ascii="Times New Roman" w:hAnsi="Times New Roman" w:cs="Times New Roman"/>
          <w:sz w:val="24"/>
          <w:szCs w:val="24"/>
        </w:rPr>
        <w:t>department</w:t>
      </w:r>
      <w:r w:rsidRPr="165183F2">
        <w:rPr>
          <w:rFonts w:ascii="Times New Roman" w:hAnsi="Times New Roman" w:cs="Times New Roman"/>
          <w:sz w:val="24"/>
          <w:szCs w:val="24"/>
        </w:rPr>
        <w:t>’s website.</w:t>
      </w:r>
    </w:p>
    <w:p w14:paraId="2BBDF9AE" w14:textId="7139C4D5" w:rsidR="00686F39" w:rsidRPr="00D66D4E" w:rsidRDefault="00686F39"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The </w:t>
      </w:r>
      <w:r w:rsidRPr="165183F2">
        <w:rPr>
          <w:rFonts w:ascii="Times New Roman" w:hAnsi="Times New Roman" w:cs="Times New Roman"/>
          <w:i/>
          <w:iCs/>
          <w:sz w:val="24"/>
          <w:szCs w:val="24"/>
        </w:rPr>
        <w:t xml:space="preserve">Savanna Fire Management High Rainfall Zone </w:t>
      </w:r>
      <w:r w:rsidRPr="165183F2">
        <w:rPr>
          <w:rFonts w:ascii="Times New Roman" w:hAnsi="Times New Roman" w:cs="Times New Roman"/>
          <w:sz w:val="24"/>
          <w:szCs w:val="24"/>
        </w:rPr>
        <w:t>and the</w:t>
      </w:r>
      <w:r w:rsidRPr="165183F2">
        <w:rPr>
          <w:rFonts w:ascii="Times New Roman" w:hAnsi="Times New Roman" w:cs="Times New Roman"/>
          <w:i/>
          <w:iCs/>
          <w:sz w:val="24"/>
          <w:szCs w:val="24"/>
        </w:rPr>
        <w:t xml:space="preserve"> Savanna Fire Management Low Rainfall Zone </w:t>
      </w:r>
      <w:r w:rsidRPr="165183F2">
        <w:rPr>
          <w:rFonts w:ascii="Times New Roman" w:hAnsi="Times New Roman" w:cs="Times New Roman"/>
          <w:sz w:val="24"/>
          <w:szCs w:val="24"/>
        </w:rPr>
        <w:t xml:space="preserve">are incorporated by reference in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w:t>
      </w:r>
      <w:r w:rsidR="00A77A1D" w:rsidRPr="165183F2">
        <w:rPr>
          <w:rFonts w:ascii="Times New Roman" w:hAnsi="Times New Roman" w:cs="Times New Roman"/>
          <w:sz w:val="24"/>
          <w:szCs w:val="24"/>
        </w:rPr>
        <w:t xml:space="preserve"> The applicable version is the version </w:t>
      </w:r>
      <w:r w:rsidR="006B3805" w:rsidRPr="165183F2">
        <w:rPr>
          <w:rFonts w:ascii="Times New Roman" w:hAnsi="Times New Roman" w:cs="Times New Roman"/>
          <w:sz w:val="24"/>
          <w:szCs w:val="24"/>
        </w:rPr>
        <w:t xml:space="preserve">published on the </w:t>
      </w:r>
      <w:r w:rsidR="004D74F5" w:rsidRPr="165183F2">
        <w:rPr>
          <w:rFonts w:ascii="Times New Roman" w:hAnsi="Times New Roman" w:cs="Times New Roman"/>
          <w:sz w:val="24"/>
          <w:szCs w:val="24"/>
        </w:rPr>
        <w:t>department</w:t>
      </w:r>
      <w:r w:rsidR="006B3805" w:rsidRPr="165183F2">
        <w:rPr>
          <w:rFonts w:ascii="Times New Roman" w:hAnsi="Times New Roman" w:cs="Times New Roman"/>
          <w:sz w:val="24"/>
          <w:szCs w:val="24"/>
        </w:rPr>
        <w:t>’s website at the date the project was declared an eligible offsets project. As of [</w:t>
      </w:r>
      <w:r w:rsidR="00F62AE0" w:rsidRPr="165183F2">
        <w:rPr>
          <w:rFonts w:ascii="Times New Roman" w:hAnsi="Times New Roman" w:cs="Times New Roman"/>
          <w:sz w:val="24"/>
          <w:szCs w:val="24"/>
        </w:rPr>
        <w:t>DD Month</w:t>
      </w:r>
      <w:r w:rsidR="006B3805" w:rsidRPr="165183F2">
        <w:rPr>
          <w:rFonts w:ascii="Times New Roman" w:hAnsi="Times New Roman" w:cs="Times New Roman"/>
          <w:sz w:val="24"/>
          <w:szCs w:val="24"/>
        </w:rPr>
        <w:t xml:space="preserve"> 2025], they can be freely accessed via the </w:t>
      </w:r>
      <w:r w:rsidR="00F62AE0" w:rsidRPr="165183F2">
        <w:rPr>
          <w:rFonts w:ascii="Times New Roman" w:hAnsi="Times New Roman" w:cs="Times New Roman"/>
          <w:sz w:val="24"/>
          <w:szCs w:val="24"/>
        </w:rPr>
        <w:t>D</w:t>
      </w:r>
      <w:r w:rsidR="006B3805" w:rsidRPr="165183F2">
        <w:rPr>
          <w:rFonts w:ascii="Times New Roman" w:hAnsi="Times New Roman" w:cs="Times New Roman"/>
          <w:sz w:val="24"/>
          <w:szCs w:val="24"/>
        </w:rPr>
        <w:t xml:space="preserve">epartment’s website. </w:t>
      </w:r>
    </w:p>
    <w:p w14:paraId="2FC7F001" w14:textId="30BBF1F2" w:rsidR="00983936" w:rsidRDefault="00983936"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The</w:t>
      </w:r>
      <w:r w:rsidR="00245464" w:rsidRPr="165183F2">
        <w:rPr>
          <w:rFonts w:ascii="Times New Roman" w:hAnsi="Times New Roman" w:cs="Times New Roman"/>
          <w:sz w:val="24"/>
          <w:szCs w:val="24"/>
        </w:rPr>
        <w:t xml:space="preserve"> </w:t>
      </w:r>
      <w:r w:rsidRPr="165183F2">
        <w:rPr>
          <w:rFonts w:ascii="Times New Roman" w:hAnsi="Times New Roman" w:cs="Times New Roman"/>
          <w:i/>
          <w:iCs/>
          <w:sz w:val="24"/>
          <w:szCs w:val="24"/>
        </w:rPr>
        <w:t>Savanna Fire Management LDS Start Date and End Date spatial data layers</w:t>
      </w:r>
      <w:r w:rsidRPr="165183F2">
        <w:rPr>
          <w:rFonts w:ascii="Times New Roman" w:hAnsi="Times New Roman" w:cs="Times New Roman"/>
          <w:sz w:val="24"/>
          <w:szCs w:val="24"/>
        </w:rPr>
        <w:t xml:space="preserve"> are incorporated by reference in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The applicable version is the version published on the </w:t>
      </w:r>
      <w:r w:rsidR="004D74F5" w:rsidRPr="165183F2">
        <w:rPr>
          <w:rFonts w:ascii="Times New Roman" w:hAnsi="Times New Roman" w:cs="Times New Roman"/>
          <w:sz w:val="24"/>
          <w:szCs w:val="24"/>
        </w:rPr>
        <w:t>department</w:t>
      </w:r>
      <w:r w:rsidRPr="165183F2">
        <w:rPr>
          <w:rFonts w:ascii="Times New Roman" w:hAnsi="Times New Roman" w:cs="Times New Roman"/>
          <w:sz w:val="24"/>
          <w:szCs w:val="24"/>
        </w:rPr>
        <w:t>’s website and in force on 30 June of the calendar year prior to the year being reported on. As of [</w:t>
      </w:r>
      <w:r w:rsidR="00F62AE0" w:rsidRPr="165183F2">
        <w:rPr>
          <w:rFonts w:ascii="Times New Roman" w:hAnsi="Times New Roman" w:cs="Times New Roman"/>
          <w:sz w:val="24"/>
          <w:szCs w:val="24"/>
        </w:rPr>
        <w:t>DD Month</w:t>
      </w:r>
      <w:r w:rsidRPr="165183F2">
        <w:rPr>
          <w:rFonts w:ascii="Times New Roman" w:hAnsi="Times New Roman" w:cs="Times New Roman"/>
          <w:sz w:val="24"/>
          <w:szCs w:val="24"/>
        </w:rPr>
        <w:t xml:space="preserve"> 2025], they can be freely accessed via the </w:t>
      </w:r>
      <w:r w:rsidR="00057FE5" w:rsidRPr="165183F2">
        <w:rPr>
          <w:rFonts w:ascii="Times New Roman" w:hAnsi="Times New Roman" w:cs="Times New Roman"/>
          <w:sz w:val="24"/>
          <w:szCs w:val="24"/>
        </w:rPr>
        <w:t>D</w:t>
      </w:r>
      <w:r w:rsidRPr="165183F2">
        <w:rPr>
          <w:rFonts w:ascii="Times New Roman" w:hAnsi="Times New Roman" w:cs="Times New Roman"/>
          <w:sz w:val="24"/>
          <w:szCs w:val="24"/>
        </w:rPr>
        <w:t xml:space="preserve">epartment’s website. </w:t>
      </w:r>
    </w:p>
    <w:p w14:paraId="5627C017" w14:textId="2F9F6044" w:rsidR="002573BE" w:rsidRPr="003858ED" w:rsidRDefault="0094501C" w:rsidP="008103FF">
      <w:pPr>
        <w:tabs>
          <w:tab w:val="left" w:pos="1701"/>
          <w:tab w:val="right" w:pos="9072"/>
        </w:tabs>
        <w:spacing w:after="160" w:line="276" w:lineRule="auto"/>
        <w:rPr>
          <w:rFonts w:ascii="Times New Roman" w:hAnsi="Times New Roman" w:cs="Times New Roman"/>
          <w:b/>
          <w:bCs/>
          <w:sz w:val="24"/>
          <w:szCs w:val="24"/>
        </w:rPr>
      </w:pPr>
      <w:r w:rsidRPr="165183F2">
        <w:rPr>
          <w:rFonts w:ascii="Times New Roman" w:hAnsi="Times New Roman" w:cs="Times New Roman"/>
          <w:b/>
          <w:bCs/>
          <w:sz w:val="24"/>
          <w:szCs w:val="24"/>
        </w:rPr>
        <w:t xml:space="preserve">Determination </w:t>
      </w:r>
      <w:r w:rsidR="002573BE" w:rsidRPr="165183F2">
        <w:rPr>
          <w:rFonts w:ascii="Times New Roman" w:hAnsi="Times New Roman" w:cs="Times New Roman"/>
          <w:b/>
          <w:bCs/>
          <w:sz w:val="24"/>
          <w:szCs w:val="24"/>
        </w:rPr>
        <w:t>Details</w:t>
      </w:r>
    </w:p>
    <w:p w14:paraId="066FDEBA" w14:textId="66F7E4E8" w:rsidR="00322EDD" w:rsidRPr="00890C27" w:rsidRDefault="00322EDD" w:rsidP="008103FF">
      <w:pPr>
        <w:tabs>
          <w:tab w:val="left" w:pos="1701"/>
          <w:tab w:val="right" w:pos="9072"/>
        </w:tabs>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5C1C50" w:rsidRPr="00890C27">
        <w:rPr>
          <w:rFonts w:ascii="Times New Roman" w:hAnsi="Times New Roman" w:cs="Times New Roman"/>
          <w:sz w:val="24"/>
          <w:szCs w:val="24"/>
        </w:rPr>
        <w:t xml:space="preserve"> </w:t>
      </w:r>
      <w:r w:rsidRPr="00890C27">
        <w:rPr>
          <w:rFonts w:ascii="Times New Roman" w:hAnsi="Times New Roman" w:cs="Times New Roman"/>
          <w:sz w:val="24"/>
          <w:szCs w:val="24"/>
        </w:rPr>
        <w:t xml:space="preserve">is a legislative instrument within the meaning of the </w:t>
      </w:r>
      <w:r w:rsidRPr="004062A8">
        <w:rPr>
          <w:rFonts w:ascii="Times New Roman" w:hAnsi="Times New Roman" w:cs="Times New Roman"/>
          <w:i/>
          <w:sz w:val="24"/>
          <w:szCs w:val="24"/>
        </w:rPr>
        <w:t>Legislation Act 2003</w:t>
      </w:r>
      <w:r w:rsidRPr="00890C27">
        <w:rPr>
          <w:rFonts w:ascii="Times New Roman" w:hAnsi="Times New Roman" w:cs="Times New Roman"/>
          <w:sz w:val="24"/>
          <w:szCs w:val="24"/>
        </w:rPr>
        <w:t xml:space="preserve">. The </w:t>
      </w:r>
      <w:r w:rsidR="004D74F5">
        <w:rPr>
          <w:rFonts w:ascii="Times New Roman" w:hAnsi="Times New Roman" w:cs="Times New Roman"/>
          <w:sz w:val="24"/>
          <w:szCs w:val="24"/>
        </w:rPr>
        <w:t>determination</w:t>
      </w:r>
      <w:r w:rsidR="005C1C50" w:rsidRPr="00890C27">
        <w:rPr>
          <w:rFonts w:ascii="Times New Roman" w:hAnsi="Times New Roman" w:cs="Times New Roman"/>
          <w:sz w:val="24"/>
          <w:szCs w:val="24"/>
        </w:rPr>
        <w:t xml:space="preserve"> </w:t>
      </w:r>
      <w:r w:rsidRPr="00890C27">
        <w:rPr>
          <w:rFonts w:ascii="Times New Roman" w:hAnsi="Times New Roman" w:cs="Times New Roman"/>
          <w:sz w:val="24"/>
          <w:szCs w:val="24"/>
        </w:rPr>
        <w:t>commences on the day after it is registered on the Federal Register of Legislation.</w:t>
      </w:r>
    </w:p>
    <w:p w14:paraId="67C7C3DE" w14:textId="20CD1169" w:rsidR="005E01CD" w:rsidRPr="00486E29" w:rsidRDefault="00BC795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Details of 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are set out in </w:t>
      </w:r>
      <w:r w:rsidRPr="004062A8">
        <w:rPr>
          <w:rFonts w:ascii="Times New Roman" w:hAnsi="Times New Roman" w:cs="Times New Roman"/>
          <w:b/>
          <w:sz w:val="24"/>
          <w:szCs w:val="24"/>
          <w:u w:val="single"/>
        </w:rPr>
        <w:t>Attachment A</w:t>
      </w:r>
      <w:r w:rsidRPr="33750E9F">
        <w:rPr>
          <w:rFonts w:ascii="Times New Roman" w:hAnsi="Times New Roman" w:cs="Times New Roman"/>
          <w:sz w:val="24"/>
          <w:szCs w:val="24"/>
        </w:rPr>
        <w:t xml:space="preserve">. </w:t>
      </w:r>
      <w:r w:rsidR="003A0520" w:rsidRPr="00890C27">
        <w:rPr>
          <w:rFonts w:ascii="Times New Roman" w:eastAsia="Calibri" w:hAnsi="Times New Roman" w:cs="Times New Roman"/>
          <w:sz w:val="24"/>
          <w:szCs w:val="24"/>
        </w:rPr>
        <w:t xml:space="preserve">Numbered sections in this explanatory statement align with the relevant sections of the </w:t>
      </w:r>
      <w:r w:rsidR="004D74F5">
        <w:rPr>
          <w:rFonts w:ascii="Times New Roman" w:eastAsia="Calibri" w:hAnsi="Times New Roman" w:cs="Times New Roman"/>
          <w:sz w:val="24"/>
          <w:szCs w:val="24"/>
        </w:rPr>
        <w:t>determination</w:t>
      </w:r>
      <w:r w:rsidR="003A0520" w:rsidRPr="00890C27">
        <w:rPr>
          <w:rFonts w:ascii="Times New Roman" w:eastAsia="Calibri" w:hAnsi="Times New Roman" w:cs="Times New Roman"/>
          <w:sz w:val="24"/>
          <w:szCs w:val="24"/>
        </w:rPr>
        <w:t xml:space="preserve">. The definition of terms highlighted in </w:t>
      </w:r>
      <w:r w:rsidR="003A0520" w:rsidRPr="00890C27">
        <w:rPr>
          <w:rFonts w:ascii="Times New Roman" w:eastAsia="Calibri" w:hAnsi="Times New Roman" w:cs="Times New Roman"/>
          <w:b/>
          <w:bCs/>
          <w:i/>
          <w:iCs/>
          <w:sz w:val="24"/>
          <w:szCs w:val="24"/>
        </w:rPr>
        <w:t>bold italics</w:t>
      </w:r>
      <w:r w:rsidR="003A0520" w:rsidRPr="00890C27">
        <w:rPr>
          <w:rFonts w:ascii="Times New Roman" w:eastAsia="Calibri" w:hAnsi="Times New Roman" w:cs="Times New Roman"/>
          <w:sz w:val="24"/>
          <w:szCs w:val="24"/>
        </w:rPr>
        <w:t xml:space="preserve"> can be found in section 5 or the applicable sections of the </w:t>
      </w:r>
      <w:r w:rsidR="004D74F5">
        <w:rPr>
          <w:rFonts w:ascii="Times New Roman" w:eastAsia="Calibri" w:hAnsi="Times New Roman" w:cs="Times New Roman"/>
          <w:sz w:val="24"/>
          <w:szCs w:val="24"/>
        </w:rPr>
        <w:t>determination</w:t>
      </w:r>
      <w:r w:rsidR="00C77FE5" w:rsidRPr="00890C27">
        <w:rPr>
          <w:rFonts w:ascii="Times New Roman" w:eastAsia="Calibri" w:hAnsi="Times New Roman" w:cs="Times New Roman"/>
          <w:sz w:val="24"/>
          <w:szCs w:val="24"/>
        </w:rPr>
        <w:t>.</w:t>
      </w:r>
    </w:p>
    <w:p w14:paraId="0B988D25" w14:textId="297021B9" w:rsidR="00252552" w:rsidRPr="00890C27" w:rsidRDefault="00252552" w:rsidP="008103FF">
      <w:pPr>
        <w:spacing w:after="160" w:line="276" w:lineRule="auto"/>
        <w:rPr>
          <w:rFonts w:ascii="Times New Roman" w:hAnsi="Times New Roman" w:cs="Times New Roman"/>
          <w:b/>
          <w:bCs/>
          <w:sz w:val="24"/>
          <w:szCs w:val="24"/>
        </w:rPr>
      </w:pPr>
      <w:r w:rsidRPr="00191689">
        <w:rPr>
          <w:rFonts w:ascii="Times New Roman" w:hAnsi="Times New Roman" w:cs="Times New Roman"/>
          <w:b/>
          <w:sz w:val="24"/>
          <w:szCs w:val="24"/>
        </w:rPr>
        <w:t xml:space="preserve">Statement of Compatibility with Human </w:t>
      </w:r>
      <w:r w:rsidRPr="00191689">
        <w:rPr>
          <w:rFonts w:ascii="Times New Roman" w:hAnsi="Times New Roman" w:cs="Times New Roman"/>
          <w:b/>
          <w:bCs/>
          <w:sz w:val="24"/>
          <w:szCs w:val="24"/>
        </w:rPr>
        <w:t>Rights</w:t>
      </w:r>
    </w:p>
    <w:p w14:paraId="6AE7A113" w14:textId="442A4B26" w:rsidR="00426641" w:rsidRDefault="00E40504" w:rsidP="008103FF">
      <w:pPr>
        <w:tabs>
          <w:tab w:val="left" w:pos="1701"/>
          <w:tab w:val="right" w:pos="9072"/>
        </w:tabs>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A Statement of Compatibility with Human Rights, prepared in accordance with the </w:t>
      </w:r>
      <w:r w:rsidRPr="00B11DF5">
        <w:rPr>
          <w:rFonts w:ascii="Times New Roman" w:hAnsi="Times New Roman" w:cs="Times New Roman"/>
          <w:i/>
          <w:iCs/>
          <w:sz w:val="24"/>
          <w:szCs w:val="24"/>
        </w:rPr>
        <w:t>Human Rights (Parliamentary Scrutiny) Act 2011</w:t>
      </w:r>
      <w:r w:rsidRPr="00890C27">
        <w:rPr>
          <w:rFonts w:ascii="Times New Roman" w:hAnsi="Times New Roman" w:cs="Times New Roman"/>
          <w:sz w:val="24"/>
          <w:szCs w:val="24"/>
        </w:rPr>
        <w:t xml:space="preserve">, is at </w:t>
      </w:r>
      <w:r w:rsidRPr="004062A8">
        <w:rPr>
          <w:rFonts w:ascii="Times New Roman" w:hAnsi="Times New Roman" w:cs="Times New Roman"/>
          <w:b/>
          <w:sz w:val="24"/>
          <w:szCs w:val="24"/>
          <w:u w:val="single"/>
        </w:rPr>
        <w:t>Attachment B</w:t>
      </w:r>
      <w:r w:rsidR="005C1C50" w:rsidRPr="00890C27">
        <w:rPr>
          <w:rFonts w:ascii="Times New Roman" w:hAnsi="Times New Roman" w:cs="Times New Roman"/>
          <w:sz w:val="24"/>
          <w:szCs w:val="24"/>
        </w:rPr>
        <w:t>.</w:t>
      </w:r>
    </w:p>
    <w:p w14:paraId="199E4CB6" w14:textId="09AB3CDB" w:rsidR="002573BE" w:rsidRPr="0045352B" w:rsidRDefault="31FA7C5F" w:rsidP="008103FF">
      <w:pPr>
        <w:tabs>
          <w:tab w:val="left" w:pos="1701"/>
          <w:tab w:val="right" w:pos="9072"/>
        </w:tabs>
        <w:spacing w:after="160" w:line="276" w:lineRule="auto"/>
        <w:jc w:val="right"/>
      </w:pPr>
      <w:r w:rsidRPr="165183F2">
        <w:rPr>
          <w:rFonts w:ascii="Times New Roman" w:hAnsi="Times New Roman" w:cs="Times New Roman"/>
          <w:b/>
          <w:bCs/>
          <w:caps/>
          <w:u w:val="single"/>
        </w:rPr>
        <w:br w:type="page"/>
      </w:r>
      <w:r w:rsidR="00FD15B7" w:rsidRPr="165183F2">
        <w:rPr>
          <w:rFonts w:ascii="Times New Roman" w:eastAsia="Times New Roman" w:hAnsi="Times New Roman" w:cs="Times New Roman"/>
          <w:b/>
          <w:bCs/>
          <w:sz w:val="24"/>
          <w:szCs w:val="24"/>
          <w:u w:val="single"/>
        </w:rPr>
        <w:lastRenderedPageBreak/>
        <w:t xml:space="preserve">ATTACHMENT </w:t>
      </w:r>
      <w:r w:rsidR="3FA359FC" w:rsidRPr="165183F2">
        <w:rPr>
          <w:rFonts w:ascii="Times New Roman" w:eastAsia="Times New Roman" w:hAnsi="Times New Roman" w:cs="Times New Roman"/>
          <w:b/>
          <w:bCs/>
          <w:sz w:val="24"/>
          <w:szCs w:val="24"/>
          <w:u w:val="single"/>
        </w:rPr>
        <w:t>A</w:t>
      </w:r>
    </w:p>
    <w:p w14:paraId="168BFF53" w14:textId="683403F9" w:rsidR="002573BE" w:rsidRPr="005D1ABF" w:rsidRDefault="002573BE" w:rsidP="008103FF">
      <w:pPr>
        <w:pStyle w:val="Normal-em"/>
        <w:spacing w:after="160" w:line="276" w:lineRule="auto"/>
        <w:rPr>
          <w:color w:val="auto"/>
          <w:szCs w:val="24"/>
        </w:rPr>
      </w:pPr>
      <w:r w:rsidRPr="33750E9F">
        <w:rPr>
          <w:b/>
          <w:bCs/>
          <w:color w:val="auto"/>
          <w:u w:val="single"/>
        </w:rPr>
        <w:t>Details of the</w:t>
      </w:r>
      <w:r w:rsidR="002B2798" w:rsidRPr="33750E9F">
        <w:rPr>
          <w:b/>
          <w:bCs/>
          <w:color w:val="auto"/>
          <w:u w:val="single"/>
        </w:rPr>
        <w:t xml:space="preserve"> </w:t>
      </w:r>
      <w:r w:rsidR="00FB5C5D" w:rsidRPr="00890C27">
        <w:rPr>
          <w:b/>
          <w:bCs/>
          <w:color w:val="auto"/>
          <w:u w:val="single"/>
        </w:rPr>
        <w:t>Legislative Instrument</w:t>
      </w:r>
    </w:p>
    <w:p w14:paraId="13CED9D0" w14:textId="77777777" w:rsidR="002573BE" w:rsidRPr="005D1ABF" w:rsidRDefault="002573BE" w:rsidP="008103FF">
      <w:pPr>
        <w:pStyle w:val="Normal-em"/>
        <w:spacing w:after="160" w:line="276" w:lineRule="auto"/>
        <w:ind w:left="1440" w:hanging="1440"/>
        <w:rPr>
          <w:color w:val="auto"/>
          <w:szCs w:val="24"/>
          <w:u w:val="single"/>
        </w:rPr>
      </w:pPr>
      <w:r w:rsidRPr="005D1ABF">
        <w:rPr>
          <w:color w:val="auto"/>
          <w:szCs w:val="24"/>
          <w:u w:val="single"/>
        </w:rPr>
        <w:t>Section 1 – Name</w:t>
      </w:r>
    </w:p>
    <w:p w14:paraId="3C03BCF7" w14:textId="1D0DA096" w:rsidR="004B424E" w:rsidRPr="005C065E" w:rsidRDefault="000E5CCA" w:rsidP="008103FF">
      <w:pPr>
        <w:pStyle w:val="Normal-em"/>
        <w:spacing w:after="160" w:line="276" w:lineRule="auto"/>
        <w:rPr>
          <w:color w:val="auto"/>
        </w:rPr>
      </w:pPr>
      <w:r w:rsidRPr="00890C27">
        <w:t xml:space="preserve">Section 1 </w:t>
      </w:r>
      <w:r w:rsidR="00FB5C5D" w:rsidRPr="00890C27">
        <w:t xml:space="preserve">sets out the full name of the </w:t>
      </w:r>
      <w:r w:rsidR="004D74F5">
        <w:t>determination</w:t>
      </w:r>
      <w:r w:rsidR="00FB5C5D" w:rsidRPr="00890C27">
        <w:t xml:space="preserve"> as the</w:t>
      </w:r>
      <w:r w:rsidR="00034872">
        <w:t xml:space="preserve"> </w:t>
      </w:r>
      <w:r w:rsidR="004B424E" w:rsidRPr="33750E9F">
        <w:rPr>
          <w:i/>
          <w:iCs/>
          <w:color w:val="auto"/>
        </w:rPr>
        <w:t>Carbon Credits (Carbon Farming Initiative—Savanna Fire Management—Sequestration and Emissions Avoidance) Methodology Determination 2025.</w:t>
      </w:r>
    </w:p>
    <w:p w14:paraId="5B86A91A" w14:textId="77777777" w:rsidR="002573BE" w:rsidRPr="005D1ABF" w:rsidRDefault="002573BE" w:rsidP="008103FF">
      <w:pPr>
        <w:pStyle w:val="Normal-em"/>
        <w:spacing w:after="160" w:line="276" w:lineRule="auto"/>
        <w:rPr>
          <w:color w:val="auto"/>
          <w:szCs w:val="24"/>
          <w:u w:val="single"/>
        </w:rPr>
      </w:pPr>
      <w:r w:rsidRPr="005D1ABF">
        <w:rPr>
          <w:color w:val="auto"/>
          <w:szCs w:val="24"/>
          <w:u w:val="single"/>
        </w:rPr>
        <w:t>Section 2 – Commencement</w:t>
      </w:r>
    </w:p>
    <w:p w14:paraId="21AD16D5" w14:textId="33E80414" w:rsidR="00034872" w:rsidRPr="00FE4609" w:rsidRDefault="000E5CCA" w:rsidP="008103FF">
      <w:pPr>
        <w:pStyle w:val="Normal-em"/>
        <w:spacing w:after="160" w:line="276" w:lineRule="auto"/>
        <w:rPr>
          <w:color w:val="auto"/>
        </w:rPr>
      </w:pPr>
      <w:r w:rsidRPr="33750E9F">
        <w:rPr>
          <w:color w:val="auto"/>
        </w:rPr>
        <w:t>Section 2</w:t>
      </w:r>
      <w:r w:rsidR="00D65F10" w:rsidRPr="33750E9F">
        <w:rPr>
          <w:color w:val="auto"/>
        </w:rPr>
        <w:t xml:space="preserve"> provides for the </w:t>
      </w:r>
      <w:r w:rsidR="004D74F5">
        <w:rPr>
          <w:color w:val="auto"/>
        </w:rPr>
        <w:t>determination</w:t>
      </w:r>
      <w:r w:rsidR="00D65F10" w:rsidRPr="33750E9F">
        <w:rPr>
          <w:color w:val="auto"/>
        </w:rPr>
        <w:t xml:space="preserve"> to commence on the day after it is registered on the Federal Register of Legislation.</w:t>
      </w:r>
    </w:p>
    <w:p w14:paraId="7FA39F29" w14:textId="77777777" w:rsidR="002573BE" w:rsidRPr="005D1ABF" w:rsidRDefault="002573BE" w:rsidP="008103FF">
      <w:pPr>
        <w:pStyle w:val="Normal-em"/>
        <w:spacing w:after="160" w:line="276" w:lineRule="auto"/>
        <w:ind w:left="1440" w:hanging="1440"/>
        <w:rPr>
          <w:color w:val="auto"/>
          <w:szCs w:val="24"/>
          <w:u w:val="single"/>
        </w:rPr>
      </w:pPr>
      <w:r w:rsidRPr="005D1ABF">
        <w:rPr>
          <w:color w:val="auto"/>
          <w:szCs w:val="24"/>
          <w:u w:val="single"/>
        </w:rPr>
        <w:t xml:space="preserve">Section 3 – Authority </w:t>
      </w:r>
    </w:p>
    <w:p w14:paraId="1692E0B1" w14:textId="362C20E5" w:rsidR="00BD5A2C" w:rsidRDefault="008D1AFF" w:rsidP="008103FF">
      <w:pPr>
        <w:pStyle w:val="Normal-em"/>
        <w:spacing w:after="160" w:line="276" w:lineRule="auto"/>
        <w:rPr>
          <w:color w:val="auto"/>
        </w:rPr>
      </w:pPr>
      <w:r w:rsidRPr="33750E9F">
        <w:rPr>
          <w:color w:val="auto"/>
        </w:rPr>
        <w:t xml:space="preserve">Section 3 </w:t>
      </w:r>
      <w:r w:rsidR="00034872" w:rsidRPr="33750E9F">
        <w:rPr>
          <w:color w:val="auto"/>
        </w:rPr>
        <w:t xml:space="preserve">provides </w:t>
      </w:r>
      <w:r w:rsidR="00B678E2" w:rsidRPr="33750E9F">
        <w:rPr>
          <w:color w:val="auto"/>
        </w:rPr>
        <w:t xml:space="preserve">that the </w:t>
      </w:r>
      <w:r w:rsidR="004D74F5">
        <w:rPr>
          <w:color w:val="auto"/>
        </w:rPr>
        <w:t>determination</w:t>
      </w:r>
      <w:r w:rsidR="00B678E2" w:rsidRPr="33750E9F">
        <w:rPr>
          <w:color w:val="auto"/>
        </w:rPr>
        <w:t xml:space="preserve"> is made under subsection 106(1) of the </w:t>
      </w:r>
      <w:r w:rsidR="00B678E2" w:rsidRPr="33750E9F">
        <w:rPr>
          <w:i/>
          <w:iCs/>
          <w:color w:val="auto"/>
        </w:rPr>
        <w:t xml:space="preserve">Carbon Credits (Carbon Farming Initiative) Act 2011 </w:t>
      </w:r>
      <w:r w:rsidR="00B678E2" w:rsidRPr="33750E9F">
        <w:rPr>
          <w:color w:val="auto"/>
        </w:rPr>
        <w:t>(the Act).</w:t>
      </w:r>
    </w:p>
    <w:p w14:paraId="099B61E2" w14:textId="1E8DC54B" w:rsidR="00FE6964" w:rsidRPr="00890C27" w:rsidRDefault="00FE6964" w:rsidP="008103FF">
      <w:pPr>
        <w:pStyle w:val="Normal-em"/>
        <w:spacing w:after="160" w:line="276" w:lineRule="auto"/>
        <w:rPr>
          <w:color w:val="auto"/>
        </w:rPr>
      </w:pPr>
      <w:r w:rsidRPr="00890C27">
        <w:rPr>
          <w:color w:val="auto"/>
        </w:rPr>
        <w:t>Subsection 106(1) of the Act provides that the Minister may, by legislative instrument, make a certain type of determination.</w:t>
      </w:r>
    </w:p>
    <w:p w14:paraId="12A2FA8E" w14:textId="77777777" w:rsidR="00701F79" w:rsidRDefault="00BD5A2C" w:rsidP="008103FF">
      <w:pPr>
        <w:pStyle w:val="Normal-em"/>
        <w:spacing w:after="160" w:line="276" w:lineRule="auto"/>
        <w:rPr>
          <w:color w:val="auto"/>
          <w:u w:val="single"/>
        </w:rPr>
      </w:pPr>
      <w:r w:rsidRPr="33750E9F">
        <w:rPr>
          <w:color w:val="auto"/>
          <w:u w:val="single"/>
        </w:rPr>
        <w:t xml:space="preserve">Section 3A – Schedules </w:t>
      </w:r>
    </w:p>
    <w:p w14:paraId="462F3B54" w14:textId="63C630AC" w:rsidR="00034872" w:rsidRPr="004062A8" w:rsidRDefault="00BD5A2C" w:rsidP="008103FF">
      <w:pPr>
        <w:pStyle w:val="Normal-em"/>
        <w:spacing w:after="160" w:line="276" w:lineRule="auto"/>
        <w:rPr>
          <w:color w:val="auto"/>
        </w:rPr>
      </w:pPr>
      <w:r w:rsidRPr="33750E9F">
        <w:rPr>
          <w:color w:val="auto"/>
        </w:rPr>
        <w:t xml:space="preserve">Section 3A provides that each instrument that is specified in the Schedule to the </w:t>
      </w:r>
      <w:r w:rsidR="004D74F5">
        <w:rPr>
          <w:color w:val="auto"/>
        </w:rPr>
        <w:t>determination</w:t>
      </w:r>
      <w:r w:rsidRPr="33750E9F">
        <w:rPr>
          <w:color w:val="auto"/>
        </w:rPr>
        <w:t xml:space="preserve"> is amended or repealed as set out in the items in that Schedule, and any other item in the Schedule to the </w:t>
      </w:r>
      <w:r w:rsidR="004D74F5">
        <w:rPr>
          <w:color w:val="auto"/>
        </w:rPr>
        <w:t>determination</w:t>
      </w:r>
      <w:r w:rsidRPr="33750E9F">
        <w:rPr>
          <w:color w:val="auto"/>
        </w:rPr>
        <w:t xml:space="preserve"> has effect according to its terms.</w:t>
      </w:r>
    </w:p>
    <w:p w14:paraId="5AC52DAD" w14:textId="0FA88D00" w:rsidR="00323C0D" w:rsidRPr="00890C27" w:rsidRDefault="00323C0D" w:rsidP="008103FF">
      <w:pPr>
        <w:pStyle w:val="Normal-em"/>
        <w:spacing w:after="160" w:line="276" w:lineRule="auto"/>
        <w:rPr>
          <w:color w:val="auto"/>
        </w:rPr>
      </w:pPr>
      <w:r w:rsidRPr="00890C27">
        <w:rPr>
          <w:color w:val="auto"/>
        </w:rPr>
        <w:t xml:space="preserve">In practice, </w:t>
      </w:r>
      <w:r w:rsidR="00442718">
        <w:rPr>
          <w:color w:val="auto"/>
        </w:rPr>
        <w:t>section 3A</w:t>
      </w:r>
      <w:r w:rsidRPr="00890C27">
        <w:rPr>
          <w:color w:val="auto"/>
        </w:rPr>
        <w:t xml:space="preserve"> allows for the repeal of the 2018 determination via Schedule </w:t>
      </w:r>
      <w:r w:rsidR="007B0D0C" w:rsidRPr="00890C27">
        <w:rPr>
          <w:color w:val="auto"/>
        </w:rPr>
        <w:t>3</w:t>
      </w:r>
      <w:r w:rsidRPr="00890C27">
        <w:rPr>
          <w:color w:val="auto"/>
        </w:rPr>
        <w:t>.</w:t>
      </w:r>
    </w:p>
    <w:p w14:paraId="3CC34706" w14:textId="05E8E932" w:rsidR="00701F79" w:rsidRPr="00890C27" w:rsidRDefault="00CE6967" w:rsidP="008103FF">
      <w:pPr>
        <w:spacing w:after="160" w:line="276" w:lineRule="auto"/>
        <w:rPr>
          <w:rFonts w:ascii="Times New Roman" w:hAnsi="Times New Roman" w:cs="Times New Roman"/>
          <w:color w:val="000000" w:themeColor="text1"/>
          <w:sz w:val="24"/>
          <w:szCs w:val="24"/>
        </w:rPr>
      </w:pPr>
      <w:bookmarkStart w:id="2" w:name="_Toc503524075"/>
      <w:bookmarkStart w:id="3" w:name="_Toc505683391"/>
      <w:bookmarkStart w:id="4" w:name="_Toc509219558"/>
      <w:r w:rsidRPr="33750E9F">
        <w:rPr>
          <w:rFonts w:ascii="Times New Roman" w:hAnsi="Times New Roman" w:cs="Times New Roman"/>
          <w:color w:val="000000" w:themeColor="text1"/>
          <w:sz w:val="24"/>
          <w:szCs w:val="24"/>
          <w:u w:val="single"/>
        </w:rPr>
        <w:t>Section 4 – Duration</w:t>
      </w:r>
      <w:bookmarkEnd w:id="2"/>
      <w:bookmarkEnd w:id="3"/>
      <w:bookmarkEnd w:id="4"/>
    </w:p>
    <w:p w14:paraId="4D6ADF52" w14:textId="52E7D238" w:rsidR="00701F79" w:rsidRPr="00890C27" w:rsidRDefault="008C7845"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Section 4 </w:t>
      </w:r>
      <w:r w:rsidR="00BD5A2C" w:rsidRPr="00890C27">
        <w:rPr>
          <w:rFonts w:ascii="Times New Roman" w:hAnsi="Times New Roman" w:cs="Times New Roman"/>
          <w:color w:val="000000" w:themeColor="text1"/>
          <w:sz w:val="24"/>
          <w:szCs w:val="24"/>
        </w:rPr>
        <w:t xml:space="preserve">provides </w:t>
      </w:r>
      <w:r w:rsidRPr="00890C27">
        <w:rPr>
          <w:rFonts w:ascii="Times New Roman" w:hAnsi="Times New Roman" w:cs="Times New Roman"/>
          <w:color w:val="000000" w:themeColor="text1"/>
          <w:sz w:val="24"/>
          <w:szCs w:val="24"/>
        </w:rPr>
        <w:t xml:space="preserve">the period that the </w:t>
      </w:r>
      <w:r w:rsidR="004D74F5">
        <w:rPr>
          <w:rFonts w:ascii="Times New Roman" w:hAnsi="Times New Roman" w:cs="Times New Roman"/>
          <w:color w:val="000000" w:themeColor="text1"/>
          <w:sz w:val="24"/>
          <w:szCs w:val="24"/>
        </w:rPr>
        <w:t>determination</w:t>
      </w:r>
      <w:r w:rsidRPr="00890C27">
        <w:rPr>
          <w:rFonts w:ascii="Times New Roman" w:hAnsi="Times New Roman" w:cs="Times New Roman"/>
          <w:color w:val="000000" w:themeColor="text1"/>
          <w:sz w:val="24"/>
          <w:szCs w:val="24"/>
        </w:rPr>
        <w:t xml:space="preserve"> is in force </w:t>
      </w:r>
      <w:r w:rsidR="00E120C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in accordance with subparagraph 122(1)(b)(</w:t>
      </w:r>
      <w:proofErr w:type="spellStart"/>
      <w:r w:rsidRPr="00890C27">
        <w:rPr>
          <w:rFonts w:ascii="Times New Roman" w:hAnsi="Times New Roman" w:cs="Times New Roman"/>
          <w:color w:val="000000" w:themeColor="text1"/>
          <w:sz w:val="24"/>
          <w:szCs w:val="24"/>
        </w:rPr>
        <w:t>i</w:t>
      </w:r>
      <w:proofErr w:type="spellEnd"/>
      <w:r w:rsidRPr="00890C27">
        <w:rPr>
          <w:rFonts w:ascii="Times New Roman" w:hAnsi="Times New Roman" w:cs="Times New Roman"/>
          <w:color w:val="000000" w:themeColor="text1"/>
          <w:sz w:val="24"/>
          <w:szCs w:val="24"/>
        </w:rPr>
        <w:t>) of the Act.</w:t>
      </w:r>
    </w:p>
    <w:p w14:paraId="46CA9583" w14:textId="793DB001" w:rsidR="001909F7" w:rsidRPr="00890C27" w:rsidRDefault="00DE7FB3" w:rsidP="008103FF">
      <w:pPr>
        <w:spacing w:after="160" w:line="276" w:lineRule="auto"/>
        <w:rPr>
          <w:rFonts w:ascii="Times New Roman" w:hAnsi="Times New Roman" w:cs="Times New Roman"/>
          <w:color w:val="000000" w:themeColor="text1"/>
          <w:sz w:val="24"/>
          <w:szCs w:val="24"/>
        </w:rPr>
      </w:pPr>
      <w:r w:rsidRPr="165183F2">
        <w:rPr>
          <w:rFonts w:ascii="Times New Roman" w:hAnsi="Times New Roman" w:cs="Times New Roman"/>
          <w:color w:val="000000" w:themeColor="text1"/>
          <w:sz w:val="24"/>
          <w:szCs w:val="24"/>
        </w:rPr>
        <w:t xml:space="preserve">The </w:t>
      </w:r>
      <w:r w:rsidR="004D74F5" w:rsidRPr="165183F2">
        <w:rPr>
          <w:rFonts w:ascii="Times New Roman" w:hAnsi="Times New Roman" w:cs="Times New Roman"/>
          <w:color w:val="000000" w:themeColor="text1"/>
          <w:sz w:val="24"/>
          <w:szCs w:val="24"/>
        </w:rPr>
        <w:t>determination</w:t>
      </w:r>
      <w:r w:rsidRPr="165183F2">
        <w:rPr>
          <w:rFonts w:ascii="Times New Roman" w:hAnsi="Times New Roman" w:cs="Times New Roman"/>
          <w:color w:val="000000" w:themeColor="text1"/>
          <w:sz w:val="24"/>
          <w:szCs w:val="24"/>
        </w:rPr>
        <w:t xml:space="preserve"> will remain in force </w:t>
      </w:r>
      <w:r w:rsidR="003A554C" w:rsidRPr="165183F2">
        <w:rPr>
          <w:rFonts w:ascii="Times New Roman" w:hAnsi="Times New Roman" w:cs="Times New Roman"/>
          <w:color w:val="000000" w:themeColor="text1"/>
          <w:sz w:val="24"/>
          <w:szCs w:val="24"/>
        </w:rPr>
        <w:t xml:space="preserve">from </w:t>
      </w:r>
      <w:r w:rsidRPr="165183F2">
        <w:rPr>
          <w:rFonts w:ascii="Times New Roman" w:hAnsi="Times New Roman" w:cs="Times New Roman"/>
          <w:color w:val="000000" w:themeColor="text1"/>
          <w:sz w:val="24"/>
          <w:szCs w:val="24"/>
        </w:rPr>
        <w:t xml:space="preserve">the commencement date (the day </w:t>
      </w:r>
      <w:r w:rsidR="003A554C" w:rsidRPr="165183F2">
        <w:rPr>
          <w:rFonts w:ascii="Times New Roman" w:hAnsi="Times New Roman" w:cs="Times New Roman"/>
          <w:color w:val="000000" w:themeColor="text1"/>
          <w:sz w:val="24"/>
          <w:szCs w:val="24"/>
        </w:rPr>
        <w:t xml:space="preserve">after </w:t>
      </w:r>
      <w:r w:rsidRPr="165183F2">
        <w:rPr>
          <w:rFonts w:ascii="Times New Roman" w:hAnsi="Times New Roman" w:cs="Times New Roman"/>
          <w:color w:val="000000" w:themeColor="text1"/>
          <w:sz w:val="24"/>
          <w:szCs w:val="24"/>
        </w:rPr>
        <w:t>registration on the Federal Register of Legislation</w:t>
      </w:r>
      <w:r w:rsidR="00C90EA9" w:rsidRPr="165183F2">
        <w:rPr>
          <w:rFonts w:ascii="Times New Roman" w:hAnsi="Times New Roman" w:cs="Times New Roman"/>
          <w:color w:val="000000" w:themeColor="text1"/>
          <w:sz w:val="24"/>
          <w:szCs w:val="24"/>
        </w:rPr>
        <w:t xml:space="preserve"> as per section 2</w:t>
      </w:r>
      <w:r w:rsidRPr="165183F2">
        <w:rPr>
          <w:rFonts w:ascii="Times New Roman" w:hAnsi="Times New Roman" w:cs="Times New Roman"/>
          <w:color w:val="000000" w:themeColor="text1"/>
          <w:sz w:val="24"/>
          <w:szCs w:val="24"/>
        </w:rPr>
        <w:t xml:space="preserve">) and the day before it would otherwise be repealed in accordance with subsection 50(1) of the </w:t>
      </w:r>
      <w:r w:rsidRPr="165183F2">
        <w:rPr>
          <w:rFonts w:ascii="Times New Roman" w:hAnsi="Times New Roman" w:cs="Times New Roman"/>
          <w:i/>
          <w:iCs/>
          <w:color w:val="000000" w:themeColor="text1"/>
          <w:sz w:val="24"/>
          <w:szCs w:val="24"/>
        </w:rPr>
        <w:t>Legislation Act 2003</w:t>
      </w:r>
      <w:r w:rsidRPr="165183F2">
        <w:rPr>
          <w:rFonts w:ascii="Times New Roman" w:hAnsi="Times New Roman" w:cs="Times New Roman"/>
          <w:color w:val="000000" w:themeColor="text1"/>
          <w:sz w:val="24"/>
          <w:szCs w:val="24"/>
        </w:rPr>
        <w:t>.</w:t>
      </w:r>
    </w:p>
    <w:p w14:paraId="6FED6EDA" w14:textId="1CE76E48" w:rsidR="001909F7" w:rsidRPr="00890C27" w:rsidRDefault="009269DF" w:rsidP="008103FF">
      <w:pPr>
        <w:spacing w:after="160" w:line="276" w:lineRule="auto"/>
        <w:rPr>
          <w:rFonts w:ascii="Times New Roman" w:hAnsi="Times New Roman" w:cs="Times New Roman"/>
          <w:color w:val="000000" w:themeColor="text1"/>
          <w:sz w:val="24"/>
          <w:szCs w:val="24"/>
        </w:rPr>
      </w:pPr>
      <w:r w:rsidRPr="165183F2">
        <w:rPr>
          <w:rFonts w:ascii="Times New Roman" w:hAnsi="Times New Roman" w:cs="Times New Roman"/>
          <w:color w:val="000000" w:themeColor="text1"/>
          <w:sz w:val="24"/>
          <w:szCs w:val="24"/>
        </w:rPr>
        <w:t>In practice, t</w:t>
      </w:r>
      <w:r w:rsidR="005F7783" w:rsidRPr="165183F2">
        <w:rPr>
          <w:rFonts w:ascii="Times New Roman" w:hAnsi="Times New Roman" w:cs="Times New Roman"/>
          <w:color w:val="000000" w:themeColor="text1"/>
          <w:sz w:val="24"/>
          <w:szCs w:val="24"/>
        </w:rPr>
        <w:t>his</w:t>
      </w:r>
      <w:r w:rsidR="00DE7FB3" w:rsidRPr="165183F2">
        <w:rPr>
          <w:rFonts w:ascii="Times New Roman" w:hAnsi="Times New Roman" w:cs="Times New Roman"/>
          <w:color w:val="000000" w:themeColor="text1"/>
          <w:sz w:val="24"/>
          <w:szCs w:val="24"/>
        </w:rPr>
        <w:t xml:space="preserve"> means that the </w:t>
      </w:r>
      <w:r w:rsidR="004D74F5" w:rsidRPr="165183F2">
        <w:rPr>
          <w:rFonts w:ascii="Times New Roman" w:hAnsi="Times New Roman" w:cs="Times New Roman"/>
          <w:color w:val="000000" w:themeColor="text1"/>
          <w:sz w:val="24"/>
          <w:szCs w:val="24"/>
        </w:rPr>
        <w:t>determination</w:t>
      </w:r>
      <w:r w:rsidR="00DE7FB3" w:rsidRPr="165183F2">
        <w:rPr>
          <w:rFonts w:ascii="Times New Roman" w:hAnsi="Times New Roman" w:cs="Times New Roman"/>
          <w:color w:val="000000" w:themeColor="text1"/>
          <w:sz w:val="24"/>
          <w:szCs w:val="24"/>
        </w:rPr>
        <w:t xml:space="preserve"> </w:t>
      </w:r>
      <w:r w:rsidR="00971A02" w:rsidRPr="165183F2">
        <w:rPr>
          <w:rFonts w:ascii="Times New Roman" w:hAnsi="Times New Roman" w:cs="Times New Roman"/>
          <w:color w:val="000000" w:themeColor="text1"/>
          <w:sz w:val="24"/>
          <w:szCs w:val="24"/>
        </w:rPr>
        <w:t xml:space="preserve">will </w:t>
      </w:r>
      <w:r w:rsidR="00637AC9" w:rsidRPr="165183F2">
        <w:rPr>
          <w:rFonts w:ascii="Times New Roman" w:hAnsi="Times New Roman" w:cs="Times New Roman"/>
          <w:color w:val="000000" w:themeColor="text1"/>
          <w:sz w:val="24"/>
          <w:szCs w:val="24"/>
        </w:rPr>
        <w:t xml:space="preserve">be repealed </w:t>
      </w:r>
      <w:r w:rsidR="00DE7FB3" w:rsidRPr="165183F2">
        <w:rPr>
          <w:rFonts w:ascii="Times New Roman" w:hAnsi="Times New Roman" w:cs="Times New Roman"/>
          <w:color w:val="000000" w:themeColor="text1"/>
          <w:sz w:val="24"/>
          <w:szCs w:val="24"/>
        </w:rPr>
        <w:t xml:space="preserve">on </w:t>
      </w:r>
      <w:r w:rsidR="003A51B2" w:rsidRPr="165183F2">
        <w:rPr>
          <w:rFonts w:ascii="Times New Roman" w:hAnsi="Times New Roman" w:cs="Times New Roman"/>
          <w:color w:val="000000" w:themeColor="text1"/>
          <w:sz w:val="24"/>
          <w:szCs w:val="24"/>
        </w:rPr>
        <w:t>[</w:t>
      </w:r>
      <w:r w:rsidR="00DE7FB3" w:rsidRPr="165183F2">
        <w:rPr>
          <w:rFonts w:ascii="Times New Roman" w:hAnsi="Times New Roman" w:cs="Times New Roman"/>
          <w:color w:val="000000" w:themeColor="text1"/>
          <w:sz w:val="24"/>
          <w:szCs w:val="24"/>
        </w:rPr>
        <w:t>31 September 2035</w:t>
      </w:r>
      <w:r w:rsidR="003A51B2" w:rsidRPr="165183F2">
        <w:rPr>
          <w:rFonts w:ascii="Times New Roman" w:hAnsi="Times New Roman" w:cs="Times New Roman"/>
          <w:color w:val="000000" w:themeColor="text1"/>
          <w:sz w:val="24"/>
          <w:szCs w:val="24"/>
        </w:rPr>
        <w:t>]</w:t>
      </w:r>
      <w:r w:rsidR="00DE7FB3" w:rsidRPr="165183F2">
        <w:rPr>
          <w:rFonts w:ascii="Times New Roman" w:hAnsi="Times New Roman" w:cs="Times New Roman"/>
          <w:color w:val="000000" w:themeColor="text1"/>
          <w:sz w:val="24"/>
          <w:szCs w:val="24"/>
        </w:rPr>
        <w:t>.</w:t>
      </w:r>
    </w:p>
    <w:p w14:paraId="0FCBC561" w14:textId="65848024" w:rsidR="00D467BB" w:rsidRDefault="00971A02" w:rsidP="008103FF">
      <w:pPr>
        <w:spacing w:after="160" w:line="276" w:lineRule="auto"/>
        <w:rPr>
          <w:rFonts w:ascii="Times New Roman" w:hAnsi="Times New Roman" w:cs="Times New Roman"/>
          <w:sz w:val="24"/>
          <w:szCs w:val="24"/>
          <w:u w:val="single"/>
        </w:rPr>
      </w:pPr>
      <w:r w:rsidRPr="165183F2">
        <w:rPr>
          <w:rFonts w:ascii="Times New Roman" w:hAnsi="Times New Roman" w:cs="Times New Roman"/>
          <w:sz w:val="24"/>
          <w:szCs w:val="24"/>
          <w:u w:val="single"/>
        </w:rPr>
        <w:t xml:space="preserve">Section </w:t>
      </w:r>
      <w:r w:rsidR="0076059B" w:rsidRPr="165183F2">
        <w:rPr>
          <w:rFonts w:ascii="Times New Roman" w:hAnsi="Times New Roman" w:cs="Times New Roman"/>
          <w:sz w:val="24"/>
          <w:szCs w:val="24"/>
          <w:u w:val="single"/>
        </w:rPr>
        <w:t xml:space="preserve">5 </w:t>
      </w:r>
      <w:r w:rsidRPr="165183F2">
        <w:rPr>
          <w:rFonts w:ascii="Times New Roman" w:hAnsi="Times New Roman" w:cs="Times New Roman"/>
          <w:sz w:val="24"/>
          <w:szCs w:val="24"/>
          <w:u w:val="single"/>
        </w:rPr>
        <w:t xml:space="preserve">– </w:t>
      </w:r>
      <w:r w:rsidR="0076059B" w:rsidRPr="165183F2">
        <w:rPr>
          <w:rFonts w:ascii="Times New Roman" w:hAnsi="Times New Roman" w:cs="Times New Roman"/>
          <w:sz w:val="24"/>
          <w:szCs w:val="24"/>
          <w:u w:val="single"/>
        </w:rPr>
        <w:t xml:space="preserve">Definitions </w:t>
      </w:r>
    </w:p>
    <w:p w14:paraId="523BE717" w14:textId="3C501649" w:rsidR="00ED4030" w:rsidRDefault="00EA5B62"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Section 5 provides definitions for various terms used throughout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Where a term is not defined in the determination, it has the same meaning set out in section 5 of the Act. </w:t>
      </w:r>
      <w:r w:rsidR="003874BB" w:rsidRPr="165183F2">
        <w:rPr>
          <w:rFonts w:ascii="Times New Roman" w:hAnsi="Times New Roman" w:cs="Times New Roman"/>
          <w:sz w:val="24"/>
          <w:szCs w:val="24"/>
        </w:rPr>
        <w:t xml:space="preserve">Under section 23 of the </w:t>
      </w:r>
      <w:r w:rsidR="003874BB" w:rsidRPr="165183F2">
        <w:rPr>
          <w:rFonts w:ascii="Times New Roman" w:hAnsi="Times New Roman" w:cs="Times New Roman"/>
          <w:i/>
          <w:iCs/>
          <w:sz w:val="24"/>
          <w:szCs w:val="24"/>
        </w:rPr>
        <w:t>Acts Interpretation Act 1901</w:t>
      </w:r>
      <w:r w:rsidR="003874BB" w:rsidRPr="165183F2">
        <w:rPr>
          <w:rFonts w:ascii="Times New Roman" w:hAnsi="Times New Roman" w:cs="Times New Roman"/>
          <w:sz w:val="24"/>
          <w:szCs w:val="24"/>
        </w:rPr>
        <w:t>, words in a legislative instrument in the singular number include the plural and words in the plural number include the singular.</w:t>
      </w:r>
    </w:p>
    <w:p w14:paraId="20DD4E08" w14:textId="38DB059C" w:rsidR="001204CD" w:rsidRPr="004062A8" w:rsidRDefault="001909F7" w:rsidP="008103FF">
      <w:pPr>
        <w:keepNext/>
        <w:spacing w:after="160" w:line="276" w:lineRule="auto"/>
        <w:rPr>
          <w:rFonts w:ascii="Times New Roman" w:hAnsi="Times New Roman" w:cs="Times New Roman"/>
          <w:sz w:val="24"/>
          <w:szCs w:val="24"/>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6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Meaning of </w:t>
      </w:r>
      <w:r w:rsidR="0076059B" w:rsidRPr="33750E9F">
        <w:rPr>
          <w:rFonts w:ascii="Times New Roman" w:hAnsi="Times New Roman" w:cs="Times New Roman"/>
          <w:i/>
          <w:iCs/>
          <w:sz w:val="24"/>
          <w:szCs w:val="24"/>
          <w:u w:val="single"/>
        </w:rPr>
        <w:t>fire season, early dry season</w:t>
      </w:r>
      <w:r w:rsidR="0076059B" w:rsidRPr="33750E9F">
        <w:rPr>
          <w:rFonts w:ascii="Times New Roman" w:hAnsi="Times New Roman" w:cs="Times New Roman"/>
          <w:sz w:val="24"/>
          <w:szCs w:val="24"/>
          <w:u w:val="single"/>
        </w:rPr>
        <w:t xml:space="preserve"> and </w:t>
      </w:r>
      <w:r w:rsidR="0076059B" w:rsidRPr="33750E9F">
        <w:rPr>
          <w:rFonts w:ascii="Times New Roman" w:hAnsi="Times New Roman" w:cs="Times New Roman"/>
          <w:i/>
          <w:iCs/>
          <w:sz w:val="24"/>
          <w:szCs w:val="24"/>
          <w:u w:val="single"/>
        </w:rPr>
        <w:t>late dry season</w:t>
      </w:r>
      <w:r w:rsidR="0076059B" w:rsidRPr="33750E9F">
        <w:rPr>
          <w:rFonts w:ascii="Times New Roman" w:hAnsi="Times New Roman" w:cs="Times New Roman"/>
          <w:sz w:val="24"/>
          <w:szCs w:val="24"/>
          <w:u w:val="single"/>
        </w:rPr>
        <w:t xml:space="preserve"> </w:t>
      </w:r>
    </w:p>
    <w:p w14:paraId="7A1591AD" w14:textId="23EE7A33" w:rsidR="0058181E" w:rsidRPr="0058181E" w:rsidRDefault="0058181E"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6(1) provides that the </w:t>
      </w:r>
      <w:r w:rsidRPr="004062A8">
        <w:rPr>
          <w:rFonts w:ascii="Times New Roman" w:hAnsi="Times New Roman" w:cs="Times New Roman"/>
          <w:b/>
          <w:i/>
          <w:sz w:val="24"/>
          <w:szCs w:val="24"/>
        </w:rPr>
        <w:t>fire seasons</w:t>
      </w:r>
      <w:r w:rsidRPr="33750E9F">
        <w:rPr>
          <w:rFonts w:ascii="Times New Roman" w:hAnsi="Times New Roman" w:cs="Times New Roman"/>
          <w:sz w:val="24"/>
          <w:szCs w:val="24"/>
        </w:rPr>
        <w:t xml:space="preserve"> for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are the early dry season </w:t>
      </w:r>
      <w:r w:rsidR="00A97496">
        <w:rPr>
          <w:rFonts w:ascii="Times New Roman" w:hAnsi="Times New Roman" w:cs="Times New Roman"/>
          <w:sz w:val="24"/>
          <w:szCs w:val="24"/>
        </w:rPr>
        <w:t xml:space="preserve">(EDS) </w:t>
      </w:r>
      <w:r w:rsidRPr="33750E9F">
        <w:rPr>
          <w:rFonts w:ascii="Times New Roman" w:hAnsi="Times New Roman" w:cs="Times New Roman"/>
          <w:sz w:val="24"/>
          <w:szCs w:val="24"/>
        </w:rPr>
        <w:t>and the late dry season</w:t>
      </w:r>
      <w:r w:rsidR="00A97496">
        <w:rPr>
          <w:rFonts w:ascii="Times New Roman" w:hAnsi="Times New Roman" w:cs="Times New Roman"/>
          <w:sz w:val="24"/>
          <w:szCs w:val="24"/>
        </w:rPr>
        <w:t xml:space="preserve"> (LDS)</w:t>
      </w:r>
      <w:r w:rsidRPr="33750E9F">
        <w:rPr>
          <w:rFonts w:ascii="Times New Roman" w:hAnsi="Times New Roman" w:cs="Times New Roman"/>
          <w:sz w:val="24"/>
          <w:szCs w:val="24"/>
        </w:rPr>
        <w:t>.</w:t>
      </w:r>
    </w:p>
    <w:p w14:paraId="4F1E9CA2" w14:textId="0FACE668" w:rsidR="001204CD" w:rsidRDefault="0058181E"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 xml:space="preserve">A note to subsection 6(1) </w:t>
      </w:r>
      <w:r w:rsidR="00DC1084" w:rsidRPr="33750E9F">
        <w:rPr>
          <w:rFonts w:ascii="Times New Roman" w:hAnsi="Times New Roman" w:cs="Times New Roman"/>
          <w:sz w:val="24"/>
          <w:szCs w:val="24"/>
        </w:rPr>
        <w:t>states</w:t>
      </w:r>
      <w:r w:rsidRPr="33750E9F">
        <w:rPr>
          <w:rFonts w:ascii="Times New Roman" w:hAnsi="Times New Roman" w:cs="Times New Roman"/>
          <w:sz w:val="24"/>
          <w:szCs w:val="24"/>
        </w:rPr>
        <w:t xml:space="preserve"> that while there is also a wet season</w:t>
      </w:r>
      <w:r w:rsidR="003F1BE1" w:rsidRPr="33750E9F">
        <w:rPr>
          <w:rFonts w:ascii="Times New Roman" w:hAnsi="Times New Roman" w:cs="Times New Roman"/>
          <w:sz w:val="24"/>
          <w:szCs w:val="24"/>
        </w:rPr>
        <w:t xml:space="preserve"> each year</w:t>
      </w:r>
      <w:r w:rsidRPr="33750E9F">
        <w:rPr>
          <w:rFonts w:ascii="Times New Roman" w:hAnsi="Times New Roman" w:cs="Times New Roman"/>
          <w:sz w:val="24"/>
          <w:szCs w:val="24"/>
        </w:rPr>
        <w:t xml:space="preserve"> in northern Australia, it is not relevant for the purposes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w:t>
      </w:r>
      <w:r w:rsidRPr="33750E9F">
        <w:rPr>
          <w:rFonts w:ascii="Times New Roman" w:hAnsi="Times New Roman" w:cs="Times New Roman"/>
          <w:sz w:val="24"/>
          <w:szCs w:val="24"/>
        </w:rPr>
        <w:t xml:space="preserve"> This is because fire activity is generally negligible during the wet season. The definitions of the early and late dry seasons may overlap with the wet season, but only the dry seasons are considered fire seasons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w:t>
      </w:r>
    </w:p>
    <w:p w14:paraId="76385F30" w14:textId="16BE04E7" w:rsidR="00E03998" w:rsidRDefault="0058181E"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6(2) defines the terms </w:t>
      </w:r>
      <w:r w:rsidRPr="004062A8">
        <w:rPr>
          <w:rFonts w:ascii="Times New Roman" w:hAnsi="Times New Roman" w:cs="Times New Roman"/>
          <w:b/>
          <w:i/>
          <w:sz w:val="24"/>
          <w:szCs w:val="24"/>
        </w:rPr>
        <w:t>early dry season</w:t>
      </w:r>
      <w:r w:rsidRPr="33750E9F">
        <w:rPr>
          <w:rFonts w:ascii="Times New Roman" w:hAnsi="Times New Roman" w:cs="Times New Roman"/>
          <w:sz w:val="24"/>
          <w:szCs w:val="24"/>
        </w:rPr>
        <w:t xml:space="preserve"> and </w:t>
      </w:r>
      <w:r w:rsidRPr="004062A8">
        <w:rPr>
          <w:rFonts w:ascii="Times New Roman" w:hAnsi="Times New Roman" w:cs="Times New Roman"/>
          <w:b/>
          <w:i/>
          <w:sz w:val="24"/>
          <w:szCs w:val="24"/>
        </w:rPr>
        <w:t>late dry season</w:t>
      </w:r>
      <w:r w:rsidRPr="33750E9F">
        <w:rPr>
          <w:rFonts w:ascii="Times New Roman" w:hAnsi="Times New Roman" w:cs="Times New Roman"/>
          <w:sz w:val="24"/>
          <w:szCs w:val="24"/>
        </w:rPr>
        <w:t xml:space="preserve"> for a particular area of land and calendar year. </w:t>
      </w:r>
    </w:p>
    <w:p w14:paraId="3A702F0C" w14:textId="3E36711B" w:rsidR="00E03998" w:rsidRDefault="007E2016"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The early dry season means the period of the calendar year that is not late dry season for that area.</w:t>
      </w:r>
    </w:p>
    <w:p w14:paraId="34D2BCAE" w14:textId="5EA6A761" w:rsidR="0058181E" w:rsidRPr="0058181E" w:rsidRDefault="0058181E"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 xml:space="preserve">The late dry season </w:t>
      </w:r>
      <w:r w:rsidR="007E2016" w:rsidRPr="165183F2">
        <w:rPr>
          <w:rFonts w:ascii="Times New Roman" w:hAnsi="Times New Roman" w:cs="Times New Roman"/>
          <w:sz w:val="24"/>
          <w:szCs w:val="24"/>
        </w:rPr>
        <w:t>means</w:t>
      </w:r>
      <w:r w:rsidRPr="165183F2">
        <w:rPr>
          <w:rFonts w:ascii="Times New Roman" w:hAnsi="Times New Roman" w:cs="Times New Roman"/>
          <w:sz w:val="24"/>
          <w:szCs w:val="24"/>
        </w:rPr>
        <w:t xml:space="preserve"> the period that begins on the date specified for that area in the </w:t>
      </w:r>
      <w:r w:rsidRPr="165183F2">
        <w:rPr>
          <w:rFonts w:ascii="Times New Roman" w:hAnsi="Times New Roman" w:cs="Times New Roman"/>
          <w:b/>
          <w:bCs/>
          <w:i/>
          <w:iCs/>
          <w:sz w:val="24"/>
          <w:szCs w:val="24"/>
        </w:rPr>
        <w:t>Savanna Fire Management LDS Start Date spatial data layer</w:t>
      </w:r>
      <w:r w:rsidRPr="165183F2">
        <w:rPr>
          <w:rFonts w:ascii="Times New Roman" w:hAnsi="Times New Roman" w:cs="Times New Roman"/>
          <w:sz w:val="24"/>
          <w:szCs w:val="24"/>
        </w:rPr>
        <w:t xml:space="preserve"> (paragraph (a)) and ends on the date specified in the </w:t>
      </w:r>
      <w:r w:rsidRPr="165183F2">
        <w:rPr>
          <w:rFonts w:ascii="Times New Roman" w:hAnsi="Times New Roman" w:cs="Times New Roman"/>
          <w:b/>
          <w:bCs/>
          <w:i/>
          <w:iCs/>
          <w:sz w:val="24"/>
          <w:szCs w:val="24"/>
        </w:rPr>
        <w:t>Savanna Fire Management LDS End Date spatial data laye</w:t>
      </w:r>
      <w:r w:rsidRPr="165183F2">
        <w:rPr>
          <w:rFonts w:ascii="Times New Roman" w:hAnsi="Times New Roman" w:cs="Times New Roman"/>
          <w:sz w:val="24"/>
          <w:szCs w:val="24"/>
        </w:rPr>
        <w:t>r (paragraph (b)). These spatial data layers may specify uniform dates across all areas or different dates for different regions.</w:t>
      </w:r>
    </w:p>
    <w:p w14:paraId="139D1F34" w14:textId="581274EA" w:rsidR="0058181E" w:rsidRPr="0058181E" w:rsidRDefault="0058181E"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At the time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was made, the spatial data layers indicated that the late dry season begins on </w:t>
      </w:r>
      <w:r w:rsidRPr="004062A8">
        <w:rPr>
          <w:rFonts w:ascii="Times New Roman" w:hAnsi="Times New Roman" w:cs="Times New Roman"/>
          <w:sz w:val="24"/>
          <w:szCs w:val="24"/>
        </w:rPr>
        <w:t>1 August and ends on 31 December</w:t>
      </w:r>
      <w:r w:rsidRPr="33750E9F">
        <w:rPr>
          <w:rFonts w:ascii="Times New Roman" w:hAnsi="Times New Roman" w:cs="Times New Roman"/>
          <w:sz w:val="24"/>
          <w:szCs w:val="24"/>
        </w:rPr>
        <w:t xml:space="preserve"> for all areas in both the high rainfall and low rainfall zones. However, it is anticipated that in future versions of the spatial data layers, the start and end dates of the late dry season may vary between </w:t>
      </w:r>
      <w:r w:rsidR="00A05F28" w:rsidRPr="33750E9F">
        <w:rPr>
          <w:rFonts w:ascii="Times New Roman" w:hAnsi="Times New Roman" w:cs="Times New Roman"/>
          <w:sz w:val="24"/>
          <w:szCs w:val="24"/>
        </w:rPr>
        <w:t>regions</w:t>
      </w:r>
      <w:r w:rsidRPr="33750E9F">
        <w:rPr>
          <w:rFonts w:ascii="Times New Roman" w:hAnsi="Times New Roman" w:cs="Times New Roman"/>
          <w:sz w:val="24"/>
          <w:szCs w:val="24"/>
        </w:rPr>
        <w:t xml:space="preserve"> </w:t>
      </w:r>
      <w:r w:rsidR="00301CA6" w:rsidRPr="33750E9F">
        <w:rPr>
          <w:rFonts w:ascii="Times New Roman" w:hAnsi="Times New Roman" w:cs="Times New Roman"/>
          <w:sz w:val="24"/>
          <w:szCs w:val="24"/>
        </w:rPr>
        <w:t xml:space="preserve">if new science becomes </w:t>
      </w:r>
      <w:r w:rsidR="001A4E7E" w:rsidRPr="33750E9F">
        <w:rPr>
          <w:rFonts w:ascii="Times New Roman" w:hAnsi="Times New Roman" w:cs="Times New Roman"/>
          <w:sz w:val="24"/>
          <w:szCs w:val="24"/>
        </w:rPr>
        <w:t>available</w:t>
      </w:r>
      <w:r w:rsidR="00D242D1" w:rsidRPr="33750E9F">
        <w:rPr>
          <w:rFonts w:ascii="Times New Roman" w:hAnsi="Times New Roman" w:cs="Times New Roman"/>
          <w:sz w:val="24"/>
          <w:szCs w:val="24"/>
        </w:rPr>
        <w:t>.</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Additionally, the end date of the late dry season for a particular area may fall in the following calendar year, meaning the late dry season could span across two calendar years.</w:t>
      </w:r>
      <w:r w:rsidR="002D1987">
        <w:rPr>
          <w:rFonts w:ascii="Times New Roman" w:hAnsi="Times New Roman" w:cs="Times New Roman"/>
          <w:sz w:val="24"/>
          <w:szCs w:val="24"/>
        </w:rPr>
        <w:t xml:space="preserve"> </w:t>
      </w:r>
    </w:p>
    <w:p w14:paraId="14D39BF2" w14:textId="327F413E" w:rsidR="0070722A" w:rsidRDefault="0058181E"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6(</w:t>
      </w:r>
      <w:r w:rsidR="00E951C2" w:rsidRPr="165183F2">
        <w:rPr>
          <w:rFonts w:ascii="Times New Roman" w:hAnsi="Times New Roman" w:cs="Times New Roman"/>
          <w:sz w:val="24"/>
          <w:szCs w:val="24"/>
        </w:rPr>
        <w:t>2</w:t>
      </w:r>
      <w:r w:rsidRPr="165183F2">
        <w:rPr>
          <w:rFonts w:ascii="Times New Roman" w:hAnsi="Times New Roman" w:cs="Times New Roman"/>
          <w:sz w:val="24"/>
          <w:szCs w:val="24"/>
        </w:rPr>
        <w:t xml:space="preserve">) </w:t>
      </w:r>
      <w:r w:rsidR="00E951C2" w:rsidRPr="165183F2">
        <w:rPr>
          <w:rFonts w:ascii="Times New Roman" w:hAnsi="Times New Roman" w:cs="Times New Roman"/>
          <w:sz w:val="24"/>
          <w:szCs w:val="24"/>
        </w:rPr>
        <w:t xml:space="preserve">also </w:t>
      </w:r>
      <w:r w:rsidRPr="165183F2">
        <w:rPr>
          <w:rFonts w:ascii="Times New Roman" w:hAnsi="Times New Roman" w:cs="Times New Roman"/>
          <w:sz w:val="24"/>
          <w:szCs w:val="24"/>
        </w:rPr>
        <w:t xml:space="preserve">defines the applicable version of the Savanna Fire Management LDS Start Date and End Date spatial data layers. The applicable version is the </w:t>
      </w:r>
      <w:r w:rsidR="00343270" w:rsidRPr="165183F2">
        <w:rPr>
          <w:rFonts w:ascii="Times New Roman" w:hAnsi="Times New Roman" w:cs="Times New Roman"/>
          <w:sz w:val="24"/>
          <w:szCs w:val="24"/>
        </w:rPr>
        <w:t>version</w:t>
      </w:r>
      <w:r w:rsidRPr="165183F2">
        <w:rPr>
          <w:rFonts w:ascii="Times New Roman" w:hAnsi="Times New Roman" w:cs="Times New Roman"/>
          <w:sz w:val="24"/>
          <w:szCs w:val="24"/>
        </w:rPr>
        <w:t xml:space="preserve"> published on the</w:t>
      </w:r>
      <w:r w:rsidR="004D74F5" w:rsidRPr="165183F2">
        <w:rPr>
          <w:rFonts w:ascii="Times New Roman" w:hAnsi="Times New Roman" w:cs="Times New Roman"/>
          <w:sz w:val="24"/>
          <w:szCs w:val="24"/>
        </w:rPr>
        <w:t xml:space="preserve"> department</w:t>
      </w:r>
      <w:r w:rsidRPr="165183F2">
        <w:rPr>
          <w:rFonts w:ascii="Times New Roman" w:hAnsi="Times New Roman" w:cs="Times New Roman"/>
          <w:sz w:val="24"/>
          <w:szCs w:val="24"/>
        </w:rPr>
        <w:t xml:space="preserve">’s website and in force on 30 June of the calendar year prior to the year being reported on. This incorporation is consistent with paragraph 106(8)(b) of the Act and subsection 14(2) of the </w:t>
      </w:r>
      <w:r w:rsidRPr="165183F2">
        <w:rPr>
          <w:rFonts w:ascii="Times New Roman" w:hAnsi="Times New Roman" w:cs="Times New Roman"/>
          <w:i/>
          <w:iCs/>
          <w:sz w:val="24"/>
          <w:szCs w:val="24"/>
        </w:rPr>
        <w:t>Legislation Act 2003</w:t>
      </w:r>
      <w:r w:rsidRPr="165183F2">
        <w:rPr>
          <w:rFonts w:ascii="Times New Roman" w:hAnsi="Times New Roman" w:cs="Times New Roman"/>
          <w:sz w:val="24"/>
          <w:szCs w:val="24"/>
        </w:rPr>
        <w:t xml:space="preserve">. </w:t>
      </w:r>
      <w:r w:rsidR="00025137" w:rsidRPr="165183F2">
        <w:rPr>
          <w:rFonts w:ascii="Times New Roman" w:hAnsi="Times New Roman" w:cs="Times New Roman"/>
          <w:sz w:val="24"/>
          <w:szCs w:val="24"/>
        </w:rPr>
        <w:t xml:space="preserve">As of </w:t>
      </w:r>
      <w:r w:rsidR="00AD7BCF" w:rsidRPr="165183F2">
        <w:rPr>
          <w:rFonts w:ascii="Times New Roman" w:hAnsi="Times New Roman" w:cs="Times New Roman"/>
          <w:sz w:val="24"/>
          <w:szCs w:val="24"/>
        </w:rPr>
        <w:t>[</w:t>
      </w:r>
      <w:r w:rsidR="005225E7" w:rsidRPr="165183F2">
        <w:rPr>
          <w:rFonts w:ascii="Times New Roman" w:hAnsi="Times New Roman" w:cs="Times New Roman"/>
          <w:sz w:val="24"/>
          <w:szCs w:val="24"/>
        </w:rPr>
        <w:t>DD Month</w:t>
      </w:r>
      <w:r w:rsidR="00025137" w:rsidRPr="165183F2">
        <w:rPr>
          <w:rFonts w:ascii="Times New Roman" w:hAnsi="Times New Roman" w:cs="Times New Roman"/>
          <w:sz w:val="24"/>
          <w:szCs w:val="24"/>
        </w:rPr>
        <w:t xml:space="preserve"> 2025</w:t>
      </w:r>
      <w:r w:rsidR="00AD7BCF" w:rsidRPr="165183F2">
        <w:rPr>
          <w:rFonts w:ascii="Times New Roman" w:hAnsi="Times New Roman" w:cs="Times New Roman"/>
          <w:sz w:val="24"/>
          <w:szCs w:val="24"/>
        </w:rPr>
        <w:t>]</w:t>
      </w:r>
      <w:r w:rsidR="00025137" w:rsidRPr="165183F2">
        <w:rPr>
          <w:rFonts w:ascii="Times New Roman" w:hAnsi="Times New Roman" w:cs="Times New Roman"/>
          <w:sz w:val="24"/>
          <w:szCs w:val="24"/>
        </w:rPr>
        <w:t xml:space="preserve">, they can be freely accessed via the </w:t>
      </w:r>
      <w:r w:rsidR="005216C0" w:rsidRPr="165183F2">
        <w:rPr>
          <w:rFonts w:ascii="Times New Roman" w:hAnsi="Times New Roman" w:cs="Times New Roman"/>
          <w:sz w:val="24"/>
          <w:szCs w:val="24"/>
        </w:rPr>
        <w:t>D</w:t>
      </w:r>
      <w:r w:rsidR="00025137" w:rsidRPr="165183F2">
        <w:rPr>
          <w:rFonts w:ascii="Times New Roman" w:hAnsi="Times New Roman" w:cs="Times New Roman"/>
          <w:sz w:val="24"/>
          <w:szCs w:val="24"/>
        </w:rPr>
        <w:t>epartment’s website.</w:t>
      </w:r>
    </w:p>
    <w:p w14:paraId="1E633998" w14:textId="1DE53C15" w:rsidR="00D8761E" w:rsidRDefault="0058181E"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Any updates to the timing of the late dry season will be automatically reflected in </w:t>
      </w:r>
      <w:proofErr w:type="spellStart"/>
      <w:r w:rsidR="00DF5C26" w:rsidRPr="33750E9F">
        <w:rPr>
          <w:rFonts w:ascii="Times New Roman" w:hAnsi="Times New Roman" w:cs="Times New Roman"/>
          <w:sz w:val="24"/>
          <w:szCs w:val="24"/>
        </w:rPr>
        <w:t>SavCAM</w:t>
      </w:r>
      <w:proofErr w:type="spellEnd"/>
      <w:r w:rsidRPr="33750E9F">
        <w:rPr>
          <w:rFonts w:ascii="Times New Roman" w:hAnsi="Times New Roman" w:cs="Times New Roman"/>
          <w:sz w:val="24"/>
          <w:szCs w:val="24"/>
        </w:rPr>
        <w:t xml:space="preserve"> for the relevant calendar years.</w:t>
      </w:r>
    </w:p>
    <w:p w14:paraId="11465D31" w14:textId="66171C90" w:rsidR="00D8761E" w:rsidRPr="002E269B" w:rsidRDefault="00D8761E"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7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Meaning of </w:t>
      </w:r>
      <w:r w:rsidR="0076059B" w:rsidRPr="33750E9F">
        <w:rPr>
          <w:rFonts w:ascii="Times New Roman" w:hAnsi="Times New Roman" w:cs="Times New Roman"/>
          <w:i/>
          <w:iCs/>
          <w:sz w:val="24"/>
          <w:szCs w:val="24"/>
          <w:u w:val="single"/>
        </w:rPr>
        <w:t>baseline period</w:t>
      </w:r>
      <w:r w:rsidR="0076059B" w:rsidRPr="33750E9F">
        <w:rPr>
          <w:rFonts w:ascii="Times New Roman" w:hAnsi="Times New Roman" w:cs="Times New Roman"/>
          <w:sz w:val="24"/>
          <w:szCs w:val="24"/>
          <w:u w:val="single"/>
        </w:rPr>
        <w:t xml:space="preserve"> </w:t>
      </w:r>
    </w:p>
    <w:p w14:paraId="52710184" w14:textId="2BA4339E" w:rsidR="00FC67A9" w:rsidRPr="00544674" w:rsidRDefault="00FC67A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7(1) sets out the general rule for determining the </w:t>
      </w:r>
      <w:r w:rsidRPr="004062A8">
        <w:rPr>
          <w:rFonts w:ascii="Times New Roman" w:hAnsi="Times New Roman" w:cs="Times New Roman"/>
          <w:b/>
          <w:i/>
          <w:sz w:val="24"/>
          <w:szCs w:val="24"/>
        </w:rPr>
        <w:t>baseline period</w:t>
      </w:r>
      <w:r w:rsidRPr="33750E9F">
        <w:rPr>
          <w:rFonts w:ascii="Times New Roman" w:hAnsi="Times New Roman" w:cs="Times New Roman"/>
          <w:sz w:val="24"/>
          <w:szCs w:val="24"/>
        </w:rPr>
        <w:t xml:space="preserve"> for an area of land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w:t>
      </w:r>
      <w:r w:rsidRPr="33750E9F">
        <w:rPr>
          <w:rFonts w:ascii="Times New Roman" w:hAnsi="Times New Roman" w:cs="Times New Roman"/>
          <w:sz w:val="24"/>
          <w:szCs w:val="24"/>
        </w:rPr>
        <w:t xml:space="preserve"> The baseline period is defined as the 20 calendar years immediately preceding:</w:t>
      </w:r>
    </w:p>
    <w:p w14:paraId="5453F3DA" w14:textId="77777777" w:rsidR="00FC67A9" w:rsidRPr="00544674" w:rsidRDefault="00FC67A9"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 xml:space="preserve">the calendar year in which the crediting period begins, for areas of land that were part of the project area identified in the </w:t>
      </w:r>
      <w:r w:rsidRPr="165183F2">
        <w:rPr>
          <w:rFonts w:ascii="Times New Roman" w:hAnsi="Times New Roman" w:cs="Times New Roman"/>
          <w:b/>
          <w:bCs/>
          <w:i/>
          <w:iCs/>
          <w:sz w:val="24"/>
          <w:szCs w:val="24"/>
        </w:rPr>
        <w:t>section 27 declaration</w:t>
      </w:r>
      <w:r w:rsidRPr="165183F2">
        <w:rPr>
          <w:rFonts w:ascii="Times New Roman" w:hAnsi="Times New Roman" w:cs="Times New Roman"/>
          <w:sz w:val="24"/>
          <w:szCs w:val="24"/>
        </w:rPr>
        <w:t xml:space="preserve"> when the project was first declared an eligible offsets project (paragraph 7(1)(a)); or</w:t>
      </w:r>
    </w:p>
    <w:p w14:paraId="33BED64D" w14:textId="77777777" w:rsidR="00FC67A9" w:rsidRPr="00544674" w:rsidRDefault="00FC67A9"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the calendar year in which a variation to the section 27 declaration took effect, for areas of land that were added to the project area </w:t>
      </w:r>
      <w:proofErr w:type="gramStart"/>
      <w:r w:rsidRPr="33750E9F">
        <w:rPr>
          <w:rFonts w:ascii="Times New Roman" w:hAnsi="Times New Roman" w:cs="Times New Roman"/>
          <w:sz w:val="24"/>
          <w:szCs w:val="24"/>
        </w:rPr>
        <w:t>at a later date</w:t>
      </w:r>
      <w:proofErr w:type="gramEnd"/>
      <w:r w:rsidRPr="33750E9F">
        <w:rPr>
          <w:rFonts w:ascii="Times New Roman" w:hAnsi="Times New Roman" w:cs="Times New Roman"/>
          <w:sz w:val="24"/>
          <w:szCs w:val="24"/>
        </w:rPr>
        <w:t xml:space="preserve"> (paragraph 7(1)(b)).</w:t>
      </w:r>
    </w:p>
    <w:p w14:paraId="3B301539" w14:textId="77777777" w:rsidR="00FC67A9" w:rsidRPr="00544674" w:rsidRDefault="00FC67A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This ensures that the baseline period reflects the most recent 20-year period prior to the commencement of crediting for each area of land.</w:t>
      </w:r>
    </w:p>
    <w:p w14:paraId="43902B8E" w14:textId="7257F425" w:rsidR="00FC67A9" w:rsidRPr="00544674" w:rsidRDefault="00FC67A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7(2) provides that</w:t>
      </w:r>
      <w:r w:rsidR="00731829">
        <w:rPr>
          <w:rFonts w:ascii="Times New Roman" w:hAnsi="Times New Roman" w:cs="Times New Roman"/>
          <w:sz w:val="24"/>
          <w:szCs w:val="24"/>
        </w:rPr>
        <w:t>,</w:t>
      </w:r>
      <w:r w:rsidRPr="33750E9F">
        <w:rPr>
          <w:rFonts w:ascii="Times New Roman" w:hAnsi="Times New Roman" w:cs="Times New Roman"/>
          <w:sz w:val="24"/>
          <w:szCs w:val="24"/>
        </w:rPr>
        <w:t xml:space="preserve"> for an area of land in a subdivided project area, the baseline period is the same as that of the original project area. This ensures continuity and consistency in baseline calculations following subdivision.</w:t>
      </w:r>
    </w:p>
    <w:p w14:paraId="0CE3C29A" w14:textId="3D3CB969" w:rsidR="00FC67A9" w:rsidRPr="00544674" w:rsidRDefault="00FC67A9"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Subsection 7(3) provides that for an area of land in a transferring project </w:t>
      </w:r>
      <w:proofErr w:type="gramStart"/>
      <w:r w:rsidRPr="165183F2">
        <w:rPr>
          <w:rFonts w:ascii="Times New Roman" w:hAnsi="Times New Roman" w:cs="Times New Roman"/>
          <w:sz w:val="24"/>
          <w:szCs w:val="24"/>
        </w:rPr>
        <w:t>area,</w:t>
      </w:r>
      <w:proofErr w:type="gramEnd"/>
      <w:r w:rsidRPr="165183F2">
        <w:rPr>
          <w:rFonts w:ascii="Times New Roman" w:hAnsi="Times New Roman" w:cs="Times New Roman"/>
          <w:sz w:val="24"/>
          <w:szCs w:val="24"/>
        </w:rPr>
        <w:t xml:space="preserve"> the baseline period is preserved from the former determination. This maintains alignment with the historical baseline period already established under the </w:t>
      </w:r>
      <w:r w:rsidR="00135981" w:rsidRPr="165183F2">
        <w:rPr>
          <w:rFonts w:ascii="Times New Roman" w:hAnsi="Times New Roman" w:cs="Times New Roman"/>
          <w:sz w:val="24"/>
          <w:szCs w:val="24"/>
        </w:rPr>
        <w:t>former determination</w:t>
      </w:r>
      <w:r w:rsidRPr="165183F2">
        <w:rPr>
          <w:rFonts w:ascii="Times New Roman" w:hAnsi="Times New Roman" w:cs="Times New Roman"/>
          <w:sz w:val="24"/>
          <w:szCs w:val="24"/>
        </w:rPr>
        <w:t>.</w:t>
      </w:r>
    </w:p>
    <w:p w14:paraId="6253D6AC" w14:textId="6CE9F5DE" w:rsidR="00FB62C5" w:rsidRDefault="00FB62C5" w:rsidP="008103FF">
      <w:pPr>
        <w:spacing w:after="160" w:line="276" w:lineRule="auto"/>
        <w:rPr>
          <w:rFonts w:ascii="Times New Roman" w:hAnsi="Times New Roman" w:cs="Times New Roman"/>
          <w:sz w:val="24"/>
          <w:szCs w:val="24"/>
        </w:rPr>
      </w:pPr>
      <w:r w:rsidRPr="003A327E">
        <w:rPr>
          <w:rFonts w:ascii="Times New Roman" w:hAnsi="Times New Roman" w:cs="Times New Roman"/>
          <w:b/>
          <w:i/>
          <w:sz w:val="24"/>
          <w:szCs w:val="24"/>
        </w:rPr>
        <w:t>Capacity building fire management</w:t>
      </w:r>
      <w:r w:rsidRPr="33750E9F">
        <w:rPr>
          <w:rFonts w:ascii="Times New Roman" w:hAnsi="Times New Roman" w:cs="Times New Roman"/>
          <w:sz w:val="24"/>
          <w:szCs w:val="24"/>
        </w:rPr>
        <w:t xml:space="preserve"> is defined in section 5 as planned and intended early dry season burning that is conducted to enable land managers to develop knowledge, skills and processes relevant to early dry season fire management.</w:t>
      </w:r>
    </w:p>
    <w:p w14:paraId="048509A2" w14:textId="170771BF" w:rsidR="00457401" w:rsidRPr="00457401" w:rsidRDefault="00FC67A9"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Subsection 7(4) applies to areas of land </w:t>
      </w:r>
      <w:r w:rsidR="00457401" w:rsidRPr="165183F2">
        <w:rPr>
          <w:rFonts w:ascii="Times New Roman" w:hAnsi="Times New Roman" w:cs="Times New Roman"/>
          <w:sz w:val="24"/>
          <w:szCs w:val="24"/>
        </w:rPr>
        <w:t xml:space="preserve">that are not a transferring project area </w:t>
      </w:r>
      <w:r w:rsidRPr="165183F2">
        <w:rPr>
          <w:rFonts w:ascii="Times New Roman" w:hAnsi="Times New Roman" w:cs="Times New Roman"/>
          <w:sz w:val="24"/>
          <w:szCs w:val="24"/>
        </w:rPr>
        <w:t>where capacity building fire management was conducted prior to the project’s crediting period.</w:t>
      </w:r>
      <w:r w:rsidR="00457401" w:rsidRPr="165183F2">
        <w:rPr>
          <w:rFonts w:ascii="Times New Roman" w:hAnsi="Times New Roman" w:cs="Times New Roman"/>
        </w:rPr>
        <w:t xml:space="preserve"> </w:t>
      </w:r>
      <w:r w:rsidR="00457401" w:rsidRPr="165183F2">
        <w:rPr>
          <w:rFonts w:ascii="Times New Roman" w:hAnsi="Times New Roman" w:cs="Times New Roman"/>
          <w:sz w:val="24"/>
          <w:szCs w:val="24"/>
        </w:rPr>
        <w:t>If</w:t>
      </w:r>
      <w:r w:rsidR="000120AD" w:rsidRPr="165183F2">
        <w:rPr>
          <w:rFonts w:ascii="Times New Roman" w:hAnsi="Times New Roman" w:cs="Times New Roman"/>
          <w:sz w:val="24"/>
          <w:szCs w:val="24"/>
        </w:rPr>
        <w:t xml:space="preserve"> capacity</w:t>
      </w:r>
      <w:r w:rsidR="00457401" w:rsidRPr="165183F2">
        <w:rPr>
          <w:rFonts w:ascii="Times New Roman" w:hAnsi="Times New Roman" w:cs="Times New Roman"/>
          <w:sz w:val="24"/>
          <w:szCs w:val="24"/>
        </w:rPr>
        <w:t xml:space="preserve"> fire management for capacity building has been carried out</w:t>
      </w:r>
      <w:r w:rsidR="004C1604" w:rsidRPr="165183F2">
        <w:rPr>
          <w:rFonts w:ascii="Times New Roman" w:hAnsi="Times New Roman" w:cs="Times New Roman"/>
          <w:sz w:val="24"/>
          <w:szCs w:val="24"/>
        </w:rPr>
        <w:t xml:space="preserve">, </w:t>
      </w:r>
      <w:r w:rsidR="00457401" w:rsidRPr="165183F2">
        <w:rPr>
          <w:rFonts w:ascii="Times New Roman" w:hAnsi="Times New Roman" w:cs="Times New Roman"/>
          <w:sz w:val="24"/>
          <w:szCs w:val="24"/>
        </w:rPr>
        <w:t>the baseline period used for carbon calculations depends on how long the fire management lasted</w:t>
      </w:r>
      <w:r w:rsidR="0012058D" w:rsidRPr="165183F2">
        <w:rPr>
          <w:rFonts w:ascii="Times New Roman" w:hAnsi="Times New Roman" w:cs="Times New Roman"/>
          <w:sz w:val="24"/>
          <w:szCs w:val="24"/>
        </w:rPr>
        <w:t>.</w:t>
      </w:r>
    </w:p>
    <w:p w14:paraId="7ECF483E" w14:textId="0BE5D8D3" w:rsidR="00457401" w:rsidRPr="003A327E" w:rsidRDefault="00457401"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3A327E">
        <w:rPr>
          <w:rFonts w:ascii="Times New Roman" w:hAnsi="Times New Roman" w:cs="Times New Roman"/>
          <w:sz w:val="24"/>
          <w:szCs w:val="24"/>
        </w:rPr>
        <w:t xml:space="preserve">If it lasted 6 years or less, the baseline is the 20 calendar years ending in the year the </w:t>
      </w:r>
      <w:r w:rsidR="004C1604">
        <w:rPr>
          <w:rFonts w:ascii="Times New Roman" w:hAnsi="Times New Roman" w:cs="Times New Roman"/>
          <w:sz w:val="24"/>
          <w:szCs w:val="24"/>
        </w:rPr>
        <w:t xml:space="preserve">capacity fire </w:t>
      </w:r>
      <w:r w:rsidRPr="003A327E">
        <w:rPr>
          <w:rFonts w:ascii="Times New Roman" w:hAnsi="Times New Roman" w:cs="Times New Roman"/>
          <w:sz w:val="24"/>
          <w:szCs w:val="24"/>
        </w:rPr>
        <w:t>management began.</w:t>
      </w:r>
    </w:p>
    <w:p w14:paraId="1A713B9D" w14:textId="7921C54C" w:rsidR="00FC67A9" w:rsidRPr="00544674" w:rsidRDefault="00457401"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 xml:space="preserve">If it lasted more than 6 years, the baseline is the 20 calendar years </w:t>
      </w:r>
      <w:r w:rsidR="00F37EA1" w:rsidRPr="165183F2">
        <w:rPr>
          <w:rFonts w:ascii="Times New Roman" w:hAnsi="Times New Roman" w:cs="Times New Roman"/>
          <w:sz w:val="24"/>
          <w:szCs w:val="24"/>
        </w:rPr>
        <w:t xml:space="preserve">before the project is </w:t>
      </w:r>
      <w:r w:rsidR="003755BE" w:rsidRPr="165183F2">
        <w:rPr>
          <w:rFonts w:ascii="Times New Roman" w:hAnsi="Times New Roman" w:cs="Times New Roman"/>
          <w:sz w:val="24"/>
          <w:szCs w:val="24"/>
        </w:rPr>
        <w:t>registered.</w:t>
      </w:r>
    </w:p>
    <w:p w14:paraId="0508A864" w14:textId="7A9DB012" w:rsidR="00FC67A9" w:rsidRPr="00544674" w:rsidRDefault="00FC67A9" w:rsidP="008103FF">
      <w:pPr>
        <w:spacing w:after="160" w:line="276" w:lineRule="auto"/>
        <w:rPr>
          <w:rFonts w:ascii="Times New Roman" w:hAnsi="Times New Roman" w:cs="Times New Roman"/>
          <w:color w:val="FF0000"/>
          <w:sz w:val="24"/>
          <w:szCs w:val="24"/>
        </w:rPr>
      </w:pPr>
      <w:r w:rsidRPr="33750E9F">
        <w:rPr>
          <w:rFonts w:ascii="Times New Roman" w:hAnsi="Times New Roman" w:cs="Times New Roman"/>
          <w:sz w:val="24"/>
          <w:szCs w:val="24"/>
        </w:rPr>
        <w:t>This provision recognises the influence of long-term fire management activities on fire regimes and ensures that the baseline period reflects conditions prior to such interventions.</w:t>
      </w:r>
    </w:p>
    <w:p w14:paraId="430B6632" w14:textId="1AE41786" w:rsidR="00916FF9" w:rsidRPr="002E269B" w:rsidRDefault="00D673F2" w:rsidP="008103FF">
      <w:pPr>
        <w:spacing w:after="160" w:line="276" w:lineRule="auto"/>
        <w:rPr>
          <w:rFonts w:ascii="Times New Roman" w:eastAsia="Times New Roman" w:hAnsi="Times New Roman" w:cs="Times New Roman"/>
          <w:color w:val="000000" w:themeColor="text1"/>
          <w:sz w:val="24"/>
          <w:szCs w:val="24"/>
          <w:lang w:eastAsia="en-AU"/>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8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Updates to external documents as in force from time to time</w:t>
      </w:r>
    </w:p>
    <w:p w14:paraId="654DB85B" w14:textId="08DA14F9" w:rsidR="00973B8F" w:rsidRPr="00896702" w:rsidRDefault="0066508D" w:rsidP="008103FF">
      <w:pPr>
        <w:spacing w:after="160" w:line="276" w:lineRule="auto"/>
        <w:rPr>
          <w:rFonts w:ascii="Times New Roman" w:eastAsia="Times New Roman" w:hAnsi="Times New Roman" w:cs="Times New Roman"/>
          <w:color w:val="7030A0"/>
          <w:lang w:eastAsia="en-AU"/>
        </w:rPr>
      </w:pPr>
      <w:r w:rsidRPr="165183F2">
        <w:rPr>
          <w:rFonts w:ascii="Times New Roman" w:eastAsia="Times New Roman" w:hAnsi="Times New Roman" w:cs="Times New Roman"/>
          <w:color w:val="000000" w:themeColor="text1"/>
          <w:sz w:val="24"/>
          <w:szCs w:val="24"/>
          <w:lang w:eastAsia="en-AU"/>
        </w:rPr>
        <w:t xml:space="preserve">The </w:t>
      </w:r>
      <w:r w:rsidR="004D74F5" w:rsidRPr="165183F2">
        <w:rPr>
          <w:rFonts w:ascii="Times New Roman" w:eastAsia="Times New Roman" w:hAnsi="Times New Roman" w:cs="Times New Roman"/>
          <w:color w:val="000000" w:themeColor="text1"/>
          <w:sz w:val="24"/>
          <w:szCs w:val="24"/>
          <w:lang w:eastAsia="en-AU"/>
        </w:rPr>
        <w:t>determination</w:t>
      </w:r>
      <w:r w:rsidR="00D45148" w:rsidRPr="165183F2">
        <w:rPr>
          <w:rFonts w:ascii="Times New Roman" w:eastAsia="Times New Roman" w:hAnsi="Times New Roman" w:cs="Times New Roman"/>
          <w:color w:val="000000" w:themeColor="text1"/>
          <w:sz w:val="24"/>
          <w:szCs w:val="24"/>
          <w:lang w:eastAsia="en-AU"/>
        </w:rPr>
        <w:t xml:space="preserve"> </w:t>
      </w:r>
      <w:r w:rsidR="00872098" w:rsidRPr="165183F2">
        <w:rPr>
          <w:rFonts w:ascii="Times New Roman" w:eastAsia="Times New Roman" w:hAnsi="Times New Roman" w:cs="Times New Roman"/>
          <w:color w:val="000000" w:themeColor="text1"/>
          <w:sz w:val="24"/>
          <w:szCs w:val="24"/>
          <w:lang w:eastAsia="en-AU"/>
        </w:rPr>
        <w:t xml:space="preserve">recognises that abatement estimates within the </w:t>
      </w:r>
      <w:r w:rsidR="004D74F5" w:rsidRPr="165183F2">
        <w:rPr>
          <w:rFonts w:ascii="Times New Roman" w:eastAsia="Times New Roman" w:hAnsi="Times New Roman" w:cs="Times New Roman"/>
          <w:color w:val="000000" w:themeColor="text1"/>
          <w:sz w:val="24"/>
          <w:szCs w:val="24"/>
          <w:lang w:eastAsia="en-AU"/>
        </w:rPr>
        <w:t>determination</w:t>
      </w:r>
      <w:r w:rsidR="00872098" w:rsidRPr="165183F2">
        <w:rPr>
          <w:rFonts w:ascii="Times New Roman" w:eastAsia="Times New Roman" w:hAnsi="Times New Roman" w:cs="Times New Roman"/>
          <w:color w:val="000000" w:themeColor="text1"/>
          <w:sz w:val="24"/>
          <w:szCs w:val="24"/>
          <w:lang w:eastAsia="en-AU"/>
        </w:rPr>
        <w:t xml:space="preserve"> are underpinned by science that is undergoing continuing development and improvement. </w:t>
      </w:r>
      <w:r w:rsidR="0056519B" w:rsidRPr="165183F2">
        <w:rPr>
          <w:rFonts w:ascii="Times New Roman" w:eastAsia="Times New Roman" w:hAnsi="Times New Roman" w:cs="Times New Roman"/>
          <w:color w:val="000000" w:themeColor="text1"/>
          <w:sz w:val="24"/>
          <w:szCs w:val="24"/>
          <w:lang w:eastAsia="en-AU"/>
        </w:rPr>
        <w:t xml:space="preserve">Accordingly, the </w:t>
      </w:r>
      <w:r w:rsidR="004D74F5" w:rsidRPr="165183F2">
        <w:rPr>
          <w:rFonts w:ascii="Times New Roman" w:hAnsi="Times New Roman" w:cs="Times New Roman"/>
          <w:sz w:val="24"/>
          <w:szCs w:val="24"/>
        </w:rPr>
        <w:t>determination</w:t>
      </w:r>
      <w:r w:rsidR="00D26BF4" w:rsidRPr="165183F2">
        <w:rPr>
          <w:rFonts w:ascii="Times New Roman" w:hAnsi="Times New Roman" w:cs="Times New Roman"/>
          <w:sz w:val="24"/>
          <w:szCs w:val="24"/>
        </w:rPr>
        <w:t xml:space="preserve"> </w:t>
      </w:r>
      <w:proofErr w:type="gramStart"/>
      <w:r w:rsidR="00D26BF4" w:rsidRPr="165183F2">
        <w:rPr>
          <w:rFonts w:ascii="Times New Roman" w:hAnsi="Times New Roman" w:cs="Times New Roman"/>
          <w:sz w:val="24"/>
          <w:szCs w:val="24"/>
        </w:rPr>
        <w:t>makes reference</w:t>
      </w:r>
      <w:proofErr w:type="gramEnd"/>
      <w:r w:rsidR="00D26BF4" w:rsidRPr="165183F2">
        <w:rPr>
          <w:rFonts w:ascii="Times New Roman" w:hAnsi="Times New Roman" w:cs="Times New Roman"/>
          <w:sz w:val="24"/>
          <w:szCs w:val="24"/>
        </w:rPr>
        <w:t xml:space="preserve"> to different documents as </w:t>
      </w:r>
      <w:r w:rsidR="0039557A" w:rsidRPr="165183F2">
        <w:rPr>
          <w:rFonts w:ascii="Times New Roman" w:hAnsi="Times New Roman" w:cs="Times New Roman"/>
          <w:sz w:val="24"/>
          <w:szCs w:val="24"/>
        </w:rPr>
        <w:t xml:space="preserve">they are </w:t>
      </w:r>
      <w:r w:rsidR="00D26BF4" w:rsidRPr="165183F2">
        <w:rPr>
          <w:rFonts w:ascii="Times New Roman" w:hAnsi="Times New Roman" w:cs="Times New Roman"/>
          <w:sz w:val="24"/>
          <w:szCs w:val="24"/>
        </w:rPr>
        <w:t xml:space="preserve">in force </w:t>
      </w:r>
      <w:r w:rsidR="0088063D" w:rsidRPr="165183F2">
        <w:rPr>
          <w:rFonts w:ascii="Times New Roman" w:hAnsi="Times New Roman" w:cs="Times New Roman"/>
          <w:sz w:val="24"/>
          <w:szCs w:val="24"/>
        </w:rPr>
        <w:t xml:space="preserve">or existing </w:t>
      </w:r>
      <w:r w:rsidR="00D26BF4" w:rsidRPr="165183F2">
        <w:rPr>
          <w:rFonts w:ascii="Times New Roman" w:hAnsi="Times New Roman" w:cs="Times New Roman"/>
          <w:sz w:val="24"/>
          <w:szCs w:val="24"/>
        </w:rPr>
        <w:t>from time to time as permitted by paragraph 106(8)(</w:t>
      </w:r>
      <w:r w:rsidR="00AB2D95" w:rsidRPr="165183F2">
        <w:rPr>
          <w:rFonts w:ascii="Times New Roman" w:hAnsi="Times New Roman" w:cs="Times New Roman"/>
          <w:sz w:val="24"/>
          <w:szCs w:val="24"/>
        </w:rPr>
        <w:t>b</w:t>
      </w:r>
      <w:r w:rsidR="00D26BF4" w:rsidRPr="165183F2">
        <w:rPr>
          <w:rFonts w:ascii="Times New Roman" w:hAnsi="Times New Roman" w:cs="Times New Roman"/>
          <w:sz w:val="24"/>
          <w:szCs w:val="24"/>
        </w:rPr>
        <w:t xml:space="preserve">) of the Act. </w:t>
      </w:r>
      <w:r w:rsidR="00442718" w:rsidRPr="165183F2">
        <w:rPr>
          <w:rFonts w:ascii="Times New Roman" w:eastAsia="Times New Roman" w:hAnsi="Times New Roman" w:cs="Times New Roman"/>
          <w:color w:val="000000" w:themeColor="text1"/>
          <w:sz w:val="24"/>
          <w:szCs w:val="24"/>
          <w:lang w:eastAsia="en-AU"/>
        </w:rPr>
        <w:t>Section 8</w:t>
      </w:r>
      <w:r w:rsidR="00872098" w:rsidRPr="165183F2">
        <w:rPr>
          <w:rFonts w:ascii="Times New Roman" w:eastAsia="Times New Roman" w:hAnsi="Times New Roman" w:cs="Times New Roman"/>
          <w:color w:val="000000" w:themeColor="text1"/>
          <w:sz w:val="24"/>
          <w:szCs w:val="24"/>
          <w:lang w:eastAsia="en-AU"/>
        </w:rPr>
        <w:t xml:space="preserve"> </w:t>
      </w:r>
      <w:r w:rsidR="00D26BF4" w:rsidRPr="165183F2">
        <w:rPr>
          <w:rFonts w:ascii="Times New Roman" w:eastAsia="Times New Roman" w:hAnsi="Times New Roman" w:cs="Times New Roman"/>
          <w:color w:val="000000" w:themeColor="text1"/>
          <w:sz w:val="24"/>
          <w:szCs w:val="24"/>
          <w:lang w:eastAsia="en-AU"/>
        </w:rPr>
        <w:t>outlines the</w:t>
      </w:r>
      <w:r w:rsidR="00872098" w:rsidRPr="165183F2">
        <w:rPr>
          <w:rFonts w:ascii="Times New Roman" w:eastAsia="Times New Roman" w:hAnsi="Times New Roman" w:cs="Times New Roman"/>
          <w:color w:val="000000" w:themeColor="text1"/>
          <w:sz w:val="24"/>
          <w:szCs w:val="24"/>
          <w:lang w:eastAsia="en-AU"/>
        </w:rPr>
        <w:t xml:space="preserve"> processes for updating </w:t>
      </w:r>
      <w:r w:rsidR="005F5AE6" w:rsidRPr="165183F2">
        <w:rPr>
          <w:rFonts w:ascii="Times New Roman" w:eastAsia="Times New Roman" w:hAnsi="Times New Roman" w:cs="Times New Roman"/>
          <w:color w:val="000000" w:themeColor="text1"/>
          <w:sz w:val="24"/>
          <w:szCs w:val="24"/>
          <w:lang w:eastAsia="en-AU"/>
        </w:rPr>
        <w:t>these documents</w:t>
      </w:r>
      <w:r w:rsidR="00872098" w:rsidRPr="165183F2">
        <w:rPr>
          <w:rFonts w:ascii="Times New Roman" w:eastAsia="Times New Roman" w:hAnsi="Times New Roman" w:cs="Times New Roman"/>
          <w:color w:val="000000" w:themeColor="text1"/>
          <w:sz w:val="24"/>
          <w:szCs w:val="24"/>
          <w:lang w:eastAsia="en-AU"/>
        </w:rPr>
        <w:t xml:space="preserve">. Updates to </w:t>
      </w:r>
      <w:r w:rsidR="005F5AE6" w:rsidRPr="165183F2">
        <w:rPr>
          <w:rFonts w:ascii="Times New Roman" w:eastAsia="Times New Roman" w:hAnsi="Times New Roman" w:cs="Times New Roman"/>
          <w:color w:val="000000" w:themeColor="text1"/>
          <w:sz w:val="24"/>
          <w:szCs w:val="24"/>
          <w:lang w:eastAsia="en-AU"/>
        </w:rPr>
        <w:t>these documents</w:t>
      </w:r>
      <w:r w:rsidR="00872098" w:rsidRPr="165183F2">
        <w:rPr>
          <w:rFonts w:ascii="Times New Roman" w:eastAsia="Times New Roman" w:hAnsi="Times New Roman" w:cs="Times New Roman"/>
          <w:color w:val="000000" w:themeColor="text1"/>
          <w:sz w:val="24"/>
          <w:szCs w:val="24"/>
          <w:lang w:eastAsia="en-AU"/>
        </w:rPr>
        <w:t xml:space="preserve"> might include updates which reflect and incorporate improved science to inform more robust abatement calculations.</w:t>
      </w:r>
    </w:p>
    <w:p w14:paraId="2D476678" w14:textId="2889E1BF" w:rsidR="00741A2B" w:rsidRPr="00327CD6" w:rsidRDefault="00694D05" w:rsidP="008103FF">
      <w:pPr>
        <w:spacing w:after="160" w:line="276" w:lineRule="auto"/>
        <w:rPr>
          <w:rFonts w:ascii="Times New Roman" w:eastAsia="Times New Roman" w:hAnsi="Times New Roman" w:cs="Times New Roman"/>
          <w:color w:val="000000" w:themeColor="text1"/>
          <w:sz w:val="24"/>
          <w:szCs w:val="24"/>
          <w:lang w:eastAsia="en-AU"/>
        </w:rPr>
      </w:pPr>
      <w:r w:rsidRPr="33750E9F">
        <w:rPr>
          <w:rFonts w:ascii="Times New Roman" w:eastAsia="Times New Roman" w:hAnsi="Times New Roman" w:cs="Times New Roman"/>
          <w:color w:val="000000" w:themeColor="text1"/>
          <w:sz w:val="24"/>
          <w:szCs w:val="24"/>
          <w:lang w:eastAsia="en-AU"/>
        </w:rPr>
        <w:t>Subsection 8(1</w:t>
      </w:r>
      <w:r w:rsidRPr="33750E9F" w:rsidDel="00530F37">
        <w:rPr>
          <w:rFonts w:ascii="Times New Roman" w:eastAsia="Times New Roman" w:hAnsi="Times New Roman" w:cs="Times New Roman"/>
          <w:color w:val="000000" w:themeColor="text1"/>
          <w:sz w:val="24"/>
          <w:szCs w:val="24"/>
          <w:lang w:eastAsia="en-AU"/>
        </w:rPr>
        <w:t>)</w:t>
      </w:r>
      <w:r w:rsidRPr="33750E9F">
        <w:rPr>
          <w:rFonts w:ascii="Times New Roman" w:eastAsia="Times New Roman" w:hAnsi="Times New Roman" w:cs="Times New Roman"/>
          <w:color w:val="000000" w:themeColor="text1"/>
          <w:sz w:val="24"/>
          <w:szCs w:val="24"/>
          <w:lang w:eastAsia="en-AU"/>
        </w:rPr>
        <w:t xml:space="preserve"> provides that </w:t>
      </w:r>
      <w:r w:rsidR="006E3085" w:rsidRPr="33750E9F">
        <w:rPr>
          <w:rFonts w:ascii="Times New Roman" w:eastAsia="Times New Roman" w:hAnsi="Times New Roman" w:cs="Times New Roman"/>
          <w:color w:val="000000" w:themeColor="text1"/>
          <w:sz w:val="24"/>
          <w:szCs w:val="24"/>
          <w:lang w:eastAsia="en-AU"/>
        </w:rPr>
        <w:t>an updated document is only taken to be in force</w:t>
      </w:r>
      <w:r w:rsidR="00872098" w:rsidRPr="33750E9F">
        <w:rPr>
          <w:rFonts w:ascii="Times New Roman" w:eastAsia="Times New Roman" w:hAnsi="Times New Roman" w:cs="Times New Roman"/>
          <w:color w:val="000000" w:themeColor="text1"/>
          <w:sz w:val="24"/>
          <w:szCs w:val="24"/>
          <w:lang w:eastAsia="en-AU"/>
        </w:rPr>
        <w:t xml:space="preserve"> </w:t>
      </w:r>
      <w:r w:rsidR="006E3085" w:rsidRPr="33750E9F">
        <w:rPr>
          <w:rFonts w:ascii="Times New Roman" w:eastAsia="Times New Roman" w:hAnsi="Times New Roman" w:cs="Times New Roman"/>
          <w:color w:val="000000" w:themeColor="text1"/>
          <w:sz w:val="24"/>
          <w:szCs w:val="24"/>
          <w:lang w:eastAsia="en-AU"/>
        </w:rPr>
        <w:t xml:space="preserve">if it </w:t>
      </w:r>
      <w:r w:rsidR="00BE73E0">
        <w:rPr>
          <w:rFonts w:ascii="Times New Roman" w:eastAsia="Times New Roman" w:hAnsi="Times New Roman" w:cs="Times New Roman"/>
          <w:color w:val="000000" w:themeColor="text1"/>
          <w:sz w:val="24"/>
          <w:szCs w:val="24"/>
          <w:lang w:eastAsia="en-AU"/>
        </w:rPr>
        <w:t>includes or</w:t>
      </w:r>
      <w:r w:rsidR="006E3085" w:rsidRPr="00890C27">
        <w:rPr>
          <w:rFonts w:ascii="Times New Roman" w:eastAsia="Times New Roman" w:hAnsi="Times New Roman" w:cs="Times New Roman"/>
          <w:color w:val="000000" w:themeColor="text1"/>
          <w:sz w:val="24"/>
          <w:szCs w:val="24"/>
          <w:lang w:eastAsia="en-AU"/>
        </w:rPr>
        <w:t xml:space="preserve"> </w:t>
      </w:r>
      <w:r w:rsidR="006E3085" w:rsidRPr="33750E9F">
        <w:rPr>
          <w:rFonts w:ascii="Times New Roman" w:eastAsia="Times New Roman" w:hAnsi="Times New Roman" w:cs="Times New Roman"/>
          <w:color w:val="000000" w:themeColor="text1"/>
          <w:sz w:val="24"/>
          <w:szCs w:val="24"/>
          <w:lang w:eastAsia="en-AU"/>
        </w:rPr>
        <w:t xml:space="preserve">is </w:t>
      </w:r>
      <w:r w:rsidR="006E3085" w:rsidRPr="00327CD6">
        <w:rPr>
          <w:rFonts w:ascii="Times New Roman" w:eastAsia="Times New Roman" w:hAnsi="Times New Roman" w:cs="Times New Roman"/>
          <w:color w:val="000000" w:themeColor="text1"/>
          <w:sz w:val="24"/>
          <w:szCs w:val="24"/>
          <w:lang w:eastAsia="en-AU"/>
        </w:rPr>
        <w:t>published</w:t>
      </w:r>
      <w:r w:rsidR="00872098" w:rsidRPr="00327CD6">
        <w:rPr>
          <w:rFonts w:ascii="Times New Roman" w:eastAsia="Times New Roman" w:hAnsi="Times New Roman" w:cs="Times New Roman"/>
          <w:color w:val="000000" w:themeColor="text1"/>
          <w:sz w:val="24"/>
          <w:szCs w:val="24"/>
          <w:lang w:eastAsia="en-AU"/>
        </w:rPr>
        <w:t xml:space="preserve"> with</w:t>
      </w:r>
      <w:r w:rsidR="00741A2B" w:rsidRPr="00327CD6">
        <w:rPr>
          <w:rFonts w:ascii="Times New Roman" w:eastAsia="Times New Roman" w:hAnsi="Times New Roman" w:cs="Times New Roman"/>
          <w:color w:val="000000" w:themeColor="text1"/>
          <w:sz w:val="24"/>
          <w:szCs w:val="24"/>
          <w:lang w:eastAsia="en-AU"/>
        </w:rPr>
        <w:t>:</w:t>
      </w:r>
    </w:p>
    <w:p w14:paraId="1D011015" w14:textId="5FB15E62" w:rsidR="0031780F" w:rsidRDefault="00872098"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lang w:eastAsia="en-AU"/>
        </w:rPr>
      </w:pPr>
      <w:r w:rsidRPr="0031780F">
        <w:rPr>
          <w:rFonts w:ascii="Times New Roman" w:hAnsi="Times New Roman" w:cs="Times New Roman"/>
          <w:sz w:val="24"/>
          <w:szCs w:val="24"/>
        </w:rPr>
        <w:t xml:space="preserve">an accompanying </w:t>
      </w:r>
      <w:r w:rsidR="00ED3EFC" w:rsidRPr="0031780F">
        <w:rPr>
          <w:rFonts w:ascii="Times New Roman" w:hAnsi="Times New Roman" w:cs="Times New Roman"/>
          <w:sz w:val="24"/>
          <w:szCs w:val="24"/>
          <w:lang w:eastAsia="en-AU"/>
        </w:rPr>
        <w:t xml:space="preserve">document stating </w:t>
      </w:r>
      <w:r w:rsidRPr="0031780F">
        <w:rPr>
          <w:rFonts w:ascii="Times New Roman" w:hAnsi="Times New Roman" w:cs="Times New Roman"/>
          <w:sz w:val="24"/>
          <w:szCs w:val="24"/>
          <w:lang w:eastAsia="en-AU"/>
        </w:rPr>
        <w:t xml:space="preserve">the reason why the document has been </w:t>
      </w:r>
      <w:r w:rsidR="00ED3EFC" w:rsidRPr="0031780F">
        <w:rPr>
          <w:rFonts w:ascii="Times New Roman" w:hAnsi="Times New Roman" w:cs="Times New Roman"/>
          <w:sz w:val="24"/>
          <w:szCs w:val="24"/>
          <w:lang w:eastAsia="en-AU"/>
        </w:rPr>
        <w:t xml:space="preserve">updated </w:t>
      </w:r>
      <w:r w:rsidRPr="0031780F">
        <w:rPr>
          <w:rFonts w:ascii="Times New Roman" w:hAnsi="Times New Roman" w:cs="Times New Roman"/>
          <w:sz w:val="24"/>
          <w:szCs w:val="24"/>
          <w:lang w:eastAsia="en-AU"/>
        </w:rPr>
        <w:t xml:space="preserve">and an outline of the process undertaken to </w:t>
      </w:r>
      <w:r w:rsidR="00ED3EFC" w:rsidRPr="0031780F">
        <w:rPr>
          <w:rFonts w:ascii="Times New Roman" w:hAnsi="Times New Roman" w:cs="Times New Roman"/>
          <w:sz w:val="24"/>
          <w:szCs w:val="24"/>
          <w:lang w:eastAsia="en-AU"/>
        </w:rPr>
        <w:t>update the document</w:t>
      </w:r>
      <w:r w:rsidR="00327CD6" w:rsidRPr="0031780F">
        <w:rPr>
          <w:rFonts w:ascii="Times New Roman" w:hAnsi="Times New Roman" w:cs="Times New Roman"/>
          <w:sz w:val="24"/>
          <w:szCs w:val="24"/>
          <w:lang w:eastAsia="en-AU"/>
        </w:rPr>
        <w:t xml:space="preserve"> (</w:t>
      </w:r>
      <w:r w:rsidR="003B22B9" w:rsidRPr="00BD7069">
        <w:rPr>
          <w:rFonts w:ascii="Times New Roman" w:hAnsi="Times New Roman" w:cs="Times New Roman"/>
          <w:sz w:val="24"/>
          <w:szCs w:val="24"/>
          <w:lang w:eastAsia="en-AU"/>
        </w:rPr>
        <w:t xml:space="preserve">paragraph </w:t>
      </w:r>
      <w:r w:rsidR="00327CD6" w:rsidRPr="0031780F">
        <w:rPr>
          <w:rFonts w:ascii="Times New Roman" w:hAnsi="Times New Roman" w:cs="Times New Roman"/>
          <w:sz w:val="24"/>
          <w:szCs w:val="24"/>
          <w:lang w:eastAsia="en-AU"/>
        </w:rPr>
        <w:t>8</w:t>
      </w:r>
      <w:r w:rsidR="005F480B" w:rsidRPr="00BD7069">
        <w:rPr>
          <w:rFonts w:ascii="Times New Roman" w:hAnsi="Times New Roman" w:cs="Times New Roman"/>
          <w:sz w:val="24"/>
          <w:szCs w:val="24"/>
          <w:lang w:eastAsia="en-AU"/>
        </w:rPr>
        <w:t>(</w:t>
      </w:r>
      <w:r w:rsidR="00327CD6" w:rsidRPr="0031780F">
        <w:rPr>
          <w:rFonts w:ascii="Times New Roman" w:hAnsi="Times New Roman" w:cs="Times New Roman"/>
          <w:sz w:val="24"/>
          <w:szCs w:val="24"/>
          <w:lang w:eastAsia="en-AU"/>
        </w:rPr>
        <w:t>1)(a))</w:t>
      </w:r>
      <w:r w:rsidR="005F480B" w:rsidRPr="00BD7069">
        <w:rPr>
          <w:rFonts w:ascii="Times New Roman" w:hAnsi="Times New Roman" w:cs="Times New Roman"/>
          <w:sz w:val="24"/>
          <w:szCs w:val="24"/>
          <w:lang w:eastAsia="en-AU"/>
        </w:rPr>
        <w:t>;</w:t>
      </w:r>
      <w:r w:rsidR="00327CD6" w:rsidRPr="0031780F">
        <w:rPr>
          <w:rFonts w:ascii="Times New Roman" w:hAnsi="Times New Roman" w:cs="Times New Roman"/>
          <w:sz w:val="24"/>
          <w:szCs w:val="24"/>
          <w:lang w:eastAsia="en-AU"/>
        </w:rPr>
        <w:t xml:space="preserve"> and</w:t>
      </w:r>
    </w:p>
    <w:p w14:paraId="442B99E5" w14:textId="1532C557" w:rsidR="0076059B" w:rsidRPr="00896702" w:rsidRDefault="00327CD6" w:rsidP="008103FF">
      <w:pPr>
        <w:pStyle w:val="ListParagraph"/>
        <w:numPr>
          <w:ilvl w:val="0"/>
          <w:numId w:val="55"/>
        </w:numPr>
        <w:spacing w:after="160" w:line="276" w:lineRule="auto"/>
        <w:ind w:left="714" w:hanging="357"/>
        <w:contextualSpacing w:val="0"/>
        <w:rPr>
          <w:rFonts w:ascii="Times New Roman" w:hAnsi="Times New Roman" w:cs="Times New Roman"/>
          <w:lang w:eastAsia="en-AU"/>
        </w:rPr>
      </w:pPr>
      <w:r w:rsidRPr="00896702">
        <w:rPr>
          <w:rFonts w:ascii="Times New Roman" w:hAnsi="Times New Roman" w:cs="Times New Roman"/>
          <w:sz w:val="24"/>
          <w:szCs w:val="24"/>
        </w:rPr>
        <w:t>if</w:t>
      </w:r>
      <w:r w:rsidR="00872098" w:rsidRPr="00896702" w:rsidDel="00327CD6">
        <w:rPr>
          <w:rFonts w:ascii="Times New Roman" w:hAnsi="Times New Roman" w:cs="Times New Roman"/>
          <w:sz w:val="24"/>
          <w:szCs w:val="24"/>
        </w:rPr>
        <w:t xml:space="preserve"> the</w:t>
      </w:r>
      <w:r w:rsidR="00872098" w:rsidRPr="00896702">
        <w:rPr>
          <w:rFonts w:ascii="Times New Roman" w:hAnsi="Times New Roman" w:cs="Times New Roman"/>
          <w:sz w:val="24"/>
          <w:szCs w:val="24"/>
        </w:rPr>
        <w:t xml:space="preserve"> Emissions Reduction Assurance Committee </w:t>
      </w:r>
      <w:r w:rsidRPr="00896702">
        <w:rPr>
          <w:rFonts w:ascii="Times New Roman" w:hAnsi="Times New Roman" w:cs="Times New Roman"/>
          <w:sz w:val="24"/>
          <w:szCs w:val="24"/>
        </w:rPr>
        <w:t>provided any advice relating the update of the document, a copy of that advice (</w:t>
      </w:r>
      <w:r w:rsidR="005F480B" w:rsidRPr="00896702">
        <w:rPr>
          <w:rFonts w:ascii="Times New Roman" w:hAnsi="Times New Roman" w:cs="Times New Roman"/>
          <w:sz w:val="24"/>
          <w:szCs w:val="24"/>
        </w:rPr>
        <w:t xml:space="preserve">paragraph </w:t>
      </w:r>
      <w:r w:rsidRPr="00896702">
        <w:rPr>
          <w:rFonts w:ascii="Times New Roman" w:hAnsi="Times New Roman" w:cs="Times New Roman"/>
          <w:sz w:val="24"/>
          <w:szCs w:val="24"/>
        </w:rPr>
        <w:t>8(1)(b)).</w:t>
      </w:r>
      <w:r w:rsidRPr="00896702">
        <w:rPr>
          <w:rFonts w:ascii="Times New Roman" w:eastAsia="Times New Roman" w:hAnsi="Times New Roman" w:cs="Times New Roman"/>
          <w:color w:val="000000" w:themeColor="text1"/>
          <w:sz w:val="24"/>
          <w:szCs w:val="24"/>
          <w:lang w:eastAsia="en-AU"/>
        </w:rPr>
        <w:t xml:space="preserve"> </w:t>
      </w:r>
    </w:p>
    <w:p w14:paraId="66ADC1D2" w14:textId="433709D0" w:rsidR="0098572F" w:rsidRPr="00896702" w:rsidRDefault="002D3D38"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lastRenderedPageBreak/>
        <w:t>Subsection</w:t>
      </w:r>
      <w:r w:rsidR="0098572F" w:rsidRPr="33750E9F">
        <w:rPr>
          <w:rFonts w:ascii="Times New Roman" w:eastAsia="Times New Roman" w:hAnsi="Times New Roman" w:cs="Times New Roman"/>
          <w:color w:val="000000" w:themeColor="text1"/>
          <w:sz w:val="24"/>
          <w:szCs w:val="24"/>
          <w:lang w:eastAsia="en-AU"/>
        </w:rPr>
        <w:t xml:space="preserve"> 8(2) </w:t>
      </w:r>
      <w:r w:rsidR="0031780F">
        <w:rPr>
          <w:rFonts w:ascii="Times New Roman" w:eastAsia="Times New Roman" w:hAnsi="Times New Roman" w:cs="Times New Roman"/>
          <w:color w:val="000000" w:themeColor="text1"/>
          <w:sz w:val="24"/>
          <w:szCs w:val="24"/>
          <w:lang w:eastAsia="en-AU"/>
        </w:rPr>
        <w:t>states that</w:t>
      </w:r>
      <w:r w:rsidR="0031780F" w:rsidRPr="00890C27">
        <w:rPr>
          <w:rFonts w:ascii="Times New Roman" w:eastAsia="Times New Roman" w:hAnsi="Times New Roman" w:cs="Times New Roman"/>
          <w:color w:val="000000" w:themeColor="text1"/>
          <w:sz w:val="24"/>
          <w:szCs w:val="24"/>
          <w:lang w:eastAsia="en-AU"/>
        </w:rPr>
        <w:t xml:space="preserve"> </w:t>
      </w:r>
      <w:r w:rsidR="0098572F" w:rsidRPr="33750E9F">
        <w:rPr>
          <w:rFonts w:ascii="Times New Roman" w:eastAsia="Times New Roman" w:hAnsi="Times New Roman" w:cs="Times New Roman"/>
          <w:color w:val="000000" w:themeColor="text1"/>
          <w:sz w:val="24"/>
          <w:szCs w:val="24"/>
          <w:lang w:eastAsia="en-AU"/>
        </w:rPr>
        <w:t xml:space="preserve">that </w:t>
      </w:r>
      <w:r w:rsidR="000F4008" w:rsidRPr="33750E9F">
        <w:rPr>
          <w:rFonts w:ascii="Times New Roman" w:eastAsia="Times New Roman" w:hAnsi="Times New Roman" w:cs="Times New Roman"/>
          <w:color w:val="000000" w:themeColor="text1"/>
          <w:sz w:val="24"/>
          <w:szCs w:val="24"/>
          <w:lang w:eastAsia="en-AU"/>
        </w:rPr>
        <w:t xml:space="preserve">if a document is </w:t>
      </w:r>
      <w:r w:rsidR="00AD676A" w:rsidRPr="33750E9F">
        <w:rPr>
          <w:rFonts w:ascii="Times New Roman" w:eastAsia="Times New Roman" w:hAnsi="Times New Roman" w:cs="Times New Roman"/>
          <w:color w:val="000000" w:themeColor="text1"/>
          <w:sz w:val="24"/>
          <w:szCs w:val="24"/>
          <w:lang w:eastAsia="en-AU"/>
        </w:rPr>
        <w:t>re</w:t>
      </w:r>
      <w:r w:rsidR="000F4008" w:rsidRPr="33750E9F">
        <w:rPr>
          <w:rFonts w:ascii="Times New Roman" w:eastAsia="Times New Roman" w:hAnsi="Times New Roman" w:cs="Times New Roman"/>
          <w:color w:val="000000" w:themeColor="text1"/>
          <w:sz w:val="24"/>
          <w:szCs w:val="24"/>
          <w:lang w:eastAsia="en-AU"/>
        </w:rPr>
        <w:t xml:space="preserve">published with updates </w:t>
      </w:r>
      <w:r w:rsidR="00AD676A" w:rsidRPr="33750E9F">
        <w:rPr>
          <w:rFonts w:ascii="Times New Roman" w:eastAsia="Times New Roman" w:hAnsi="Times New Roman" w:cs="Times New Roman"/>
          <w:color w:val="000000" w:themeColor="text1"/>
          <w:sz w:val="24"/>
          <w:szCs w:val="24"/>
          <w:lang w:eastAsia="en-AU"/>
        </w:rPr>
        <w:t xml:space="preserve">without </w:t>
      </w:r>
      <w:r w:rsidR="005F480B">
        <w:rPr>
          <w:rFonts w:ascii="Times New Roman" w:eastAsia="Times New Roman" w:hAnsi="Times New Roman" w:cs="Times New Roman"/>
          <w:color w:val="000000" w:themeColor="text1"/>
          <w:sz w:val="24"/>
          <w:szCs w:val="24"/>
          <w:lang w:eastAsia="en-AU"/>
        </w:rPr>
        <w:t>meeting the requirements</w:t>
      </w:r>
      <w:r w:rsidRPr="33750E9F">
        <w:rPr>
          <w:rFonts w:ascii="Times New Roman" w:eastAsia="Times New Roman" w:hAnsi="Times New Roman" w:cs="Times New Roman"/>
          <w:color w:val="000000" w:themeColor="text1"/>
          <w:sz w:val="24"/>
          <w:szCs w:val="24"/>
          <w:lang w:eastAsia="en-AU"/>
        </w:rPr>
        <w:t xml:space="preserve"> in subsection 8(1), the earlier version of the document remains in force.</w:t>
      </w:r>
    </w:p>
    <w:p w14:paraId="57BBCAAB" w14:textId="005A0C4F" w:rsidR="0076059B" w:rsidRDefault="00865C26"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9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Factors and parameters from external sources </w:t>
      </w:r>
    </w:p>
    <w:p w14:paraId="7396FC3B" w14:textId="152D7D48" w:rsidR="00372C1B" w:rsidRDefault="008746B8" w:rsidP="008103FF">
      <w:pPr>
        <w:spacing w:after="160" w:line="276" w:lineRule="auto"/>
        <w:rPr>
          <w:rFonts w:ascii="Times New Roman" w:eastAsia="Times New Roman" w:hAnsi="Times New Roman" w:cs="Times New Roman"/>
          <w:color w:val="000000"/>
          <w:sz w:val="24"/>
          <w:szCs w:val="24"/>
          <w:lang w:eastAsia="en-AU"/>
        </w:rPr>
      </w:pPr>
      <w:r w:rsidRPr="33750E9F">
        <w:rPr>
          <w:rFonts w:ascii="Times New Roman" w:eastAsia="Times New Roman" w:hAnsi="Times New Roman" w:cs="Times New Roman"/>
          <w:color w:val="000000" w:themeColor="text1"/>
          <w:sz w:val="24"/>
          <w:szCs w:val="24"/>
          <w:lang w:eastAsia="en-AU"/>
        </w:rPr>
        <w:t xml:space="preserve">Subsection </w:t>
      </w:r>
      <w:r w:rsidR="00D65B53" w:rsidRPr="33750E9F">
        <w:rPr>
          <w:rFonts w:ascii="Times New Roman" w:eastAsia="Times New Roman" w:hAnsi="Times New Roman" w:cs="Times New Roman"/>
          <w:color w:val="000000" w:themeColor="text1"/>
          <w:sz w:val="24"/>
          <w:szCs w:val="24"/>
          <w:lang w:eastAsia="en-AU"/>
        </w:rPr>
        <w:t>9</w:t>
      </w:r>
      <w:r w:rsidRPr="33750E9F">
        <w:rPr>
          <w:rFonts w:ascii="Times New Roman" w:eastAsia="Times New Roman" w:hAnsi="Times New Roman" w:cs="Times New Roman"/>
          <w:color w:val="000000" w:themeColor="text1"/>
          <w:sz w:val="24"/>
          <w:szCs w:val="24"/>
          <w:lang w:eastAsia="en-AU"/>
        </w:rPr>
        <w:t xml:space="preserve">(1) provides that </w:t>
      </w:r>
      <w:r w:rsidR="00436652" w:rsidRPr="33750E9F">
        <w:rPr>
          <w:rFonts w:ascii="Times New Roman" w:eastAsia="Times New Roman" w:hAnsi="Times New Roman" w:cs="Times New Roman"/>
          <w:color w:val="000000" w:themeColor="text1"/>
          <w:sz w:val="24"/>
          <w:szCs w:val="24"/>
          <w:lang w:eastAsia="en-AU"/>
        </w:rPr>
        <w:t xml:space="preserve">if a calculation refers to </w:t>
      </w:r>
      <w:r w:rsidR="00C90B51" w:rsidRPr="33750E9F">
        <w:rPr>
          <w:rFonts w:ascii="Times New Roman" w:eastAsia="Times New Roman" w:hAnsi="Times New Roman" w:cs="Times New Roman"/>
          <w:color w:val="000000" w:themeColor="text1"/>
          <w:sz w:val="24"/>
          <w:szCs w:val="24"/>
          <w:lang w:eastAsia="en-AU"/>
        </w:rPr>
        <w:t xml:space="preserve">a parameter that is defined or calculated by reference </w:t>
      </w:r>
      <w:r w:rsidR="00B708CA" w:rsidRPr="33750E9F">
        <w:rPr>
          <w:rFonts w:ascii="Times New Roman" w:eastAsia="Times New Roman" w:hAnsi="Times New Roman" w:cs="Times New Roman"/>
          <w:color w:val="000000" w:themeColor="text1"/>
          <w:sz w:val="24"/>
          <w:szCs w:val="24"/>
          <w:lang w:eastAsia="en-AU"/>
        </w:rPr>
        <w:t xml:space="preserve">to an external document, </w:t>
      </w:r>
      <w:r w:rsidR="00B57035" w:rsidRPr="33750E9F">
        <w:rPr>
          <w:rFonts w:ascii="Times New Roman" w:eastAsia="Times New Roman" w:hAnsi="Times New Roman" w:cs="Times New Roman"/>
          <w:color w:val="000000" w:themeColor="text1"/>
          <w:sz w:val="24"/>
          <w:szCs w:val="24"/>
          <w:lang w:eastAsia="en-AU"/>
        </w:rPr>
        <w:t xml:space="preserve">the </w:t>
      </w:r>
      <w:r w:rsidR="000808F9" w:rsidRPr="33750E9F">
        <w:rPr>
          <w:rFonts w:ascii="Times New Roman" w:eastAsia="Times New Roman" w:hAnsi="Times New Roman" w:cs="Times New Roman"/>
          <w:color w:val="000000" w:themeColor="text1"/>
          <w:sz w:val="24"/>
          <w:szCs w:val="24"/>
          <w:lang w:eastAsia="en-AU"/>
        </w:rPr>
        <w:t>parameter t</w:t>
      </w:r>
      <w:r w:rsidR="00255C4A" w:rsidRPr="33750E9F">
        <w:rPr>
          <w:rFonts w:ascii="Times New Roman" w:eastAsia="Times New Roman" w:hAnsi="Times New Roman" w:cs="Times New Roman"/>
          <w:color w:val="000000" w:themeColor="text1"/>
          <w:sz w:val="24"/>
          <w:szCs w:val="24"/>
          <w:lang w:eastAsia="en-AU"/>
        </w:rPr>
        <w:t>o be used for the reporting period is the factor or parameter referred to</w:t>
      </w:r>
      <w:r w:rsidR="00300437" w:rsidRPr="33750E9F">
        <w:rPr>
          <w:rFonts w:ascii="Times New Roman" w:eastAsia="Times New Roman" w:hAnsi="Times New Roman" w:cs="Times New Roman"/>
          <w:color w:val="000000" w:themeColor="text1"/>
          <w:sz w:val="24"/>
          <w:szCs w:val="24"/>
          <w:lang w:eastAsia="en-AU"/>
        </w:rPr>
        <w:t>, or calculated by reference to, the external document as in force at the end of the reporting period.</w:t>
      </w:r>
    </w:p>
    <w:p w14:paraId="313107E8" w14:textId="52ACA8C2" w:rsidR="00372C1B" w:rsidRPr="00BA58F0" w:rsidRDefault="00372C1B"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t xml:space="preserve">Subsection 9(2) states that subsection </w:t>
      </w:r>
      <w:r w:rsidR="00300437" w:rsidRPr="33750E9F">
        <w:rPr>
          <w:rFonts w:ascii="Times New Roman" w:eastAsia="Times New Roman" w:hAnsi="Times New Roman" w:cs="Times New Roman"/>
          <w:color w:val="000000" w:themeColor="text1"/>
          <w:sz w:val="24"/>
          <w:szCs w:val="24"/>
          <w:lang w:eastAsia="en-AU"/>
        </w:rPr>
        <w:t>9</w:t>
      </w:r>
      <w:r w:rsidRPr="33750E9F">
        <w:rPr>
          <w:rFonts w:ascii="Times New Roman" w:eastAsia="Times New Roman" w:hAnsi="Times New Roman" w:cs="Times New Roman"/>
          <w:color w:val="000000" w:themeColor="text1"/>
          <w:sz w:val="24"/>
          <w:szCs w:val="24"/>
          <w:lang w:eastAsia="en-AU"/>
        </w:rPr>
        <w:t xml:space="preserve">(1) does not apply if </w:t>
      </w:r>
      <w:r w:rsidR="005D56BA" w:rsidRPr="00890C27">
        <w:rPr>
          <w:rFonts w:ascii="Times New Roman" w:eastAsia="Times New Roman" w:hAnsi="Times New Roman" w:cs="Times New Roman"/>
          <w:color w:val="000000" w:themeColor="text1"/>
          <w:sz w:val="24"/>
          <w:szCs w:val="24"/>
          <w:lang w:eastAsia="en-AU"/>
        </w:rPr>
        <w:t xml:space="preserve">the </w:t>
      </w:r>
      <w:r w:rsidR="004D74F5">
        <w:rPr>
          <w:rFonts w:ascii="Times New Roman" w:eastAsia="Times New Roman" w:hAnsi="Times New Roman" w:cs="Times New Roman"/>
          <w:color w:val="000000" w:themeColor="text1"/>
          <w:sz w:val="24"/>
          <w:szCs w:val="24"/>
          <w:lang w:eastAsia="en-AU"/>
        </w:rPr>
        <w:t>determination</w:t>
      </w:r>
      <w:r w:rsidRPr="33750E9F">
        <w:rPr>
          <w:rFonts w:ascii="Times New Roman" w:eastAsia="Times New Roman" w:hAnsi="Times New Roman" w:cs="Times New Roman"/>
          <w:color w:val="000000" w:themeColor="text1"/>
          <w:sz w:val="24"/>
          <w:szCs w:val="24"/>
          <w:lang w:eastAsia="en-AU"/>
        </w:rPr>
        <w:t xml:space="preserve"> stipulates otherwise, or if it is not possible to define or calculate these parameters by reference to the relevant external documents. </w:t>
      </w:r>
    </w:p>
    <w:p w14:paraId="01BFBB5C" w14:textId="39886490" w:rsidR="00372C1B" w:rsidRPr="00372C1B" w:rsidRDefault="008C646F" w:rsidP="008103FF">
      <w:pPr>
        <w:spacing w:after="160"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themeColor="text1"/>
          <w:sz w:val="24"/>
          <w:szCs w:val="24"/>
          <w:lang w:eastAsia="en-AU"/>
        </w:rPr>
        <w:t>Accordingly,</w:t>
      </w:r>
      <w:r w:rsidR="00F010E3">
        <w:rPr>
          <w:rFonts w:ascii="Times New Roman" w:eastAsia="Times New Roman" w:hAnsi="Times New Roman" w:cs="Times New Roman"/>
          <w:color w:val="000000" w:themeColor="text1"/>
          <w:sz w:val="24"/>
          <w:szCs w:val="24"/>
          <w:lang w:eastAsia="en-AU"/>
        </w:rPr>
        <w:t xml:space="preserve"> if</w:t>
      </w:r>
      <w:r w:rsidR="001F6DBC" w:rsidRPr="001F6DBC">
        <w:rPr>
          <w:rFonts w:ascii="Times New Roman" w:eastAsia="Times New Roman" w:hAnsi="Times New Roman" w:cs="Times New Roman"/>
          <w:color w:val="000000" w:themeColor="text1"/>
          <w:sz w:val="24"/>
          <w:szCs w:val="24"/>
          <w:lang w:eastAsia="en-AU"/>
        </w:rPr>
        <w:t xml:space="preserve"> a calculation in </w:t>
      </w:r>
      <w:r w:rsidR="005D56BA" w:rsidRPr="00890C27">
        <w:rPr>
          <w:rFonts w:ascii="Times New Roman" w:eastAsia="Times New Roman" w:hAnsi="Times New Roman" w:cs="Times New Roman"/>
          <w:color w:val="000000" w:themeColor="text1"/>
          <w:sz w:val="24"/>
          <w:szCs w:val="24"/>
          <w:lang w:eastAsia="en-AU"/>
        </w:rPr>
        <w:t xml:space="preserve">the </w:t>
      </w:r>
      <w:r w:rsidR="004D74F5">
        <w:rPr>
          <w:rFonts w:ascii="Times New Roman" w:eastAsia="Times New Roman" w:hAnsi="Times New Roman" w:cs="Times New Roman"/>
          <w:color w:val="000000" w:themeColor="text1"/>
          <w:sz w:val="24"/>
          <w:szCs w:val="24"/>
          <w:lang w:eastAsia="en-AU"/>
        </w:rPr>
        <w:t>determination</w:t>
      </w:r>
      <w:r w:rsidR="001F6DBC" w:rsidRPr="001F6DBC">
        <w:rPr>
          <w:rFonts w:ascii="Times New Roman" w:eastAsia="Times New Roman" w:hAnsi="Times New Roman" w:cs="Times New Roman"/>
          <w:color w:val="000000" w:themeColor="text1"/>
          <w:sz w:val="24"/>
          <w:szCs w:val="24"/>
          <w:lang w:eastAsia="en-AU"/>
        </w:rPr>
        <w:t xml:space="preserve"> depends on a value or rule from another document, then the relevant version of that document is the one that was in force at the end of the reporting period.</w:t>
      </w:r>
      <w:r w:rsidR="00CA5476">
        <w:rPr>
          <w:rFonts w:ascii="Times New Roman" w:eastAsia="Times New Roman" w:hAnsi="Times New Roman" w:cs="Times New Roman"/>
          <w:color w:val="000000" w:themeColor="text1"/>
          <w:sz w:val="24"/>
          <w:szCs w:val="24"/>
          <w:lang w:eastAsia="en-AU"/>
        </w:rPr>
        <w:t xml:space="preserve"> </w:t>
      </w:r>
      <w:r w:rsidR="00372C1B" w:rsidRPr="33750E9F">
        <w:rPr>
          <w:rFonts w:ascii="Times New Roman" w:eastAsia="Times New Roman" w:hAnsi="Times New Roman" w:cs="Times New Roman"/>
          <w:color w:val="000000" w:themeColor="text1"/>
          <w:sz w:val="24"/>
          <w:szCs w:val="24"/>
          <w:lang w:eastAsia="en-AU"/>
        </w:rPr>
        <w:t>This does not apply if:</w:t>
      </w:r>
    </w:p>
    <w:p w14:paraId="1342DA10" w14:textId="088AD05F" w:rsidR="00940992" w:rsidRPr="00BA58F0" w:rsidRDefault="005D56B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lang w:eastAsia="en-AU"/>
        </w:rPr>
      </w:pPr>
      <w:r w:rsidRPr="00BA58F0">
        <w:rPr>
          <w:rFonts w:ascii="Times New Roman" w:hAnsi="Times New Roman" w:cs="Times New Roman"/>
          <w:sz w:val="24"/>
          <w:szCs w:val="24"/>
          <w:lang w:eastAsia="en-AU"/>
        </w:rPr>
        <w:t xml:space="preserve">the </w:t>
      </w:r>
      <w:r w:rsidR="004D74F5">
        <w:rPr>
          <w:rFonts w:ascii="Times New Roman" w:hAnsi="Times New Roman" w:cs="Times New Roman"/>
          <w:sz w:val="24"/>
          <w:szCs w:val="24"/>
          <w:lang w:eastAsia="en-AU"/>
        </w:rPr>
        <w:t>determination</w:t>
      </w:r>
      <w:r w:rsidR="00372C1B" w:rsidRPr="00BA58F0">
        <w:rPr>
          <w:rFonts w:ascii="Times New Roman" w:hAnsi="Times New Roman" w:cs="Times New Roman"/>
          <w:sz w:val="24"/>
          <w:szCs w:val="24"/>
          <w:lang w:eastAsia="en-AU"/>
        </w:rPr>
        <w:t xml:space="preserve"> </w:t>
      </w:r>
      <w:r w:rsidR="009738A9" w:rsidRPr="00BA58F0">
        <w:rPr>
          <w:rFonts w:ascii="Times New Roman" w:hAnsi="Times New Roman" w:cs="Times New Roman"/>
          <w:sz w:val="24"/>
          <w:szCs w:val="24"/>
          <w:lang w:eastAsia="en-AU"/>
        </w:rPr>
        <w:t xml:space="preserve">specified </w:t>
      </w:r>
      <w:r w:rsidR="00372C1B" w:rsidRPr="00BA58F0">
        <w:rPr>
          <w:rFonts w:ascii="Times New Roman" w:hAnsi="Times New Roman" w:cs="Times New Roman"/>
          <w:sz w:val="24"/>
          <w:szCs w:val="24"/>
          <w:lang w:eastAsia="en-AU"/>
        </w:rPr>
        <w:t>a different version</w:t>
      </w:r>
      <w:r w:rsidR="009738A9" w:rsidRPr="00BA58F0">
        <w:rPr>
          <w:rFonts w:ascii="Times New Roman" w:hAnsi="Times New Roman" w:cs="Times New Roman"/>
          <w:sz w:val="24"/>
          <w:szCs w:val="24"/>
          <w:lang w:eastAsia="en-AU"/>
        </w:rPr>
        <w:t xml:space="preserve"> be used</w:t>
      </w:r>
      <w:r w:rsidR="00940992" w:rsidRPr="00BA58F0">
        <w:rPr>
          <w:rFonts w:ascii="Times New Roman" w:hAnsi="Times New Roman" w:cs="Times New Roman"/>
          <w:sz w:val="24"/>
          <w:szCs w:val="24"/>
          <w:lang w:eastAsia="en-AU"/>
        </w:rPr>
        <w:t>; or</w:t>
      </w:r>
    </w:p>
    <w:p w14:paraId="49AB5108" w14:textId="656E95B7" w:rsidR="00372C1B" w:rsidRPr="00BA58F0" w:rsidRDefault="00372C1B"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lang w:eastAsia="en-AU"/>
        </w:rPr>
      </w:pPr>
      <w:r w:rsidRPr="00BA58F0">
        <w:rPr>
          <w:rFonts w:ascii="Times New Roman" w:hAnsi="Times New Roman" w:cs="Times New Roman"/>
          <w:sz w:val="24"/>
          <w:szCs w:val="24"/>
          <w:lang w:eastAsia="en-AU"/>
        </w:rPr>
        <w:t>it is not possible to work out the value or rule from the version of the other document in effect at the end of the reporting period</w:t>
      </w:r>
      <w:r w:rsidR="00D17DF6" w:rsidRPr="00BA58F0">
        <w:rPr>
          <w:rFonts w:ascii="Times New Roman" w:hAnsi="Times New Roman" w:cs="Times New Roman"/>
          <w:sz w:val="24"/>
          <w:szCs w:val="24"/>
          <w:lang w:eastAsia="en-AU"/>
        </w:rPr>
        <w:t>.</w:t>
      </w:r>
    </w:p>
    <w:p w14:paraId="6E0AF7A0" w14:textId="71D70336" w:rsidR="0076059B" w:rsidRPr="00BA58F0" w:rsidRDefault="0076059B" w:rsidP="008103FF">
      <w:pPr>
        <w:spacing w:after="160" w:line="276" w:lineRule="auto"/>
        <w:rPr>
          <w:rFonts w:ascii="Times New Roman" w:eastAsia="Times New Roman" w:hAnsi="Times New Roman" w:cs="Times New Roman"/>
          <w:b/>
          <w:lang w:eastAsia="en-AU"/>
        </w:rPr>
      </w:pPr>
      <w:r w:rsidRPr="33750E9F">
        <w:rPr>
          <w:rFonts w:ascii="Times New Roman" w:hAnsi="Times New Roman" w:cs="Times New Roman"/>
          <w:b/>
          <w:bCs/>
          <w:sz w:val="24"/>
          <w:szCs w:val="24"/>
        </w:rPr>
        <w:t xml:space="preserve">Part 2— Savanna sequestration projects </w:t>
      </w:r>
    </w:p>
    <w:p w14:paraId="2677EB31" w14:textId="18E95BBC" w:rsidR="00E82D2F" w:rsidRPr="00BA58F0" w:rsidRDefault="00940992" w:rsidP="008103FF">
      <w:pPr>
        <w:spacing w:after="160" w:line="276" w:lineRule="auto"/>
        <w:rPr>
          <w:rFonts w:ascii="Times New Roman" w:eastAsia="Times New Roman" w:hAnsi="Times New Roman" w:cs="Times New Roman"/>
          <w:color w:val="000000"/>
          <w:sz w:val="24"/>
          <w:szCs w:val="24"/>
          <w:u w:val="single"/>
          <w:lang w:eastAsia="en-AU"/>
        </w:rPr>
      </w:pPr>
      <w:r w:rsidRPr="33750E9F">
        <w:rPr>
          <w:rFonts w:ascii="Times New Roman" w:eastAsia="Times New Roman" w:hAnsi="Times New Roman" w:cs="Times New Roman"/>
          <w:color w:val="000000" w:themeColor="text1"/>
          <w:sz w:val="24"/>
          <w:szCs w:val="24"/>
          <w:u w:val="single"/>
          <w:lang w:eastAsia="en-AU"/>
        </w:rPr>
        <w:t xml:space="preserve">Section </w:t>
      </w:r>
      <w:r w:rsidR="00E82D2F" w:rsidRPr="33750E9F">
        <w:rPr>
          <w:rFonts w:ascii="Times New Roman" w:eastAsia="Times New Roman" w:hAnsi="Times New Roman" w:cs="Times New Roman"/>
          <w:color w:val="000000" w:themeColor="text1"/>
          <w:sz w:val="24"/>
          <w:szCs w:val="24"/>
          <w:u w:val="single"/>
          <w:lang w:eastAsia="en-AU"/>
        </w:rPr>
        <w:t xml:space="preserve">10 </w:t>
      </w:r>
      <w:r w:rsidRPr="33750E9F">
        <w:rPr>
          <w:rFonts w:ascii="Times New Roman" w:eastAsia="Times New Roman" w:hAnsi="Times New Roman" w:cs="Times New Roman"/>
          <w:color w:val="000000" w:themeColor="text1"/>
          <w:sz w:val="24"/>
          <w:szCs w:val="24"/>
          <w:u w:val="single"/>
          <w:lang w:eastAsia="en-AU"/>
        </w:rPr>
        <w:t xml:space="preserve">– </w:t>
      </w:r>
      <w:r w:rsidR="00FB5ACD" w:rsidRPr="33750E9F">
        <w:rPr>
          <w:rFonts w:ascii="Times New Roman" w:eastAsia="Times New Roman" w:hAnsi="Times New Roman" w:cs="Times New Roman"/>
          <w:color w:val="000000" w:themeColor="text1"/>
          <w:sz w:val="24"/>
          <w:szCs w:val="24"/>
          <w:u w:val="single"/>
          <w:lang w:eastAsia="en-AU"/>
        </w:rPr>
        <w:t>Savanna sequestration projects</w:t>
      </w:r>
    </w:p>
    <w:p w14:paraId="59ABBD83" w14:textId="1DD11989" w:rsidR="005B7E4B" w:rsidRPr="00BA58F0" w:rsidRDefault="005B7E4B"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t xml:space="preserve">Paragraph 27(4)(b) of the Act provides that the Regulator must not declare that an offsets project is an eligible offsets project unless </w:t>
      </w:r>
      <w:r w:rsidR="000416BC">
        <w:rPr>
          <w:rFonts w:ascii="Times New Roman" w:eastAsia="Times New Roman" w:hAnsi="Times New Roman" w:cs="Times New Roman"/>
          <w:color w:val="000000" w:themeColor="text1"/>
          <w:sz w:val="24"/>
          <w:szCs w:val="24"/>
          <w:lang w:eastAsia="en-AU"/>
        </w:rPr>
        <w:t xml:space="preserve">the Regulator is </w:t>
      </w:r>
      <w:r w:rsidRPr="33750E9F">
        <w:rPr>
          <w:rFonts w:ascii="Times New Roman" w:eastAsia="Times New Roman" w:hAnsi="Times New Roman" w:cs="Times New Roman"/>
          <w:color w:val="000000" w:themeColor="text1"/>
          <w:sz w:val="24"/>
          <w:szCs w:val="24"/>
          <w:lang w:eastAsia="en-AU"/>
        </w:rPr>
        <w:t xml:space="preserve">satisfied that it is covered by a methodology determination. </w:t>
      </w:r>
      <w:r w:rsidR="00FA7848" w:rsidRPr="33750E9F">
        <w:rPr>
          <w:rFonts w:ascii="Times New Roman" w:eastAsia="Times New Roman" w:hAnsi="Times New Roman" w:cs="Times New Roman"/>
          <w:color w:val="000000" w:themeColor="text1"/>
          <w:sz w:val="24"/>
          <w:szCs w:val="24"/>
          <w:lang w:eastAsia="en-AU"/>
        </w:rPr>
        <w:t xml:space="preserve">Paragraph </w:t>
      </w:r>
      <w:r w:rsidRPr="33750E9F">
        <w:rPr>
          <w:rFonts w:ascii="Times New Roman" w:eastAsia="Times New Roman" w:hAnsi="Times New Roman" w:cs="Times New Roman"/>
          <w:color w:val="000000" w:themeColor="text1"/>
          <w:sz w:val="24"/>
          <w:szCs w:val="24"/>
          <w:lang w:eastAsia="en-AU"/>
        </w:rPr>
        <w:t>106(1)(a) of the Act provides for methodology determinations to specify the kind of offsets projects to which they apply.</w:t>
      </w:r>
    </w:p>
    <w:p w14:paraId="002D01D3" w14:textId="1122ADE4" w:rsidR="005B7E4B" w:rsidRPr="00BA58F0" w:rsidRDefault="000309F6"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t xml:space="preserve">Section 10 provides that the </w:t>
      </w:r>
      <w:r w:rsidR="004D74F5">
        <w:rPr>
          <w:rFonts w:ascii="Times New Roman" w:eastAsia="Times New Roman" w:hAnsi="Times New Roman" w:cs="Times New Roman"/>
          <w:color w:val="000000" w:themeColor="text1"/>
          <w:sz w:val="24"/>
          <w:szCs w:val="24"/>
          <w:lang w:eastAsia="en-AU"/>
        </w:rPr>
        <w:t>determination</w:t>
      </w:r>
      <w:r w:rsidRPr="33750E9F">
        <w:rPr>
          <w:rFonts w:ascii="Times New Roman" w:eastAsia="Times New Roman" w:hAnsi="Times New Roman" w:cs="Times New Roman"/>
          <w:color w:val="000000" w:themeColor="text1"/>
          <w:sz w:val="24"/>
          <w:szCs w:val="24"/>
          <w:lang w:eastAsia="en-AU"/>
        </w:rPr>
        <w:t xml:space="preserve"> applies to an offsets project that satisfies each of paragraphs</w:t>
      </w:r>
      <w:r w:rsidR="00877F86" w:rsidRPr="33750E9F">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color w:val="000000" w:themeColor="text1"/>
          <w:sz w:val="24"/>
          <w:szCs w:val="24"/>
          <w:lang w:eastAsia="en-AU"/>
        </w:rPr>
        <w:t>10(1)(a), (b), (c) and (d). An offsets project that satisfies each of these is a</w:t>
      </w:r>
      <w:r w:rsidR="00877F86" w:rsidRPr="33750E9F">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b/>
          <w:bCs/>
          <w:i/>
          <w:iCs/>
          <w:color w:val="000000" w:themeColor="text1"/>
          <w:sz w:val="24"/>
          <w:szCs w:val="24"/>
          <w:lang w:eastAsia="en-AU"/>
        </w:rPr>
        <w:t>savanna sequestration project</w:t>
      </w:r>
      <w:r w:rsidRPr="33750E9F">
        <w:rPr>
          <w:rFonts w:ascii="Times New Roman" w:eastAsia="Times New Roman" w:hAnsi="Times New Roman" w:cs="Times New Roman"/>
          <w:color w:val="000000" w:themeColor="text1"/>
          <w:sz w:val="24"/>
          <w:szCs w:val="24"/>
          <w:lang w:eastAsia="en-AU"/>
        </w:rPr>
        <w:t>.</w:t>
      </w:r>
    </w:p>
    <w:p w14:paraId="138A842E" w14:textId="023E625C" w:rsidR="00C62A0C" w:rsidRPr="00BA58F0" w:rsidRDefault="00BA4F4E"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t>Paragraph</w:t>
      </w:r>
      <w:r w:rsidR="00FA7848" w:rsidRPr="33750E9F">
        <w:rPr>
          <w:rFonts w:ascii="Times New Roman" w:eastAsia="Times New Roman" w:hAnsi="Times New Roman" w:cs="Times New Roman"/>
          <w:color w:val="000000" w:themeColor="text1"/>
          <w:sz w:val="24"/>
          <w:szCs w:val="24"/>
          <w:lang w:eastAsia="en-AU"/>
        </w:rPr>
        <w:t xml:space="preserve"> </w:t>
      </w:r>
      <w:r w:rsidR="00C62A0C" w:rsidRPr="33750E9F">
        <w:rPr>
          <w:rFonts w:ascii="Times New Roman" w:eastAsia="Times New Roman" w:hAnsi="Times New Roman" w:cs="Times New Roman"/>
          <w:color w:val="000000" w:themeColor="text1"/>
          <w:sz w:val="24"/>
          <w:szCs w:val="24"/>
          <w:lang w:eastAsia="en-AU"/>
        </w:rPr>
        <w:t>1</w:t>
      </w:r>
      <w:r w:rsidR="000309F6" w:rsidRPr="33750E9F">
        <w:rPr>
          <w:rFonts w:ascii="Times New Roman" w:eastAsia="Times New Roman" w:hAnsi="Times New Roman" w:cs="Times New Roman"/>
          <w:color w:val="000000" w:themeColor="text1"/>
          <w:sz w:val="24"/>
          <w:szCs w:val="24"/>
          <w:lang w:eastAsia="en-AU"/>
        </w:rPr>
        <w:t>0</w:t>
      </w:r>
      <w:r w:rsidR="00C62A0C" w:rsidRPr="33750E9F">
        <w:rPr>
          <w:rFonts w:ascii="Times New Roman" w:eastAsia="Times New Roman" w:hAnsi="Times New Roman" w:cs="Times New Roman"/>
          <w:color w:val="000000" w:themeColor="text1"/>
          <w:sz w:val="24"/>
          <w:szCs w:val="24"/>
          <w:lang w:eastAsia="en-AU"/>
        </w:rPr>
        <w:t xml:space="preserve">(1)(a) provides that </w:t>
      </w:r>
      <w:r w:rsidR="001612D1">
        <w:rPr>
          <w:rFonts w:ascii="Times New Roman" w:eastAsia="Times New Roman" w:hAnsi="Times New Roman" w:cs="Times New Roman"/>
          <w:color w:val="000000" w:themeColor="text1"/>
          <w:sz w:val="24"/>
          <w:szCs w:val="24"/>
          <w:lang w:eastAsia="en-AU"/>
        </w:rPr>
        <w:t>an</w:t>
      </w:r>
      <w:r w:rsidR="001612D1" w:rsidRPr="00890C27">
        <w:rPr>
          <w:rFonts w:ascii="Times New Roman" w:eastAsia="Times New Roman" w:hAnsi="Times New Roman" w:cs="Times New Roman"/>
          <w:color w:val="000000" w:themeColor="text1"/>
          <w:sz w:val="24"/>
          <w:szCs w:val="24"/>
          <w:lang w:eastAsia="en-AU"/>
        </w:rPr>
        <w:t xml:space="preserve"> </w:t>
      </w:r>
      <w:r w:rsidR="00C62A0C" w:rsidRPr="33750E9F">
        <w:rPr>
          <w:rFonts w:ascii="Times New Roman" w:eastAsia="Times New Roman" w:hAnsi="Times New Roman" w:cs="Times New Roman"/>
          <w:color w:val="000000" w:themeColor="text1"/>
          <w:sz w:val="24"/>
          <w:szCs w:val="24"/>
          <w:lang w:eastAsia="en-AU"/>
        </w:rPr>
        <w:t xml:space="preserve">offsets project must involve managing the burning of savannas </w:t>
      </w:r>
      <w:proofErr w:type="gramStart"/>
      <w:r w:rsidR="00E62F52">
        <w:rPr>
          <w:rFonts w:ascii="Times New Roman" w:eastAsia="Times New Roman" w:hAnsi="Times New Roman" w:cs="Times New Roman"/>
          <w:color w:val="000000" w:themeColor="text1"/>
          <w:sz w:val="24"/>
          <w:szCs w:val="24"/>
          <w:lang w:eastAsia="en-AU"/>
        </w:rPr>
        <w:t>in order</w:t>
      </w:r>
      <w:r w:rsidR="00C62A0C" w:rsidRPr="33750E9F">
        <w:rPr>
          <w:rFonts w:ascii="Times New Roman" w:eastAsia="Times New Roman" w:hAnsi="Times New Roman" w:cs="Times New Roman"/>
          <w:color w:val="000000" w:themeColor="text1"/>
          <w:sz w:val="24"/>
          <w:szCs w:val="24"/>
          <w:lang w:eastAsia="en-AU"/>
        </w:rPr>
        <w:t xml:space="preserve"> to</w:t>
      </w:r>
      <w:proofErr w:type="gramEnd"/>
      <w:r w:rsidR="00C62A0C" w:rsidRPr="33750E9F">
        <w:rPr>
          <w:rFonts w:ascii="Times New Roman" w:eastAsia="Times New Roman" w:hAnsi="Times New Roman" w:cs="Times New Roman"/>
          <w:color w:val="000000" w:themeColor="text1"/>
          <w:sz w:val="24"/>
          <w:szCs w:val="24"/>
          <w:lang w:eastAsia="en-AU"/>
        </w:rPr>
        <w:t xml:space="preserve"> satisfy two objectives set out in sub</w:t>
      </w:r>
      <w:r w:rsidRPr="33750E9F">
        <w:rPr>
          <w:rFonts w:ascii="Times New Roman" w:eastAsia="Times New Roman" w:hAnsi="Times New Roman" w:cs="Times New Roman"/>
          <w:color w:val="000000" w:themeColor="text1"/>
          <w:sz w:val="24"/>
          <w:szCs w:val="24"/>
          <w:lang w:eastAsia="en-AU"/>
        </w:rPr>
        <w:t xml:space="preserve">paragraphs </w:t>
      </w:r>
      <w:r w:rsidR="00C62A0C" w:rsidRPr="33750E9F">
        <w:rPr>
          <w:rFonts w:ascii="Times New Roman" w:eastAsia="Times New Roman" w:hAnsi="Times New Roman" w:cs="Times New Roman"/>
          <w:color w:val="000000" w:themeColor="text1"/>
          <w:sz w:val="24"/>
          <w:szCs w:val="24"/>
          <w:lang w:eastAsia="en-AU"/>
        </w:rPr>
        <w:t>1</w:t>
      </w:r>
      <w:r w:rsidR="002A3236" w:rsidRPr="33750E9F">
        <w:rPr>
          <w:rFonts w:ascii="Times New Roman" w:eastAsia="Times New Roman" w:hAnsi="Times New Roman" w:cs="Times New Roman"/>
          <w:color w:val="000000" w:themeColor="text1"/>
          <w:sz w:val="24"/>
          <w:szCs w:val="24"/>
          <w:lang w:eastAsia="en-AU"/>
        </w:rPr>
        <w:t>0</w:t>
      </w:r>
      <w:r w:rsidR="00C62A0C" w:rsidRPr="33750E9F">
        <w:rPr>
          <w:rFonts w:ascii="Times New Roman" w:eastAsia="Times New Roman" w:hAnsi="Times New Roman" w:cs="Times New Roman"/>
          <w:color w:val="000000" w:themeColor="text1"/>
          <w:sz w:val="24"/>
          <w:szCs w:val="24"/>
          <w:lang w:eastAsia="en-AU"/>
        </w:rPr>
        <w:t>(1)(a)(</w:t>
      </w:r>
      <w:proofErr w:type="spellStart"/>
      <w:r w:rsidR="00C62A0C" w:rsidRPr="33750E9F">
        <w:rPr>
          <w:rFonts w:ascii="Times New Roman" w:eastAsia="Times New Roman" w:hAnsi="Times New Roman" w:cs="Times New Roman"/>
          <w:color w:val="000000" w:themeColor="text1"/>
          <w:sz w:val="24"/>
          <w:szCs w:val="24"/>
          <w:lang w:eastAsia="en-AU"/>
        </w:rPr>
        <w:t>i</w:t>
      </w:r>
      <w:proofErr w:type="spellEnd"/>
      <w:r w:rsidR="00C62A0C" w:rsidRPr="33750E9F">
        <w:rPr>
          <w:rFonts w:ascii="Times New Roman" w:eastAsia="Times New Roman" w:hAnsi="Times New Roman" w:cs="Times New Roman"/>
          <w:color w:val="000000" w:themeColor="text1"/>
          <w:sz w:val="24"/>
          <w:szCs w:val="24"/>
          <w:lang w:eastAsia="en-AU"/>
        </w:rPr>
        <w:t>) and (ii).</w:t>
      </w:r>
    </w:p>
    <w:p w14:paraId="346CF406" w14:textId="6F1BFEC6" w:rsidR="00515504" w:rsidRPr="00BA58F0" w:rsidRDefault="008D5DE1" w:rsidP="008103FF">
      <w:pPr>
        <w:spacing w:after="160" w:line="276" w:lineRule="auto"/>
        <w:rPr>
          <w:rFonts w:ascii="Times New Roman" w:eastAsia="Times New Roman" w:hAnsi="Times New Roman" w:cs="Times New Roman"/>
          <w:lang w:eastAsia="en-AU"/>
        </w:rPr>
      </w:pPr>
      <w:r>
        <w:rPr>
          <w:rFonts w:ascii="Times New Roman" w:eastAsia="Times New Roman" w:hAnsi="Times New Roman" w:cs="Times New Roman"/>
          <w:color w:val="000000" w:themeColor="text1"/>
          <w:sz w:val="24"/>
          <w:szCs w:val="24"/>
          <w:lang w:eastAsia="en-AU"/>
        </w:rPr>
        <w:t>S</w:t>
      </w:r>
      <w:r w:rsidR="00C62A0C" w:rsidRPr="00890C27">
        <w:rPr>
          <w:rFonts w:ascii="Times New Roman" w:eastAsia="Times New Roman" w:hAnsi="Times New Roman" w:cs="Times New Roman"/>
          <w:color w:val="000000" w:themeColor="text1"/>
          <w:sz w:val="24"/>
          <w:szCs w:val="24"/>
          <w:lang w:eastAsia="en-AU"/>
        </w:rPr>
        <w:t xml:space="preserve">avanna fire management must </w:t>
      </w:r>
      <w:r w:rsidR="00011B65" w:rsidRPr="00890C27">
        <w:rPr>
          <w:rFonts w:ascii="Times New Roman" w:eastAsia="Times New Roman" w:hAnsi="Times New Roman" w:cs="Times New Roman"/>
          <w:color w:val="000000" w:themeColor="text1"/>
          <w:sz w:val="24"/>
          <w:szCs w:val="24"/>
          <w:lang w:eastAsia="en-AU"/>
        </w:rPr>
        <w:t>be carried out to meet the</w:t>
      </w:r>
      <w:r w:rsidR="00C62A0C" w:rsidRPr="00890C27">
        <w:rPr>
          <w:rFonts w:ascii="Times New Roman" w:eastAsia="Times New Roman" w:hAnsi="Times New Roman" w:cs="Times New Roman"/>
          <w:color w:val="000000" w:themeColor="text1"/>
          <w:sz w:val="24"/>
          <w:szCs w:val="24"/>
          <w:lang w:eastAsia="en-AU"/>
        </w:rPr>
        <w:t xml:space="preserve"> first objective set out in sub</w:t>
      </w:r>
      <w:r w:rsidR="00BA4F4E" w:rsidRPr="00890C27">
        <w:rPr>
          <w:rFonts w:ascii="Times New Roman" w:eastAsia="Times New Roman" w:hAnsi="Times New Roman" w:cs="Times New Roman"/>
          <w:color w:val="000000" w:themeColor="text1"/>
          <w:sz w:val="24"/>
          <w:szCs w:val="24"/>
          <w:lang w:eastAsia="en-AU"/>
        </w:rPr>
        <w:t xml:space="preserve">paragraph </w:t>
      </w:r>
      <w:r w:rsidR="0034414E" w:rsidRPr="00890C27">
        <w:rPr>
          <w:rFonts w:ascii="Times New Roman" w:eastAsia="Times New Roman" w:hAnsi="Times New Roman" w:cs="Times New Roman"/>
          <w:color w:val="000000" w:themeColor="text1"/>
          <w:sz w:val="24"/>
          <w:szCs w:val="24"/>
          <w:lang w:eastAsia="en-AU"/>
        </w:rPr>
        <w:t>10(1)(a)</w:t>
      </w:r>
      <w:r w:rsidR="00C62A0C" w:rsidRPr="00890C27">
        <w:rPr>
          <w:rFonts w:ascii="Times New Roman" w:eastAsia="Times New Roman" w:hAnsi="Times New Roman" w:cs="Times New Roman"/>
          <w:color w:val="000000" w:themeColor="text1"/>
          <w:sz w:val="24"/>
          <w:szCs w:val="24"/>
          <w:lang w:eastAsia="en-AU"/>
        </w:rPr>
        <w:t>(</w:t>
      </w:r>
      <w:proofErr w:type="spellStart"/>
      <w:r w:rsidR="00C62A0C" w:rsidRPr="00890C27">
        <w:rPr>
          <w:rFonts w:ascii="Times New Roman" w:eastAsia="Times New Roman" w:hAnsi="Times New Roman" w:cs="Times New Roman"/>
          <w:color w:val="000000" w:themeColor="text1"/>
          <w:sz w:val="24"/>
          <w:szCs w:val="24"/>
          <w:lang w:eastAsia="en-AU"/>
        </w:rPr>
        <w:t>i</w:t>
      </w:r>
      <w:proofErr w:type="spellEnd"/>
      <w:r w:rsidR="00C62A0C" w:rsidRPr="00890C27">
        <w:rPr>
          <w:rFonts w:ascii="Times New Roman" w:eastAsia="Times New Roman" w:hAnsi="Times New Roman" w:cs="Times New Roman"/>
          <w:color w:val="000000" w:themeColor="text1"/>
          <w:sz w:val="24"/>
          <w:szCs w:val="24"/>
          <w:lang w:eastAsia="en-AU"/>
        </w:rPr>
        <w:t xml:space="preserve">) – to remove carbon dioxide from the atmosphere by sequestering more carbon in </w:t>
      </w:r>
      <w:r w:rsidR="00107F13" w:rsidRPr="00890C27">
        <w:rPr>
          <w:rFonts w:ascii="Times New Roman" w:eastAsia="Times New Roman" w:hAnsi="Times New Roman" w:cs="Times New Roman"/>
          <w:color w:val="000000" w:themeColor="text1"/>
          <w:sz w:val="24"/>
          <w:szCs w:val="24"/>
          <w:lang w:eastAsia="en-AU"/>
        </w:rPr>
        <w:t xml:space="preserve">living biomass or </w:t>
      </w:r>
      <w:r w:rsidR="00C62A0C" w:rsidRPr="00890C27">
        <w:rPr>
          <w:rFonts w:ascii="Times New Roman" w:eastAsia="Times New Roman" w:hAnsi="Times New Roman" w:cs="Times New Roman"/>
          <w:color w:val="000000" w:themeColor="text1"/>
          <w:sz w:val="24"/>
          <w:szCs w:val="24"/>
          <w:lang w:eastAsia="en-AU"/>
        </w:rPr>
        <w:t xml:space="preserve">dead organic matter than was sequestered during the baseline period. Section 54 of the Act defines </w:t>
      </w:r>
      <w:r w:rsidR="00C62A0C" w:rsidRPr="00890C27">
        <w:rPr>
          <w:rFonts w:ascii="Times New Roman" w:eastAsia="Times New Roman" w:hAnsi="Times New Roman" w:cs="Times New Roman"/>
          <w:b/>
          <w:bCs/>
          <w:i/>
          <w:iCs/>
          <w:color w:val="000000" w:themeColor="text1"/>
          <w:sz w:val="24"/>
          <w:szCs w:val="24"/>
          <w:lang w:eastAsia="en-AU"/>
        </w:rPr>
        <w:t>sequestration offsets projects</w:t>
      </w:r>
      <w:r w:rsidR="00C62A0C" w:rsidRPr="00890C27">
        <w:rPr>
          <w:rFonts w:ascii="Times New Roman" w:eastAsia="Times New Roman" w:hAnsi="Times New Roman" w:cs="Times New Roman"/>
          <w:color w:val="000000" w:themeColor="text1"/>
          <w:sz w:val="24"/>
          <w:szCs w:val="24"/>
          <w:lang w:eastAsia="en-AU"/>
        </w:rPr>
        <w:t xml:space="preserve"> as projects</w:t>
      </w:r>
      <w:r w:rsidR="009E7B7B">
        <w:rPr>
          <w:rFonts w:ascii="Times New Roman" w:eastAsia="Times New Roman" w:hAnsi="Times New Roman" w:cs="Times New Roman"/>
          <w:color w:val="000000" w:themeColor="text1"/>
          <w:sz w:val="24"/>
          <w:szCs w:val="24"/>
          <w:lang w:eastAsia="en-AU"/>
        </w:rPr>
        <w:t xml:space="preserve"> that remove carbon dioxide from the atmosphere </w:t>
      </w:r>
      <w:r w:rsidR="00936184">
        <w:rPr>
          <w:rFonts w:ascii="Times New Roman" w:eastAsia="Times New Roman" w:hAnsi="Times New Roman" w:cs="Times New Roman"/>
          <w:color w:val="000000" w:themeColor="text1"/>
          <w:sz w:val="24"/>
          <w:szCs w:val="24"/>
          <w:lang w:eastAsia="en-AU"/>
        </w:rPr>
        <w:t>by sequestering carbon</w:t>
      </w:r>
      <w:r w:rsidR="00C30C9F">
        <w:rPr>
          <w:rFonts w:ascii="Times New Roman" w:eastAsia="Times New Roman" w:hAnsi="Times New Roman" w:cs="Times New Roman"/>
          <w:color w:val="000000" w:themeColor="text1"/>
          <w:sz w:val="24"/>
          <w:szCs w:val="24"/>
          <w:lang w:eastAsia="en-AU"/>
        </w:rPr>
        <w:t xml:space="preserve"> and/or avoiding emissions of </w:t>
      </w:r>
      <w:r w:rsidR="00F8775C">
        <w:rPr>
          <w:rFonts w:ascii="Times New Roman" w:eastAsia="Times New Roman" w:hAnsi="Times New Roman" w:cs="Times New Roman"/>
          <w:color w:val="000000" w:themeColor="text1"/>
          <w:sz w:val="24"/>
          <w:szCs w:val="24"/>
          <w:lang w:eastAsia="en-AU"/>
        </w:rPr>
        <w:t>greenhouse gasses</w:t>
      </w:r>
      <w:r w:rsidR="00936184">
        <w:rPr>
          <w:rFonts w:ascii="Times New Roman" w:eastAsia="Times New Roman" w:hAnsi="Times New Roman" w:cs="Times New Roman"/>
          <w:color w:val="000000" w:themeColor="text1"/>
          <w:sz w:val="24"/>
          <w:szCs w:val="24"/>
          <w:lang w:eastAsia="en-AU"/>
        </w:rPr>
        <w:t xml:space="preserve"> </w:t>
      </w:r>
      <w:r w:rsidR="008D758F">
        <w:rPr>
          <w:rFonts w:ascii="Times New Roman" w:eastAsia="Times New Roman" w:hAnsi="Times New Roman" w:cs="Times New Roman"/>
          <w:color w:val="000000" w:themeColor="text1"/>
          <w:sz w:val="24"/>
          <w:szCs w:val="24"/>
          <w:lang w:eastAsia="en-AU"/>
        </w:rPr>
        <w:t>from</w:t>
      </w:r>
      <w:r w:rsidR="00F8775C">
        <w:rPr>
          <w:rFonts w:ascii="Times New Roman" w:eastAsia="Times New Roman" w:hAnsi="Times New Roman" w:cs="Times New Roman"/>
          <w:color w:val="000000" w:themeColor="text1"/>
          <w:sz w:val="24"/>
          <w:szCs w:val="24"/>
          <w:lang w:eastAsia="en-AU"/>
        </w:rPr>
        <w:t xml:space="preserve"> </w:t>
      </w:r>
      <w:r w:rsidR="00515504">
        <w:rPr>
          <w:rFonts w:ascii="Times New Roman" w:eastAsia="Times New Roman" w:hAnsi="Times New Roman" w:cs="Times New Roman"/>
          <w:color w:val="000000" w:themeColor="text1"/>
          <w:sz w:val="24"/>
          <w:szCs w:val="24"/>
          <w:lang w:eastAsia="en-AU"/>
        </w:rPr>
        <w:t>living biomass</w:t>
      </w:r>
      <w:r w:rsidR="00F8775C">
        <w:rPr>
          <w:rFonts w:ascii="Times New Roman" w:eastAsia="Times New Roman" w:hAnsi="Times New Roman" w:cs="Times New Roman"/>
          <w:color w:val="000000" w:themeColor="text1"/>
          <w:sz w:val="24"/>
          <w:szCs w:val="24"/>
          <w:lang w:eastAsia="en-AU"/>
        </w:rPr>
        <w:t xml:space="preserve">, </w:t>
      </w:r>
      <w:r w:rsidR="00515504">
        <w:rPr>
          <w:rFonts w:ascii="Times New Roman" w:eastAsia="Times New Roman" w:hAnsi="Times New Roman" w:cs="Times New Roman"/>
          <w:color w:val="000000" w:themeColor="text1"/>
          <w:sz w:val="24"/>
          <w:szCs w:val="24"/>
          <w:lang w:eastAsia="en-AU"/>
        </w:rPr>
        <w:t>dead organic matter</w:t>
      </w:r>
      <w:r w:rsidR="00F8775C">
        <w:rPr>
          <w:rFonts w:ascii="Times New Roman" w:eastAsia="Times New Roman" w:hAnsi="Times New Roman" w:cs="Times New Roman"/>
          <w:color w:val="000000" w:themeColor="text1"/>
          <w:sz w:val="24"/>
          <w:szCs w:val="24"/>
          <w:lang w:eastAsia="en-AU"/>
        </w:rPr>
        <w:t xml:space="preserve"> or </w:t>
      </w:r>
      <w:r w:rsidR="00515504">
        <w:rPr>
          <w:rFonts w:ascii="Times New Roman" w:eastAsia="Times New Roman" w:hAnsi="Times New Roman" w:cs="Times New Roman"/>
          <w:color w:val="000000" w:themeColor="text1"/>
          <w:sz w:val="24"/>
          <w:szCs w:val="24"/>
          <w:lang w:eastAsia="en-AU"/>
        </w:rPr>
        <w:t>soil</w:t>
      </w:r>
      <w:r w:rsidR="00F8775C">
        <w:rPr>
          <w:rFonts w:ascii="Times New Roman" w:eastAsia="Times New Roman" w:hAnsi="Times New Roman" w:cs="Times New Roman"/>
          <w:color w:val="000000" w:themeColor="text1"/>
          <w:sz w:val="24"/>
          <w:szCs w:val="24"/>
          <w:lang w:eastAsia="en-AU"/>
        </w:rPr>
        <w:t>.</w:t>
      </w:r>
    </w:p>
    <w:p w14:paraId="730BA72E" w14:textId="2F5F09BC" w:rsidR="00C62A0C" w:rsidRPr="00BA58F0" w:rsidRDefault="008D5DE1" w:rsidP="008103FF">
      <w:pPr>
        <w:spacing w:after="160" w:line="276" w:lineRule="auto"/>
        <w:rPr>
          <w:rFonts w:ascii="Times New Roman" w:eastAsia="Times New Roman" w:hAnsi="Times New Roman" w:cs="Times New Roman"/>
          <w:lang w:eastAsia="en-AU"/>
        </w:rPr>
      </w:pPr>
      <w:r>
        <w:rPr>
          <w:rFonts w:ascii="Times New Roman" w:eastAsia="Times New Roman" w:hAnsi="Times New Roman" w:cs="Times New Roman"/>
          <w:color w:val="000000" w:themeColor="text1"/>
          <w:sz w:val="24"/>
          <w:szCs w:val="24"/>
          <w:lang w:eastAsia="en-AU"/>
        </w:rPr>
        <w:t>S</w:t>
      </w:r>
      <w:r w:rsidR="00C62A0C" w:rsidRPr="33750E9F">
        <w:rPr>
          <w:rFonts w:ascii="Times New Roman" w:eastAsia="Times New Roman" w:hAnsi="Times New Roman" w:cs="Times New Roman"/>
          <w:color w:val="000000" w:themeColor="text1"/>
          <w:sz w:val="24"/>
          <w:szCs w:val="24"/>
          <w:lang w:eastAsia="en-AU"/>
        </w:rPr>
        <w:t xml:space="preserve">avanna fire management must </w:t>
      </w:r>
      <w:r w:rsidR="00011B65" w:rsidRPr="33750E9F">
        <w:rPr>
          <w:rFonts w:ascii="Times New Roman" w:eastAsia="Times New Roman" w:hAnsi="Times New Roman" w:cs="Times New Roman"/>
          <w:color w:val="000000" w:themeColor="text1"/>
          <w:sz w:val="24"/>
          <w:szCs w:val="24"/>
          <w:lang w:eastAsia="en-AU"/>
        </w:rPr>
        <w:t xml:space="preserve">also be carried out to meet </w:t>
      </w:r>
      <w:r w:rsidR="00C62A0C" w:rsidRPr="33750E9F">
        <w:rPr>
          <w:rFonts w:ascii="Times New Roman" w:eastAsia="Times New Roman" w:hAnsi="Times New Roman" w:cs="Times New Roman"/>
          <w:color w:val="000000" w:themeColor="text1"/>
          <w:sz w:val="24"/>
          <w:szCs w:val="24"/>
          <w:lang w:eastAsia="en-AU"/>
        </w:rPr>
        <w:t xml:space="preserve">the second objective set out in subparagraph </w:t>
      </w:r>
      <w:r w:rsidR="0034414E" w:rsidRPr="33750E9F">
        <w:rPr>
          <w:rFonts w:ascii="Times New Roman" w:eastAsia="Times New Roman" w:hAnsi="Times New Roman" w:cs="Times New Roman"/>
          <w:color w:val="000000" w:themeColor="text1"/>
          <w:sz w:val="24"/>
          <w:szCs w:val="24"/>
          <w:lang w:eastAsia="en-AU"/>
        </w:rPr>
        <w:t>10(1)(b)</w:t>
      </w:r>
      <w:r w:rsidR="00C62A0C" w:rsidRPr="33750E9F">
        <w:rPr>
          <w:rFonts w:ascii="Times New Roman" w:eastAsia="Times New Roman" w:hAnsi="Times New Roman" w:cs="Times New Roman"/>
          <w:color w:val="000000" w:themeColor="text1"/>
          <w:sz w:val="24"/>
          <w:szCs w:val="24"/>
          <w:lang w:eastAsia="en-AU"/>
        </w:rPr>
        <w:t xml:space="preserve">(ii) </w:t>
      </w:r>
      <w:r w:rsidR="00011763" w:rsidRPr="33750E9F">
        <w:rPr>
          <w:rFonts w:ascii="Times New Roman" w:eastAsia="Times New Roman" w:hAnsi="Times New Roman" w:cs="Times New Roman"/>
          <w:color w:val="000000" w:themeColor="text1"/>
          <w:sz w:val="24"/>
          <w:szCs w:val="24"/>
          <w:lang w:eastAsia="en-AU"/>
        </w:rPr>
        <w:t xml:space="preserve">– </w:t>
      </w:r>
      <w:r w:rsidR="00C62A0C" w:rsidRPr="33750E9F">
        <w:rPr>
          <w:rFonts w:ascii="Times New Roman" w:eastAsia="Times New Roman" w:hAnsi="Times New Roman" w:cs="Times New Roman"/>
          <w:color w:val="000000" w:themeColor="text1"/>
          <w:sz w:val="24"/>
          <w:szCs w:val="24"/>
          <w:lang w:eastAsia="en-AU"/>
        </w:rPr>
        <w:t xml:space="preserve">to </w:t>
      </w:r>
      <w:r w:rsidR="002E2282" w:rsidRPr="33750E9F">
        <w:rPr>
          <w:rFonts w:ascii="Times New Roman" w:eastAsia="Times New Roman" w:hAnsi="Times New Roman" w:cs="Times New Roman"/>
          <w:color w:val="000000" w:themeColor="text1"/>
          <w:sz w:val="24"/>
          <w:szCs w:val="24"/>
          <w:lang w:eastAsia="en-AU"/>
        </w:rPr>
        <w:t xml:space="preserve">ensure there </w:t>
      </w:r>
      <w:r w:rsidR="008418FB" w:rsidRPr="33750E9F">
        <w:rPr>
          <w:rFonts w:ascii="Times New Roman" w:eastAsia="Times New Roman" w:hAnsi="Times New Roman" w:cs="Times New Roman"/>
          <w:color w:val="000000" w:themeColor="text1"/>
          <w:sz w:val="24"/>
          <w:szCs w:val="24"/>
          <w:lang w:eastAsia="en-AU"/>
        </w:rPr>
        <w:t xml:space="preserve">are </w:t>
      </w:r>
      <w:r w:rsidR="002E2282" w:rsidRPr="33750E9F">
        <w:rPr>
          <w:rFonts w:ascii="Times New Roman" w:eastAsia="Times New Roman" w:hAnsi="Times New Roman" w:cs="Times New Roman"/>
          <w:color w:val="000000" w:themeColor="text1"/>
          <w:sz w:val="24"/>
          <w:szCs w:val="24"/>
          <w:lang w:eastAsia="en-AU"/>
        </w:rPr>
        <w:t xml:space="preserve">less </w:t>
      </w:r>
      <w:r w:rsidR="00C62A0C" w:rsidRPr="33750E9F">
        <w:rPr>
          <w:rFonts w:ascii="Times New Roman" w:eastAsia="Times New Roman" w:hAnsi="Times New Roman" w:cs="Times New Roman"/>
          <w:color w:val="000000" w:themeColor="text1"/>
          <w:sz w:val="24"/>
          <w:szCs w:val="24"/>
          <w:lang w:eastAsia="en-AU"/>
        </w:rPr>
        <w:t xml:space="preserve">emissions of methane and nitrous oxide from the burning of savannas </w:t>
      </w:r>
      <w:r w:rsidR="002E2282" w:rsidRPr="33750E9F">
        <w:rPr>
          <w:rFonts w:ascii="Times New Roman" w:eastAsia="Times New Roman" w:hAnsi="Times New Roman" w:cs="Times New Roman"/>
          <w:color w:val="000000" w:themeColor="text1"/>
          <w:sz w:val="24"/>
          <w:szCs w:val="24"/>
          <w:lang w:eastAsia="en-AU"/>
        </w:rPr>
        <w:t xml:space="preserve">in the project area </w:t>
      </w:r>
      <w:r w:rsidR="00C62A0C" w:rsidRPr="33750E9F">
        <w:rPr>
          <w:rFonts w:ascii="Times New Roman" w:eastAsia="Times New Roman" w:hAnsi="Times New Roman" w:cs="Times New Roman"/>
          <w:color w:val="000000" w:themeColor="text1"/>
          <w:sz w:val="24"/>
          <w:szCs w:val="24"/>
          <w:lang w:eastAsia="en-AU"/>
        </w:rPr>
        <w:t xml:space="preserve">compared to the emissions </w:t>
      </w:r>
      <w:r w:rsidR="002E2282" w:rsidRPr="33750E9F">
        <w:rPr>
          <w:rFonts w:ascii="Times New Roman" w:eastAsia="Times New Roman" w:hAnsi="Times New Roman" w:cs="Times New Roman"/>
          <w:color w:val="000000" w:themeColor="text1"/>
          <w:sz w:val="24"/>
          <w:szCs w:val="24"/>
          <w:lang w:eastAsia="en-AU"/>
        </w:rPr>
        <w:t xml:space="preserve">that occurred in that area </w:t>
      </w:r>
      <w:r w:rsidR="00C62A0C" w:rsidRPr="33750E9F">
        <w:rPr>
          <w:rFonts w:ascii="Times New Roman" w:eastAsia="Times New Roman" w:hAnsi="Times New Roman" w:cs="Times New Roman"/>
          <w:color w:val="000000" w:themeColor="text1"/>
          <w:sz w:val="24"/>
          <w:szCs w:val="24"/>
          <w:lang w:eastAsia="en-AU"/>
        </w:rPr>
        <w:t xml:space="preserve">during the baseline period. </w:t>
      </w:r>
      <w:r w:rsidR="0093641D" w:rsidRPr="33750E9F">
        <w:rPr>
          <w:rFonts w:ascii="Times New Roman" w:eastAsia="Times New Roman" w:hAnsi="Times New Roman" w:cs="Times New Roman"/>
          <w:color w:val="000000" w:themeColor="text1"/>
          <w:sz w:val="24"/>
          <w:szCs w:val="24"/>
          <w:lang w:eastAsia="en-AU"/>
        </w:rPr>
        <w:t>Active savanna fire management leads to a</w:t>
      </w:r>
      <w:r w:rsidR="00C62A0C" w:rsidRPr="33750E9F">
        <w:rPr>
          <w:rFonts w:ascii="Times New Roman" w:eastAsia="Times New Roman" w:hAnsi="Times New Roman" w:cs="Times New Roman"/>
          <w:color w:val="000000" w:themeColor="text1"/>
          <w:sz w:val="24"/>
          <w:szCs w:val="24"/>
          <w:lang w:eastAsia="en-AU"/>
        </w:rPr>
        <w:t xml:space="preserve"> greater </w:t>
      </w:r>
      <w:r w:rsidR="00C62A0C" w:rsidRPr="33750E9F">
        <w:rPr>
          <w:rFonts w:ascii="Times New Roman" w:eastAsia="Times New Roman" w:hAnsi="Times New Roman" w:cs="Times New Roman"/>
          <w:color w:val="000000" w:themeColor="text1"/>
          <w:sz w:val="24"/>
          <w:szCs w:val="24"/>
          <w:lang w:eastAsia="en-AU"/>
        </w:rPr>
        <w:lastRenderedPageBreak/>
        <w:t>proportion of cooler fires and fewer hotter fires</w:t>
      </w:r>
      <w:r w:rsidR="0093641D" w:rsidRPr="33750E9F">
        <w:rPr>
          <w:rFonts w:ascii="Times New Roman" w:eastAsia="Times New Roman" w:hAnsi="Times New Roman" w:cs="Times New Roman"/>
          <w:color w:val="000000" w:themeColor="text1"/>
          <w:sz w:val="24"/>
          <w:szCs w:val="24"/>
          <w:lang w:eastAsia="en-AU"/>
        </w:rPr>
        <w:t>. This</w:t>
      </w:r>
      <w:r w:rsidR="00C62A0C" w:rsidRPr="33750E9F">
        <w:rPr>
          <w:rFonts w:ascii="Times New Roman" w:eastAsia="Times New Roman" w:hAnsi="Times New Roman" w:cs="Times New Roman"/>
          <w:color w:val="000000" w:themeColor="text1"/>
          <w:sz w:val="24"/>
          <w:szCs w:val="24"/>
          <w:lang w:eastAsia="en-AU"/>
        </w:rPr>
        <w:t xml:space="preserve"> </w:t>
      </w:r>
      <w:r w:rsidR="0093641D" w:rsidRPr="33750E9F">
        <w:rPr>
          <w:rFonts w:ascii="Times New Roman" w:eastAsia="Times New Roman" w:hAnsi="Times New Roman" w:cs="Times New Roman"/>
          <w:color w:val="000000" w:themeColor="text1"/>
          <w:sz w:val="24"/>
          <w:szCs w:val="24"/>
          <w:lang w:eastAsia="en-AU"/>
        </w:rPr>
        <w:t>avoids substantial</w:t>
      </w:r>
      <w:r w:rsidR="00C62A0C" w:rsidRPr="33750E9F">
        <w:rPr>
          <w:rFonts w:ascii="Times New Roman" w:eastAsia="Times New Roman" w:hAnsi="Times New Roman" w:cs="Times New Roman"/>
          <w:color w:val="000000" w:themeColor="text1"/>
          <w:sz w:val="24"/>
          <w:szCs w:val="24"/>
          <w:lang w:eastAsia="en-AU"/>
        </w:rPr>
        <w:t xml:space="preserve"> emissions of methane and nitrous oxide</w:t>
      </w:r>
      <w:r w:rsidR="0093641D" w:rsidRPr="33750E9F">
        <w:rPr>
          <w:rFonts w:ascii="Times New Roman" w:eastAsia="Times New Roman" w:hAnsi="Times New Roman" w:cs="Times New Roman"/>
          <w:color w:val="000000" w:themeColor="text1"/>
          <w:sz w:val="24"/>
          <w:szCs w:val="24"/>
          <w:lang w:eastAsia="en-AU"/>
        </w:rPr>
        <w:t xml:space="preserve"> then would otherwise occur</w:t>
      </w:r>
      <w:r w:rsidR="00C62A0C" w:rsidRPr="33750E9F">
        <w:rPr>
          <w:rFonts w:ascii="Times New Roman" w:eastAsia="Times New Roman" w:hAnsi="Times New Roman" w:cs="Times New Roman"/>
          <w:color w:val="000000" w:themeColor="text1"/>
          <w:sz w:val="24"/>
          <w:szCs w:val="24"/>
          <w:lang w:eastAsia="en-AU"/>
        </w:rPr>
        <w:t>.</w:t>
      </w:r>
    </w:p>
    <w:p w14:paraId="2116C552" w14:textId="58E8E6A1" w:rsidR="007968F9" w:rsidRPr="00143739" w:rsidRDefault="00BA4F4E" w:rsidP="008103FF">
      <w:pPr>
        <w:spacing w:after="160" w:line="276" w:lineRule="auto"/>
        <w:rPr>
          <w:rFonts w:ascii="Times New Roman" w:eastAsia="Times New Roman" w:hAnsi="Times New Roman" w:cs="Times New Roman"/>
          <w:lang w:eastAsia="en-AU"/>
        </w:rPr>
      </w:pPr>
      <w:r w:rsidRPr="165183F2">
        <w:rPr>
          <w:rFonts w:ascii="Times New Roman" w:eastAsia="Times New Roman" w:hAnsi="Times New Roman" w:cs="Times New Roman"/>
          <w:color w:val="000000" w:themeColor="text1"/>
          <w:sz w:val="24"/>
          <w:szCs w:val="24"/>
          <w:lang w:eastAsia="en-AU"/>
        </w:rPr>
        <w:t>Paragraph</w:t>
      </w:r>
      <w:r w:rsidR="00C62A0C" w:rsidRPr="165183F2">
        <w:rPr>
          <w:rFonts w:ascii="Times New Roman" w:eastAsia="Times New Roman" w:hAnsi="Times New Roman" w:cs="Times New Roman"/>
          <w:color w:val="000000" w:themeColor="text1"/>
          <w:sz w:val="24"/>
          <w:szCs w:val="24"/>
          <w:lang w:eastAsia="en-AU"/>
        </w:rPr>
        <w:t xml:space="preserve"> 1</w:t>
      </w:r>
      <w:r w:rsidR="002A3236" w:rsidRPr="165183F2">
        <w:rPr>
          <w:rFonts w:ascii="Times New Roman" w:eastAsia="Times New Roman" w:hAnsi="Times New Roman" w:cs="Times New Roman"/>
          <w:color w:val="000000" w:themeColor="text1"/>
          <w:sz w:val="24"/>
          <w:szCs w:val="24"/>
          <w:lang w:eastAsia="en-AU"/>
        </w:rPr>
        <w:t>0</w:t>
      </w:r>
      <w:r w:rsidR="00C62A0C" w:rsidRPr="165183F2">
        <w:rPr>
          <w:rFonts w:ascii="Times New Roman" w:eastAsia="Times New Roman" w:hAnsi="Times New Roman" w:cs="Times New Roman"/>
          <w:color w:val="000000" w:themeColor="text1"/>
          <w:sz w:val="24"/>
          <w:szCs w:val="24"/>
          <w:lang w:eastAsia="en-AU"/>
        </w:rPr>
        <w:t>(1)(b) specifies that projects must not increase greenhouse gas emissions from other sources</w:t>
      </w:r>
      <w:r w:rsidR="00E82D2F" w:rsidRPr="165183F2">
        <w:rPr>
          <w:rFonts w:ascii="Times New Roman" w:eastAsia="Times New Roman" w:hAnsi="Times New Roman" w:cs="Times New Roman"/>
          <w:color w:val="000000" w:themeColor="text1"/>
          <w:sz w:val="24"/>
          <w:szCs w:val="24"/>
          <w:lang w:eastAsia="en-AU"/>
        </w:rPr>
        <w:t xml:space="preserve"> </w:t>
      </w:r>
      <w:r w:rsidR="00C62A0C" w:rsidRPr="165183F2">
        <w:rPr>
          <w:rFonts w:ascii="Times New Roman" w:eastAsia="Times New Roman" w:hAnsi="Times New Roman" w:cs="Times New Roman"/>
          <w:color w:val="000000" w:themeColor="text1"/>
          <w:sz w:val="24"/>
          <w:szCs w:val="24"/>
          <w:lang w:eastAsia="en-AU"/>
        </w:rPr>
        <w:t xml:space="preserve">or alter the rate of the decomposition of organic carbon. For example, projects cannot increase stocking rates above those that would otherwise occur in the absence of the project, </w:t>
      </w:r>
      <w:proofErr w:type="gramStart"/>
      <w:r w:rsidR="00C62A0C" w:rsidRPr="165183F2">
        <w:rPr>
          <w:rFonts w:ascii="Times New Roman" w:eastAsia="Times New Roman" w:hAnsi="Times New Roman" w:cs="Times New Roman"/>
          <w:color w:val="000000" w:themeColor="text1"/>
          <w:sz w:val="24"/>
          <w:szCs w:val="24"/>
          <w:lang w:eastAsia="en-AU"/>
        </w:rPr>
        <w:t>in an attempt to</w:t>
      </w:r>
      <w:proofErr w:type="gramEnd"/>
      <w:r w:rsidR="00C62A0C" w:rsidRPr="165183F2">
        <w:rPr>
          <w:rFonts w:ascii="Times New Roman" w:eastAsia="Times New Roman" w:hAnsi="Times New Roman" w:cs="Times New Roman"/>
          <w:color w:val="000000" w:themeColor="text1"/>
          <w:sz w:val="24"/>
          <w:szCs w:val="24"/>
          <w:lang w:eastAsia="en-AU"/>
        </w:rPr>
        <w:t xml:space="preserve"> reduce fuel loads and hence modify fire activity. Further, projects cannot undertake activities that would increase the rate of decomposition of organic carbon. For example, projects cannot undertake activities that increase water content</w:t>
      </w:r>
      <w:r w:rsidR="381A0AA7" w:rsidRPr="165183F2">
        <w:rPr>
          <w:rFonts w:ascii="Times New Roman" w:eastAsia="Times New Roman" w:hAnsi="Times New Roman" w:cs="Times New Roman"/>
          <w:color w:val="000000" w:themeColor="text1"/>
          <w:sz w:val="24"/>
          <w:szCs w:val="24"/>
          <w:lang w:eastAsia="en-AU"/>
        </w:rPr>
        <w:t xml:space="preserve"> of soil or </w:t>
      </w:r>
      <w:proofErr w:type="gramStart"/>
      <w:r w:rsidR="381A0AA7" w:rsidRPr="165183F2">
        <w:rPr>
          <w:rFonts w:ascii="Times New Roman" w:eastAsia="Times New Roman" w:hAnsi="Times New Roman" w:cs="Times New Roman"/>
          <w:color w:val="000000" w:themeColor="text1"/>
          <w:sz w:val="24"/>
          <w:szCs w:val="24"/>
          <w:lang w:eastAsia="en-AU"/>
        </w:rPr>
        <w:t>biomass</w:t>
      </w:r>
      <w:r w:rsidR="00C62A0C" w:rsidRPr="165183F2">
        <w:rPr>
          <w:rFonts w:ascii="Times New Roman" w:eastAsia="Times New Roman" w:hAnsi="Times New Roman" w:cs="Times New Roman"/>
          <w:color w:val="000000" w:themeColor="text1"/>
          <w:sz w:val="24"/>
          <w:szCs w:val="24"/>
          <w:lang w:eastAsia="en-AU"/>
        </w:rPr>
        <w:t>, or</w:t>
      </w:r>
      <w:proofErr w:type="gramEnd"/>
      <w:r w:rsidR="00C62A0C" w:rsidRPr="165183F2">
        <w:rPr>
          <w:rFonts w:ascii="Times New Roman" w:eastAsia="Times New Roman" w:hAnsi="Times New Roman" w:cs="Times New Roman"/>
          <w:color w:val="000000" w:themeColor="text1"/>
          <w:sz w:val="24"/>
          <w:szCs w:val="24"/>
          <w:lang w:eastAsia="en-AU"/>
        </w:rPr>
        <w:t xml:space="preserve"> increase the activity of termites or other organisms involved in decomposition.</w:t>
      </w:r>
    </w:p>
    <w:p w14:paraId="4C44093D" w14:textId="2E632AC4" w:rsidR="00B9091F" w:rsidRPr="00143739" w:rsidRDefault="00B9091F" w:rsidP="008103FF">
      <w:pPr>
        <w:spacing w:after="160" w:line="276" w:lineRule="auto"/>
        <w:rPr>
          <w:rFonts w:ascii="Times New Roman" w:eastAsia="Times New Roman" w:hAnsi="Times New Roman" w:cs="Times New Roman"/>
          <w:lang w:eastAsia="en-AU"/>
        </w:rPr>
      </w:pPr>
      <w:r w:rsidRPr="165183F2">
        <w:rPr>
          <w:rFonts w:ascii="Times New Roman" w:eastAsia="Times New Roman" w:hAnsi="Times New Roman" w:cs="Times New Roman"/>
          <w:color w:val="000000" w:themeColor="text1"/>
          <w:sz w:val="24"/>
          <w:szCs w:val="24"/>
          <w:lang w:eastAsia="en-AU"/>
        </w:rPr>
        <w:t xml:space="preserve">Paragraph </w:t>
      </w:r>
      <w:r w:rsidR="00665BE9" w:rsidRPr="165183F2">
        <w:rPr>
          <w:rFonts w:ascii="Times New Roman" w:eastAsia="Times New Roman" w:hAnsi="Times New Roman" w:cs="Times New Roman"/>
          <w:color w:val="000000" w:themeColor="text1"/>
          <w:sz w:val="24"/>
          <w:szCs w:val="24"/>
          <w:lang w:eastAsia="en-AU"/>
        </w:rPr>
        <w:t>10</w:t>
      </w:r>
      <w:r w:rsidRPr="165183F2">
        <w:rPr>
          <w:rFonts w:ascii="Times New Roman" w:eastAsia="Times New Roman" w:hAnsi="Times New Roman" w:cs="Times New Roman"/>
          <w:color w:val="000000" w:themeColor="text1"/>
          <w:sz w:val="24"/>
          <w:szCs w:val="24"/>
          <w:lang w:eastAsia="en-AU"/>
        </w:rPr>
        <w:t xml:space="preserve">(1)(c) </w:t>
      </w:r>
      <w:r w:rsidR="006D5F53" w:rsidRPr="165183F2">
        <w:rPr>
          <w:rFonts w:ascii="Times New Roman" w:eastAsia="Times New Roman" w:hAnsi="Times New Roman" w:cs="Times New Roman"/>
          <w:color w:val="000000" w:themeColor="text1"/>
          <w:sz w:val="24"/>
          <w:szCs w:val="24"/>
          <w:lang w:eastAsia="en-AU"/>
        </w:rPr>
        <w:t>requires projects to</w:t>
      </w:r>
      <w:r w:rsidR="00080C85" w:rsidRPr="165183F2">
        <w:rPr>
          <w:rFonts w:ascii="Times New Roman" w:eastAsia="Times New Roman" w:hAnsi="Times New Roman" w:cs="Times New Roman"/>
          <w:color w:val="000000" w:themeColor="text1"/>
          <w:sz w:val="24"/>
          <w:szCs w:val="24"/>
          <w:lang w:eastAsia="en-AU"/>
        </w:rPr>
        <w:t xml:space="preserve"> be carried out </w:t>
      </w:r>
      <w:r w:rsidR="00D4212F" w:rsidRPr="165183F2">
        <w:rPr>
          <w:rFonts w:ascii="Times New Roman" w:eastAsia="Times New Roman" w:hAnsi="Times New Roman" w:cs="Times New Roman"/>
          <w:color w:val="000000" w:themeColor="text1"/>
          <w:sz w:val="24"/>
          <w:szCs w:val="24"/>
          <w:lang w:eastAsia="en-AU"/>
        </w:rPr>
        <w:t>i</w:t>
      </w:r>
      <w:r w:rsidR="00080C85" w:rsidRPr="165183F2">
        <w:rPr>
          <w:rFonts w:ascii="Times New Roman" w:eastAsia="Times New Roman" w:hAnsi="Times New Roman" w:cs="Times New Roman"/>
          <w:color w:val="000000" w:themeColor="text1"/>
          <w:sz w:val="24"/>
          <w:szCs w:val="24"/>
          <w:lang w:eastAsia="en-AU"/>
        </w:rPr>
        <w:t>n a savanna</w:t>
      </w:r>
      <w:r w:rsidR="00C80F7C" w:rsidRPr="165183F2">
        <w:rPr>
          <w:rFonts w:ascii="Times New Roman" w:eastAsia="Times New Roman" w:hAnsi="Times New Roman" w:cs="Times New Roman"/>
          <w:color w:val="000000" w:themeColor="text1"/>
          <w:sz w:val="24"/>
          <w:szCs w:val="24"/>
          <w:lang w:eastAsia="en-AU"/>
        </w:rPr>
        <w:t xml:space="preserve"> that is in either or both</w:t>
      </w:r>
      <w:r w:rsidR="00DB3FD7" w:rsidRPr="165183F2">
        <w:rPr>
          <w:rFonts w:ascii="Times New Roman" w:eastAsia="Times New Roman" w:hAnsi="Times New Roman" w:cs="Times New Roman"/>
          <w:color w:val="000000" w:themeColor="text1"/>
          <w:sz w:val="24"/>
          <w:szCs w:val="24"/>
          <w:lang w:eastAsia="en-AU"/>
        </w:rPr>
        <w:t xml:space="preserve"> the high-rainfall zone, or the low-rainfall zone</w:t>
      </w:r>
      <w:r w:rsidR="004F5A17" w:rsidRPr="165183F2">
        <w:rPr>
          <w:rFonts w:ascii="Times New Roman" w:eastAsia="Times New Roman" w:hAnsi="Times New Roman" w:cs="Times New Roman"/>
          <w:color w:val="000000" w:themeColor="text1"/>
          <w:sz w:val="24"/>
          <w:szCs w:val="24"/>
          <w:lang w:eastAsia="en-AU"/>
        </w:rPr>
        <w:t>. These zones are</w:t>
      </w:r>
      <w:r w:rsidRPr="165183F2">
        <w:rPr>
          <w:rFonts w:ascii="Times New Roman" w:eastAsia="Times New Roman" w:hAnsi="Times New Roman" w:cs="Times New Roman"/>
          <w:color w:val="000000" w:themeColor="text1"/>
          <w:sz w:val="24"/>
          <w:szCs w:val="24"/>
          <w:lang w:eastAsia="en-AU"/>
        </w:rPr>
        <w:t xml:space="preserve"> defined by the relevant rainfall zone spatial data layers and provided for in section </w:t>
      </w:r>
      <w:r w:rsidR="004F5A17" w:rsidRPr="165183F2">
        <w:rPr>
          <w:rFonts w:ascii="Times New Roman" w:eastAsia="Times New Roman" w:hAnsi="Times New Roman" w:cs="Times New Roman"/>
          <w:color w:val="000000" w:themeColor="text1"/>
          <w:sz w:val="24"/>
          <w:szCs w:val="24"/>
          <w:lang w:eastAsia="en-AU"/>
        </w:rPr>
        <w:t>5</w:t>
      </w:r>
      <w:r w:rsidRPr="165183F2">
        <w:rPr>
          <w:rFonts w:ascii="Times New Roman" w:eastAsia="Times New Roman" w:hAnsi="Times New Roman" w:cs="Times New Roman"/>
          <w:color w:val="000000" w:themeColor="text1"/>
          <w:sz w:val="24"/>
          <w:szCs w:val="24"/>
          <w:lang w:eastAsia="en-AU"/>
        </w:rPr>
        <w:t xml:space="preserve"> of </w:t>
      </w:r>
      <w:r w:rsidR="005D56BA" w:rsidRPr="165183F2">
        <w:rPr>
          <w:rFonts w:ascii="Times New Roman" w:eastAsia="Times New Roman" w:hAnsi="Times New Roman" w:cs="Times New Roman"/>
          <w:color w:val="000000" w:themeColor="text1"/>
          <w:sz w:val="24"/>
          <w:szCs w:val="24"/>
          <w:lang w:eastAsia="en-AU"/>
        </w:rPr>
        <w:t xml:space="preserve">the </w:t>
      </w:r>
      <w:r w:rsidR="004D74F5" w:rsidRPr="165183F2">
        <w:rPr>
          <w:rFonts w:ascii="Times New Roman" w:eastAsia="Times New Roman" w:hAnsi="Times New Roman" w:cs="Times New Roman"/>
          <w:color w:val="000000" w:themeColor="text1"/>
          <w:sz w:val="24"/>
          <w:szCs w:val="24"/>
          <w:lang w:eastAsia="en-AU"/>
        </w:rPr>
        <w:t>determination</w:t>
      </w:r>
      <w:r w:rsidRPr="165183F2">
        <w:rPr>
          <w:rFonts w:ascii="Times New Roman" w:eastAsia="Times New Roman" w:hAnsi="Times New Roman" w:cs="Times New Roman"/>
          <w:color w:val="000000" w:themeColor="text1"/>
          <w:sz w:val="24"/>
          <w:szCs w:val="24"/>
          <w:lang w:eastAsia="en-AU"/>
        </w:rPr>
        <w:t>.</w:t>
      </w:r>
    </w:p>
    <w:p w14:paraId="69233583" w14:textId="10A4FC95" w:rsidR="00B9091F" w:rsidRPr="009F077F" w:rsidRDefault="00B9091F"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t xml:space="preserve">Paragraph </w:t>
      </w:r>
      <w:r w:rsidR="003863F7" w:rsidRPr="33750E9F">
        <w:rPr>
          <w:rFonts w:ascii="Times New Roman" w:eastAsia="Times New Roman" w:hAnsi="Times New Roman" w:cs="Times New Roman"/>
          <w:color w:val="000000" w:themeColor="text1"/>
          <w:sz w:val="24"/>
          <w:szCs w:val="24"/>
          <w:lang w:eastAsia="en-AU"/>
        </w:rPr>
        <w:t>10</w:t>
      </w:r>
      <w:r w:rsidRPr="33750E9F">
        <w:rPr>
          <w:rFonts w:ascii="Times New Roman" w:eastAsia="Times New Roman" w:hAnsi="Times New Roman" w:cs="Times New Roman"/>
          <w:color w:val="000000" w:themeColor="text1"/>
          <w:sz w:val="24"/>
          <w:szCs w:val="24"/>
          <w:lang w:eastAsia="en-AU"/>
        </w:rPr>
        <w:t xml:space="preserve">(1)(d) </w:t>
      </w:r>
      <w:r w:rsidR="006D5F53">
        <w:rPr>
          <w:rFonts w:ascii="Times New Roman" w:eastAsia="Times New Roman" w:hAnsi="Times New Roman" w:cs="Times New Roman"/>
          <w:color w:val="000000" w:themeColor="text1"/>
          <w:sz w:val="24"/>
          <w:szCs w:val="24"/>
          <w:lang w:eastAsia="en-AU"/>
        </w:rPr>
        <w:t xml:space="preserve">requires </w:t>
      </w:r>
      <w:r w:rsidRPr="33750E9F">
        <w:rPr>
          <w:rFonts w:ascii="Times New Roman" w:eastAsia="Times New Roman" w:hAnsi="Times New Roman" w:cs="Times New Roman"/>
          <w:color w:val="000000" w:themeColor="text1"/>
          <w:sz w:val="24"/>
          <w:szCs w:val="24"/>
          <w:lang w:eastAsia="en-AU"/>
        </w:rPr>
        <w:t xml:space="preserve">projects </w:t>
      </w:r>
      <w:r w:rsidR="006D5F53">
        <w:rPr>
          <w:rFonts w:ascii="Times New Roman" w:eastAsia="Times New Roman" w:hAnsi="Times New Roman" w:cs="Times New Roman"/>
          <w:color w:val="000000" w:themeColor="text1"/>
          <w:sz w:val="24"/>
          <w:szCs w:val="24"/>
          <w:lang w:eastAsia="en-AU"/>
        </w:rPr>
        <w:t>to</w:t>
      </w:r>
      <w:r w:rsidRPr="33750E9F">
        <w:rPr>
          <w:rFonts w:ascii="Times New Roman" w:eastAsia="Times New Roman" w:hAnsi="Times New Roman" w:cs="Times New Roman"/>
          <w:color w:val="000000" w:themeColor="text1"/>
          <w:sz w:val="24"/>
          <w:szCs w:val="24"/>
          <w:lang w:eastAsia="en-AU"/>
        </w:rPr>
        <w:t xml:space="preserve"> be reasonably expected to result in eligible carbon abatement. This means </w:t>
      </w:r>
      <w:r w:rsidR="00BA2B24" w:rsidRPr="33750E9F">
        <w:rPr>
          <w:rFonts w:ascii="Times New Roman" w:eastAsia="Times New Roman" w:hAnsi="Times New Roman" w:cs="Times New Roman"/>
          <w:color w:val="000000" w:themeColor="text1"/>
          <w:sz w:val="24"/>
          <w:szCs w:val="24"/>
          <w:lang w:eastAsia="en-AU"/>
        </w:rPr>
        <w:t xml:space="preserve">there must be a reasonable expectation </w:t>
      </w:r>
      <w:r w:rsidR="00BA2B24" w:rsidRPr="33750E9F" w:rsidDel="003815CC">
        <w:rPr>
          <w:rFonts w:ascii="Times New Roman" w:eastAsia="Times New Roman" w:hAnsi="Times New Roman" w:cs="Times New Roman"/>
          <w:color w:val="000000" w:themeColor="text1"/>
          <w:sz w:val="24"/>
          <w:szCs w:val="24"/>
          <w:lang w:eastAsia="en-AU"/>
        </w:rPr>
        <w:t xml:space="preserve">that </w:t>
      </w:r>
      <w:r w:rsidRPr="33750E9F">
        <w:rPr>
          <w:rFonts w:ascii="Times New Roman" w:eastAsia="Times New Roman" w:hAnsi="Times New Roman" w:cs="Times New Roman"/>
          <w:color w:val="000000" w:themeColor="text1"/>
          <w:sz w:val="24"/>
          <w:szCs w:val="24"/>
          <w:lang w:eastAsia="en-AU"/>
        </w:rPr>
        <w:t xml:space="preserve">the objectives in this paragraph </w:t>
      </w:r>
      <w:r w:rsidR="00BA2B24" w:rsidRPr="33750E9F">
        <w:rPr>
          <w:rFonts w:ascii="Times New Roman" w:eastAsia="Times New Roman" w:hAnsi="Times New Roman" w:cs="Times New Roman"/>
          <w:color w:val="000000" w:themeColor="text1"/>
          <w:sz w:val="24"/>
          <w:szCs w:val="24"/>
          <w:lang w:eastAsia="en-AU"/>
        </w:rPr>
        <w:t xml:space="preserve">can be </w:t>
      </w:r>
      <w:r w:rsidRPr="33750E9F">
        <w:rPr>
          <w:rFonts w:ascii="Times New Roman" w:eastAsia="Times New Roman" w:hAnsi="Times New Roman" w:cs="Times New Roman"/>
          <w:color w:val="000000" w:themeColor="text1"/>
          <w:sz w:val="24"/>
          <w:szCs w:val="24"/>
          <w:lang w:eastAsia="en-AU"/>
        </w:rPr>
        <w:t xml:space="preserve">met through a change in fire management activity, and this is likely to result in net positive abatement </w:t>
      </w:r>
      <w:r w:rsidR="003815CC">
        <w:rPr>
          <w:rFonts w:ascii="Times New Roman" w:eastAsia="Times New Roman" w:hAnsi="Times New Roman" w:cs="Times New Roman"/>
          <w:color w:val="000000" w:themeColor="text1"/>
          <w:sz w:val="24"/>
          <w:szCs w:val="24"/>
          <w:lang w:eastAsia="en-AU"/>
        </w:rPr>
        <w:t>that can</w:t>
      </w:r>
      <w:r w:rsidRPr="33750E9F">
        <w:rPr>
          <w:rFonts w:ascii="Times New Roman" w:eastAsia="Times New Roman" w:hAnsi="Times New Roman" w:cs="Times New Roman"/>
          <w:color w:val="000000" w:themeColor="text1"/>
          <w:sz w:val="24"/>
          <w:szCs w:val="24"/>
          <w:lang w:eastAsia="en-AU"/>
        </w:rPr>
        <w:t xml:space="preserve"> contribute to Australia’s international </w:t>
      </w:r>
      <w:r w:rsidR="003815CC">
        <w:rPr>
          <w:rFonts w:ascii="Times New Roman" w:eastAsia="Times New Roman" w:hAnsi="Times New Roman" w:cs="Times New Roman"/>
          <w:color w:val="000000" w:themeColor="text1"/>
          <w:sz w:val="24"/>
          <w:szCs w:val="24"/>
          <w:lang w:eastAsia="en-AU"/>
        </w:rPr>
        <w:t>emissions reduction</w:t>
      </w:r>
      <w:r w:rsidRPr="33750E9F">
        <w:rPr>
          <w:rFonts w:ascii="Times New Roman" w:eastAsia="Times New Roman" w:hAnsi="Times New Roman" w:cs="Times New Roman"/>
          <w:color w:val="000000" w:themeColor="text1"/>
          <w:sz w:val="24"/>
          <w:szCs w:val="24"/>
          <w:lang w:eastAsia="en-AU"/>
        </w:rPr>
        <w:t xml:space="preserve"> targets.</w:t>
      </w:r>
    </w:p>
    <w:p w14:paraId="4EC13F84" w14:textId="21BE8DD0" w:rsidR="001D6A8D" w:rsidRDefault="00B9091F" w:rsidP="008103FF">
      <w:pPr>
        <w:spacing w:after="160" w:line="276" w:lineRule="auto"/>
        <w:rPr>
          <w:rFonts w:ascii="Times New Roman" w:eastAsia="Times New Roman" w:hAnsi="Times New Roman" w:cs="Times New Roman"/>
          <w:color w:val="000000" w:themeColor="text1"/>
          <w:sz w:val="24"/>
          <w:szCs w:val="24"/>
          <w:lang w:eastAsia="en-AU"/>
        </w:rPr>
      </w:pPr>
      <w:r w:rsidRPr="33750E9F">
        <w:rPr>
          <w:rFonts w:ascii="Times New Roman" w:eastAsia="Times New Roman" w:hAnsi="Times New Roman" w:cs="Times New Roman"/>
          <w:color w:val="000000" w:themeColor="text1"/>
          <w:sz w:val="24"/>
          <w:szCs w:val="24"/>
          <w:lang w:eastAsia="en-AU"/>
        </w:rPr>
        <w:t xml:space="preserve">Subsection </w:t>
      </w:r>
      <w:r w:rsidR="00B9684A" w:rsidRPr="33750E9F">
        <w:rPr>
          <w:rFonts w:ascii="Times New Roman" w:eastAsia="Times New Roman" w:hAnsi="Times New Roman" w:cs="Times New Roman"/>
          <w:color w:val="000000" w:themeColor="text1"/>
          <w:sz w:val="24"/>
          <w:szCs w:val="24"/>
          <w:lang w:eastAsia="en-AU"/>
        </w:rPr>
        <w:t>10</w:t>
      </w:r>
      <w:r w:rsidRPr="33750E9F">
        <w:rPr>
          <w:rFonts w:ascii="Times New Roman" w:eastAsia="Times New Roman" w:hAnsi="Times New Roman" w:cs="Times New Roman"/>
          <w:color w:val="000000" w:themeColor="text1"/>
          <w:sz w:val="24"/>
          <w:szCs w:val="24"/>
          <w:lang w:eastAsia="en-AU"/>
        </w:rPr>
        <w:t xml:space="preserve">(2) provides that a project covered by subsection </w:t>
      </w:r>
      <w:r w:rsidR="009435CE" w:rsidRPr="33750E9F">
        <w:rPr>
          <w:rFonts w:ascii="Times New Roman" w:eastAsia="Times New Roman" w:hAnsi="Times New Roman" w:cs="Times New Roman"/>
          <w:color w:val="000000" w:themeColor="text1"/>
          <w:sz w:val="24"/>
          <w:szCs w:val="24"/>
          <w:lang w:eastAsia="en-AU"/>
        </w:rPr>
        <w:t>10</w:t>
      </w:r>
      <w:r w:rsidRPr="33750E9F">
        <w:rPr>
          <w:rFonts w:ascii="Times New Roman" w:eastAsia="Times New Roman" w:hAnsi="Times New Roman" w:cs="Times New Roman"/>
          <w:color w:val="000000" w:themeColor="text1"/>
          <w:sz w:val="24"/>
          <w:szCs w:val="24"/>
          <w:lang w:eastAsia="en-AU"/>
        </w:rPr>
        <w:t>(1) is a</w:t>
      </w:r>
      <w:r w:rsidR="00877F86" w:rsidRPr="33750E9F">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b/>
          <w:bCs/>
          <w:i/>
          <w:iCs/>
          <w:color w:val="000000" w:themeColor="text1"/>
          <w:sz w:val="24"/>
          <w:szCs w:val="24"/>
          <w:lang w:eastAsia="en-AU"/>
        </w:rPr>
        <w:t>savanna sequestration project</w:t>
      </w:r>
      <w:r w:rsidRPr="33750E9F">
        <w:rPr>
          <w:rFonts w:ascii="Times New Roman" w:eastAsia="Times New Roman" w:hAnsi="Times New Roman" w:cs="Times New Roman"/>
          <w:color w:val="000000" w:themeColor="text1"/>
          <w:sz w:val="24"/>
          <w:szCs w:val="24"/>
          <w:lang w:eastAsia="en-AU"/>
        </w:rPr>
        <w:t>.</w:t>
      </w:r>
    </w:p>
    <w:p w14:paraId="124FD97D" w14:textId="439D3DEC" w:rsidR="00696A58" w:rsidRPr="0024504B" w:rsidRDefault="009C7966" w:rsidP="008103FF">
      <w:pPr>
        <w:spacing w:after="160" w:line="276" w:lineRule="auto"/>
        <w:rPr>
          <w:rFonts w:ascii="Times New Roman" w:eastAsia="Times New Roman" w:hAnsi="Times New Roman" w:cs="Times New Roman"/>
          <w:sz w:val="24"/>
          <w:szCs w:val="24"/>
          <w:lang w:eastAsia="en-AU"/>
        </w:rPr>
      </w:pPr>
      <w:r w:rsidRPr="165183F2">
        <w:rPr>
          <w:rFonts w:ascii="Times New Roman" w:eastAsia="Times New Roman" w:hAnsi="Times New Roman" w:cs="Times New Roman"/>
          <w:sz w:val="24"/>
          <w:szCs w:val="24"/>
          <w:lang w:eastAsia="en-AU"/>
        </w:rPr>
        <w:t xml:space="preserve">Subsection 10(3) provides that </w:t>
      </w:r>
      <w:r w:rsidR="005D56BA" w:rsidRPr="165183F2">
        <w:rPr>
          <w:rFonts w:ascii="Times New Roman" w:eastAsia="Times New Roman" w:hAnsi="Times New Roman" w:cs="Times New Roman"/>
          <w:sz w:val="24"/>
          <w:szCs w:val="24"/>
          <w:lang w:eastAsia="en-AU"/>
        </w:rPr>
        <w:t xml:space="preserve">the </w:t>
      </w:r>
      <w:r w:rsidR="004D74F5" w:rsidRPr="165183F2">
        <w:rPr>
          <w:rFonts w:ascii="Times New Roman" w:eastAsia="Times New Roman" w:hAnsi="Times New Roman" w:cs="Times New Roman"/>
          <w:sz w:val="24"/>
          <w:szCs w:val="24"/>
          <w:lang w:eastAsia="en-AU"/>
        </w:rPr>
        <w:t>determination</w:t>
      </w:r>
      <w:r w:rsidRPr="165183F2">
        <w:rPr>
          <w:rFonts w:ascii="Times New Roman" w:eastAsia="Times New Roman" w:hAnsi="Times New Roman" w:cs="Times New Roman"/>
          <w:sz w:val="24"/>
          <w:szCs w:val="24"/>
          <w:lang w:eastAsia="en-AU"/>
        </w:rPr>
        <w:t xml:space="preserve"> </w:t>
      </w:r>
      <w:r w:rsidR="000E5E42" w:rsidRPr="165183F2">
        <w:rPr>
          <w:rFonts w:ascii="Times New Roman" w:eastAsia="Times New Roman" w:hAnsi="Times New Roman" w:cs="Times New Roman"/>
          <w:sz w:val="24"/>
          <w:szCs w:val="24"/>
          <w:lang w:eastAsia="en-AU"/>
        </w:rPr>
        <w:t>does</w:t>
      </w:r>
      <w:r w:rsidRPr="165183F2">
        <w:rPr>
          <w:rFonts w:ascii="Times New Roman" w:eastAsia="Times New Roman" w:hAnsi="Times New Roman" w:cs="Times New Roman"/>
          <w:sz w:val="24"/>
          <w:szCs w:val="24"/>
          <w:lang w:eastAsia="en-AU"/>
        </w:rPr>
        <w:t xml:space="preserve"> not apply to a</w:t>
      </w:r>
      <w:r w:rsidR="00315009" w:rsidRPr="165183F2">
        <w:rPr>
          <w:rFonts w:ascii="Times New Roman" w:eastAsia="Times New Roman" w:hAnsi="Times New Roman" w:cs="Times New Roman"/>
          <w:sz w:val="24"/>
          <w:szCs w:val="24"/>
          <w:lang w:eastAsia="en-AU"/>
        </w:rPr>
        <w:t>n offsets project that has been or could be covered by a savanna emissions avoidance determination</w:t>
      </w:r>
      <w:r w:rsidR="00287E9F" w:rsidRPr="165183F2">
        <w:rPr>
          <w:rFonts w:ascii="Times New Roman" w:eastAsia="Times New Roman" w:hAnsi="Times New Roman" w:cs="Times New Roman"/>
          <w:sz w:val="24"/>
          <w:szCs w:val="24"/>
          <w:lang w:eastAsia="en-AU"/>
        </w:rPr>
        <w:t xml:space="preserve"> – </w:t>
      </w:r>
      <w:r w:rsidR="00C83688" w:rsidRPr="165183F2">
        <w:rPr>
          <w:rFonts w:ascii="Times New Roman" w:eastAsia="Times New Roman" w:hAnsi="Times New Roman" w:cs="Times New Roman"/>
          <w:sz w:val="24"/>
          <w:szCs w:val="24"/>
          <w:lang w:eastAsia="en-AU"/>
        </w:rPr>
        <w:t xml:space="preserve">which </w:t>
      </w:r>
      <w:r w:rsidR="008B3AAA" w:rsidRPr="165183F2">
        <w:rPr>
          <w:rFonts w:ascii="Times New Roman" w:eastAsia="Times New Roman" w:hAnsi="Times New Roman" w:cs="Times New Roman"/>
          <w:sz w:val="24"/>
          <w:szCs w:val="24"/>
          <w:lang w:eastAsia="en-AU"/>
        </w:rPr>
        <w:t xml:space="preserve">deals with projects that </w:t>
      </w:r>
      <w:r w:rsidR="00C75CAA" w:rsidRPr="165183F2">
        <w:rPr>
          <w:rFonts w:ascii="Times New Roman" w:eastAsia="Times New Roman" w:hAnsi="Times New Roman" w:cs="Times New Roman"/>
          <w:sz w:val="24"/>
          <w:szCs w:val="24"/>
          <w:lang w:eastAsia="en-AU"/>
        </w:rPr>
        <w:t xml:space="preserve">involve undertaking savanna fire management activities with the </w:t>
      </w:r>
      <w:r w:rsidR="00C75CAA" w:rsidRPr="165183F2">
        <w:rPr>
          <w:rFonts w:ascii="Times New Roman" w:eastAsia="Times New Roman" w:hAnsi="Times New Roman" w:cs="Times New Roman"/>
          <w:i/>
          <w:iCs/>
          <w:sz w:val="24"/>
          <w:szCs w:val="24"/>
          <w:lang w:eastAsia="en-AU"/>
        </w:rPr>
        <w:t>sole</w:t>
      </w:r>
      <w:r w:rsidR="00C75CAA" w:rsidRPr="165183F2">
        <w:rPr>
          <w:rFonts w:ascii="Times New Roman" w:eastAsia="Times New Roman" w:hAnsi="Times New Roman" w:cs="Times New Roman"/>
          <w:sz w:val="24"/>
          <w:szCs w:val="24"/>
          <w:lang w:eastAsia="en-AU"/>
        </w:rPr>
        <w:t xml:space="preserve"> purpose of</w:t>
      </w:r>
      <w:r w:rsidR="00F137D4" w:rsidRPr="165183F2">
        <w:rPr>
          <w:rFonts w:ascii="Times New Roman" w:eastAsia="Times New Roman" w:hAnsi="Times New Roman" w:cs="Times New Roman"/>
          <w:sz w:val="24"/>
          <w:szCs w:val="24"/>
          <w:lang w:eastAsia="en-AU"/>
        </w:rPr>
        <w:t xml:space="preserve"> avoiding emissions</w:t>
      </w:r>
      <w:r w:rsidR="000D1775" w:rsidRPr="165183F2">
        <w:rPr>
          <w:rFonts w:ascii="Times New Roman" w:eastAsia="Times New Roman" w:hAnsi="Times New Roman" w:cs="Times New Roman"/>
          <w:sz w:val="24"/>
          <w:szCs w:val="24"/>
          <w:lang w:eastAsia="en-AU"/>
        </w:rPr>
        <w:t>.</w:t>
      </w:r>
      <w:r w:rsidR="00315009" w:rsidRPr="165183F2">
        <w:rPr>
          <w:rFonts w:ascii="Times New Roman" w:eastAsia="Times New Roman" w:hAnsi="Times New Roman" w:cs="Times New Roman"/>
          <w:sz w:val="24"/>
          <w:szCs w:val="24"/>
          <w:lang w:eastAsia="en-AU"/>
        </w:rPr>
        <w:t xml:space="preserve"> </w:t>
      </w:r>
    </w:p>
    <w:p w14:paraId="10E1CAD3" w14:textId="0A0E831C" w:rsidR="00367CFD" w:rsidRPr="00C241C3" w:rsidRDefault="00696A58" w:rsidP="008103FF">
      <w:pPr>
        <w:spacing w:after="160" w:line="276" w:lineRule="auto"/>
        <w:rPr>
          <w:rFonts w:ascii="Times New Roman" w:eastAsia="Times New Roman" w:hAnsi="Times New Roman" w:cs="Times New Roman"/>
          <w:sz w:val="24"/>
          <w:szCs w:val="24"/>
          <w:lang w:eastAsia="en-AU"/>
        </w:rPr>
      </w:pPr>
      <w:r w:rsidRPr="165183F2">
        <w:rPr>
          <w:rFonts w:ascii="Times New Roman" w:eastAsia="Times New Roman" w:hAnsi="Times New Roman" w:cs="Times New Roman"/>
          <w:sz w:val="24"/>
          <w:szCs w:val="24"/>
          <w:lang w:eastAsia="en-AU"/>
        </w:rPr>
        <w:t>T</w:t>
      </w:r>
      <w:r w:rsidR="00367CFD" w:rsidRPr="165183F2">
        <w:rPr>
          <w:rFonts w:ascii="Times New Roman" w:eastAsia="Times New Roman" w:hAnsi="Times New Roman" w:cs="Times New Roman"/>
          <w:sz w:val="24"/>
          <w:szCs w:val="24"/>
          <w:lang w:eastAsia="en-AU"/>
        </w:rPr>
        <w:t>h</w:t>
      </w:r>
      <w:r w:rsidR="00461070" w:rsidRPr="165183F2">
        <w:rPr>
          <w:rFonts w:ascii="Times New Roman" w:eastAsia="Times New Roman" w:hAnsi="Times New Roman" w:cs="Times New Roman"/>
          <w:sz w:val="24"/>
          <w:szCs w:val="24"/>
          <w:lang w:eastAsia="en-AU"/>
        </w:rPr>
        <w:t xml:space="preserve">is </w:t>
      </w:r>
      <w:r w:rsidR="00315009" w:rsidRPr="165183F2">
        <w:rPr>
          <w:rFonts w:ascii="Times New Roman" w:eastAsia="Times New Roman" w:hAnsi="Times New Roman" w:cs="Times New Roman"/>
          <w:sz w:val="24"/>
          <w:szCs w:val="24"/>
          <w:lang w:eastAsia="en-AU"/>
        </w:rPr>
        <w:t xml:space="preserve">is </w:t>
      </w:r>
      <w:r w:rsidR="00461070" w:rsidRPr="165183F2">
        <w:rPr>
          <w:rFonts w:ascii="Times New Roman" w:eastAsia="Times New Roman" w:hAnsi="Times New Roman" w:cs="Times New Roman"/>
          <w:sz w:val="24"/>
          <w:szCs w:val="24"/>
          <w:lang w:eastAsia="en-AU"/>
        </w:rPr>
        <w:t>because th</w:t>
      </w:r>
      <w:r w:rsidR="00367CFD" w:rsidRPr="165183F2">
        <w:rPr>
          <w:rFonts w:ascii="Times New Roman" w:eastAsia="Times New Roman" w:hAnsi="Times New Roman" w:cs="Times New Roman"/>
          <w:sz w:val="24"/>
          <w:szCs w:val="24"/>
          <w:lang w:eastAsia="en-AU"/>
        </w:rPr>
        <w:t>e process for transition</w:t>
      </w:r>
      <w:r w:rsidR="00287E9F" w:rsidRPr="165183F2">
        <w:rPr>
          <w:rFonts w:ascii="Times New Roman" w:eastAsia="Times New Roman" w:hAnsi="Times New Roman" w:cs="Times New Roman"/>
          <w:sz w:val="24"/>
          <w:szCs w:val="24"/>
          <w:lang w:eastAsia="en-AU"/>
        </w:rPr>
        <w:t>ing</w:t>
      </w:r>
      <w:r w:rsidR="00367CFD" w:rsidRPr="165183F2">
        <w:rPr>
          <w:rFonts w:ascii="Times New Roman" w:eastAsia="Times New Roman" w:hAnsi="Times New Roman" w:cs="Times New Roman"/>
          <w:sz w:val="24"/>
          <w:szCs w:val="24"/>
          <w:lang w:eastAsia="en-AU"/>
        </w:rPr>
        <w:t xml:space="preserve"> between methodology determinations in section 128 and 130 of the Act does not apply for projects wishing to move between emissions avoidance only and sequestration offsets projects as this process would not effectively allocate the project a 25-year or 100-year permanence period.</w:t>
      </w:r>
      <w:r w:rsidR="00723E3F" w:rsidRPr="165183F2">
        <w:rPr>
          <w:rFonts w:ascii="Times New Roman" w:eastAsia="Times New Roman" w:hAnsi="Times New Roman" w:cs="Times New Roman"/>
          <w:sz w:val="24"/>
          <w:szCs w:val="24"/>
          <w:lang w:eastAsia="en-AU"/>
        </w:rPr>
        <w:t xml:space="preserve"> </w:t>
      </w:r>
      <w:r w:rsidR="00491E16" w:rsidRPr="165183F2">
        <w:rPr>
          <w:rFonts w:ascii="Times New Roman" w:eastAsia="Times New Roman" w:hAnsi="Times New Roman" w:cs="Times New Roman"/>
          <w:sz w:val="24"/>
          <w:szCs w:val="24"/>
          <w:lang w:eastAsia="en-AU"/>
        </w:rPr>
        <w:t>However</w:t>
      </w:r>
      <w:r w:rsidR="001A1275" w:rsidRPr="165183F2">
        <w:rPr>
          <w:rFonts w:ascii="Times New Roman" w:eastAsia="Times New Roman" w:hAnsi="Times New Roman" w:cs="Times New Roman"/>
          <w:sz w:val="24"/>
          <w:szCs w:val="24"/>
          <w:lang w:eastAsia="en-AU"/>
        </w:rPr>
        <w:t>,</w:t>
      </w:r>
      <w:r w:rsidR="00491E16" w:rsidRPr="165183F2">
        <w:rPr>
          <w:rFonts w:ascii="Times New Roman" w:eastAsia="Times New Roman" w:hAnsi="Times New Roman" w:cs="Times New Roman"/>
          <w:sz w:val="24"/>
          <w:szCs w:val="24"/>
          <w:lang w:eastAsia="en-AU"/>
        </w:rPr>
        <w:t xml:space="preserve"> s</w:t>
      </w:r>
      <w:r w:rsidR="00F17FB9" w:rsidRPr="165183F2">
        <w:rPr>
          <w:rFonts w:ascii="Times New Roman" w:eastAsia="Times New Roman" w:hAnsi="Times New Roman" w:cs="Times New Roman"/>
          <w:sz w:val="24"/>
          <w:szCs w:val="24"/>
          <w:lang w:eastAsia="en-AU"/>
        </w:rPr>
        <w:t xml:space="preserve">ubsection 10(3) does not prevent the transfer of savanna emissions avoidance only projects to </w:t>
      </w:r>
      <w:r w:rsidR="0066508D" w:rsidRPr="165183F2">
        <w:rPr>
          <w:rFonts w:ascii="Times New Roman" w:eastAsia="Times New Roman" w:hAnsi="Times New Roman" w:cs="Times New Roman"/>
          <w:sz w:val="24"/>
          <w:szCs w:val="24"/>
          <w:lang w:eastAsia="en-AU"/>
        </w:rPr>
        <w:t>the</w:t>
      </w:r>
      <w:r w:rsidR="00F17FB9" w:rsidRPr="165183F2">
        <w:rPr>
          <w:rFonts w:ascii="Times New Roman" w:eastAsia="Times New Roman" w:hAnsi="Times New Roman" w:cs="Times New Roman"/>
          <w:sz w:val="24"/>
          <w:szCs w:val="24"/>
          <w:lang w:eastAsia="en-AU"/>
        </w:rPr>
        <w:t xml:space="preserve"> </w:t>
      </w:r>
      <w:r w:rsidR="004D74F5" w:rsidRPr="165183F2">
        <w:rPr>
          <w:rFonts w:ascii="Times New Roman" w:eastAsia="Times New Roman" w:hAnsi="Times New Roman" w:cs="Times New Roman"/>
          <w:sz w:val="24"/>
          <w:szCs w:val="24"/>
          <w:lang w:eastAsia="en-AU"/>
        </w:rPr>
        <w:t>determination</w:t>
      </w:r>
      <w:r w:rsidR="00F17FB9" w:rsidRPr="165183F2">
        <w:rPr>
          <w:rFonts w:ascii="Times New Roman" w:eastAsia="Times New Roman" w:hAnsi="Times New Roman" w:cs="Times New Roman"/>
          <w:sz w:val="24"/>
          <w:szCs w:val="24"/>
          <w:lang w:eastAsia="en-AU"/>
        </w:rPr>
        <w:t xml:space="preserve"> in accordance with sections 30A and 30B of the Rule.</w:t>
      </w:r>
    </w:p>
    <w:p w14:paraId="0F66B2BF" w14:textId="77777777" w:rsidR="0076059B" w:rsidRPr="002F45AD" w:rsidRDefault="0076059B" w:rsidP="008103FF">
      <w:pPr>
        <w:spacing w:after="160" w:line="276" w:lineRule="auto"/>
        <w:rPr>
          <w:rFonts w:ascii="Times New Roman" w:hAnsi="Times New Roman" w:cs="Times New Roman"/>
          <w:b/>
          <w:sz w:val="24"/>
          <w:szCs w:val="24"/>
        </w:rPr>
      </w:pPr>
      <w:r w:rsidRPr="33750E9F">
        <w:rPr>
          <w:rFonts w:ascii="Times New Roman" w:hAnsi="Times New Roman" w:cs="Times New Roman"/>
          <w:b/>
          <w:bCs/>
          <w:sz w:val="24"/>
          <w:szCs w:val="24"/>
        </w:rPr>
        <w:t xml:space="preserve">Part 3—Project requirements </w:t>
      </w:r>
    </w:p>
    <w:p w14:paraId="50B66F7C" w14:textId="77777777" w:rsidR="0076059B" w:rsidRPr="002F45AD" w:rsidRDefault="0076059B" w:rsidP="008103FF">
      <w:pPr>
        <w:spacing w:after="160" w:line="276" w:lineRule="auto"/>
        <w:rPr>
          <w:rFonts w:ascii="Times New Roman" w:hAnsi="Times New Roman" w:cs="Times New Roman"/>
          <w:b/>
          <w:sz w:val="24"/>
          <w:szCs w:val="24"/>
        </w:rPr>
      </w:pPr>
      <w:r w:rsidRPr="002F45AD">
        <w:rPr>
          <w:rFonts w:ascii="Times New Roman" w:hAnsi="Times New Roman" w:cs="Times New Roman"/>
          <w:b/>
          <w:sz w:val="24"/>
          <w:szCs w:val="24"/>
        </w:rPr>
        <w:t xml:space="preserve">Division 1—General </w:t>
      </w:r>
    </w:p>
    <w:p w14:paraId="0154652C" w14:textId="0FC70DE8" w:rsidR="0076059B" w:rsidRPr="002E269B" w:rsidRDefault="00DB0A34"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11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Operation of this Part </w:t>
      </w:r>
    </w:p>
    <w:p w14:paraId="7A7DB534" w14:textId="5D44E84D" w:rsidR="00781B28" w:rsidRPr="007C2DB5" w:rsidRDefault="00981AD1" w:rsidP="008103FF">
      <w:pPr>
        <w:spacing w:after="160" w:line="276"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Section 11</w:t>
      </w:r>
      <w:r w:rsidR="001543FA">
        <w:rPr>
          <w:rFonts w:ascii="Times New Roman" w:eastAsia="Times New Roman" w:hAnsi="Times New Roman" w:cs="Times New Roman"/>
          <w:color w:val="000000" w:themeColor="text1"/>
          <w:sz w:val="24"/>
          <w:szCs w:val="24"/>
          <w:lang w:eastAsia="en-AU"/>
        </w:rPr>
        <w:t>(1)</w:t>
      </w:r>
      <w:r>
        <w:rPr>
          <w:rFonts w:ascii="Times New Roman" w:eastAsia="Times New Roman" w:hAnsi="Times New Roman" w:cs="Times New Roman"/>
          <w:color w:val="000000" w:themeColor="text1"/>
          <w:sz w:val="24"/>
          <w:szCs w:val="24"/>
          <w:lang w:eastAsia="en-AU"/>
        </w:rPr>
        <w:t xml:space="preserve"> states that</w:t>
      </w:r>
      <w:r w:rsidR="00D75761">
        <w:rPr>
          <w:rFonts w:ascii="Times New Roman" w:eastAsia="Times New Roman" w:hAnsi="Times New Roman" w:cs="Times New Roman"/>
          <w:color w:val="000000" w:themeColor="text1"/>
          <w:sz w:val="24"/>
          <w:szCs w:val="24"/>
          <w:lang w:eastAsia="en-AU"/>
        </w:rPr>
        <w:t>, for the purposes</w:t>
      </w:r>
      <w:r w:rsidR="002746A0" w:rsidRPr="33750E9F">
        <w:rPr>
          <w:rFonts w:ascii="Times New Roman" w:eastAsia="Times New Roman" w:hAnsi="Times New Roman" w:cs="Times New Roman"/>
          <w:color w:val="000000" w:themeColor="text1"/>
          <w:sz w:val="24"/>
          <w:szCs w:val="24"/>
          <w:lang w:eastAsia="en-AU"/>
        </w:rPr>
        <w:t xml:space="preserve"> of paragraph 106(1)(b) of the Act</w:t>
      </w:r>
      <w:r w:rsidR="00D75761">
        <w:rPr>
          <w:rFonts w:ascii="Times New Roman" w:eastAsia="Times New Roman" w:hAnsi="Times New Roman" w:cs="Times New Roman"/>
          <w:color w:val="000000" w:themeColor="text1"/>
          <w:sz w:val="24"/>
          <w:szCs w:val="24"/>
          <w:lang w:eastAsia="en-AU"/>
        </w:rPr>
        <w:t xml:space="preserve">, </w:t>
      </w:r>
      <w:r w:rsidR="00D75761" w:rsidRPr="00D75761">
        <w:rPr>
          <w:rFonts w:ascii="Times New Roman" w:eastAsia="Times New Roman" w:hAnsi="Times New Roman" w:cs="Times New Roman"/>
          <w:color w:val="000000" w:themeColor="text1"/>
          <w:sz w:val="24"/>
          <w:szCs w:val="24"/>
          <w:lang w:eastAsia="en-AU"/>
        </w:rPr>
        <w:t xml:space="preserve">Part </w:t>
      </w:r>
      <w:r w:rsidR="00A70DD0">
        <w:rPr>
          <w:rFonts w:ascii="Times New Roman" w:eastAsia="Times New Roman" w:hAnsi="Times New Roman" w:cs="Times New Roman"/>
          <w:color w:val="000000" w:themeColor="text1"/>
          <w:sz w:val="24"/>
          <w:szCs w:val="24"/>
          <w:lang w:eastAsia="en-AU"/>
        </w:rPr>
        <w:t>3</w:t>
      </w:r>
      <w:r w:rsidR="00D75761" w:rsidRPr="00D75761">
        <w:rPr>
          <w:rFonts w:ascii="Times New Roman" w:eastAsia="Times New Roman" w:hAnsi="Times New Roman" w:cs="Times New Roman"/>
          <w:color w:val="000000" w:themeColor="text1"/>
          <w:sz w:val="24"/>
          <w:szCs w:val="24"/>
          <w:lang w:eastAsia="en-AU"/>
        </w:rPr>
        <w:t xml:space="preserve"> of the </w:t>
      </w:r>
      <w:r w:rsidR="004D74F5">
        <w:rPr>
          <w:rFonts w:ascii="Times New Roman" w:eastAsia="Times New Roman" w:hAnsi="Times New Roman" w:cs="Times New Roman"/>
          <w:color w:val="000000" w:themeColor="text1"/>
          <w:sz w:val="24"/>
          <w:szCs w:val="24"/>
          <w:lang w:eastAsia="en-AU"/>
        </w:rPr>
        <w:t>determination</w:t>
      </w:r>
      <w:r w:rsidR="00D75761" w:rsidRPr="00D75761">
        <w:rPr>
          <w:rFonts w:ascii="Times New Roman" w:eastAsia="Times New Roman" w:hAnsi="Times New Roman" w:cs="Times New Roman"/>
          <w:color w:val="000000" w:themeColor="text1"/>
          <w:sz w:val="24"/>
          <w:szCs w:val="24"/>
          <w:lang w:eastAsia="en-AU"/>
        </w:rPr>
        <w:t xml:space="preserve"> set out</w:t>
      </w:r>
      <w:r w:rsidR="008827CD">
        <w:rPr>
          <w:rFonts w:ascii="Times New Roman" w:eastAsia="Times New Roman" w:hAnsi="Times New Roman" w:cs="Times New Roman"/>
          <w:color w:val="000000" w:themeColor="text1"/>
          <w:sz w:val="24"/>
          <w:szCs w:val="24"/>
          <w:lang w:eastAsia="en-AU"/>
        </w:rPr>
        <w:t xml:space="preserve"> the various requirements that must be met for a project to be an eligible offsets project. </w:t>
      </w:r>
      <w:r w:rsidR="00DC1109">
        <w:rPr>
          <w:rFonts w:ascii="Times New Roman" w:eastAsia="Times New Roman" w:hAnsi="Times New Roman" w:cs="Times New Roman"/>
          <w:color w:val="000000" w:themeColor="text1"/>
          <w:sz w:val="24"/>
          <w:szCs w:val="24"/>
          <w:lang w:eastAsia="en-AU"/>
        </w:rPr>
        <w:t>P</w:t>
      </w:r>
      <w:r w:rsidR="002746A0" w:rsidRPr="00890C27">
        <w:rPr>
          <w:rFonts w:ascii="Times New Roman" w:eastAsia="Times New Roman" w:hAnsi="Times New Roman" w:cs="Times New Roman"/>
          <w:color w:val="000000" w:themeColor="text1"/>
          <w:sz w:val="24"/>
          <w:szCs w:val="24"/>
          <w:lang w:eastAsia="en-AU"/>
        </w:rPr>
        <w:t>aragraph</w:t>
      </w:r>
      <w:r w:rsidR="00877F86" w:rsidRPr="33750E9F">
        <w:rPr>
          <w:rFonts w:ascii="Times New Roman" w:eastAsia="Times New Roman" w:hAnsi="Times New Roman" w:cs="Times New Roman"/>
          <w:color w:val="000000" w:themeColor="text1"/>
          <w:sz w:val="24"/>
          <w:szCs w:val="24"/>
          <w:lang w:eastAsia="en-AU"/>
        </w:rPr>
        <w:t xml:space="preserve"> </w:t>
      </w:r>
      <w:r w:rsidR="002746A0" w:rsidRPr="33750E9F">
        <w:rPr>
          <w:rFonts w:ascii="Times New Roman" w:eastAsia="Times New Roman" w:hAnsi="Times New Roman" w:cs="Times New Roman"/>
          <w:color w:val="000000" w:themeColor="text1"/>
          <w:sz w:val="24"/>
          <w:szCs w:val="24"/>
          <w:lang w:eastAsia="en-AU"/>
        </w:rPr>
        <w:t xml:space="preserve">27(4)(c) of the Act </w:t>
      </w:r>
      <w:r w:rsidR="00DC1109">
        <w:rPr>
          <w:rFonts w:ascii="Times New Roman" w:eastAsia="Times New Roman" w:hAnsi="Times New Roman" w:cs="Times New Roman"/>
          <w:color w:val="000000" w:themeColor="text1"/>
          <w:sz w:val="24"/>
          <w:szCs w:val="24"/>
          <w:lang w:eastAsia="en-AU"/>
        </w:rPr>
        <w:t>states that</w:t>
      </w:r>
      <w:r w:rsidR="002746A0" w:rsidRPr="00890C27">
        <w:rPr>
          <w:rFonts w:ascii="Times New Roman" w:eastAsia="Times New Roman" w:hAnsi="Times New Roman" w:cs="Times New Roman"/>
          <w:color w:val="000000" w:themeColor="text1"/>
          <w:sz w:val="24"/>
          <w:szCs w:val="24"/>
          <w:lang w:eastAsia="en-AU"/>
        </w:rPr>
        <w:t xml:space="preserve"> </w:t>
      </w:r>
      <w:r w:rsidR="002746A0" w:rsidRPr="33750E9F">
        <w:rPr>
          <w:rFonts w:ascii="Times New Roman" w:eastAsia="Times New Roman" w:hAnsi="Times New Roman" w:cs="Times New Roman"/>
          <w:color w:val="000000" w:themeColor="text1"/>
          <w:sz w:val="24"/>
          <w:szCs w:val="24"/>
          <w:lang w:eastAsia="en-AU"/>
        </w:rPr>
        <w:t>the Regulator must not declare that a project is an eligible offsets project unless the Regulator is satisfied that the project meets these requirements.</w:t>
      </w:r>
    </w:p>
    <w:p w14:paraId="2B922ADC" w14:textId="5BB60D50" w:rsidR="00781B28" w:rsidRDefault="00781B28" w:rsidP="008103FF">
      <w:pPr>
        <w:spacing w:after="160" w:line="276" w:lineRule="auto"/>
        <w:rPr>
          <w:rFonts w:ascii="Times New Roman" w:eastAsia="Times New Roman" w:hAnsi="Times New Roman" w:cs="Times New Roman"/>
          <w:color w:val="000000"/>
          <w:sz w:val="24"/>
          <w:szCs w:val="24"/>
          <w:lang w:eastAsia="en-AU"/>
        </w:rPr>
      </w:pPr>
      <w:r w:rsidRPr="33750E9F">
        <w:rPr>
          <w:rFonts w:ascii="Times New Roman" w:eastAsia="Times New Roman" w:hAnsi="Times New Roman" w:cs="Times New Roman"/>
          <w:color w:val="000000" w:themeColor="text1"/>
          <w:sz w:val="24"/>
          <w:szCs w:val="24"/>
          <w:lang w:eastAsia="en-AU"/>
        </w:rPr>
        <w:lastRenderedPageBreak/>
        <w:t xml:space="preserve">Subsection 11(2) </w:t>
      </w:r>
      <w:r w:rsidR="002721F2">
        <w:rPr>
          <w:rFonts w:ascii="Times New Roman" w:eastAsia="Times New Roman" w:hAnsi="Times New Roman" w:cs="Times New Roman"/>
          <w:color w:val="000000" w:themeColor="text1"/>
          <w:sz w:val="24"/>
          <w:szCs w:val="24"/>
          <w:lang w:eastAsia="en-AU"/>
        </w:rPr>
        <w:t>states</w:t>
      </w:r>
      <w:r w:rsidR="002721F2" w:rsidRPr="00890C27">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color w:val="000000" w:themeColor="text1"/>
          <w:sz w:val="24"/>
          <w:szCs w:val="24"/>
          <w:lang w:eastAsia="en-AU"/>
        </w:rPr>
        <w:t xml:space="preserve">that Division 6 of Part </w:t>
      </w:r>
      <w:r w:rsidR="002721F2">
        <w:rPr>
          <w:rFonts w:ascii="Times New Roman" w:eastAsia="Times New Roman" w:hAnsi="Times New Roman" w:cs="Times New Roman"/>
          <w:color w:val="000000" w:themeColor="text1"/>
          <w:sz w:val="24"/>
          <w:szCs w:val="24"/>
          <w:lang w:eastAsia="en-AU"/>
        </w:rPr>
        <w:t>3</w:t>
      </w:r>
      <w:r w:rsidRPr="00890C27">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color w:val="000000" w:themeColor="text1"/>
          <w:sz w:val="24"/>
          <w:szCs w:val="24"/>
          <w:lang w:eastAsia="en-AU"/>
        </w:rPr>
        <w:t>specif</w:t>
      </w:r>
      <w:r w:rsidR="008730E3" w:rsidRPr="33750E9F">
        <w:rPr>
          <w:rFonts w:ascii="Times New Roman" w:eastAsia="Times New Roman" w:hAnsi="Times New Roman" w:cs="Times New Roman"/>
          <w:color w:val="000000" w:themeColor="text1"/>
          <w:sz w:val="24"/>
          <w:szCs w:val="24"/>
          <w:lang w:eastAsia="en-AU"/>
        </w:rPr>
        <w:t>ies</w:t>
      </w:r>
      <w:r w:rsidRPr="33750E9F">
        <w:rPr>
          <w:rFonts w:ascii="Times New Roman" w:eastAsia="Times New Roman" w:hAnsi="Times New Roman" w:cs="Times New Roman"/>
          <w:color w:val="000000" w:themeColor="text1"/>
          <w:sz w:val="24"/>
          <w:szCs w:val="24"/>
          <w:lang w:eastAsia="en-AU"/>
        </w:rPr>
        <w:t xml:space="preserve"> the requirements in lieu of the newness </w:t>
      </w:r>
      <w:r w:rsidR="002721F2">
        <w:rPr>
          <w:rFonts w:ascii="Times New Roman" w:eastAsia="Times New Roman" w:hAnsi="Times New Roman" w:cs="Times New Roman"/>
          <w:color w:val="000000" w:themeColor="text1"/>
          <w:sz w:val="24"/>
          <w:szCs w:val="24"/>
          <w:lang w:eastAsia="en-AU"/>
        </w:rPr>
        <w:t xml:space="preserve">requirement </w:t>
      </w:r>
      <w:r w:rsidRPr="00890C27">
        <w:rPr>
          <w:rFonts w:ascii="Times New Roman" w:eastAsia="Times New Roman" w:hAnsi="Times New Roman" w:cs="Times New Roman"/>
          <w:color w:val="000000" w:themeColor="text1"/>
          <w:sz w:val="24"/>
          <w:szCs w:val="24"/>
          <w:lang w:eastAsia="en-AU"/>
        </w:rPr>
        <w:t>and</w:t>
      </w:r>
      <w:r w:rsidR="002721F2">
        <w:rPr>
          <w:rFonts w:ascii="Times New Roman" w:eastAsia="Times New Roman" w:hAnsi="Times New Roman" w:cs="Times New Roman"/>
          <w:color w:val="000000" w:themeColor="text1"/>
          <w:sz w:val="24"/>
          <w:szCs w:val="24"/>
          <w:lang w:eastAsia="en-AU"/>
        </w:rPr>
        <w:t xml:space="preserve"> the</w:t>
      </w:r>
      <w:r w:rsidRPr="33750E9F">
        <w:rPr>
          <w:rFonts w:ascii="Times New Roman" w:eastAsia="Times New Roman" w:hAnsi="Times New Roman" w:cs="Times New Roman"/>
          <w:color w:val="000000" w:themeColor="text1"/>
          <w:sz w:val="24"/>
          <w:szCs w:val="24"/>
          <w:lang w:eastAsia="en-AU"/>
        </w:rPr>
        <w:t xml:space="preserve"> regulatory additionality requirement for savanna sequestration projects for the purposes of subparagraphs 27(4</w:t>
      </w:r>
      <w:proofErr w:type="gramStart"/>
      <w:r w:rsidRPr="33750E9F">
        <w:rPr>
          <w:rFonts w:ascii="Times New Roman" w:eastAsia="Times New Roman" w:hAnsi="Times New Roman" w:cs="Times New Roman"/>
          <w:color w:val="000000" w:themeColor="text1"/>
          <w:sz w:val="24"/>
          <w:szCs w:val="24"/>
          <w:lang w:eastAsia="en-AU"/>
        </w:rPr>
        <w:t>A)(</w:t>
      </w:r>
      <w:proofErr w:type="gramEnd"/>
      <w:r w:rsidRPr="33750E9F">
        <w:rPr>
          <w:rFonts w:ascii="Times New Roman" w:eastAsia="Times New Roman" w:hAnsi="Times New Roman" w:cs="Times New Roman"/>
          <w:color w:val="000000" w:themeColor="text1"/>
          <w:sz w:val="24"/>
          <w:szCs w:val="24"/>
          <w:lang w:eastAsia="en-AU"/>
        </w:rPr>
        <w:t>a)(ii) and (b)(ii</w:t>
      </w:r>
      <w:r w:rsidRPr="00890C27">
        <w:rPr>
          <w:rFonts w:ascii="Times New Roman" w:eastAsia="Times New Roman" w:hAnsi="Times New Roman" w:cs="Times New Roman"/>
          <w:color w:val="000000" w:themeColor="text1"/>
          <w:sz w:val="24"/>
          <w:szCs w:val="24"/>
          <w:lang w:eastAsia="en-AU"/>
        </w:rPr>
        <w:t>)</w:t>
      </w:r>
      <w:r w:rsidR="002721F2">
        <w:rPr>
          <w:rFonts w:ascii="Times New Roman" w:eastAsia="Times New Roman" w:hAnsi="Times New Roman" w:cs="Times New Roman"/>
          <w:color w:val="000000" w:themeColor="text1"/>
          <w:sz w:val="24"/>
          <w:szCs w:val="24"/>
          <w:lang w:eastAsia="en-AU"/>
        </w:rPr>
        <w:t xml:space="preserve"> respectively</w:t>
      </w:r>
      <w:r w:rsidRPr="00890C27">
        <w:rPr>
          <w:rFonts w:ascii="Times New Roman" w:eastAsia="Times New Roman" w:hAnsi="Times New Roman" w:cs="Times New Roman"/>
          <w:color w:val="000000" w:themeColor="text1"/>
          <w:sz w:val="24"/>
          <w:szCs w:val="24"/>
          <w:lang w:eastAsia="en-AU"/>
        </w:rPr>
        <w:t>.</w:t>
      </w:r>
    </w:p>
    <w:p w14:paraId="1DBA0B4D" w14:textId="7DCC8321" w:rsidR="0076059B" w:rsidRPr="00982930" w:rsidRDefault="00781B28" w:rsidP="008103FF">
      <w:pPr>
        <w:spacing w:after="160" w:line="276" w:lineRule="auto"/>
        <w:rPr>
          <w:rFonts w:ascii="Times New Roman" w:hAnsi="Times New Roman" w:cs="Times New Roman"/>
          <w:sz w:val="24"/>
          <w:szCs w:val="24"/>
        </w:rPr>
      </w:pPr>
      <w:r w:rsidRPr="165183F2">
        <w:rPr>
          <w:rFonts w:ascii="Times New Roman" w:eastAsia="Times New Roman" w:hAnsi="Times New Roman" w:cs="Times New Roman"/>
          <w:color w:val="000000" w:themeColor="text1"/>
          <w:sz w:val="24"/>
          <w:szCs w:val="24"/>
          <w:lang w:eastAsia="en-AU"/>
        </w:rPr>
        <w:t xml:space="preserve">Subsection 11(3) </w:t>
      </w:r>
      <w:r w:rsidR="002721F2" w:rsidRPr="165183F2">
        <w:rPr>
          <w:rFonts w:ascii="Times New Roman" w:eastAsia="Times New Roman" w:hAnsi="Times New Roman" w:cs="Times New Roman"/>
          <w:color w:val="000000" w:themeColor="text1"/>
          <w:sz w:val="24"/>
          <w:szCs w:val="24"/>
          <w:lang w:eastAsia="en-AU"/>
        </w:rPr>
        <w:t xml:space="preserve">states </w:t>
      </w:r>
      <w:r w:rsidRPr="165183F2">
        <w:rPr>
          <w:rFonts w:ascii="Times New Roman" w:eastAsia="Times New Roman" w:hAnsi="Times New Roman" w:cs="Times New Roman"/>
          <w:color w:val="000000" w:themeColor="text1"/>
          <w:sz w:val="24"/>
          <w:szCs w:val="24"/>
          <w:lang w:eastAsia="en-AU"/>
        </w:rPr>
        <w:t xml:space="preserve">that Division 7 of Part </w:t>
      </w:r>
      <w:r w:rsidR="002721F2" w:rsidRPr="165183F2">
        <w:rPr>
          <w:rFonts w:ascii="Times New Roman" w:eastAsia="Times New Roman" w:hAnsi="Times New Roman" w:cs="Times New Roman"/>
          <w:color w:val="000000" w:themeColor="text1"/>
          <w:sz w:val="24"/>
          <w:szCs w:val="24"/>
          <w:lang w:eastAsia="en-AU"/>
        </w:rPr>
        <w:t xml:space="preserve">3 </w:t>
      </w:r>
      <w:r w:rsidRPr="165183F2">
        <w:rPr>
          <w:rFonts w:ascii="Times New Roman" w:eastAsia="Times New Roman" w:hAnsi="Times New Roman" w:cs="Times New Roman"/>
          <w:color w:val="000000" w:themeColor="text1"/>
          <w:sz w:val="24"/>
          <w:szCs w:val="24"/>
          <w:lang w:eastAsia="en-AU"/>
        </w:rPr>
        <w:t>specif</w:t>
      </w:r>
      <w:r w:rsidR="008730E3" w:rsidRPr="165183F2">
        <w:rPr>
          <w:rFonts w:ascii="Times New Roman" w:eastAsia="Times New Roman" w:hAnsi="Times New Roman" w:cs="Times New Roman"/>
          <w:color w:val="000000" w:themeColor="text1"/>
          <w:sz w:val="24"/>
          <w:szCs w:val="24"/>
          <w:lang w:eastAsia="en-AU"/>
        </w:rPr>
        <w:t>ies</w:t>
      </w:r>
      <w:r w:rsidRPr="165183F2">
        <w:rPr>
          <w:rFonts w:ascii="Times New Roman" w:eastAsia="Times New Roman" w:hAnsi="Times New Roman" w:cs="Times New Roman"/>
          <w:color w:val="000000" w:themeColor="text1"/>
          <w:sz w:val="24"/>
          <w:szCs w:val="24"/>
          <w:lang w:eastAsia="en-AU"/>
        </w:rPr>
        <w:t xml:space="preserve"> crediting periods for certain project types</w:t>
      </w:r>
      <w:r w:rsidR="007E2BE4" w:rsidRPr="165183F2">
        <w:rPr>
          <w:rFonts w:ascii="Times New Roman" w:eastAsia="Times New Roman" w:hAnsi="Times New Roman" w:cs="Times New Roman"/>
          <w:color w:val="000000" w:themeColor="text1"/>
          <w:sz w:val="24"/>
          <w:szCs w:val="24"/>
          <w:lang w:eastAsia="en-AU"/>
        </w:rPr>
        <w:t xml:space="preserve">. These project types are </w:t>
      </w:r>
      <w:r w:rsidR="00980A72" w:rsidRPr="165183F2">
        <w:rPr>
          <w:rFonts w:ascii="Times New Roman" w:eastAsia="Times New Roman" w:hAnsi="Times New Roman" w:cs="Times New Roman"/>
          <w:color w:val="000000" w:themeColor="text1"/>
          <w:sz w:val="24"/>
          <w:szCs w:val="24"/>
          <w:lang w:eastAsia="en-AU"/>
        </w:rPr>
        <w:t>restarting transferring project areas</w:t>
      </w:r>
      <w:r w:rsidRPr="165183F2">
        <w:rPr>
          <w:rFonts w:ascii="Times New Roman" w:eastAsia="Times New Roman" w:hAnsi="Times New Roman" w:cs="Times New Roman"/>
          <w:color w:val="000000" w:themeColor="text1"/>
          <w:sz w:val="24"/>
          <w:szCs w:val="24"/>
          <w:lang w:eastAsia="en-AU"/>
        </w:rPr>
        <w:t xml:space="preserve">. </w:t>
      </w:r>
    </w:p>
    <w:p w14:paraId="0694DA97" w14:textId="77777777" w:rsidR="0076059B" w:rsidRPr="00191689" w:rsidRDefault="0076059B" w:rsidP="008103FF">
      <w:pPr>
        <w:spacing w:after="160" w:line="276" w:lineRule="auto"/>
        <w:rPr>
          <w:rFonts w:ascii="Times New Roman" w:hAnsi="Times New Roman" w:cs="Times New Roman"/>
          <w:b/>
          <w:sz w:val="24"/>
          <w:szCs w:val="24"/>
        </w:rPr>
      </w:pPr>
      <w:r w:rsidRPr="00191689">
        <w:rPr>
          <w:rFonts w:ascii="Times New Roman" w:hAnsi="Times New Roman" w:cs="Times New Roman"/>
          <w:b/>
          <w:sz w:val="24"/>
          <w:szCs w:val="24"/>
        </w:rPr>
        <w:t xml:space="preserve">Division 2—Project area </w:t>
      </w:r>
    </w:p>
    <w:p w14:paraId="182631BF" w14:textId="47A3F784" w:rsidR="0076059B" w:rsidRPr="002E269B" w:rsidRDefault="008730E3"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12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to be in high or low rainfall zone </w:t>
      </w:r>
    </w:p>
    <w:p w14:paraId="56E61440" w14:textId="73FDBB8A" w:rsidR="00173A13" w:rsidRPr="007C2DB5" w:rsidRDefault="00564E50" w:rsidP="008103FF">
      <w:pPr>
        <w:spacing w:after="160" w:line="276" w:lineRule="auto"/>
        <w:rPr>
          <w:rFonts w:ascii="Times New Roman" w:eastAsia="Times New Roman" w:hAnsi="Times New Roman" w:cs="Times New Roman"/>
          <w:lang w:eastAsia="en-AU"/>
        </w:rPr>
      </w:pPr>
      <w:r w:rsidRPr="165183F2">
        <w:rPr>
          <w:rFonts w:ascii="Times New Roman" w:eastAsia="Times New Roman" w:hAnsi="Times New Roman" w:cs="Times New Roman"/>
          <w:color w:val="000000" w:themeColor="text1"/>
          <w:sz w:val="24"/>
          <w:szCs w:val="24"/>
          <w:lang w:eastAsia="en-AU"/>
        </w:rPr>
        <w:t xml:space="preserve">Section 12 </w:t>
      </w:r>
      <w:r w:rsidR="00120561" w:rsidRPr="165183F2">
        <w:rPr>
          <w:rFonts w:ascii="Times New Roman" w:eastAsia="Times New Roman" w:hAnsi="Times New Roman" w:cs="Times New Roman"/>
          <w:color w:val="000000" w:themeColor="text1"/>
          <w:sz w:val="24"/>
          <w:szCs w:val="24"/>
          <w:lang w:eastAsia="en-AU"/>
        </w:rPr>
        <w:t>requires</w:t>
      </w:r>
      <w:r w:rsidRPr="165183F2">
        <w:rPr>
          <w:rFonts w:ascii="Times New Roman" w:eastAsia="Times New Roman" w:hAnsi="Times New Roman" w:cs="Times New Roman"/>
          <w:color w:val="000000" w:themeColor="text1"/>
          <w:sz w:val="24"/>
          <w:szCs w:val="24"/>
          <w:lang w:eastAsia="en-AU"/>
        </w:rPr>
        <w:t xml:space="preserve"> all areas of land included in the project must be in either the high rainfall zone or the low rainfall zone or in both rainfall zones. </w:t>
      </w:r>
      <w:r w:rsidR="001F4741" w:rsidRPr="165183F2">
        <w:rPr>
          <w:rFonts w:ascii="Times New Roman" w:eastAsia="Times New Roman" w:hAnsi="Times New Roman" w:cs="Times New Roman"/>
          <w:color w:val="000000" w:themeColor="text1"/>
          <w:sz w:val="24"/>
          <w:szCs w:val="24"/>
          <w:lang w:eastAsia="en-AU"/>
        </w:rPr>
        <w:t>This means that p</w:t>
      </w:r>
      <w:r w:rsidRPr="165183F2">
        <w:rPr>
          <w:rFonts w:ascii="Times New Roman" w:eastAsia="Times New Roman" w:hAnsi="Times New Roman" w:cs="Times New Roman"/>
          <w:color w:val="000000" w:themeColor="text1"/>
          <w:sz w:val="24"/>
          <w:szCs w:val="24"/>
          <w:lang w:eastAsia="en-AU"/>
        </w:rPr>
        <w:t>rojects cannot be undertaken on an area of land that is not in either of the rainfall zones.</w:t>
      </w:r>
    </w:p>
    <w:p w14:paraId="6292F54C" w14:textId="46E80C64" w:rsidR="00F9640D" w:rsidRPr="00173A13" w:rsidRDefault="008730E3" w:rsidP="008103FF">
      <w:pPr>
        <w:spacing w:after="160" w:line="276" w:lineRule="auto"/>
        <w:rPr>
          <w:rFonts w:ascii="Times New Roman" w:hAnsi="Times New Roman" w:cs="Times New Roman"/>
          <w:sz w:val="24"/>
          <w:szCs w:val="24"/>
          <w:lang w:eastAsia="en-AU"/>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13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to maintain vegetation fuel types </w:t>
      </w:r>
    </w:p>
    <w:p w14:paraId="04CBADFD" w14:textId="11D24ECF" w:rsidR="00F9640D" w:rsidRDefault="00020288"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Subsection </w:t>
      </w:r>
      <w:r w:rsidR="00BA01B9" w:rsidRPr="165183F2">
        <w:rPr>
          <w:rFonts w:ascii="Times New Roman" w:hAnsi="Times New Roman" w:cs="Times New Roman"/>
          <w:sz w:val="24"/>
          <w:szCs w:val="24"/>
        </w:rPr>
        <w:t>13</w:t>
      </w:r>
      <w:r w:rsidRPr="165183F2">
        <w:rPr>
          <w:rFonts w:ascii="Times New Roman" w:hAnsi="Times New Roman" w:cs="Times New Roman"/>
          <w:sz w:val="24"/>
          <w:szCs w:val="24"/>
        </w:rPr>
        <w:t>(1) requires that each part of the project area must contain a vegetation fuel type as of the relevant date</w:t>
      </w:r>
      <w:r w:rsidR="00ED1846" w:rsidRPr="165183F2">
        <w:rPr>
          <w:rFonts w:ascii="Times New Roman" w:hAnsi="Times New Roman" w:cs="Times New Roman"/>
          <w:sz w:val="24"/>
          <w:szCs w:val="24"/>
        </w:rPr>
        <w:t>.</w:t>
      </w:r>
    </w:p>
    <w:p w14:paraId="58089C35" w14:textId="35047244" w:rsidR="00F9640D" w:rsidRDefault="00E1319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w:t>
      </w:r>
      <w:r w:rsidR="00ED1846" w:rsidRPr="33750E9F">
        <w:rPr>
          <w:rFonts w:ascii="Times New Roman" w:hAnsi="Times New Roman" w:cs="Times New Roman"/>
          <w:sz w:val="24"/>
          <w:szCs w:val="24"/>
        </w:rPr>
        <w:t xml:space="preserve"> 13(2)</w:t>
      </w:r>
      <w:r w:rsidRPr="33750E9F">
        <w:rPr>
          <w:rFonts w:ascii="Times New Roman" w:hAnsi="Times New Roman" w:cs="Times New Roman"/>
          <w:sz w:val="24"/>
          <w:szCs w:val="24"/>
        </w:rPr>
        <w:t>(a)</w:t>
      </w:r>
      <w:r w:rsidR="00ED1846" w:rsidRPr="33750E9F">
        <w:rPr>
          <w:rFonts w:ascii="Times New Roman" w:hAnsi="Times New Roman" w:cs="Times New Roman"/>
          <w:sz w:val="24"/>
          <w:szCs w:val="24"/>
        </w:rPr>
        <w:t xml:space="preserve"> </w:t>
      </w:r>
      <w:r w:rsidR="004B2D1C">
        <w:rPr>
          <w:rFonts w:ascii="Times New Roman" w:hAnsi="Times New Roman" w:cs="Times New Roman"/>
          <w:sz w:val="24"/>
          <w:szCs w:val="24"/>
        </w:rPr>
        <w:t>requires</w:t>
      </w:r>
      <w:r w:rsidR="004B2D1C" w:rsidRPr="00890C27">
        <w:rPr>
          <w:rFonts w:ascii="Times New Roman" w:hAnsi="Times New Roman" w:cs="Times New Roman"/>
          <w:sz w:val="24"/>
          <w:szCs w:val="24"/>
        </w:rPr>
        <w:t xml:space="preserve"> </w:t>
      </w:r>
      <w:r w:rsidR="00932786" w:rsidRPr="33750E9F">
        <w:rPr>
          <w:rFonts w:ascii="Times New Roman" w:hAnsi="Times New Roman" w:cs="Times New Roman"/>
          <w:sz w:val="24"/>
          <w:szCs w:val="24"/>
        </w:rPr>
        <w:t xml:space="preserve">each part of the project area </w:t>
      </w:r>
      <w:r w:rsidR="004B2D1C">
        <w:rPr>
          <w:rFonts w:ascii="Times New Roman" w:hAnsi="Times New Roman" w:cs="Times New Roman"/>
          <w:sz w:val="24"/>
          <w:szCs w:val="24"/>
        </w:rPr>
        <w:t>to</w:t>
      </w:r>
      <w:r w:rsidR="004B2D1C" w:rsidRPr="00890C27">
        <w:rPr>
          <w:rFonts w:ascii="Times New Roman" w:hAnsi="Times New Roman" w:cs="Times New Roman"/>
          <w:sz w:val="24"/>
          <w:szCs w:val="24"/>
        </w:rPr>
        <w:t xml:space="preserve"> </w:t>
      </w:r>
      <w:r w:rsidR="00DB044B" w:rsidRPr="33750E9F">
        <w:rPr>
          <w:rFonts w:ascii="Times New Roman" w:hAnsi="Times New Roman" w:cs="Times New Roman"/>
          <w:sz w:val="24"/>
          <w:szCs w:val="24"/>
        </w:rPr>
        <w:t xml:space="preserve">also </w:t>
      </w:r>
      <w:r w:rsidR="00932786" w:rsidRPr="33750E9F">
        <w:rPr>
          <w:rFonts w:ascii="Times New Roman" w:hAnsi="Times New Roman" w:cs="Times New Roman"/>
          <w:sz w:val="24"/>
          <w:szCs w:val="24"/>
        </w:rPr>
        <w:t xml:space="preserve">continue to include </w:t>
      </w:r>
      <w:r w:rsidR="00D175EC" w:rsidRPr="33750E9F">
        <w:rPr>
          <w:rFonts w:ascii="Times New Roman" w:hAnsi="Times New Roman" w:cs="Times New Roman"/>
          <w:sz w:val="24"/>
          <w:szCs w:val="24"/>
        </w:rPr>
        <w:t>an area of the vegetation fuel type.</w:t>
      </w:r>
    </w:p>
    <w:p w14:paraId="2DDCD3C9" w14:textId="39D00D61" w:rsidR="00F9640D" w:rsidRDefault="00E13192"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Paragraph 13(2)(b) provides that if the project does not continue to include an area of the vegetation fuel type</w:t>
      </w:r>
      <w:r w:rsidR="00132E3C" w:rsidRPr="165183F2">
        <w:rPr>
          <w:rFonts w:ascii="Times New Roman" w:hAnsi="Times New Roman" w:cs="Times New Roman"/>
          <w:sz w:val="24"/>
          <w:szCs w:val="24"/>
        </w:rPr>
        <w:t xml:space="preserve">, that area must be removed </w:t>
      </w:r>
      <w:r w:rsidR="006801EC" w:rsidRPr="165183F2">
        <w:rPr>
          <w:rFonts w:ascii="Times New Roman" w:hAnsi="Times New Roman" w:cs="Times New Roman"/>
          <w:sz w:val="24"/>
          <w:szCs w:val="24"/>
        </w:rPr>
        <w:t xml:space="preserve">from the project in accordance with section 16 as soon as practicable, and </w:t>
      </w:r>
      <w:r w:rsidR="00020288" w:rsidRPr="165183F2">
        <w:rPr>
          <w:rFonts w:ascii="Times New Roman" w:hAnsi="Times New Roman" w:cs="Times New Roman"/>
          <w:sz w:val="24"/>
          <w:szCs w:val="24"/>
        </w:rPr>
        <w:t xml:space="preserve">no later than the end of the </w:t>
      </w:r>
      <w:r w:rsidR="00D862F7" w:rsidRPr="165183F2">
        <w:rPr>
          <w:rFonts w:ascii="Times New Roman" w:hAnsi="Times New Roman" w:cs="Times New Roman"/>
          <w:sz w:val="24"/>
          <w:szCs w:val="24"/>
        </w:rPr>
        <w:t xml:space="preserve">relevant </w:t>
      </w:r>
      <w:r w:rsidR="00020288" w:rsidRPr="165183F2">
        <w:rPr>
          <w:rFonts w:ascii="Times New Roman" w:hAnsi="Times New Roman" w:cs="Times New Roman"/>
          <w:sz w:val="24"/>
          <w:szCs w:val="24"/>
        </w:rPr>
        <w:t>reporting period</w:t>
      </w:r>
      <w:r w:rsidR="00D862F7" w:rsidRPr="165183F2">
        <w:rPr>
          <w:rFonts w:ascii="Times New Roman" w:hAnsi="Times New Roman" w:cs="Times New Roman"/>
          <w:sz w:val="24"/>
          <w:szCs w:val="24"/>
        </w:rPr>
        <w:t>.</w:t>
      </w:r>
    </w:p>
    <w:p w14:paraId="36A56136" w14:textId="77777777" w:rsidR="002A6F9D" w:rsidRDefault="002A6F9D"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For section 13:</w:t>
      </w:r>
    </w:p>
    <w:p w14:paraId="27DFD0F1" w14:textId="77777777" w:rsidR="00B94A9E" w:rsidRDefault="002A6F9D"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lang w:eastAsia="en-AU"/>
        </w:rPr>
      </w:pPr>
      <w:r w:rsidRPr="00B94A9E">
        <w:rPr>
          <w:rFonts w:ascii="Times New Roman" w:hAnsi="Times New Roman" w:cs="Times New Roman"/>
          <w:sz w:val="24"/>
          <w:szCs w:val="24"/>
          <w:lang w:eastAsia="en-AU"/>
        </w:rPr>
        <w:t xml:space="preserve">the </w:t>
      </w:r>
      <w:r w:rsidRPr="00C54EFF">
        <w:rPr>
          <w:rFonts w:ascii="Times New Roman" w:hAnsi="Times New Roman" w:cs="Times New Roman"/>
          <w:b/>
          <w:i/>
          <w:sz w:val="24"/>
          <w:szCs w:val="24"/>
          <w:lang w:eastAsia="en-AU"/>
        </w:rPr>
        <w:t>relevant date</w:t>
      </w:r>
      <w:r w:rsidRPr="00B94A9E">
        <w:rPr>
          <w:rFonts w:ascii="Times New Roman" w:hAnsi="Times New Roman" w:cs="Times New Roman"/>
          <w:sz w:val="24"/>
          <w:szCs w:val="24"/>
          <w:lang w:eastAsia="en-AU"/>
        </w:rPr>
        <w:t xml:space="preserve"> is the date of the section 22, section 29, or section 128 application in which the project area is first identified.</w:t>
      </w:r>
    </w:p>
    <w:p w14:paraId="53E57D7D" w14:textId="76373992" w:rsidR="00F9640D" w:rsidRPr="00C54EFF" w:rsidRDefault="002A6F9D" w:rsidP="165183F2">
      <w:pPr>
        <w:pStyle w:val="ListParagraph"/>
        <w:numPr>
          <w:ilvl w:val="0"/>
          <w:numId w:val="55"/>
        </w:numPr>
        <w:spacing w:after="160" w:line="276" w:lineRule="auto"/>
        <w:ind w:left="714" w:hanging="357"/>
        <w:rPr>
          <w:rFonts w:ascii="Times New Roman" w:hAnsi="Times New Roman" w:cs="Times New Roman"/>
          <w:sz w:val="24"/>
          <w:szCs w:val="24"/>
          <w:lang w:eastAsia="en-AU"/>
        </w:rPr>
      </w:pPr>
      <w:r w:rsidRPr="165183F2">
        <w:rPr>
          <w:rFonts w:ascii="Times New Roman" w:hAnsi="Times New Roman" w:cs="Times New Roman"/>
          <w:sz w:val="24"/>
          <w:szCs w:val="24"/>
          <w:lang w:eastAsia="en-AU"/>
        </w:rPr>
        <w:t xml:space="preserve">the </w:t>
      </w:r>
      <w:r w:rsidRPr="165183F2">
        <w:rPr>
          <w:rFonts w:ascii="Times New Roman" w:hAnsi="Times New Roman" w:cs="Times New Roman"/>
          <w:b/>
          <w:bCs/>
          <w:i/>
          <w:iCs/>
          <w:sz w:val="24"/>
          <w:szCs w:val="24"/>
          <w:lang w:eastAsia="en-AU"/>
        </w:rPr>
        <w:t>relevant reporting period</w:t>
      </w:r>
      <w:r w:rsidRPr="165183F2">
        <w:rPr>
          <w:rFonts w:ascii="Times New Roman" w:hAnsi="Times New Roman" w:cs="Times New Roman"/>
          <w:sz w:val="24"/>
          <w:szCs w:val="24"/>
          <w:lang w:eastAsia="en-AU"/>
        </w:rPr>
        <w:t xml:space="preserve"> is either the period during which an area of land in the project stops including a vegetation fuel type, or the period where the project proponent becomes aware that the area of land in the project stops including a vegetation fuel type. This means the relevant reporting period is the period in which the issue was identified.</w:t>
      </w:r>
    </w:p>
    <w:p w14:paraId="2B2D0CB0" w14:textId="17854349" w:rsidR="0076059B" w:rsidRPr="000B062B" w:rsidRDefault="0027372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14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to manage relevant weed species </w:t>
      </w:r>
    </w:p>
    <w:p w14:paraId="27D02347" w14:textId="7BE0FD71" w:rsidR="00341B0C" w:rsidRPr="00544674" w:rsidRDefault="00442718"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14</w:t>
      </w:r>
      <w:r w:rsidR="00341B0C" w:rsidRPr="33750E9F">
        <w:rPr>
          <w:rFonts w:ascii="Times New Roman" w:hAnsi="Times New Roman" w:cs="Times New Roman"/>
          <w:sz w:val="24"/>
          <w:szCs w:val="24"/>
        </w:rPr>
        <w:t xml:space="preserve"> establishes the </w:t>
      </w:r>
      <w:r w:rsidR="00CB386C">
        <w:rPr>
          <w:rFonts w:ascii="Times New Roman" w:hAnsi="Times New Roman" w:cs="Times New Roman"/>
          <w:sz w:val="24"/>
          <w:szCs w:val="24"/>
        </w:rPr>
        <w:t>requirements and</w:t>
      </w:r>
      <w:r w:rsidR="00341B0C" w:rsidRPr="00890C27">
        <w:rPr>
          <w:rFonts w:ascii="Times New Roman" w:hAnsi="Times New Roman" w:cs="Times New Roman"/>
          <w:sz w:val="24"/>
          <w:szCs w:val="24"/>
        </w:rPr>
        <w:t xml:space="preserve"> </w:t>
      </w:r>
      <w:r w:rsidR="00341B0C" w:rsidRPr="33750E9F">
        <w:rPr>
          <w:rFonts w:ascii="Times New Roman" w:hAnsi="Times New Roman" w:cs="Times New Roman"/>
          <w:sz w:val="24"/>
          <w:szCs w:val="24"/>
        </w:rPr>
        <w:t xml:space="preserve">conditions under which a project area must be managed to control and eradicate </w:t>
      </w:r>
      <w:r w:rsidR="00341B0C" w:rsidRPr="00C54EFF">
        <w:rPr>
          <w:rFonts w:ascii="Times New Roman" w:hAnsi="Times New Roman" w:cs="Times New Roman"/>
          <w:b/>
          <w:i/>
          <w:sz w:val="24"/>
          <w:szCs w:val="24"/>
        </w:rPr>
        <w:t>relevant weed species</w:t>
      </w:r>
      <w:r w:rsidR="00341B0C" w:rsidRPr="33750E9F">
        <w:rPr>
          <w:rFonts w:ascii="Times New Roman" w:hAnsi="Times New Roman" w:cs="Times New Roman"/>
          <w:sz w:val="24"/>
          <w:szCs w:val="24"/>
        </w:rPr>
        <w:t>.</w:t>
      </w:r>
    </w:p>
    <w:p w14:paraId="7EF9FC47" w14:textId="26C050D2" w:rsidR="00146D36" w:rsidRPr="00234C55" w:rsidRDefault="00341B0C"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w:t>
      </w:r>
      <w:r w:rsidR="00A96EE4" w:rsidRPr="33750E9F">
        <w:rPr>
          <w:rFonts w:ascii="Times New Roman" w:hAnsi="Times New Roman" w:cs="Times New Roman"/>
          <w:sz w:val="24"/>
          <w:szCs w:val="24"/>
        </w:rPr>
        <w:t xml:space="preserve"> 14</w:t>
      </w:r>
      <w:r w:rsidRPr="33750E9F">
        <w:rPr>
          <w:rFonts w:ascii="Times New Roman" w:hAnsi="Times New Roman" w:cs="Times New Roman"/>
          <w:sz w:val="24"/>
          <w:szCs w:val="24"/>
        </w:rPr>
        <w:t>(1)</w:t>
      </w:r>
      <w:r w:rsidR="00885709" w:rsidRPr="33750E9F">
        <w:rPr>
          <w:rFonts w:ascii="Times New Roman" w:hAnsi="Times New Roman" w:cs="Times New Roman"/>
          <w:sz w:val="24"/>
          <w:szCs w:val="24"/>
        </w:rPr>
        <w:t xml:space="preserve"> </w:t>
      </w:r>
      <w:r w:rsidR="006C0296">
        <w:rPr>
          <w:rFonts w:ascii="Times New Roman" w:hAnsi="Times New Roman" w:cs="Times New Roman"/>
          <w:sz w:val="24"/>
          <w:szCs w:val="24"/>
        </w:rPr>
        <w:t>establishes a requirement for each part of the project area to be</w:t>
      </w:r>
      <w:r w:rsidR="00885709" w:rsidRPr="00890C27" w:rsidDel="006C0296">
        <w:rPr>
          <w:rFonts w:ascii="Times New Roman" w:hAnsi="Times New Roman" w:cs="Times New Roman"/>
          <w:sz w:val="24"/>
          <w:szCs w:val="24"/>
        </w:rPr>
        <w:t xml:space="preserve"> </w:t>
      </w:r>
      <w:r w:rsidRPr="33750E9F">
        <w:rPr>
          <w:rFonts w:ascii="Times New Roman" w:hAnsi="Times New Roman" w:cs="Times New Roman"/>
          <w:sz w:val="24"/>
          <w:szCs w:val="24"/>
        </w:rPr>
        <w:t xml:space="preserve">free of all relevant weed species at the relevant date. </w:t>
      </w:r>
      <w:r w:rsidR="00146D36" w:rsidRPr="33750E9F">
        <w:rPr>
          <w:rFonts w:ascii="Times New Roman" w:hAnsi="Times New Roman" w:cs="Times New Roman"/>
          <w:sz w:val="24"/>
          <w:szCs w:val="24"/>
        </w:rPr>
        <w:t>Subsection 14(</w:t>
      </w:r>
      <w:r w:rsidR="00EF4934" w:rsidRPr="33750E9F">
        <w:rPr>
          <w:rFonts w:ascii="Times New Roman" w:hAnsi="Times New Roman" w:cs="Times New Roman"/>
          <w:sz w:val="24"/>
          <w:szCs w:val="24"/>
        </w:rPr>
        <w:t>7</w:t>
      </w:r>
      <w:r w:rsidR="00146D36" w:rsidRPr="33750E9F">
        <w:rPr>
          <w:rFonts w:ascii="Times New Roman" w:hAnsi="Times New Roman" w:cs="Times New Roman"/>
          <w:sz w:val="24"/>
          <w:szCs w:val="24"/>
        </w:rPr>
        <w:t>)</w:t>
      </w:r>
      <w:r w:rsidR="00877F86" w:rsidRPr="33750E9F">
        <w:rPr>
          <w:rFonts w:ascii="Times New Roman" w:hAnsi="Times New Roman" w:cs="Times New Roman"/>
          <w:sz w:val="24"/>
          <w:szCs w:val="24"/>
        </w:rPr>
        <w:t xml:space="preserve"> </w:t>
      </w:r>
      <w:r w:rsidR="00146D36" w:rsidRPr="33750E9F">
        <w:rPr>
          <w:rFonts w:ascii="Times New Roman" w:hAnsi="Times New Roman" w:cs="Times New Roman"/>
          <w:sz w:val="24"/>
          <w:szCs w:val="24"/>
        </w:rPr>
        <w:t>defines the</w:t>
      </w:r>
      <w:r w:rsidR="00877F86" w:rsidRPr="33750E9F">
        <w:rPr>
          <w:rFonts w:ascii="Times New Roman" w:hAnsi="Times New Roman" w:cs="Times New Roman"/>
          <w:sz w:val="24"/>
          <w:szCs w:val="24"/>
        </w:rPr>
        <w:t xml:space="preserve"> </w:t>
      </w:r>
      <w:r w:rsidR="00146D36" w:rsidRPr="33750E9F">
        <w:rPr>
          <w:rFonts w:ascii="Times New Roman" w:hAnsi="Times New Roman" w:cs="Times New Roman"/>
          <w:sz w:val="24"/>
          <w:szCs w:val="24"/>
        </w:rPr>
        <w:t>relevant date</w:t>
      </w:r>
      <w:r w:rsidR="00877F86" w:rsidRPr="33750E9F">
        <w:rPr>
          <w:rFonts w:ascii="Times New Roman" w:hAnsi="Times New Roman" w:cs="Times New Roman"/>
          <w:sz w:val="24"/>
          <w:szCs w:val="24"/>
        </w:rPr>
        <w:t xml:space="preserve"> </w:t>
      </w:r>
      <w:r w:rsidR="00146D36" w:rsidRPr="33750E9F">
        <w:rPr>
          <w:rFonts w:ascii="Times New Roman" w:hAnsi="Times New Roman" w:cs="Times New Roman"/>
          <w:sz w:val="24"/>
          <w:szCs w:val="24"/>
        </w:rPr>
        <w:t>as the date of the section 22, section 29, or section 128 application in which the project area is first identified.</w:t>
      </w:r>
    </w:p>
    <w:p w14:paraId="76E630E2" w14:textId="7D2097CD" w:rsidR="00341B0C" w:rsidRPr="00234C55" w:rsidRDefault="00A07D46"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14(2) </w:t>
      </w:r>
      <w:r w:rsidR="00885709" w:rsidRPr="33750E9F">
        <w:rPr>
          <w:rFonts w:ascii="Times New Roman" w:hAnsi="Times New Roman" w:cs="Times New Roman"/>
          <w:sz w:val="24"/>
          <w:szCs w:val="24"/>
        </w:rPr>
        <w:t xml:space="preserve">provides that </w:t>
      </w:r>
      <w:r w:rsidR="001A0904" w:rsidRPr="33750E9F">
        <w:rPr>
          <w:rFonts w:ascii="Times New Roman" w:hAnsi="Times New Roman" w:cs="Times New Roman"/>
          <w:sz w:val="24"/>
          <w:szCs w:val="24"/>
        </w:rPr>
        <w:t>each part of the</w:t>
      </w:r>
      <w:r w:rsidR="00341B0C" w:rsidRPr="33750E9F">
        <w:rPr>
          <w:rFonts w:ascii="Times New Roman" w:hAnsi="Times New Roman" w:cs="Times New Roman"/>
          <w:sz w:val="24"/>
          <w:szCs w:val="24"/>
        </w:rPr>
        <w:t xml:space="preserve"> </w:t>
      </w:r>
      <w:r w:rsidR="000C38AF" w:rsidRPr="33750E9F">
        <w:rPr>
          <w:rFonts w:ascii="Times New Roman" w:hAnsi="Times New Roman" w:cs="Times New Roman"/>
          <w:sz w:val="24"/>
          <w:szCs w:val="24"/>
        </w:rPr>
        <w:t xml:space="preserve">project </w:t>
      </w:r>
      <w:r w:rsidR="00341B0C" w:rsidRPr="33750E9F">
        <w:rPr>
          <w:rFonts w:ascii="Times New Roman" w:hAnsi="Times New Roman" w:cs="Times New Roman"/>
          <w:sz w:val="24"/>
          <w:szCs w:val="24"/>
        </w:rPr>
        <w:t>area</w:t>
      </w:r>
      <w:r w:rsidR="001A0904" w:rsidRPr="33750E9F">
        <w:rPr>
          <w:rFonts w:ascii="Times New Roman" w:hAnsi="Times New Roman" w:cs="Times New Roman"/>
          <w:sz w:val="24"/>
          <w:szCs w:val="24"/>
        </w:rPr>
        <w:t xml:space="preserve"> </w:t>
      </w:r>
      <w:r w:rsidR="00341B0C" w:rsidRPr="33750E9F">
        <w:rPr>
          <w:rFonts w:ascii="Times New Roman" w:hAnsi="Times New Roman" w:cs="Times New Roman"/>
          <w:sz w:val="24"/>
          <w:szCs w:val="24"/>
        </w:rPr>
        <w:t>must either:</w:t>
      </w:r>
    </w:p>
    <w:p w14:paraId="77EE42FD" w14:textId="77777777" w:rsidR="00341B0C" w:rsidRPr="00544674" w:rsidRDefault="00341B0C"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remain free of relevant weed species; or</w:t>
      </w:r>
    </w:p>
    <w:p w14:paraId="0A8CCB8A" w14:textId="084F3E3B" w:rsidR="00341B0C" w:rsidRPr="00544674" w:rsidRDefault="00341B0C"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lastRenderedPageBreak/>
        <w:t>if relevant weed species are detected</w:t>
      </w:r>
      <w:r w:rsidR="00F838BD" w:rsidRPr="33750E9F">
        <w:rPr>
          <w:rFonts w:ascii="Times New Roman" w:hAnsi="Times New Roman" w:cs="Times New Roman"/>
          <w:sz w:val="24"/>
          <w:szCs w:val="24"/>
        </w:rPr>
        <w:t xml:space="preserve"> </w:t>
      </w:r>
      <w:proofErr w:type="gramStart"/>
      <w:r w:rsidR="00F838BD" w:rsidRPr="33750E9F">
        <w:rPr>
          <w:rFonts w:ascii="Times New Roman" w:hAnsi="Times New Roman" w:cs="Times New Roman"/>
          <w:sz w:val="24"/>
          <w:szCs w:val="24"/>
        </w:rPr>
        <w:t>at a later date</w:t>
      </w:r>
      <w:proofErr w:type="gramEnd"/>
      <w:r w:rsidRPr="33750E9F">
        <w:rPr>
          <w:rFonts w:ascii="Times New Roman" w:hAnsi="Times New Roman" w:cs="Times New Roman"/>
          <w:sz w:val="24"/>
          <w:szCs w:val="24"/>
        </w:rPr>
        <w:t>:</w:t>
      </w:r>
    </w:p>
    <w:p w14:paraId="566928B3" w14:textId="4538E0E7" w:rsidR="00341B0C" w:rsidRPr="00544674" w:rsidRDefault="00341B0C" w:rsidP="008103FF">
      <w:pPr>
        <w:pStyle w:val="ListParagraph"/>
        <w:numPr>
          <w:ilvl w:val="1"/>
          <w:numId w:val="55"/>
        </w:numPr>
        <w:spacing w:after="160" w:line="276" w:lineRule="auto"/>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all aboveground </w:t>
      </w:r>
      <w:proofErr w:type="gramStart"/>
      <w:r w:rsidRPr="33750E9F">
        <w:rPr>
          <w:rFonts w:ascii="Times New Roman" w:hAnsi="Times New Roman" w:cs="Times New Roman"/>
          <w:sz w:val="24"/>
          <w:szCs w:val="24"/>
        </w:rPr>
        <w:t>biomass</w:t>
      </w:r>
      <w:proofErr w:type="gramEnd"/>
      <w:r w:rsidRPr="33750E9F">
        <w:rPr>
          <w:rFonts w:ascii="Times New Roman" w:hAnsi="Times New Roman" w:cs="Times New Roman"/>
          <w:sz w:val="24"/>
          <w:szCs w:val="24"/>
        </w:rPr>
        <w:t xml:space="preserve"> must be treated appropriately within 18 months of </w:t>
      </w:r>
      <w:r w:rsidR="00526E64" w:rsidRPr="33750E9F">
        <w:rPr>
          <w:rFonts w:ascii="Times New Roman" w:hAnsi="Times New Roman" w:cs="Times New Roman"/>
          <w:sz w:val="24"/>
          <w:szCs w:val="24"/>
        </w:rPr>
        <w:t xml:space="preserve">the weed being </w:t>
      </w:r>
      <w:r w:rsidRPr="33750E9F">
        <w:rPr>
          <w:rFonts w:ascii="Times New Roman" w:hAnsi="Times New Roman" w:cs="Times New Roman"/>
          <w:sz w:val="24"/>
          <w:szCs w:val="24"/>
        </w:rPr>
        <w:t>detect</w:t>
      </w:r>
      <w:r w:rsidR="00526E64" w:rsidRPr="33750E9F">
        <w:rPr>
          <w:rFonts w:ascii="Times New Roman" w:hAnsi="Times New Roman" w:cs="Times New Roman"/>
          <w:sz w:val="24"/>
          <w:szCs w:val="24"/>
        </w:rPr>
        <w:t>ed</w:t>
      </w:r>
      <w:r w:rsidRPr="33750E9F">
        <w:rPr>
          <w:rFonts w:ascii="Times New Roman" w:hAnsi="Times New Roman" w:cs="Times New Roman"/>
          <w:sz w:val="24"/>
          <w:szCs w:val="24"/>
        </w:rPr>
        <w:t xml:space="preserve"> and </w:t>
      </w:r>
      <w:r w:rsidR="00E26ABE" w:rsidRPr="33750E9F">
        <w:rPr>
          <w:rFonts w:ascii="Times New Roman" w:hAnsi="Times New Roman" w:cs="Times New Roman"/>
          <w:sz w:val="24"/>
          <w:szCs w:val="24"/>
        </w:rPr>
        <w:t xml:space="preserve">must </w:t>
      </w:r>
      <w:r w:rsidRPr="33750E9F">
        <w:rPr>
          <w:rFonts w:ascii="Times New Roman" w:hAnsi="Times New Roman" w:cs="Times New Roman"/>
          <w:sz w:val="24"/>
          <w:szCs w:val="24"/>
        </w:rPr>
        <w:t xml:space="preserve">continue to be treated annually until </w:t>
      </w:r>
      <w:r w:rsidR="00136F19" w:rsidRPr="33750E9F">
        <w:rPr>
          <w:rFonts w:ascii="Times New Roman" w:hAnsi="Times New Roman" w:cs="Times New Roman"/>
          <w:sz w:val="24"/>
          <w:szCs w:val="24"/>
        </w:rPr>
        <w:t xml:space="preserve">the weed is </w:t>
      </w:r>
      <w:r w:rsidRPr="33750E9F">
        <w:rPr>
          <w:rFonts w:ascii="Times New Roman" w:hAnsi="Times New Roman" w:cs="Times New Roman"/>
          <w:sz w:val="24"/>
          <w:szCs w:val="24"/>
        </w:rPr>
        <w:t>eradicat</w:t>
      </w:r>
      <w:r w:rsidR="00136F19" w:rsidRPr="33750E9F">
        <w:rPr>
          <w:rFonts w:ascii="Times New Roman" w:hAnsi="Times New Roman" w:cs="Times New Roman"/>
          <w:sz w:val="24"/>
          <w:szCs w:val="24"/>
        </w:rPr>
        <w:t>ed</w:t>
      </w:r>
      <w:r w:rsidRPr="33750E9F">
        <w:rPr>
          <w:rFonts w:ascii="Times New Roman" w:hAnsi="Times New Roman" w:cs="Times New Roman"/>
          <w:sz w:val="24"/>
          <w:szCs w:val="24"/>
        </w:rPr>
        <w:t>; or</w:t>
      </w:r>
    </w:p>
    <w:p w14:paraId="1B4B4461" w14:textId="11DAE0FD" w:rsidR="00341B0C" w:rsidRPr="00544674" w:rsidRDefault="00341B0C" w:rsidP="008103FF">
      <w:pPr>
        <w:pStyle w:val="ListParagraph"/>
        <w:numPr>
          <w:ilvl w:val="1"/>
          <w:numId w:val="55"/>
        </w:numPr>
        <w:spacing w:after="160" w:line="276" w:lineRule="auto"/>
        <w:contextualSpacing w:val="0"/>
        <w:rPr>
          <w:rFonts w:ascii="Times New Roman" w:hAnsi="Times New Roman" w:cs="Times New Roman"/>
          <w:sz w:val="24"/>
          <w:szCs w:val="24"/>
        </w:rPr>
      </w:pPr>
      <w:r w:rsidRPr="33750E9F">
        <w:rPr>
          <w:rFonts w:ascii="Times New Roman" w:hAnsi="Times New Roman" w:cs="Times New Roman"/>
          <w:sz w:val="24"/>
          <w:szCs w:val="24"/>
        </w:rPr>
        <w:t>the affected land must be removed from the project in accordance with section 16</w:t>
      </w:r>
      <w:r w:rsidR="000E02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no later than the end of the reporting period </w:t>
      </w:r>
      <w:r w:rsidR="001621E0" w:rsidRPr="33750E9F">
        <w:rPr>
          <w:rFonts w:ascii="Times New Roman" w:hAnsi="Times New Roman" w:cs="Times New Roman"/>
          <w:sz w:val="24"/>
          <w:szCs w:val="24"/>
        </w:rPr>
        <w:t>during</w:t>
      </w:r>
      <w:r w:rsidRPr="33750E9F">
        <w:rPr>
          <w:rFonts w:ascii="Times New Roman" w:hAnsi="Times New Roman" w:cs="Times New Roman"/>
          <w:sz w:val="24"/>
          <w:szCs w:val="24"/>
        </w:rPr>
        <w:t xml:space="preserve"> which the weed was first detected.</w:t>
      </w:r>
    </w:p>
    <w:p w14:paraId="318AFF8D" w14:textId="20E13293" w:rsidR="00341B0C" w:rsidRPr="00234C55" w:rsidRDefault="00341B0C"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w:t>
      </w:r>
      <w:r w:rsidR="00234C55" w:rsidRPr="33750E9F">
        <w:rPr>
          <w:rFonts w:ascii="Times New Roman" w:hAnsi="Times New Roman" w:cs="Times New Roman"/>
          <w:sz w:val="24"/>
          <w:szCs w:val="24"/>
        </w:rPr>
        <w:t>14</w:t>
      </w:r>
      <w:r w:rsidRPr="33750E9F">
        <w:rPr>
          <w:rFonts w:ascii="Times New Roman" w:hAnsi="Times New Roman" w:cs="Times New Roman"/>
          <w:sz w:val="24"/>
          <w:szCs w:val="24"/>
        </w:rPr>
        <w:t>(</w:t>
      </w:r>
      <w:r w:rsidR="000E0286" w:rsidRPr="33750E9F">
        <w:rPr>
          <w:rFonts w:ascii="Times New Roman" w:hAnsi="Times New Roman" w:cs="Times New Roman"/>
          <w:sz w:val="24"/>
          <w:szCs w:val="24"/>
        </w:rPr>
        <w:t>3</w:t>
      </w:r>
      <w:r w:rsidRPr="33750E9F">
        <w:rPr>
          <w:rFonts w:ascii="Times New Roman" w:hAnsi="Times New Roman" w:cs="Times New Roman"/>
          <w:sz w:val="24"/>
          <w:szCs w:val="24"/>
        </w:rPr>
        <w:t>)</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provides that a</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transferring project area</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is considered clear of relevant weed species at the relevant date if all known infestations were treated appropriately within the 12 months prior.</w:t>
      </w:r>
    </w:p>
    <w:p w14:paraId="3C7A948C" w14:textId="7664DB9A" w:rsidR="00341B0C" w:rsidRPr="00234C55" w:rsidRDefault="00341B0C"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w:t>
      </w:r>
      <w:r w:rsidR="00234C55" w:rsidRPr="33750E9F">
        <w:rPr>
          <w:rFonts w:ascii="Times New Roman" w:hAnsi="Times New Roman" w:cs="Times New Roman"/>
          <w:sz w:val="24"/>
          <w:szCs w:val="24"/>
        </w:rPr>
        <w:t>14</w:t>
      </w:r>
      <w:r w:rsidRPr="33750E9F">
        <w:rPr>
          <w:rFonts w:ascii="Times New Roman" w:hAnsi="Times New Roman" w:cs="Times New Roman"/>
          <w:sz w:val="24"/>
          <w:szCs w:val="24"/>
        </w:rPr>
        <w:t>(</w:t>
      </w:r>
      <w:r w:rsidR="00E749EA" w:rsidRPr="33750E9F">
        <w:rPr>
          <w:rFonts w:ascii="Times New Roman" w:hAnsi="Times New Roman" w:cs="Times New Roman"/>
          <w:sz w:val="24"/>
          <w:szCs w:val="24"/>
        </w:rPr>
        <w:t>4</w:t>
      </w:r>
      <w:r w:rsidRPr="33750E9F">
        <w:rPr>
          <w:rFonts w:ascii="Times New Roman" w:hAnsi="Times New Roman" w:cs="Times New Roman"/>
          <w:sz w:val="24"/>
          <w:szCs w:val="24"/>
        </w:rPr>
        <w:t>)</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extends this provision to</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restarting transferring projects, which are also deemed clear if all known weed species were treated appropriately within the 12 months preceding the relevant date.</w:t>
      </w:r>
    </w:p>
    <w:p w14:paraId="45A18DE9" w14:textId="2FF8EB6E" w:rsidR="00341B0C" w:rsidRPr="00234C55" w:rsidRDefault="00341B0C"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w:t>
      </w:r>
      <w:r w:rsidR="00234C55" w:rsidRPr="33750E9F">
        <w:rPr>
          <w:rFonts w:ascii="Times New Roman" w:hAnsi="Times New Roman" w:cs="Times New Roman"/>
          <w:sz w:val="24"/>
          <w:szCs w:val="24"/>
        </w:rPr>
        <w:t>14</w:t>
      </w:r>
      <w:r w:rsidRPr="33750E9F">
        <w:rPr>
          <w:rFonts w:ascii="Times New Roman" w:hAnsi="Times New Roman" w:cs="Times New Roman"/>
          <w:sz w:val="24"/>
          <w:szCs w:val="24"/>
        </w:rPr>
        <w:t>(</w:t>
      </w:r>
      <w:r w:rsidR="00157CDC" w:rsidRPr="33750E9F">
        <w:rPr>
          <w:rFonts w:ascii="Times New Roman" w:hAnsi="Times New Roman" w:cs="Times New Roman"/>
          <w:sz w:val="24"/>
          <w:szCs w:val="24"/>
        </w:rPr>
        <w:t>5</w:t>
      </w:r>
      <w:r w:rsidRPr="33750E9F">
        <w:rPr>
          <w:rFonts w:ascii="Times New Roman" w:hAnsi="Times New Roman" w:cs="Times New Roman"/>
          <w:sz w:val="24"/>
          <w:szCs w:val="24"/>
        </w:rPr>
        <w:t>)</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defines appropriate treatment as </w:t>
      </w:r>
      <w:r w:rsidR="00683A69">
        <w:rPr>
          <w:rFonts w:ascii="Times New Roman" w:hAnsi="Times New Roman" w:cs="Times New Roman"/>
          <w:sz w:val="24"/>
          <w:szCs w:val="24"/>
        </w:rPr>
        <w:t>requiring</w:t>
      </w:r>
      <w:r w:rsidRPr="33750E9F">
        <w:rPr>
          <w:rFonts w:ascii="Times New Roman" w:hAnsi="Times New Roman" w:cs="Times New Roman"/>
          <w:sz w:val="24"/>
          <w:szCs w:val="24"/>
        </w:rPr>
        <w:t>:</w:t>
      </w:r>
    </w:p>
    <w:p w14:paraId="06C58D74" w14:textId="160A818A" w:rsidR="00683A69" w:rsidRDefault="00341B0C"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 xml:space="preserve">application of herbicide to kill all aboveground biomass of the </w:t>
      </w:r>
      <w:r w:rsidR="009E697C" w:rsidRPr="165183F2">
        <w:rPr>
          <w:rFonts w:ascii="Times New Roman" w:hAnsi="Times New Roman" w:cs="Times New Roman"/>
          <w:sz w:val="24"/>
          <w:szCs w:val="24"/>
        </w:rPr>
        <w:t xml:space="preserve">relevant </w:t>
      </w:r>
      <w:r w:rsidRPr="165183F2">
        <w:rPr>
          <w:rFonts w:ascii="Times New Roman" w:hAnsi="Times New Roman" w:cs="Times New Roman"/>
          <w:sz w:val="24"/>
          <w:szCs w:val="24"/>
        </w:rPr>
        <w:t>weed species or</w:t>
      </w:r>
      <w:r w:rsidR="00683A69" w:rsidRPr="165183F2">
        <w:rPr>
          <w:rFonts w:ascii="Times New Roman" w:hAnsi="Times New Roman" w:cs="Times New Roman"/>
          <w:sz w:val="24"/>
          <w:szCs w:val="24"/>
        </w:rPr>
        <w:t xml:space="preserve"> </w:t>
      </w:r>
      <w:r w:rsidRPr="165183F2">
        <w:rPr>
          <w:rFonts w:ascii="Times New Roman" w:hAnsi="Times New Roman" w:cs="Times New Roman"/>
          <w:sz w:val="24"/>
          <w:szCs w:val="24"/>
        </w:rPr>
        <w:t>mechanical</w:t>
      </w:r>
      <w:r w:rsidR="000B2DD4" w:rsidRPr="165183F2">
        <w:rPr>
          <w:rFonts w:ascii="Times New Roman" w:hAnsi="Times New Roman" w:cs="Times New Roman"/>
          <w:sz w:val="24"/>
          <w:szCs w:val="24"/>
        </w:rPr>
        <w:t xml:space="preserve">ly removing </w:t>
      </w:r>
      <w:r w:rsidRPr="165183F2">
        <w:rPr>
          <w:rFonts w:ascii="Times New Roman" w:hAnsi="Times New Roman" w:cs="Times New Roman"/>
          <w:sz w:val="24"/>
          <w:szCs w:val="24"/>
        </w:rPr>
        <w:t>the aboveground biomass</w:t>
      </w:r>
      <w:r w:rsidR="009E697C" w:rsidRPr="165183F2">
        <w:rPr>
          <w:rFonts w:ascii="Times New Roman" w:hAnsi="Times New Roman" w:cs="Times New Roman"/>
          <w:sz w:val="24"/>
          <w:szCs w:val="24"/>
        </w:rPr>
        <w:t xml:space="preserve"> of that weed species</w:t>
      </w:r>
      <w:r w:rsidR="004472CA" w:rsidRPr="165183F2">
        <w:rPr>
          <w:rFonts w:ascii="Times New Roman" w:hAnsi="Times New Roman" w:cs="Times New Roman"/>
          <w:sz w:val="24"/>
          <w:szCs w:val="24"/>
        </w:rPr>
        <w:t>; and</w:t>
      </w:r>
    </w:p>
    <w:p w14:paraId="3463082A" w14:textId="2ED2C8D5" w:rsidR="00341B0C" w:rsidRPr="00D61FCC" w:rsidRDefault="00683A69"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treatment carried out in accordance with any relevant Australian laws</w:t>
      </w:r>
      <w:r w:rsidR="00341B0C" w:rsidRPr="00D61FCC">
        <w:rPr>
          <w:rFonts w:ascii="Times New Roman" w:hAnsi="Times New Roman" w:cs="Times New Roman"/>
          <w:sz w:val="24"/>
          <w:szCs w:val="24"/>
        </w:rPr>
        <w:t>.</w:t>
      </w:r>
    </w:p>
    <w:p w14:paraId="7A4C8B22" w14:textId="03AF1254" w:rsidR="0076059B" w:rsidRDefault="00341B0C"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w:t>
      </w:r>
      <w:r w:rsidR="006A64E4" w:rsidRPr="33750E9F">
        <w:rPr>
          <w:rFonts w:ascii="Times New Roman" w:hAnsi="Times New Roman" w:cs="Times New Roman"/>
          <w:sz w:val="24"/>
          <w:szCs w:val="24"/>
        </w:rPr>
        <w:t xml:space="preserve"> </w:t>
      </w:r>
      <w:r w:rsidR="00234C55" w:rsidRPr="33750E9F">
        <w:rPr>
          <w:rFonts w:ascii="Times New Roman" w:hAnsi="Times New Roman" w:cs="Times New Roman"/>
          <w:sz w:val="24"/>
          <w:szCs w:val="24"/>
        </w:rPr>
        <w:t>14</w:t>
      </w:r>
      <w:r w:rsidRPr="33750E9F">
        <w:rPr>
          <w:rFonts w:ascii="Times New Roman" w:hAnsi="Times New Roman" w:cs="Times New Roman"/>
          <w:sz w:val="24"/>
          <w:szCs w:val="24"/>
        </w:rPr>
        <w:t>(</w:t>
      </w:r>
      <w:r w:rsidR="00157CDC" w:rsidRPr="33750E9F">
        <w:rPr>
          <w:rFonts w:ascii="Times New Roman" w:hAnsi="Times New Roman" w:cs="Times New Roman"/>
          <w:sz w:val="24"/>
          <w:szCs w:val="24"/>
        </w:rPr>
        <w:t>6</w:t>
      </w:r>
      <w:r w:rsidRPr="33750E9F">
        <w:rPr>
          <w:rFonts w:ascii="Times New Roman" w:hAnsi="Times New Roman" w:cs="Times New Roman"/>
          <w:sz w:val="24"/>
          <w:szCs w:val="24"/>
        </w:rPr>
        <w:t>)</w:t>
      </w:r>
      <w:r w:rsidR="00877F86" w:rsidRPr="33750E9F">
        <w:rPr>
          <w:rFonts w:ascii="Times New Roman" w:hAnsi="Times New Roman" w:cs="Times New Roman"/>
          <w:sz w:val="24"/>
          <w:szCs w:val="24"/>
        </w:rPr>
        <w:t xml:space="preserve"> </w:t>
      </w:r>
      <w:r w:rsidR="006A64E4" w:rsidRPr="33750E9F">
        <w:rPr>
          <w:rFonts w:ascii="Times New Roman" w:hAnsi="Times New Roman" w:cs="Times New Roman"/>
          <w:sz w:val="24"/>
          <w:szCs w:val="24"/>
        </w:rPr>
        <w:t xml:space="preserve">provides that a relevant weed species is taken to be eradicated in an area when it has not been detected in that area for at </w:t>
      </w:r>
      <w:r w:rsidRPr="33750E9F">
        <w:rPr>
          <w:rFonts w:ascii="Times New Roman" w:hAnsi="Times New Roman" w:cs="Times New Roman"/>
          <w:sz w:val="24"/>
          <w:szCs w:val="24"/>
        </w:rPr>
        <w:t>least 24 months.</w:t>
      </w:r>
    </w:p>
    <w:p w14:paraId="65829754" w14:textId="33029AAD" w:rsidR="0076059B" w:rsidRPr="002E269B" w:rsidRDefault="00DA27F2"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15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Project area not to contain previously removed areas </w:t>
      </w:r>
    </w:p>
    <w:p w14:paraId="1896878A" w14:textId="1D1A6134" w:rsidR="002742A0" w:rsidRPr="002742A0" w:rsidRDefault="005B1ECB"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Section 15 </w:t>
      </w:r>
      <w:r w:rsidR="002742A0" w:rsidRPr="165183F2">
        <w:rPr>
          <w:rFonts w:ascii="Times New Roman" w:hAnsi="Times New Roman" w:cs="Times New Roman"/>
          <w:sz w:val="24"/>
          <w:szCs w:val="24"/>
        </w:rPr>
        <w:t>provides that a project area part must not include any land that</w:t>
      </w:r>
      <w:r w:rsidR="00C267C8" w:rsidRPr="165183F2">
        <w:rPr>
          <w:rFonts w:ascii="Times New Roman" w:hAnsi="Times New Roman" w:cs="Times New Roman"/>
          <w:sz w:val="24"/>
          <w:szCs w:val="24"/>
        </w:rPr>
        <w:t xml:space="preserve"> was</w:t>
      </w:r>
      <w:r w:rsidR="002742A0" w:rsidRPr="165183F2">
        <w:rPr>
          <w:rFonts w:ascii="Times New Roman" w:hAnsi="Times New Roman" w:cs="Times New Roman"/>
          <w:sz w:val="24"/>
          <w:szCs w:val="24"/>
        </w:rPr>
        <w:t>:</w:t>
      </w:r>
    </w:p>
    <w:p w14:paraId="61DA7766" w14:textId="7EF0AB1C" w:rsidR="002742A0" w:rsidRPr="002742A0" w:rsidRDefault="002742A0"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previously part of the same project or another project under this methodology determination or a savanna fire management determination; and</w:t>
      </w:r>
    </w:p>
    <w:p w14:paraId="15235BB9" w14:textId="012F8D30" w:rsidR="002742A0" w:rsidRPr="002742A0" w:rsidRDefault="002742A0"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removed in accordance with paragraph 13(</w:t>
      </w:r>
      <w:r w:rsidR="004A3D01" w:rsidRPr="165183F2">
        <w:rPr>
          <w:rFonts w:ascii="Times New Roman" w:hAnsi="Times New Roman" w:cs="Times New Roman"/>
          <w:sz w:val="24"/>
          <w:szCs w:val="24"/>
        </w:rPr>
        <w:t>2</w:t>
      </w:r>
      <w:r w:rsidRPr="165183F2">
        <w:rPr>
          <w:rFonts w:ascii="Times New Roman" w:hAnsi="Times New Roman" w:cs="Times New Roman"/>
          <w:sz w:val="24"/>
          <w:szCs w:val="24"/>
        </w:rPr>
        <w:t>)(b) or 14(</w:t>
      </w:r>
      <w:r w:rsidR="004A3D01" w:rsidRPr="165183F2">
        <w:rPr>
          <w:rFonts w:ascii="Times New Roman" w:hAnsi="Times New Roman" w:cs="Times New Roman"/>
          <w:sz w:val="24"/>
          <w:szCs w:val="24"/>
        </w:rPr>
        <w:t>2</w:t>
      </w:r>
      <w:r w:rsidRPr="165183F2">
        <w:rPr>
          <w:rFonts w:ascii="Times New Roman" w:hAnsi="Times New Roman" w:cs="Times New Roman"/>
          <w:sz w:val="24"/>
          <w:szCs w:val="24"/>
        </w:rPr>
        <w:t>)(b), or an equivalent provision under a savanna fire management determination.</w:t>
      </w:r>
    </w:p>
    <w:p w14:paraId="5DF454A5" w14:textId="49479429" w:rsidR="0076059B" w:rsidRPr="00982930" w:rsidRDefault="002742A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This is intended to prevent the cycling of ineligible land back into projects, thereby maintaining the </w:t>
      </w:r>
      <w:r w:rsidR="00980A72">
        <w:rPr>
          <w:rFonts w:ascii="Times New Roman" w:hAnsi="Times New Roman" w:cs="Times New Roman"/>
          <w:sz w:val="24"/>
          <w:szCs w:val="24"/>
        </w:rPr>
        <w:t>integrity</w:t>
      </w:r>
      <w:r w:rsidR="00980A72" w:rsidRPr="33750E9F">
        <w:rPr>
          <w:rFonts w:ascii="Times New Roman" w:hAnsi="Times New Roman" w:cs="Times New Roman"/>
          <w:sz w:val="24"/>
          <w:szCs w:val="24"/>
        </w:rPr>
        <w:t xml:space="preserve"> </w:t>
      </w:r>
      <w:r w:rsidRPr="33750E9F">
        <w:rPr>
          <w:rFonts w:ascii="Times New Roman" w:hAnsi="Times New Roman" w:cs="Times New Roman"/>
          <w:sz w:val="24"/>
          <w:szCs w:val="24"/>
        </w:rPr>
        <w:t>of emissions reductions and sequestration outcomes.</w:t>
      </w:r>
    </w:p>
    <w:p w14:paraId="016023B3" w14:textId="1639582F" w:rsidR="0076059B" w:rsidRPr="002E269B" w:rsidRDefault="00DA27F2"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16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Variations to project areas </w:t>
      </w:r>
    </w:p>
    <w:p w14:paraId="1A2ABF5E" w14:textId="4B333CA0" w:rsidR="007F1DCC" w:rsidRDefault="008C7964" w:rsidP="008103FF">
      <w:pPr>
        <w:spacing w:after="160" w:line="276" w:lineRule="auto"/>
        <w:rPr>
          <w:rFonts w:ascii="Times New Roman" w:eastAsia="Times New Roman" w:hAnsi="Times New Roman" w:cs="Times New Roman"/>
          <w:color w:val="000000" w:themeColor="text1"/>
          <w:sz w:val="24"/>
          <w:szCs w:val="24"/>
          <w:lang w:eastAsia="en-AU"/>
        </w:rPr>
      </w:pPr>
      <w:r w:rsidRPr="33750E9F">
        <w:rPr>
          <w:rFonts w:ascii="Times New Roman" w:eastAsia="Times New Roman" w:hAnsi="Times New Roman" w:cs="Times New Roman"/>
          <w:color w:val="000000" w:themeColor="text1"/>
          <w:sz w:val="24"/>
          <w:szCs w:val="24"/>
          <w:lang w:eastAsia="en-AU"/>
        </w:rPr>
        <w:t>Subsection</w:t>
      </w:r>
      <w:r w:rsidR="00877F86" w:rsidRPr="33750E9F">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color w:val="000000" w:themeColor="text1"/>
          <w:sz w:val="24"/>
          <w:szCs w:val="24"/>
          <w:lang w:eastAsia="en-AU"/>
        </w:rPr>
        <w:t>16(1) defines circumstances</w:t>
      </w:r>
      <w:r w:rsidR="00CF4487">
        <w:rPr>
          <w:rFonts w:ascii="Times New Roman" w:eastAsia="Times New Roman" w:hAnsi="Times New Roman" w:cs="Times New Roman"/>
          <w:color w:val="000000" w:themeColor="text1"/>
          <w:sz w:val="24"/>
          <w:szCs w:val="24"/>
          <w:lang w:eastAsia="en-AU"/>
        </w:rPr>
        <w:t>,</w:t>
      </w:r>
      <w:r w:rsidRPr="33750E9F">
        <w:rPr>
          <w:rFonts w:ascii="Times New Roman" w:eastAsia="Times New Roman" w:hAnsi="Times New Roman" w:cs="Times New Roman"/>
          <w:color w:val="000000" w:themeColor="text1"/>
          <w:sz w:val="24"/>
          <w:szCs w:val="24"/>
          <w:lang w:eastAsia="en-AU"/>
        </w:rPr>
        <w:t xml:space="preserve"> after the start of the crediting period</w:t>
      </w:r>
      <w:r w:rsidR="00CF4487">
        <w:rPr>
          <w:rFonts w:ascii="Times New Roman" w:eastAsia="Times New Roman" w:hAnsi="Times New Roman" w:cs="Times New Roman"/>
          <w:color w:val="000000" w:themeColor="text1"/>
          <w:sz w:val="24"/>
          <w:szCs w:val="24"/>
          <w:lang w:eastAsia="en-AU"/>
        </w:rPr>
        <w:t>,</w:t>
      </w:r>
      <w:r w:rsidRPr="33750E9F">
        <w:rPr>
          <w:rFonts w:ascii="Times New Roman" w:eastAsia="Times New Roman" w:hAnsi="Times New Roman" w:cs="Times New Roman"/>
          <w:color w:val="000000" w:themeColor="text1"/>
          <w:sz w:val="24"/>
          <w:szCs w:val="24"/>
          <w:lang w:eastAsia="en-AU"/>
        </w:rPr>
        <w:t xml:space="preserve"> when a </w:t>
      </w:r>
      <w:r w:rsidR="00CE7B83">
        <w:rPr>
          <w:rFonts w:ascii="Times New Roman" w:eastAsia="Times New Roman" w:hAnsi="Times New Roman" w:cs="Times New Roman"/>
          <w:color w:val="000000" w:themeColor="text1"/>
          <w:sz w:val="24"/>
          <w:szCs w:val="24"/>
          <w:lang w:eastAsia="en-AU"/>
        </w:rPr>
        <w:t xml:space="preserve">savanna </w:t>
      </w:r>
      <w:r w:rsidRPr="33750E9F">
        <w:rPr>
          <w:rFonts w:ascii="Times New Roman" w:eastAsia="Times New Roman" w:hAnsi="Times New Roman" w:cs="Times New Roman"/>
          <w:color w:val="000000" w:themeColor="text1"/>
          <w:sz w:val="24"/>
          <w:szCs w:val="24"/>
          <w:lang w:eastAsia="en-AU"/>
        </w:rPr>
        <w:t xml:space="preserve">sequestration project can make variations to its project areas. </w:t>
      </w:r>
      <w:r w:rsidRPr="00890C27">
        <w:rPr>
          <w:rFonts w:ascii="Times New Roman" w:eastAsia="Times New Roman" w:hAnsi="Times New Roman" w:cs="Times New Roman"/>
          <w:color w:val="000000" w:themeColor="text1"/>
          <w:sz w:val="24"/>
          <w:szCs w:val="24"/>
          <w:lang w:eastAsia="en-AU"/>
        </w:rPr>
        <w:t xml:space="preserve">The </w:t>
      </w:r>
      <w:r w:rsidR="00720C03">
        <w:rPr>
          <w:rFonts w:ascii="Times New Roman" w:eastAsia="Times New Roman" w:hAnsi="Times New Roman" w:cs="Times New Roman"/>
          <w:color w:val="000000" w:themeColor="text1"/>
          <w:sz w:val="24"/>
          <w:szCs w:val="24"/>
          <w:lang w:eastAsia="en-AU"/>
        </w:rPr>
        <w:t>project</w:t>
      </w:r>
      <w:r w:rsidRPr="33750E9F">
        <w:rPr>
          <w:rFonts w:ascii="Times New Roman" w:eastAsia="Times New Roman" w:hAnsi="Times New Roman" w:cs="Times New Roman"/>
          <w:color w:val="000000" w:themeColor="text1"/>
          <w:sz w:val="24"/>
          <w:szCs w:val="24"/>
          <w:lang w:eastAsia="en-AU"/>
        </w:rPr>
        <w:t xml:space="preserve"> proponent can apply to vary a project area by applying for a variation to the project’s section 27 declaration, </w:t>
      </w:r>
      <w:r w:rsidR="004D0F75">
        <w:rPr>
          <w:rFonts w:ascii="Times New Roman" w:eastAsia="Times New Roman" w:hAnsi="Times New Roman" w:cs="Times New Roman"/>
          <w:color w:val="000000" w:themeColor="text1"/>
          <w:sz w:val="24"/>
          <w:szCs w:val="24"/>
          <w:lang w:eastAsia="en-AU"/>
        </w:rPr>
        <w:t>provided</w:t>
      </w:r>
      <w:r w:rsidRPr="00890C27" w:rsidDel="00720C03">
        <w:rPr>
          <w:rFonts w:ascii="Times New Roman" w:eastAsia="Times New Roman" w:hAnsi="Times New Roman" w:cs="Times New Roman"/>
          <w:color w:val="000000" w:themeColor="text1"/>
          <w:sz w:val="24"/>
          <w:szCs w:val="24"/>
          <w:lang w:eastAsia="en-AU"/>
        </w:rPr>
        <w:t xml:space="preserve"> </w:t>
      </w:r>
      <w:r w:rsidRPr="33750E9F">
        <w:rPr>
          <w:rFonts w:ascii="Times New Roman" w:eastAsia="Times New Roman" w:hAnsi="Times New Roman" w:cs="Times New Roman"/>
          <w:color w:val="000000" w:themeColor="text1"/>
          <w:sz w:val="24"/>
          <w:szCs w:val="24"/>
          <w:lang w:eastAsia="en-AU"/>
        </w:rPr>
        <w:t>the variation is (a) to add a</w:t>
      </w:r>
      <w:r w:rsidR="00631340" w:rsidRPr="33750E9F">
        <w:rPr>
          <w:rFonts w:ascii="Times New Roman" w:eastAsia="Times New Roman" w:hAnsi="Times New Roman" w:cs="Times New Roman"/>
          <w:color w:val="000000" w:themeColor="text1"/>
          <w:sz w:val="24"/>
          <w:szCs w:val="24"/>
          <w:lang w:eastAsia="en-AU"/>
        </w:rPr>
        <w:t>n</w:t>
      </w:r>
      <w:r w:rsidRPr="33750E9F">
        <w:rPr>
          <w:rFonts w:ascii="Times New Roman" w:eastAsia="Times New Roman" w:hAnsi="Times New Roman" w:cs="Times New Roman"/>
          <w:color w:val="000000" w:themeColor="text1"/>
          <w:sz w:val="24"/>
          <w:szCs w:val="24"/>
          <w:lang w:eastAsia="en-AU"/>
        </w:rPr>
        <w:t xml:space="preserve"> </w:t>
      </w:r>
      <w:r w:rsidR="0061568E" w:rsidRPr="33750E9F">
        <w:rPr>
          <w:rFonts w:ascii="Times New Roman" w:eastAsia="Times New Roman" w:hAnsi="Times New Roman" w:cs="Times New Roman"/>
          <w:color w:val="000000" w:themeColor="text1"/>
          <w:sz w:val="24"/>
          <w:szCs w:val="24"/>
          <w:lang w:eastAsia="en-AU"/>
        </w:rPr>
        <w:t>additional</w:t>
      </w:r>
      <w:r w:rsidRPr="33750E9F">
        <w:rPr>
          <w:rFonts w:ascii="Times New Roman" w:eastAsia="Times New Roman" w:hAnsi="Times New Roman" w:cs="Times New Roman"/>
          <w:color w:val="000000" w:themeColor="text1"/>
          <w:sz w:val="24"/>
          <w:szCs w:val="24"/>
          <w:lang w:eastAsia="en-AU"/>
        </w:rPr>
        <w:t xml:space="preserve"> project area, (b) to subdivide a project area into two or more subdivided project areas and</w:t>
      </w:r>
      <w:r w:rsidR="007F1DCC">
        <w:rPr>
          <w:rFonts w:ascii="Times New Roman" w:eastAsia="Times New Roman" w:hAnsi="Times New Roman" w:cs="Times New Roman"/>
          <w:color w:val="000000" w:themeColor="text1"/>
          <w:sz w:val="24"/>
          <w:szCs w:val="24"/>
          <w:lang w:eastAsia="en-AU"/>
        </w:rPr>
        <w:t>/or</w:t>
      </w:r>
      <w:r w:rsidRPr="33750E9F">
        <w:rPr>
          <w:rFonts w:ascii="Times New Roman" w:eastAsia="Times New Roman" w:hAnsi="Times New Roman" w:cs="Times New Roman"/>
          <w:color w:val="000000" w:themeColor="text1"/>
          <w:sz w:val="24"/>
          <w:szCs w:val="24"/>
          <w:lang w:eastAsia="en-AU"/>
        </w:rPr>
        <w:t xml:space="preserve"> (c) to remove an entire project area and not replace it. </w:t>
      </w:r>
    </w:p>
    <w:p w14:paraId="10B0A336" w14:textId="3BD5C4C0" w:rsidR="008C7964" w:rsidRPr="00D034B5" w:rsidRDefault="008C7964" w:rsidP="008103FF">
      <w:pPr>
        <w:spacing w:after="160" w:line="276" w:lineRule="auto"/>
        <w:rPr>
          <w:rFonts w:ascii="Times New Roman" w:eastAsia="Times New Roman" w:hAnsi="Times New Roman" w:cs="Times New Roman"/>
          <w:lang w:eastAsia="en-AU"/>
        </w:rPr>
      </w:pPr>
      <w:r w:rsidRPr="00890C27">
        <w:rPr>
          <w:rFonts w:ascii="Times New Roman" w:eastAsia="Times New Roman" w:hAnsi="Times New Roman" w:cs="Times New Roman"/>
          <w:color w:val="000000" w:themeColor="text1"/>
          <w:sz w:val="24"/>
          <w:szCs w:val="24"/>
          <w:lang w:eastAsia="en-AU"/>
        </w:rPr>
        <w:lastRenderedPageBreak/>
        <w:t xml:space="preserve">A note </w:t>
      </w:r>
      <w:r w:rsidR="007F1DCC">
        <w:rPr>
          <w:rFonts w:ascii="Times New Roman" w:eastAsia="Times New Roman" w:hAnsi="Times New Roman" w:cs="Times New Roman"/>
          <w:color w:val="000000" w:themeColor="text1"/>
          <w:sz w:val="24"/>
          <w:szCs w:val="24"/>
          <w:lang w:eastAsia="en-AU"/>
        </w:rPr>
        <w:t>to subsection 16(1)</w:t>
      </w:r>
      <w:r w:rsidRPr="33750E9F">
        <w:rPr>
          <w:rFonts w:ascii="Times New Roman" w:eastAsia="Times New Roman" w:hAnsi="Times New Roman" w:cs="Times New Roman"/>
          <w:color w:val="000000" w:themeColor="text1"/>
          <w:sz w:val="24"/>
          <w:szCs w:val="24"/>
          <w:lang w:eastAsia="en-AU"/>
        </w:rPr>
        <w:t xml:space="preserve"> explains that project areas cannot be increased in size through applying for a variation to a section 27 declaration. Instead</w:t>
      </w:r>
      <w:r w:rsidR="007F1DCC" w:rsidRPr="00890C27">
        <w:rPr>
          <w:rFonts w:ascii="Times New Roman" w:eastAsia="Times New Roman" w:hAnsi="Times New Roman" w:cs="Times New Roman"/>
          <w:color w:val="000000" w:themeColor="text1"/>
          <w:sz w:val="24"/>
          <w:szCs w:val="24"/>
          <w:lang w:eastAsia="en-AU"/>
        </w:rPr>
        <w:t>,</w:t>
      </w:r>
      <w:r w:rsidRPr="00890C27" w:rsidDel="007F1DCC">
        <w:rPr>
          <w:rFonts w:ascii="Times New Roman" w:eastAsia="Times New Roman" w:hAnsi="Times New Roman" w:cs="Times New Roman"/>
          <w:color w:val="000000" w:themeColor="text1"/>
          <w:sz w:val="24"/>
          <w:szCs w:val="24"/>
          <w:lang w:eastAsia="en-AU"/>
        </w:rPr>
        <w:t xml:space="preserve"> </w:t>
      </w:r>
      <w:r w:rsidR="007F1DCC">
        <w:rPr>
          <w:rFonts w:ascii="Times New Roman" w:eastAsia="Times New Roman" w:hAnsi="Times New Roman" w:cs="Times New Roman"/>
          <w:color w:val="000000" w:themeColor="text1"/>
          <w:sz w:val="24"/>
          <w:szCs w:val="24"/>
          <w:lang w:eastAsia="en-AU"/>
        </w:rPr>
        <w:t>an</w:t>
      </w:r>
      <w:r w:rsidRPr="33750E9F">
        <w:rPr>
          <w:rFonts w:ascii="Times New Roman" w:eastAsia="Times New Roman" w:hAnsi="Times New Roman" w:cs="Times New Roman"/>
          <w:color w:val="000000" w:themeColor="text1"/>
          <w:sz w:val="24"/>
          <w:szCs w:val="24"/>
          <w:lang w:eastAsia="en-AU"/>
        </w:rPr>
        <w:t xml:space="preserve"> additional area can be added as a new project area through such a variation.</w:t>
      </w:r>
    </w:p>
    <w:p w14:paraId="5DA4E425" w14:textId="3D936F12" w:rsidR="006814A8" w:rsidRPr="00D034B5" w:rsidRDefault="008C7964" w:rsidP="008103FF">
      <w:pPr>
        <w:spacing w:after="160" w:line="276" w:lineRule="auto"/>
        <w:rPr>
          <w:rFonts w:ascii="Times New Roman" w:eastAsia="Times New Roman" w:hAnsi="Times New Roman" w:cs="Times New Roman"/>
          <w:lang w:eastAsia="en-AU"/>
        </w:rPr>
      </w:pPr>
      <w:r w:rsidRPr="33750E9F">
        <w:rPr>
          <w:rFonts w:ascii="Times New Roman" w:eastAsia="Times New Roman" w:hAnsi="Times New Roman" w:cs="Times New Roman"/>
          <w:color w:val="000000" w:themeColor="text1"/>
          <w:sz w:val="24"/>
          <w:szCs w:val="24"/>
          <w:lang w:eastAsia="en-AU"/>
        </w:rPr>
        <w:t>Subsection 1</w:t>
      </w:r>
      <w:r w:rsidR="00FE0B65" w:rsidRPr="33750E9F">
        <w:rPr>
          <w:rFonts w:ascii="Times New Roman" w:eastAsia="Times New Roman" w:hAnsi="Times New Roman" w:cs="Times New Roman"/>
          <w:color w:val="000000" w:themeColor="text1"/>
          <w:sz w:val="24"/>
          <w:szCs w:val="24"/>
          <w:lang w:eastAsia="en-AU"/>
        </w:rPr>
        <w:t>6</w:t>
      </w:r>
      <w:r w:rsidRPr="33750E9F">
        <w:rPr>
          <w:rFonts w:ascii="Times New Roman" w:eastAsia="Times New Roman" w:hAnsi="Times New Roman" w:cs="Times New Roman"/>
          <w:color w:val="000000" w:themeColor="text1"/>
          <w:sz w:val="24"/>
          <w:szCs w:val="24"/>
          <w:lang w:eastAsia="en-AU"/>
        </w:rPr>
        <w:t xml:space="preserve">(2) </w:t>
      </w:r>
      <w:r w:rsidR="00DC1084" w:rsidRPr="33750E9F">
        <w:rPr>
          <w:rFonts w:ascii="Times New Roman" w:eastAsia="Times New Roman" w:hAnsi="Times New Roman" w:cs="Times New Roman"/>
          <w:color w:val="000000" w:themeColor="text1"/>
          <w:sz w:val="24"/>
          <w:szCs w:val="24"/>
          <w:lang w:eastAsia="en-AU"/>
        </w:rPr>
        <w:t>states</w:t>
      </w:r>
      <w:r w:rsidR="00706767">
        <w:rPr>
          <w:rFonts w:ascii="Times New Roman" w:eastAsia="Times New Roman" w:hAnsi="Times New Roman" w:cs="Times New Roman"/>
          <w:color w:val="000000" w:themeColor="text1"/>
          <w:sz w:val="24"/>
          <w:szCs w:val="24"/>
          <w:lang w:eastAsia="en-AU"/>
        </w:rPr>
        <w:t xml:space="preserve">, for the purposes of the </w:t>
      </w:r>
      <w:r w:rsidR="004D74F5">
        <w:rPr>
          <w:rFonts w:ascii="Times New Roman" w:eastAsia="Times New Roman" w:hAnsi="Times New Roman" w:cs="Times New Roman"/>
          <w:color w:val="000000" w:themeColor="text1"/>
          <w:sz w:val="24"/>
          <w:szCs w:val="24"/>
          <w:lang w:eastAsia="en-AU"/>
        </w:rPr>
        <w:t>determination</w:t>
      </w:r>
      <w:r w:rsidR="00095858">
        <w:rPr>
          <w:rFonts w:ascii="Times New Roman" w:eastAsia="Times New Roman" w:hAnsi="Times New Roman" w:cs="Times New Roman"/>
          <w:color w:val="000000" w:themeColor="text1"/>
          <w:sz w:val="24"/>
          <w:szCs w:val="24"/>
          <w:lang w:eastAsia="en-AU"/>
        </w:rPr>
        <w:t xml:space="preserve">, if a </w:t>
      </w:r>
      <w:r w:rsidR="00095858" w:rsidRPr="00D034B5">
        <w:rPr>
          <w:rFonts w:ascii="Times New Roman" w:eastAsia="Times New Roman" w:hAnsi="Times New Roman" w:cs="Times New Roman"/>
          <w:b/>
          <w:i/>
          <w:color w:val="000000" w:themeColor="text1"/>
          <w:sz w:val="24"/>
          <w:szCs w:val="24"/>
          <w:lang w:eastAsia="en-AU"/>
        </w:rPr>
        <w:t>project area</w:t>
      </w:r>
      <w:r w:rsidR="00095858">
        <w:rPr>
          <w:rFonts w:ascii="Times New Roman" w:eastAsia="Times New Roman" w:hAnsi="Times New Roman" w:cs="Times New Roman"/>
          <w:color w:val="000000" w:themeColor="text1"/>
          <w:sz w:val="24"/>
          <w:szCs w:val="24"/>
          <w:lang w:eastAsia="en-AU"/>
        </w:rPr>
        <w:t xml:space="preserve"> is divided into two or more smaller project areas</w:t>
      </w:r>
      <w:r w:rsidR="00E4659A">
        <w:rPr>
          <w:rFonts w:ascii="Times New Roman" w:eastAsia="Times New Roman" w:hAnsi="Times New Roman" w:cs="Times New Roman"/>
          <w:color w:val="000000" w:themeColor="text1"/>
          <w:sz w:val="24"/>
          <w:szCs w:val="24"/>
          <w:lang w:eastAsia="en-AU"/>
        </w:rPr>
        <w:t xml:space="preserve"> and </w:t>
      </w:r>
      <w:r w:rsidR="00E4659A" w:rsidRPr="00890C27">
        <w:rPr>
          <w:rFonts w:ascii="Times New Roman" w:eastAsia="Times New Roman" w:hAnsi="Times New Roman" w:cs="Times New Roman"/>
          <w:color w:val="000000" w:themeColor="text1"/>
          <w:sz w:val="24"/>
          <w:szCs w:val="24"/>
          <w:lang w:eastAsia="en-AU"/>
        </w:rPr>
        <w:t>the areas of land covered by all the subdivided project areas is identical to the area of land covered by the original project area</w:t>
      </w:r>
      <w:r w:rsidR="00E4659A">
        <w:rPr>
          <w:rFonts w:ascii="Times New Roman" w:eastAsia="Times New Roman" w:hAnsi="Times New Roman" w:cs="Times New Roman"/>
          <w:color w:val="000000" w:themeColor="text1"/>
          <w:sz w:val="24"/>
          <w:szCs w:val="24"/>
          <w:lang w:eastAsia="en-AU"/>
        </w:rPr>
        <w:t xml:space="preserve">, each smaller project area </w:t>
      </w:r>
      <w:proofErr w:type="gramStart"/>
      <w:r w:rsidR="00E4659A">
        <w:rPr>
          <w:rFonts w:ascii="Times New Roman" w:eastAsia="Times New Roman" w:hAnsi="Times New Roman" w:cs="Times New Roman"/>
          <w:color w:val="000000" w:themeColor="text1"/>
          <w:sz w:val="24"/>
          <w:szCs w:val="24"/>
          <w:lang w:eastAsia="en-AU"/>
        </w:rPr>
        <w:t>is considered to be</w:t>
      </w:r>
      <w:proofErr w:type="gramEnd"/>
      <w:r w:rsidR="00E4659A">
        <w:rPr>
          <w:rFonts w:ascii="Times New Roman" w:eastAsia="Times New Roman" w:hAnsi="Times New Roman" w:cs="Times New Roman"/>
          <w:color w:val="000000" w:themeColor="text1"/>
          <w:sz w:val="24"/>
          <w:szCs w:val="24"/>
          <w:lang w:eastAsia="en-AU"/>
        </w:rPr>
        <w:t xml:space="preserve"> a </w:t>
      </w:r>
      <w:r w:rsidR="00E4659A" w:rsidRPr="00D034B5">
        <w:rPr>
          <w:rFonts w:ascii="Times New Roman" w:eastAsia="Times New Roman" w:hAnsi="Times New Roman" w:cs="Times New Roman"/>
          <w:b/>
          <w:i/>
          <w:color w:val="000000" w:themeColor="text1"/>
          <w:sz w:val="24"/>
          <w:szCs w:val="24"/>
          <w:lang w:eastAsia="en-AU"/>
        </w:rPr>
        <w:t>subdivided project area</w:t>
      </w:r>
      <w:r w:rsidR="00E4659A">
        <w:rPr>
          <w:rFonts w:ascii="Times New Roman" w:eastAsia="Times New Roman" w:hAnsi="Times New Roman" w:cs="Times New Roman"/>
          <w:color w:val="000000" w:themeColor="text1"/>
          <w:sz w:val="24"/>
          <w:szCs w:val="24"/>
          <w:lang w:eastAsia="en-AU"/>
        </w:rPr>
        <w:t>.</w:t>
      </w:r>
    </w:p>
    <w:p w14:paraId="7FC9A585" w14:textId="77777777" w:rsidR="0076059B" w:rsidRPr="00D034B5" w:rsidRDefault="0076059B" w:rsidP="008103FF">
      <w:pPr>
        <w:spacing w:after="160" w:line="276" w:lineRule="auto"/>
        <w:rPr>
          <w:rFonts w:ascii="Times New Roman" w:hAnsi="Times New Roman" w:cs="Times New Roman"/>
          <w:b/>
          <w:sz w:val="24"/>
          <w:szCs w:val="24"/>
        </w:rPr>
      </w:pPr>
      <w:r w:rsidRPr="00D034B5">
        <w:rPr>
          <w:rFonts w:ascii="Times New Roman" w:hAnsi="Times New Roman" w:cs="Times New Roman"/>
          <w:b/>
          <w:sz w:val="24"/>
          <w:szCs w:val="24"/>
        </w:rPr>
        <w:t xml:space="preserve">Division 3—Project activity </w:t>
      </w:r>
    </w:p>
    <w:p w14:paraId="25F6C0DD" w14:textId="320845D7" w:rsidR="0076059B" w:rsidRPr="002E269B" w:rsidRDefault="00DA27F2"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17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to undertake savanna fire management </w:t>
      </w:r>
    </w:p>
    <w:p w14:paraId="55281EE1" w14:textId="77777777" w:rsidR="00243284" w:rsidRPr="00890C27" w:rsidRDefault="00243284" w:rsidP="008103FF">
      <w:pPr>
        <w:keepNext/>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Subsection 17(1) provides that the project proponent must undertake planned burning in each project area in each calendar year. Annual planned burning using cooler, small early dry season fires, if done strategically, will reduce the number and size of large, high intensity late dry season fires. This will result in a reduction of greenhouse gas emissions and an increase in stored carbon. The risk of annual late dry season fires remains high in the absence of strategic annual fire management in the early dry season. Breaking up the fuel load across the landscape reduces the rate of spread of late dry season fires, resulting in fewer and smaller late dry season fires.</w:t>
      </w:r>
    </w:p>
    <w:p w14:paraId="7F357AF2" w14:textId="1B5FCA51" w:rsidR="00243284" w:rsidRPr="00890C27" w:rsidRDefault="00243284"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Planned </w:t>
      </w:r>
      <w:proofErr w:type="gramStart"/>
      <w:r w:rsidRPr="00890C27">
        <w:rPr>
          <w:rFonts w:ascii="Times New Roman" w:hAnsi="Times New Roman" w:cs="Times New Roman"/>
          <w:color w:val="000000" w:themeColor="text1"/>
          <w:sz w:val="24"/>
          <w:szCs w:val="24"/>
        </w:rPr>
        <w:t>burning</w:t>
      </w:r>
      <w:proofErr w:type="gramEnd"/>
      <w:r w:rsidRPr="00890C27">
        <w:rPr>
          <w:rFonts w:ascii="Times New Roman" w:hAnsi="Times New Roman" w:cs="Times New Roman"/>
          <w:color w:val="000000" w:themeColor="text1"/>
          <w:sz w:val="24"/>
          <w:szCs w:val="24"/>
        </w:rPr>
        <w:t xml:space="preserve"> that occurs predominantly in the early dry season that produces an age-class mosaic of burnt and unburnt patches across the landscape </w:t>
      </w:r>
      <w:r w:rsidRPr="00890C27">
        <w:rPr>
          <w:rFonts w:ascii="Times New Roman" w:hAnsi="Times New Roman" w:cs="Times New Roman"/>
          <w:sz w:val="24"/>
          <w:szCs w:val="24"/>
        </w:rPr>
        <w:t>creat</w:t>
      </w:r>
      <w:r w:rsidR="00706445" w:rsidRPr="00890C27">
        <w:rPr>
          <w:rFonts w:ascii="Times New Roman" w:hAnsi="Times New Roman" w:cs="Times New Roman"/>
          <w:sz w:val="24"/>
          <w:szCs w:val="24"/>
        </w:rPr>
        <w:t>es</w:t>
      </w:r>
      <w:r w:rsidRPr="00890C27">
        <w:rPr>
          <w:rFonts w:ascii="Times New Roman" w:hAnsi="Times New Roman" w:cs="Times New Roman"/>
          <w:sz w:val="24"/>
          <w:szCs w:val="24"/>
        </w:rPr>
        <w:t xml:space="preserve"> a discontinuous fuel load that slows or stops the spread of fires across the project area. Mosaic burning reduces the risk of occurrence and extent of late dry season fires, resulting in an increase in carbon sequestered in living biomass and dead organic matter and a reduction in greenhouse gas emissions.</w:t>
      </w:r>
      <w:r w:rsidRPr="00890C27">
        <w:rPr>
          <w:rFonts w:ascii="Times New Roman" w:hAnsi="Times New Roman" w:cs="Times New Roman"/>
          <w:b/>
          <w:color w:val="000000" w:themeColor="text1"/>
          <w:sz w:val="24"/>
          <w:szCs w:val="24"/>
        </w:rPr>
        <w:t xml:space="preserve"> </w:t>
      </w:r>
    </w:p>
    <w:p w14:paraId="41BA949E" w14:textId="16C1EA6C" w:rsidR="00243284" w:rsidRPr="00890C27" w:rsidRDefault="00243284" w:rsidP="008103FF">
      <w:pPr>
        <w:spacing w:after="160" w:line="276" w:lineRule="auto"/>
        <w:rPr>
          <w:rFonts w:ascii="Times New Roman" w:hAnsi="Times New Roman" w:cs="Times New Roman"/>
          <w:color w:val="000000" w:themeColor="text1"/>
          <w:sz w:val="24"/>
          <w:szCs w:val="24"/>
        </w:rPr>
      </w:pPr>
      <w:r w:rsidRPr="0FC89A62">
        <w:rPr>
          <w:rFonts w:ascii="Times New Roman" w:hAnsi="Times New Roman" w:cs="Times New Roman"/>
          <w:color w:val="000000" w:themeColor="text1"/>
          <w:sz w:val="24"/>
          <w:szCs w:val="24"/>
        </w:rPr>
        <w:t xml:space="preserve">Planned </w:t>
      </w:r>
      <w:proofErr w:type="gramStart"/>
      <w:r w:rsidRPr="0FC89A62">
        <w:rPr>
          <w:rFonts w:ascii="Times New Roman" w:hAnsi="Times New Roman" w:cs="Times New Roman"/>
          <w:color w:val="000000" w:themeColor="text1"/>
          <w:sz w:val="24"/>
          <w:szCs w:val="24"/>
        </w:rPr>
        <w:t>burning</w:t>
      </w:r>
      <w:proofErr w:type="gramEnd"/>
      <w:r w:rsidRPr="0FC89A62">
        <w:rPr>
          <w:rFonts w:ascii="Times New Roman" w:hAnsi="Times New Roman" w:cs="Times New Roman"/>
          <w:color w:val="000000" w:themeColor="text1"/>
          <w:sz w:val="24"/>
          <w:szCs w:val="24"/>
        </w:rPr>
        <w:t xml:space="preserve"> in the late dry season is permitted as this may include the use of fire to control unplanned fire activity, such as the burning of containment lines. The aim of these containment lines is to reduce the spread of unplanned fire, reducing the overall area burnt during the late dry season. Fire suppression activities are also permitted and proposed suppression approaches could be included in a project management plan.</w:t>
      </w:r>
    </w:p>
    <w:p w14:paraId="2DE4513C" w14:textId="2B575971" w:rsidR="00243284" w:rsidRPr="00890C27" w:rsidRDefault="00243284"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Subject to meeting the requirement of subsection 17(2), 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 xml:space="preserve"> does not prescribe a particular type or amount of planned burning, </w:t>
      </w:r>
      <w:r w:rsidR="00E1591D" w:rsidRPr="00890C27">
        <w:rPr>
          <w:rFonts w:ascii="Times New Roman" w:hAnsi="Times New Roman" w:cs="Times New Roman"/>
          <w:sz w:val="24"/>
          <w:szCs w:val="24"/>
        </w:rPr>
        <w:t>enabling</w:t>
      </w:r>
      <w:r w:rsidRPr="00890C27">
        <w:rPr>
          <w:rFonts w:ascii="Times New Roman" w:hAnsi="Times New Roman" w:cs="Times New Roman"/>
          <w:sz w:val="24"/>
          <w:szCs w:val="24"/>
        </w:rPr>
        <w:t xml:space="preserve"> project proponents </w:t>
      </w:r>
      <w:r w:rsidR="00291D2B" w:rsidRPr="00890C27">
        <w:rPr>
          <w:rFonts w:ascii="Times New Roman" w:hAnsi="Times New Roman" w:cs="Times New Roman"/>
          <w:sz w:val="24"/>
          <w:szCs w:val="24"/>
        </w:rPr>
        <w:t>some</w:t>
      </w:r>
      <w:r w:rsidRPr="00890C27">
        <w:rPr>
          <w:rFonts w:ascii="Times New Roman" w:hAnsi="Times New Roman" w:cs="Times New Roman"/>
          <w:sz w:val="24"/>
          <w:szCs w:val="24"/>
        </w:rPr>
        <w:t xml:space="preserve"> flexibility as to how they conduct their savanna sequestration projects. The planned burning must meet the objectives of savanna fire management described in subsection 10. </w:t>
      </w:r>
      <w:r w:rsidRPr="00890C27">
        <w:rPr>
          <w:rFonts w:ascii="Times New Roman" w:hAnsi="Times New Roman" w:cs="Times New Roman"/>
          <w:color w:val="000000" w:themeColor="text1"/>
          <w:sz w:val="24"/>
          <w:szCs w:val="24"/>
        </w:rPr>
        <w:t xml:space="preserve">The objectives set out in section 10 of the </w:t>
      </w:r>
      <w:r w:rsidR="004D74F5">
        <w:rPr>
          <w:rFonts w:ascii="Times New Roman" w:hAnsi="Times New Roman" w:cs="Times New Roman"/>
          <w:color w:val="000000" w:themeColor="text1"/>
          <w:sz w:val="24"/>
          <w:szCs w:val="24"/>
        </w:rPr>
        <w:t>determination</w:t>
      </w:r>
      <w:r w:rsidRPr="00890C27">
        <w:rPr>
          <w:rFonts w:ascii="Times New Roman" w:hAnsi="Times New Roman" w:cs="Times New Roman"/>
          <w:color w:val="000000" w:themeColor="text1"/>
          <w:sz w:val="24"/>
          <w:szCs w:val="24"/>
        </w:rPr>
        <w:t xml:space="preserve"> are most easily achieved if the fire management results in an increase in fire activity in the early dry season and a decrease in fire activity in the late dry season. In most circumstances, this will result in a reduction in the overall fire frequency in the project area and a reduction in the total area burnt in the project area.</w:t>
      </w:r>
    </w:p>
    <w:p w14:paraId="2B0D2A7D" w14:textId="3D36BD79" w:rsidR="00243284" w:rsidRPr="00890C27" w:rsidRDefault="00243284"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Subsection 17(2) provides that the planned burning undertaken during the permanence period, must ensure the pattern of past, present and future planned and unplanned burning for the remainder of the permanence obligation period in each project area will be expected to meet the objectives referred to in paragraph10(1)(a) (see paragraph (2)(d)). These objectives </w:t>
      </w:r>
      <w:r w:rsidRPr="165183F2">
        <w:rPr>
          <w:rFonts w:ascii="Times New Roman" w:hAnsi="Times New Roman" w:cs="Times New Roman"/>
          <w:sz w:val="24"/>
          <w:szCs w:val="24"/>
        </w:rPr>
        <w:lastRenderedPageBreak/>
        <w:t xml:space="preserve">are to reduce emissions of greenhouse gases and increase </w:t>
      </w:r>
      <w:r w:rsidR="00A018AF" w:rsidRPr="165183F2">
        <w:rPr>
          <w:rFonts w:ascii="Times New Roman" w:hAnsi="Times New Roman" w:cs="Times New Roman"/>
          <w:sz w:val="24"/>
          <w:szCs w:val="24"/>
        </w:rPr>
        <w:t xml:space="preserve">or maintain </w:t>
      </w:r>
      <w:r w:rsidRPr="165183F2">
        <w:rPr>
          <w:rFonts w:ascii="Times New Roman" w:hAnsi="Times New Roman" w:cs="Times New Roman"/>
          <w:sz w:val="24"/>
          <w:szCs w:val="24"/>
        </w:rPr>
        <w:t xml:space="preserve">stores of carbon in dead organic matter. </w:t>
      </w:r>
    </w:p>
    <w:p w14:paraId="3323C006" w14:textId="677DA3EA" w:rsidR="00243284" w:rsidRPr="00890C27" w:rsidRDefault="00243284"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pattern of burning must reasonably be expected to ensure the amount of carbon sequestered in the project area </w:t>
      </w:r>
      <w:proofErr w:type="gramStart"/>
      <w:r w:rsidRPr="00890C27">
        <w:rPr>
          <w:rFonts w:ascii="Times New Roman" w:hAnsi="Times New Roman" w:cs="Times New Roman"/>
          <w:sz w:val="24"/>
          <w:szCs w:val="24"/>
        </w:rPr>
        <w:t>as a result of</w:t>
      </w:r>
      <w:proofErr w:type="gramEnd"/>
      <w:r w:rsidRPr="00890C27">
        <w:rPr>
          <w:rFonts w:ascii="Times New Roman" w:hAnsi="Times New Roman" w:cs="Times New Roman"/>
          <w:sz w:val="24"/>
          <w:szCs w:val="24"/>
        </w:rPr>
        <w:t xml:space="preserve"> the project does not decrease significantly over the permanence obligation period (paragraph 2(e)). </w:t>
      </w:r>
      <w:r w:rsidR="007B488E" w:rsidRPr="00890C27">
        <w:rPr>
          <w:rFonts w:ascii="Times New Roman" w:hAnsi="Times New Roman" w:cs="Times New Roman"/>
          <w:sz w:val="24"/>
          <w:szCs w:val="24"/>
        </w:rPr>
        <w:t xml:space="preserve">A significant decrease </w:t>
      </w:r>
      <w:r w:rsidR="00227AFC" w:rsidRPr="00890C27">
        <w:rPr>
          <w:rFonts w:ascii="Times New Roman" w:hAnsi="Times New Roman" w:cs="Times New Roman"/>
          <w:sz w:val="24"/>
          <w:szCs w:val="24"/>
        </w:rPr>
        <w:t xml:space="preserve">goes above what would happen </w:t>
      </w:r>
      <w:r w:rsidR="00C12CC1" w:rsidRPr="00890C27">
        <w:rPr>
          <w:rFonts w:ascii="Times New Roman" w:hAnsi="Times New Roman" w:cs="Times New Roman"/>
          <w:sz w:val="24"/>
          <w:szCs w:val="24"/>
        </w:rPr>
        <w:t>due to</w:t>
      </w:r>
      <w:r w:rsidR="00227AFC" w:rsidRPr="00890C27">
        <w:rPr>
          <w:rFonts w:ascii="Times New Roman" w:hAnsi="Times New Roman" w:cs="Times New Roman"/>
          <w:sz w:val="24"/>
          <w:szCs w:val="24"/>
        </w:rPr>
        <w:t xml:space="preserve"> reasonable variations in </w:t>
      </w:r>
      <w:r w:rsidR="00B705BB" w:rsidRPr="00890C27">
        <w:rPr>
          <w:rFonts w:ascii="Times New Roman" w:hAnsi="Times New Roman" w:cs="Times New Roman"/>
          <w:sz w:val="24"/>
          <w:szCs w:val="24"/>
        </w:rPr>
        <w:t>climate and</w:t>
      </w:r>
      <w:r w:rsidR="00DE41DF" w:rsidRPr="00890C27">
        <w:rPr>
          <w:rFonts w:ascii="Times New Roman" w:hAnsi="Times New Roman" w:cs="Times New Roman"/>
          <w:sz w:val="24"/>
          <w:szCs w:val="24"/>
        </w:rPr>
        <w:t xml:space="preserve"> should be mitigated through </w:t>
      </w:r>
      <w:r w:rsidR="00EF52F5" w:rsidRPr="00890C27">
        <w:rPr>
          <w:rFonts w:ascii="Times New Roman" w:hAnsi="Times New Roman" w:cs="Times New Roman"/>
          <w:sz w:val="24"/>
          <w:szCs w:val="24"/>
        </w:rPr>
        <w:t xml:space="preserve">permanence </w:t>
      </w:r>
      <w:r w:rsidR="00DE41DF" w:rsidRPr="00890C27">
        <w:rPr>
          <w:rFonts w:ascii="Times New Roman" w:hAnsi="Times New Roman" w:cs="Times New Roman"/>
          <w:sz w:val="24"/>
          <w:szCs w:val="24"/>
        </w:rPr>
        <w:t xml:space="preserve">obligations being </w:t>
      </w:r>
      <w:r w:rsidR="00EF52F5" w:rsidRPr="00890C27">
        <w:rPr>
          <w:rFonts w:ascii="Times New Roman" w:hAnsi="Times New Roman" w:cs="Times New Roman"/>
          <w:sz w:val="24"/>
          <w:szCs w:val="24"/>
        </w:rPr>
        <w:t>met.</w:t>
      </w:r>
    </w:p>
    <w:p w14:paraId="7D8A6C02" w14:textId="61003E24" w:rsidR="00170F02" w:rsidRPr="00890C27" w:rsidRDefault="00170F02"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Subsection 1</w:t>
      </w:r>
      <w:r w:rsidR="00903AE8" w:rsidRPr="00890C27">
        <w:rPr>
          <w:rFonts w:ascii="Times New Roman" w:hAnsi="Times New Roman" w:cs="Times New Roman"/>
          <w:sz w:val="24"/>
          <w:szCs w:val="24"/>
        </w:rPr>
        <w:t>7</w:t>
      </w:r>
      <w:r w:rsidRPr="00890C27">
        <w:rPr>
          <w:rFonts w:ascii="Times New Roman" w:hAnsi="Times New Roman" w:cs="Times New Roman"/>
          <w:sz w:val="24"/>
          <w:szCs w:val="24"/>
        </w:rPr>
        <w:t>(3) acknowledges that proponents may not be able to achieve the annual planned burning for a project area in a particular project year due to circumstances beyond their reasonable control. Provided the proponent can demonstrate</w:t>
      </w:r>
      <w:r w:rsidRPr="00890C27" w:rsidDel="00541AB3">
        <w:rPr>
          <w:rFonts w:ascii="Times New Roman" w:hAnsi="Times New Roman" w:cs="Times New Roman"/>
          <w:sz w:val="24"/>
          <w:szCs w:val="24"/>
        </w:rPr>
        <w:t xml:space="preserve"> </w:t>
      </w:r>
      <w:r w:rsidRPr="00890C27">
        <w:rPr>
          <w:rFonts w:ascii="Times New Roman" w:hAnsi="Times New Roman" w:cs="Times New Roman"/>
          <w:sz w:val="24"/>
          <w:szCs w:val="24"/>
        </w:rPr>
        <w:t>the failure to undertake planned burning in a particular year resulted from circumstances beyond their reasonable control, they have not contravened subsection 1</w:t>
      </w:r>
      <w:r w:rsidR="00903AE8" w:rsidRPr="00890C27">
        <w:rPr>
          <w:rFonts w:ascii="Times New Roman" w:hAnsi="Times New Roman" w:cs="Times New Roman"/>
          <w:sz w:val="24"/>
          <w:szCs w:val="24"/>
        </w:rPr>
        <w:t>7</w:t>
      </w:r>
      <w:r w:rsidRPr="00890C27">
        <w:rPr>
          <w:rFonts w:ascii="Times New Roman" w:hAnsi="Times New Roman" w:cs="Times New Roman"/>
          <w:sz w:val="24"/>
          <w:szCs w:val="24"/>
        </w:rPr>
        <w:t xml:space="preserve">(1). Under these circumstances, the proponent must provide the Regulator and an auditor a reasonable set of circumstances </w:t>
      </w:r>
      <w:r w:rsidR="00541AB3" w:rsidRPr="00890C27">
        <w:rPr>
          <w:rFonts w:ascii="Times New Roman" w:hAnsi="Times New Roman" w:cs="Times New Roman"/>
          <w:sz w:val="24"/>
          <w:szCs w:val="24"/>
        </w:rPr>
        <w:t>justifying</w:t>
      </w:r>
      <w:r w:rsidRPr="00890C27">
        <w:rPr>
          <w:rFonts w:ascii="Times New Roman" w:hAnsi="Times New Roman" w:cs="Times New Roman"/>
          <w:sz w:val="24"/>
          <w:szCs w:val="24"/>
        </w:rPr>
        <w:t xml:space="preserve"> why they were unable to undertake planned burning in accordance with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 xml:space="preserve">. </w:t>
      </w:r>
      <w:r w:rsidRPr="000E6E72">
        <w:rPr>
          <w:rFonts w:ascii="Times New Roman" w:hAnsi="Times New Roman" w:cs="Times New Roman"/>
          <w:sz w:val="24"/>
          <w:szCs w:val="24"/>
        </w:rPr>
        <w:t xml:space="preserve">The intention of this ‘reasonable control’ requirement is that the test would be the same as that applied under sections 82, 90 and 91 of the Act when determining whether </w:t>
      </w:r>
      <w:proofErr w:type="gramStart"/>
      <w:r w:rsidRPr="000E6E72">
        <w:rPr>
          <w:rFonts w:ascii="Times New Roman" w:hAnsi="Times New Roman" w:cs="Times New Roman"/>
          <w:sz w:val="24"/>
          <w:szCs w:val="24"/>
        </w:rPr>
        <w:t>particular conduct</w:t>
      </w:r>
      <w:proofErr w:type="gramEnd"/>
      <w:r w:rsidRPr="000E6E72">
        <w:rPr>
          <w:rFonts w:ascii="Times New Roman" w:hAnsi="Times New Roman" w:cs="Times New Roman"/>
          <w:sz w:val="24"/>
          <w:szCs w:val="24"/>
        </w:rPr>
        <w:t xml:space="preserve"> is within the reasonable control of the project proponent.</w:t>
      </w:r>
    </w:p>
    <w:p w14:paraId="425E9405" w14:textId="227EC541" w:rsidR="00243284" w:rsidRPr="00890C27" w:rsidRDefault="00243284"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There are </w:t>
      </w:r>
      <w:proofErr w:type="gramStart"/>
      <w:r w:rsidRPr="00890C27">
        <w:rPr>
          <w:rFonts w:ascii="Times New Roman" w:hAnsi="Times New Roman" w:cs="Times New Roman"/>
          <w:sz w:val="24"/>
          <w:szCs w:val="24"/>
        </w:rPr>
        <w:t>a number of</w:t>
      </w:r>
      <w:proofErr w:type="gramEnd"/>
      <w:r w:rsidRPr="00890C27">
        <w:rPr>
          <w:rFonts w:ascii="Times New Roman" w:hAnsi="Times New Roman" w:cs="Times New Roman"/>
          <w:sz w:val="24"/>
          <w:szCs w:val="24"/>
        </w:rPr>
        <w:t xml:space="preserve"> circumstances beyond the proponent’s reasonable control that could prevent th</w:t>
      </w:r>
      <w:r w:rsidR="007E3B0D" w:rsidRPr="00890C27">
        <w:rPr>
          <w:rFonts w:ascii="Times New Roman" w:hAnsi="Times New Roman" w:cs="Times New Roman"/>
          <w:sz w:val="24"/>
          <w:szCs w:val="24"/>
        </w:rPr>
        <w:t xml:space="preserve">em from </w:t>
      </w:r>
      <w:r w:rsidRPr="00890C27">
        <w:rPr>
          <w:rFonts w:ascii="Times New Roman" w:hAnsi="Times New Roman" w:cs="Times New Roman"/>
          <w:sz w:val="24"/>
          <w:szCs w:val="24"/>
        </w:rPr>
        <w:t>undertak</w:t>
      </w:r>
      <w:r w:rsidR="007E3B0D" w:rsidRPr="00890C27">
        <w:rPr>
          <w:rFonts w:ascii="Times New Roman" w:hAnsi="Times New Roman" w:cs="Times New Roman"/>
          <w:sz w:val="24"/>
          <w:szCs w:val="24"/>
        </w:rPr>
        <w:t>ing</w:t>
      </w:r>
      <w:r w:rsidRPr="00890C27">
        <w:rPr>
          <w:rFonts w:ascii="Times New Roman" w:hAnsi="Times New Roman" w:cs="Times New Roman"/>
          <w:sz w:val="24"/>
          <w:szCs w:val="24"/>
        </w:rPr>
        <w:t xml:space="preserve"> planned </w:t>
      </w:r>
      <w:proofErr w:type="gramStart"/>
      <w:r w:rsidRPr="00890C27">
        <w:rPr>
          <w:rFonts w:ascii="Times New Roman" w:hAnsi="Times New Roman" w:cs="Times New Roman"/>
          <w:sz w:val="24"/>
          <w:szCs w:val="24"/>
        </w:rPr>
        <w:t>burning</w:t>
      </w:r>
      <w:proofErr w:type="gramEnd"/>
      <w:r w:rsidRPr="00890C27">
        <w:rPr>
          <w:rFonts w:ascii="Times New Roman" w:hAnsi="Times New Roman" w:cs="Times New Roman"/>
          <w:sz w:val="24"/>
          <w:szCs w:val="24"/>
        </w:rPr>
        <w:t xml:space="preserve"> in a year</w:t>
      </w:r>
      <w:r w:rsidR="00880041" w:rsidRPr="00890C27">
        <w:rPr>
          <w:rFonts w:ascii="Times New Roman" w:hAnsi="Times New Roman" w:cs="Times New Roman"/>
          <w:sz w:val="24"/>
          <w:szCs w:val="24"/>
        </w:rPr>
        <w:t>, such as</w:t>
      </w:r>
      <w:r w:rsidRPr="00890C27">
        <w:rPr>
          <w:rFonts w:ascii="Times New Roman" w:hAnsi="Times New Roman" w:cs="Times New Roman"/>
          <w:sz w:val="24"/>
          <w:szCs w:val="24"/>
        </w:rPr>
        <w:t xml:space="preserve"> a late finish to the wet season that leaves vegetation too moist for planned </w:t>
      </w:r>
      <w:proofErr w:type="gramStart"/>
      <w:r w:rsidRPr="00890C27">
        <w:rPr>
          <w:rFonts w:ascii="Times New Roman" w:hAnsi="Times New Roman" w:cs="Times New Roman"/>
          <w:sz w:val="24"/>
          <w:szCs w:val="24"/>
        </w:rPr>
        <w:t>burning</w:t>
      </w:r>
      <w:proofErr w:type="gramEnd"/>
      <w:r w:rsidRPr="00890C27">
        <w:rPr>
          <w:rFonts w:ascii="Times New Roman" w:hAnsi="Times New Roman" w:cs="Times New Roman"/>
          <w:sz w:val="24"/>
          <w:szCs w:val="24"/>
        </w:rPr>
        <w:t xml:space="preserve"> for most or </w:t>
      </w:r>
      <w:proofErr w:type="gramStart"/>
      <w:r w:rsidRPr="00890C27">
        <w:rPr>
          <w:rFonts w:ascii="Times New Roman" w:hAnsi="Times New Roman" w:cs="Times New Roman"/>
          <w:sz w:val="24"/>
          <w:szCs w:val="24"/>
        </w:rPr>
        <w:t>all of</w:t>
      </w:r>
      <w:proofErr w:type="gramEnd"/>
      <w:r w:rsidRPr="00890C27">
        <w:rPr>
          <w:rFonts w:ascii="Times New Roman" w:hAnsi="Times New Roman" w:cs="Times New Roman"/>
          <w:sz w:val="24"/>
          <w:szCs w:val="24"/>
        </w:rPr>
        <w:t xml:space="preserve"> the early dry season</w:t>
      </w:r>
      <w:r w:rsidR="00A21EB6" w:rsidRPr="00890C27">
        <w:rPr>
          <w:rFonts w:ascii="Times New Roman" w:hAnsi="Times New Roman" w:cs="Times New Roman"/>
          <w:sz w:val="24"/>
          <w:szCs w:val="24"/>
        </w:rPr>
        <w:t xml:space="preserve">, or </w:t>
      </w:r>
      <w:r w:rsidRPr="00890C27">
        <w:rPr>
          <w:rFonts w:ascii="Times New Roman" w:hAnsi="Times New Roman" w:cs="Times New Roman"/>
          <w:sz w:val="24"/>
          <w:szCs w:val="24"/>
        </w:rPr>
        <w:t xml:space="preserve">extensive late dry season fires in the previous fire season. These late dry season fires may have burnt </w:t>
      </w:r>
      <w:r w:rsidR="00A21EB6" w:rsidRPr="00890C27">
        <w:rPr>
          <w:rFonts w:ascii="Times New Roman" w:hAnsi="Times New Roman" w:cs="Times New Roman"/>
          <w:sz w:val="24"/>
          <w:szCs w:val="24"/>
        </w:rPr>
        <w:t>most</w:t>
      </w:r>
      <w:r w:rsidRPr="00890C27">
        <w:rPr>
          <w:rFonts w:ascii="Times New Roman" w:hAnsi="Times New Roman" w:cs="Times New Roman"/>
          <w:sz w:val="24"/>
          <w:szCs w:val="24"/>
        </w:rPr>
        <w:t xml:space="preserve"> of the project area or used a significant proportion of the fire management resources for the subsequent fire season. In this example, project proponents may be able to demonstrate suppression efforts during the large late dry season fires were consistent with subsection 17(2), and in meeting the objectives outlined in paragraph 10(1)(a). Another example would be if resources such as helicopters and rangers were unable to complete the planned burning for reasons beyond the proponent’s reasonable control.</w:t>
      </w:r>
    </w:p>
    <w:p w14:paraId="41615111" w14:textId="6E492462" w:rsidR="00243284" w:rsidRPr="00890C27" w:rsidRDefault="00243284"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Financial difficulty </w:t>
      </w:r>
      <w:r w:rsidR="003C43AA" w:rsidRPr="165183F2">
        <w:rPr>
          <w:rFonts w:ascii="Times New Roman" w:hAnsi="Times New Roman" w:cs="Times New Roman"/>
          <w:sz w:val="24"/>
          <w:szCs w:val="24"/>
        </w:rPr>
        <w:t>may not</w:t>
      </w:r>
      <w:r w:rsidRPr="165183F2">
        <w:rPr>
          <w:rFonts w:ascii="Times New Roman" w:hAnsi="Times New Roman" w:cs="Times New Roman"/>
          <w:sz w:val="24"/>
          <w:szCs w:val="24"/>
        </w:rPr>
        <w:t xml:space="preserve"> be considered as circumstances beyond the proponent’s reasonable control. </w:t>
      </w:r>
    </w:p>
    <w:p w14:paraId="4D6FDD6E" w14:textId="199DA197" w:rsidR="00243284" w:rsidRPr="00890C27" w:rsidRDefault="00243284"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Subsection 17(4) provides that if the project area has been subdivided into two or more subdivided project areas in accordance with section 16, then, for the purposes of </w:t>
      </w:r>
      <w:r w:rsidR="00E204A0">
        <w:rPr>
          <w:rFonts w:ascii="Times New Roman" w:hAnsi="Times New Roman" w:cs="Times New Roman"/>
          <w:sz w:val="24"/>
          <w:szCs w:val="24"/>
        </w:rPr>
        <w:t>section 17(4)</w:t>
      </w:r>
      <w:r w:rsidRPr="00890C27">
        <w:rPr>
          <w:rFonts w:ascii="Times New Roman" w:hAnsi="Times New Roman" w:cs="Times New Roman"/>
          <w:sz w:val="24"/>
          <w:szCs w:val="24"/>
        </w:rPr>
        <w:t xml:space="preserve">, planned </w:t>
      </w:r>
      <w:proofErr w:type="gramStart"/>
      <w:r w:rsidRPr="00890C27">
        <w:rPr>
          <w:rFonts w:ascii="Times New Roman" w:hAnsi="Times New Roman" w:cs="Times New Roman"/>
          <w:sz w:val="24"/>
          <w:szCs w:val="24"/>
        </w:rPr>
        <w:t>burning</w:t>
      </w:r>
      <w:proofErr w:type="gramEnd"/>
      <w:r w:rsidRPr="00890C27">
        <w:rPr>
          <w:rFonts w:ascii="Times New Roman" w:hAnsi="Times New Roman" w:cs="Times New Roman"/>
          <w:sz w:val="24"/>
          <w:szCs w:val="24"/>
        </w:rPr>
        <w:t xml:space="preserve"> that occurred on the original project area before the area was subdivided may be considered to have occurred on the subdivided project area. That is, if in previous years planned burning was undertaken in the original project area in accordance with subsections 17(1</w:t>
      </w:r>
      <w:r w:rsidR="00E0279C">
        <w:rPr>
          <w:rFonts w:ascii="Times New Roman" w:hAnsi="Times New Roman" w:cs="Times New Roman"/>
          <w:sz w:val="24"/>
          <w:szCs w:val="24"/>
        </w:rPr>
        <w:t>), (2)</w:t>
      </w:r>
      <w:r w:rsidR="00B03895">
        <w:rPr>
          <w:rFonts w:ascii="Times New Roman" w:hAnsi="Times New Roman" w:cs="Times New Roman"/>
          <w:sz w:val="24"/>
          <w:szCs w:val="24"/>
        </w:rPr>
        <w:t>, and (</w:t>
      </w:r>
      <w:r w:rsidRPr="00890C27">
        <w:rPr>
          <w:rFonts w:ascii="Times New Roman" w:hAnsi="Times New Roman" w:cs="Times New Roman"/>
          <w:sz w:val="24"/>
          <w:szCs w:val="24"/>
        </w:rPr>
        <w:t>3), then it will be assumed that these conditions have been met for each subdivided project area.</w:t>
      </w:r>
    </w:p>
    <w:p w14:paraId="486F0B73" w14:textId="723AF581" w:rsidR="00446B62" w:rsidRDefault="00170F02" w:rsidP="008103FF">
      <w:pPr>
        <w:spacing w:after="160" w:line="276" w:lineRule="auto"/>
        <w:rPr>
          <w:rFonts w:ascii="Times New Roman" w:eastAsia="Times New Roman" w:hAnsi="Times New Roman" w:cs="Times New Roman"/>
          <w:b/>
          <w:bCs/>
          <w:sz w:val="24"/>
          <w:szCs w:val="24"/>
          <w:lang w:eastAsia="en-AU"/>
        </w:rPr>
      </w:pPr>
      <w:r w:rsidRPr="33750E9F">
        <w:rPr>
          <w:rFonts w:ascii="Times New Roman" w:eastAsia="Times New Roman" w:hAnsi="Times New Roman" w:cs="Times New Roman"/>
          <w:sz w:val="24"/>
          <w:szCs w:val="24"/>
          <w:lang w:eastAsia="en-AU"/>
        </w:rPr>
        <w:t xml:space="preserve">A note to </w:t>
      </w:r>
      <w:r w:rsidR="002F489F">
        <w:rPr>
          <w:rFonts w:ascii="Times New Roman" w:eastAsia="Times New Roman" w:hAnsi="Times New Roman" w:cs="Times New Roman"/>
          <w:sz w:val="24"/>
          <w:szCs w:val="24"/>
          <w:lang w:eastAsia="en-AU"/>
        </w:rPr>
        <w:t>section 17</w:t>
      </w:r>
      <w:r w:rsidRPr="33750E9F">
        <w:rPr>
          <w:rFonts w:ascii="Times New Roman" w:eastAsia="Times New Roman" w:hAnsi="Times New Roman" w:cs="Times New Roman"/>
          <w:sz w:val="24"/>
          <w:szCs w:val="24"/>
          <w:lang w:eastAsia="en-AU"/>
        </w:rPr>
        <w:t xml:space="preserve"> acknowledges that in monitoring whether a project continues to meet the requirements of section 1</w:t>
      </w:r>
      <w:r w:rsidR="00E547B6" w:rsidRPr="33750E9F">
        <w:rPr>
          <w:rFonts w:ascii="Times New Roman" w:eastAsia="Times New Roman" w:hAnsi="Times New Roman" w:cs="Times New Roman"/>
          <w:sz w:val="24"/>
          <w:szCs w:val="24"/>
          <w:lang w:eastAsia="en-AU"/>
        </w:rPr>
        <w:t>7</w:t>
      </w:r>
      <w:r w:rsidRPr="33750E9F">
        <w:rPr>
          <w:rFonts w:ascii="Times New Roman" w:eastAsia="Times New Roman" w:hAnsi="Times New Roman" w:cs="Times New Roman"/>
          <w:sz w:val="24"/>
          <w:szCs w:val="24"/>
          <w:lang w:eastAsia="en-AU"/>
        </w:rPr>
        <w:t xml:space="preserve">, the Regulator will consider a range of information, including the project management plan in an offsets report under section 36 and the information in any </w:t>
      </w:r>
      <w:proofErr w:type="spellStart"/>
      <w:r w:rsidRPr="33750E9F">
        <w:rPr>
          <w:rFonts w:ascii="Times New Roman" w:eastAsia="Times New Roman" w:hAnsi="Times New Roman" w:cs="Times New Roman"/>
          <w:sz w:val="24"/>
          <w:szCs w:val="24"/>
          <w:lang w:eastAsia="en-AU"/>
        </w:rPr>
        <w:t>Sav</w:t>
      </w:r>
      <w:r w:rsidR="00D93A3D" w:rsidRPr="33750E9F">
        <w:rPr>
          <w:rFonts w:ascii="Times New Roman" w:eastAsia="Times New Roman" w:hAnsi="Times New Roman" w:cs="Times New Roman"/>
          <w:sz w:val="24"/>
          <w:szCs w:val="24"/>
          <w:lang w:eastAsia="en-AU"/>
        </w:rPr>
        <w:t>CAM</w:t>
      </w:r>
      <w:proofErr w:type="spellEnd"/>
      <w:r w:rsidRPr="33750E9F">
        <w:rPr>
          <w:rFonts w:ascii="Times New Roman" w:eastAsia="Times New Roman" w:hAnsi="Times New Roman" w:cs="Times New Roman"/>
          <w:sz w:val="24"/>
          <w:szCs w:val="24"/>
          <w:lang w:eastAsia="en-AU"/>
        </w:rPr>
        <w:t xml:space="preserve"> reports relating to the project.</w:t>
      </w:r>
    </w:p>
    <w:p w14:paraId="06F2023C" w14:textId="77777777" w:rsidR="0076059B" w:rsidRPr="00D034B5" w:rsidRDefault="0076059B" w:rsidP="008103FF">
      <w:pPr>
        <w:spacing w:after="160" w:line="276" w:lineRule="auto"/>
        <w:rPr>
          <w:rFonts w:ascii="Times New Roman" w:hAnsi="Times New Roman" w:cs="Times New Roman"/>
          <w:b/>
          <w:sz w:val="24"/>
          <w:szCs w:val="24"/>
        </w:rPr>
      </w:pPr>
      <w:r w:rsidRPr="00D034B5">
        <w:rPr>
          <w:rFonts w:ascii="Times New Roman" w:hAnsi="Times New Roman" w:cs="Times New Roman"/>
          <w:b/>
          <w:sz w:val="24"/>
          <w:szCs w:val="24"/>
        </w:rPr>
        <w:lastRenderedPageBreak/>
        <w:t xml:space="preserve">Division 4—Project management plan </w:t>
      </w:r>
    </w:p>
    <w:p w14:paraId="462F7FF3" w14:textId="4C0AF5B6" w:rsidR="0076059B" w:rsidRPr="006D619D" w:rsidRDefault="00DA27F2"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18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to prepare plan </w:t>
      </w:r>
    </w:p>
    <w:p w14:paraId="7A67C70B" w14:textId="5C7990B1" w:rsidR="00B77664" w:rsidRPr="006D619D" w:rsidRDefault="00B7766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Section 18 sets out the requirement for project proponents to prepare </w:t>
      </w:r>
      <w:r w:rsidR="00C92E9E">
        <w:rPr>
          <w:rFonts w:ascii="Times New Roman" w:hAnsi="Times New Roman" w:cs="Times New Roman"/>
          <w:sz w:val="24"/>
          <w:szCs w:val="24"/>
        </w:rPr>
        <w:t>one or more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project management plan</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for each calendar year of a savanna sequestration project. This requirement ensures that fire management activities are </w:t>
      </w:r>
      <w:proofErr w:type="gramStart"/>
      <w:r w:rsidRPr="33750E9F">
        <w:rPr>
          <w:rFonts w:ascii="Times New Roman" w:hAnsi="Times New Roman" w:cs="Times New Roman"/>
          <w:sz w:val="24"/>
          <w:szCs w:val="24"/>
        </w:rPr>
        <w:t>planned in advance</w:t>
      </w:r>
      <w:proofErr w:type="gramEnd"/>
      <w:r w:rsidRPr="33750E9F">
        <w:rPr>
          <w:rFonts w:ascii="Times New Roman" w:hAnsi="Times New Roman" w:cs="Times New Roman"/>
          <w:sz w:val="24"/>
          <w:szCs w:val="24"/>
        </w:rPr>
        <w:t xml:space="preserve"> and documented in a way that supports the delivery of abatement outcomes and compliance with </w:t>
      </w:r>
      <w:r w:rsidRPr="33750E9F" w:rsidDel="00B76B32">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w:t>
      </w:r>
    </w:p>
    <w:p w14:paraId="7A4BE8A7" w14:textId="3F1FD8D7" w:rsidR="00B77664" w:rsidRPr="00DD6E15" w:rsidRDefault="00B77664" w:rsidP="165183F2">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18(1)</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 xml:space="preserve">requires that </w:t>
      </w:r>
      <w:r w:rsidR="00C236CA" w:rsidRPr="165183F2">
        <w:rPr>
          <w:rFonts w:ascii="Times New Roman" w:hAnsi="Times New Roman" w:cs="Times New Roman"/>
          <w:sz w:val="24"/>
          <w:szCs w:val="24"/>
        </w:rPr>
        <w:t>one or more</w:t>
      </w:r>
      <w:r w:rsidRPr="165183F2">
        <w:rPr>
          <w:rFonts w:ascii="Times New Roman" w:hAnsi="Times New Roman" w:cs="Times New Roman"/>
          <w:sz w:val="24"/>
          <w:szCs w:val="24"/>
        </w:rPr>
        <w:t xml:space="preserve"> project management plan</w:t>
      </w:r>
      <w:r w:rsidR="00C236CA" w:rsidRPr="165183F2">
        <w:rPr>
          <w:rFonts w:ascii="Times New Roman" w:hAnsi="Times New Roman" w:cs="Times New Roman"/>
          <w:sz w:val="24"/>
          <w:szCs w:val="24"/>
        </w:rPr>
        <w:t>s</w:t>
      </w:r>
      <w:r w:rsidRPr="165183F2">
        <w:rPr>
          <w:rFonts w:ascii="Times New Roman" w:hAnsi="Times New Roman" w:cs="Times New Roman"/>
          <w:sz w:val="24"/>
          <w:szCs w:val="24"/>
        </w:rPr>
        <w:t xml:space="preserve"> be prepared each year</w:t>
      </w:r>
      <w:r w:rsidR="00C92E9E" w:rsidRPr="165183F2">
        <w:rPr>
          <w:rFonts w:ascii="Times New Roman" w:hAnsi="Times New Roman" w:cs="Times New Roman"/>
          <w:sz w:val="24"/>
          <w:szCs w:val="24"/>
        </w:rPr>
        <w:t xml:space="preserve"> that covers all project areas</w:t>
      </w:r>
      <w:r w:rsidRPr="165183F2">
        <w:rPr>
          <w:rFonts w:ascii="Times New Roman" w:hAnsi="Times New Roman" w:cs="Times New Roman"/>
          <w:sz w:val="24"/>
          <w:szCs w:val="24"/>
        </w:rPr>
        <w:t xml:space="preserve">. </w:t>
      </w:r>
    </w:p>
    <w:p w14:paraId="4D295204" w14:textId="14641C80" w:rsidR="00B77664" w:rsidRPr="00DD6E15" w:rsidRDefault="00B77664" w:rsidP="165183F2">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18(2)</w:t>
      </w:r>
      <w:r w:rsidR="00877F86" w:rsidRPr="165183F2">
        <w:rPr>
          <w:rFonts w:ascii="Times New Roman" w:hAnsi="Times New Roman" w:cs="Times New Roman"/>
          <w:sz w:val="24"/>
          <w:szCs w:val="24"/>
        </w:rPr>
        <w:t xml:space="preserve"> </w:t>
      </w:r>
      <w:r w:rsidR="00DC1084" w:rsidRPr="165183F2">
        <w:rPr>
          <w:rFonts w:ascii="Times New Roman" w:hAnsi="Times New Roman" w:cs="Times New Roman"/>
          <w:sz w:val="24"/>
          <w:szCs w:val="24"/>
        </w:rPr>
        <w:t>states</w:t>
      </w:r>
      <w:r w:rsidRPr="165183F2">
        <w:rPr>
          <w:rFonts w:ascii="Times New Roman" w:hAnsi="Times New Roman" w:cs="Times New Roman"/>
          <w:sz w:val="24"/>
          <w:szCs w:val="24"/>
        </w:rPr>
        <w:t xml:space="preserve"> that </w:t>
      </w:r>
      <w:r w:rsidR="00521007" w:rsidRPr="165183F2">
        <w:rPr>
          <w:rFonts w:ascii="Times New Roman" w:hAnsi="Times New Roman" w:cs="Times New Roman"/>
          <w:sz w:val="24"/>
          <w:szCs w:val="24"/>
        </w:rPr>
        <w:t>an</w:t>
      </w:r>
      <w:r w:rsidRPr="165183F2">
        <w:rPr>
          <w:rFonts w:ascii="Times New Roman" w:hAnsi="Times New Roman" w:cs="Times New Roman"/>
          <w:sz w:val="24"/>
          <w:szCs w:val="24"/>
        </w:rPr>
        <w:t xml:space="preserve"> annual plan is referred to as a</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 xml:space="preserve">project management plan. </w:t>
      </w:r>
    </w:p>
    <w:p w14:paraId="453C4D54" w14:textId="0AF400F3" w:rsidR="00B77664" w:rsidRPr="00DD6E15" w:rsidRDefault="00B77664" w:rsidP="165183F2">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18(3)</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requires that the project management plan for a particular project area must be prepared</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before any planned burning commences</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 xml:space="preserve">in that area for the year. This ensures that fire management is pre-planned and that the project is operating in accordance with the </w:t>
      </w:r>
      <w:r w:rsidR="004D74F5" w:rsidRPr="165183F2">
        <w:rPr>
          <w:rFonts w:ascii="Times New Roman" w:hAnsi="Times New Roman" w:cs="Times New Roman"/>
          <w:sz w:val="24"/>
          <w:szCs w:val="24"/>
        </w:rPr>
        <w:t>determination</w:t>
      </w:r>
      <w:r w:rsidR="00B76B32" w:rsidRPr="165183F2">
        <w:rPr>
          <w:rFonts w:ascii="Times New Roman" w:hAnsi="Times New Roman" w:cs="Times New Roman"/>
          <w:sz w:val="24"/>
          <w:szCs w:val="24"/>
        </w:rPr>
        <w:t>’s</w:t>
      </w:r>
      <w:r w:rsidRPr="165183F2">
        <w:rPr>
          <w:rFonts w:ascii="Times New Roman" w:hAnsi="Times New Roman" w:cs="Times New Roman"/>
          <w:sz w:val="24"/>
          <w:szCs w:val="24"/>
        </w:rPr>
        <w:t xml:space="preserve"> requirements.</w:t>
      </w:r>
    </w:p>
    <w:p w14:paraId="0C32905E" w14:textId="18F94EF0" w:rsidR="00B77664" w:rsidRPr="006D619D" w:rsidRDefault="00650924"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Not</w:t>
      </w:r>
      <w:r w:rsidR="00231747" w:rsidRPr="165183F2">
        <w:rPr>
          <w:rFonts w:ascii="Times New Roman" w:hAnsi="Times New Roman" w:cs="Times New Roman"/>
          <w:sz w:val="24"/>
          <w:szCs w:val="24"/>
        </w:rPr>
        <w:t>h</w:t>
      </w:r>
      <w:r w:rsidRPr="165183F2">
        <w:rPr>
          <w:rFonts w:ascii="Times New Roman" w:hAnsi="Times New Roman" w:cs="Times New Roman"/>
          <w:sz w:val="24"/>
          <w:szCs w:val="24"/>
        </w:rPr>
        <w:t xml:space="preserve">ing in subsection 18(1) is </w:t>
      </w:r>
      <w:r w:rsidR="000D2934" w:rsidRPr="165183F2">
        <w:rPr>
          <w:rFonts w:ascii="Times New Roman" w:hAnsi="Times New Roman" w:cs="Times New Roman"/>
          <w:sz w:val="24"/>
          <w:szCs w:val="24"/>
        </w:rPr>
        <w:t xml:space="preserve">intended to preclude a </w:t>
      </w:r>
      <w:r w:rsidR="00B77664" w:rsidRPr="165183F2">
        <w:rPr>
          <w:rFonts w:ascii="Times New Roman" w:hAnsi="Times New Roman" w:cs="Times New Roman"/>
          <w:sz w:val="24"/>
          <w:szCs w:val="24"/>
        </w:rPr>
        <w:t xml:space="preserve">project proponent </w:t>
      </w:r>
      <w:r w:rsidR="000D2934" w:rsidRPr="165183F2">
        <w:rPr>
          <w:rFonts w:ascii="Times New Roman" w:hAnsi="Times New Roman" w:cs="Times New Roman"/>
          <w:sz w:val="24"/>
          <w:szCs w:val="24"/>
        </w:rPr>
        <w:t xml:space="preserve">using another annual plan </w:t>
      </w:r>
      <w:r w:rsidR="00434BCD" w:rsidRPr="165183F2">
        <w:rPr>
          <w:rFonts w:ascii="Times New Roman" w:hAnsi="Times New Roman" w:cs="Times New Roman"/>
          <w:sz w:val="24"/>
          <w:szCs w:val="24"/>
        </w:rPr>
        <w:t>(such as a fire management plan) that it prepares as the project management plan</w:t>
      </w:r>
      <w:r w:rsidR="00D3495D" w:rsidRPr="165183F2">
        <w:rPr>
          <w:rFonts w:ascii="Times New Roman" w:hAnsi="Times New Roman" w:cs="Times New Roman"/>
          <w:sz w:val="24"/>
          <w:szCs w:val="24"/>
        </w:rPr>
        <w:t xml:space="preserve"> </w:t>
      </w:r>
      <w:r w:rsidR="00B4281E" w:rsidRPr="165183F2">
        <w:rPr>
          <w:rFonts w:ascii="Times New Roman" w:hAnsi="Times New Roman" w:cs="Times New Roman"/>
          <w:sz w:val="24"/>
          <w:szCs w:val="24"/>
        </w:rPr>
        <w:t>provided</w:t>
      </w:r>
      <w:r w:rsidR="00D3495D" w:rsidRPr="165183F2">
        <w:rPr>
          <w:rFonts w:ascii="Times New Roman" w:hAnsi="Times New Roman" w:cs="Times New Roman"/>
          <w:sz w:val="24"/>
          <w:szCs w:val="24"/>
        </w:rPr>
        <w:t xml:space="preserve"> it meets the requirements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434BCD" w:rsidRPr="165183F2">
        <w:rPr>
          <w:rFonts w:ascii="Times New Roman" w:hAnsi="Times New Roman" w:cs="Times New Roman"/>
          <w:sz w:val="24"/>
          <w:szCs w:val="24"/>
        </w:rPr>
        <w:t xml:space="preserve">. </w:t>
      </w:r>
    </w:p>
    <w:p w14:paraId="0AD91176" w14:textId="559A62DC" w:rsidR="00B77664" w:rsidRPr="006D619D" w:rsidRDefault="00B7766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A single project management plan may relate to</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one or more project areas, providing flexibility for proponents managing multiple areas under a single project.</w:t>
      </w:r>
    </w:p>
    <w:p w14:paraId="3808C7FD" w14:textId="28916DA8" w:rsidR="0076059B" w:rsidRPr="00D034B5" w:rsidRDefault="000B52F3" w:rsidP="008103FF">
      <w:pPr>
        <w:keepNext/>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19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Updating or revising plan </w:t>
      </w:r>
    </w:p>
    <w:p w14:paraId="668BC167" w14:textId="72C997D6" w:rsidR="00B77664" w:rsidRPr="00DA1889" w:rsidRDefault="00B7766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Section 19 provides flexibility for project proponents to</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revise or update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their project management plans throughout the year, recognising that fire management must often respond to changing environmental conditions and operational constraints.</w:t>
      </w:r>
    </w:p>
    <w:p w14:paraId="1A877219" w14:textId="0B61353D" w:rsidR="00B77664" w:rsidRPr="00DD6E15" w:rsidRDefault="00B77664" w:rsidP="165183F2">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19(1)</w:t>
      </w:r>
      <w:r w:rsidR="00302220" w:rsidRPr="165183F2">
        <w:rPr>
          <w:rFonts w:ascii="Times New Roman" w:hAnsi="Times New Roman" w:cs="Times New Roman"/>
          <w:sz w:val="24"/>
          <w:szCs w:val="24"/>
        </w:rPr>
        <w:t xml:space="preserve"> </w:t>
      </w:r>
      <w:r w:rsidRPr="165183F2">
        <w:rPr>
          <w:rFonts w:ascii="Times New Roman" w:hAnsi="Times New Roman" w:cs="Times New Roman"/>
          <w:sz w:val="24"/>
          <w:szCs w:val="24"/>
        </w:rPr>
        <w:t>allows for updates or revisions to the project management plan at any time during the year to which the plan relates. This enables proponents to adapt their fire management strategies in response to factors such as weather variability, access limitations, or updated ecological priorities.</w:t>
      </w:r>
    </w:p>
    <w:p w14:paraId="43ECF3ED" w14:textId="77666CB2" w:rsidR="0076059B" w:rsidRPr="00DD6E15" w:rsidRDefault="00B77664" w:rsidP="165183F2">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19(2)</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requires that any revision or update must include the</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date</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on which the change was made.</w:t>
      </w:r>
    </w:p>
    <w:p w14:paraId="74569BB8" w14:textId="77777777" w:rsidR="0076059B" w:rsidRPr="00D034B5" w:rsidRDefault="0076059B" w:rsidP="008103FF">
      <w:pPr>
        <w:spacing w:after="160" w:line="276" w:lineRule="auto"/>
        <w:rPr>
          <w:rFonts w:ascii="Times New Roman" w:hAnsi="Times New Roman" w:cs="Times New Roman"/>
          <w:b/>
          <w:sz w:val="24"/>
          <w:szCs w:val="24"/>
        </w:rPr>
      </w:pPr>
      <w:r w:rsidRPr="00D034B5">
        <w:rPr>
          <w:rFonts w:ascii="Times New Roman" w:hAnsi="Times New Roman" w:cs="Times New Roman"/>
          <w:b/>
          <w:sz w:val="24"/>
          <w:szCs w:val="24"/>
        </w:rPr>
        <w:t xml:space="preserve">Division 5—Vegetation fuel type map </w:t>
      </w:r>
    </w:p>
    <w:p w14:paraId="68DC5CD5" w14:textId="5002049C" w:rsidR="0076059B" w:rsidRPr="00D034B5" w:rsidRDefault="000B52F3"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20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to create and validate vegetation fuel type map </w:t>
      </w:r>
    </w:p>
    <w:p w14:paraId="0641F32A" w14:textId="3C37EF5C" w:rsidR="00B04DC5" w:rsidRPr="00B04DC5" w:rsidRDefault="001349D3"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Section 20</w:t>
      </w:r>
      <w:r w:rsidR="00B04DC5" w:rsidRPr="33750E9F">
        <w:rPr>
          <w:rFonts w:ascii="Times New Roman" w:hAnsi="Times New Roman" w:cs="Times New Roman"/>
          <w:sz w:val="24"/>
          <w:szCs w:val="24"/>
        </w:rPr>
        <w:t xml:space="preserve"> provides that project proponents must create and validate a vegetation fuel type map for each project area within </w:t>
      </w:r>
      <w:r w:rsidR="000434F5" w:rsidRPr="33750E9F">
        <w:rPr>
          <w:rFonts w:ascii="Times New Roman" w:hAnsi="Times New Roman" w:cs="Times New Roman"/>
          <w:sz w:val="24"/>
          <w:szCs w:val="24"/>
        </w:rPr>
        <w:t>the</w:t>
      </w:r>
      <w:r w:rsidR="00B04DC5" w:rsidRPr="33750E9F">
        <w:rPr>
          <w:rFonts w:ascii="Times New Roman" w:hAnsi="Times New Roman" w:cs="Times New Roman"/>
          <w:sz w:val="24"/>
          <w:szCs w:val="24"/>
        </w:rPr>
        <w:t xml:space="preserve"> savanna sequestration project. This requirement applies regardless of whether the project area was identified in the original section 22 application, a section 128 application, or was subsequently added to the project through a section 29 application.</w:t>
      </w:r>
    </w:p>
    <w:p w14:paraId="2B1A4B34" w14:textId="28FA5F34" w:rsidR="00B04DC5" w:rsidRPr="00B04DC5" w:rsidRDefault="00B04DC5"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Paragraph 20(a) requires that the vegetation fuel type map must be created and validated in accordance with the</w:t>
      </w:r>
      <w:r w:rsidR="00877F86" w:rsidRPr="33750E9F">
        <w:rPr>
          <w:rFonts w:ascii="Times New Roman" w:hAnsi="Times New Roman" w:cs="Times New Roman"/>
          <w:sz w:val="24"/>
          <w:szCs w:val="24"/>
        </w:rPr>
        <w:t xml:space="preserve"> </w:t>
      </w:r>
      <w:r w:rsidRPr="33750E9F">
        <w:rPr>
          <w:rFonts w:ascii="Times New Roman" w:hAnsi="Times New Roman" w:cs="Times New Roman"/>
          <w:i/>
          <w:iCs/>
          <w:sz w:val="24"/>
          <w:szCs w:val="24"/>
        </w:rPr>
        <w:t>Savanna Fire Management Methods (2025) Technical Guidance Document</w:t>
      </w:r>
      <w:r w:rsidRPr="33750E9F">
        <w:rPr>
          <w:rFonts w:ascii="Times New Roman" w:hAnsi="Times New Roman" w:cs="Times New Roman"/>
          <w:sz w:val="24"/>
          <w:szCs w:val="24"/>
        </w:rPr>
        <w:t xml:space="preserve">. This document outlines the procedures for identifying and classifying vegetation fuel types, including the use of remote sensing, GIS tools, and field observations. It also provides guidance on how to determine whether a mapping unit is </w:t>
      </w:r>
      <w:bookmarkStart w:id="5" w:name="_Int_R33xqJK8"/>
      <w:proofErr w:type="gramStart"/>
      <w:r w:rsidRPr="33750E9F">
        <w:rPr>
          <w:rFonts w:ascii="Times New Roman" w:hAnsi="Times New Roman" w:cs="Times New Roman"/>
          <w:sz w:val="24"/>
          <w:szCs w:val="24"/>
        </w:rPr>
        <w:t>eligible</w:t>
      </w:r>
      <w:bookmarkEnd w:id="5"/>
      <w:proofErr w:type="gramEnd"/>
      <w:r w:rsidRPr="33750E9F">
        <w:rPr>
          <w:rFonts w:ascii="Times New Roman" w:hAnsi="Times New Roman" w:cs="Times New Roman"/>
          <w:sz w:val="24"/>
          <w:szCs w:val="24"/>
        </w:rPr>
        <w:t xml:space="preserve"> or ineligible based on vegetation characteristics, presence of weed species, or land clearing.</w:t>
      </w:r>
    </w:p>
    <w:p w14:paraId="2AC3E588" w14:textId="3B563479" w:rsidR="00B04DC5" w:rsidRPr="00B04DC5" w:rsidRDefault="00B04DC5"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20</w:t>
      </w:r>
      <w:r w:rsidRPr="33750E9F" w:rsidDel="003B6D41">
        <w:rPr>
          <w:rFonts w:ascii="Times New Roman" w:hAnsi="Times New Roman" w:cs="Times New Roman"/>
          <w:sz w:val="24"/>
          <w:szCs w:val="24"/>
        </w:rPr>
        <w:t>(</w:t>
      </w:r>
      <w:r w:rsidRPr="33750E9F">
        <w:rPr>
          <w:rFonts w:ascii="Times New Roman" w:hAnsi="Times New Roman" w:cs="Times New Roman"/>
          <w:sz w:val="24"/>
          <w:szCs w:val="24"/>
        </w:rPr>
        <w:t xml:space="preserve">b) requires that the vegetation fuel type map must be completed before the project proponent submits the first offsets report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that relates to the relevant project area. This ensures</w:t>
      </w:r>
      <w:r w:rsidRPr="33750E9F" w:rsidDel="006303D4">
        <w:rPr>
          <w:rFonts w:ascii="Times New Roman" w:hAnsi="Times New Roman" w:cs="Times New Roman"/>
          <w:sz w:val="24"/>
          <w:szCs w:val="24"/>
        </w:rPr>
        <w:t xml:space="preserve"> </w:t>
      </w:r>
      <w:r w:rsidRPr="33750E9F">
        <w:rPr>
          <w:rFonts w:ascii="Times New Roman" w:hAnsi="Times New Roman" w:cs="Times New Roman"/>
          <w:sz w:val="24"/>
          <w:szCs w:val="24"/>
        </w:rPr>
        <w:t>the vegetation fuel type map is available to support the reporting of sequestration and emissions avoidance outcomes from the outset of the crediting period.</w:t>
      </w:r>
    </w:p>
    <w:p w14:paraId="4C6C7624" w14:textId="1D76D23D" w:rsidR="0076059B" w:rsidRPr="00D034B5" w:rsidRDefault="007B25CF"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21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Revising vegetation fuel type map </w:t>
      </w:r>
    </w:p>
    <w:p w14:paraId="7C47D294" w14:textId="4625A5B1" w:rsidR="00183D90" w:rsidRPr="00BF0FD0" w:rsidRDefault="0071663A"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21</w:t>
      </w:r>
      <w:r w:rsidR="00183D90" w:rsidRPr="33750E9F">
        <w:rPr>
          <w:rFonts w:ascii="Times New Roman" w:hAnsi="Times New Roman" w:cs="Times New Roman"/>
          <w:sz w:val="24"/>
          <w:szCs w:val="24"/>
        </w:rPr>
        <w:t xml:space="preserve"> outlines the circumstances under which a vegetation fuel type map must or may be revised, and the requirements for validating the revised map.</w:t>
      </w:r>
    </w:p>
    <w:p w14:paraId="7876F271" w14:textId="639CC6B4" w:rsidR="00183D90" w:rsidRPr="00BF0FD0" w:rsidRDefault="00183D9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21(1) sets out the circumstances in which a project proponent is required to revise a vegetation fuel type map. </w:t>
      </w:r>
      <w:r w:rsidR="0022645F" w:rsidRPr="33750E9F">
        <w:rPr>
          <w:rFonts w:ascii="Times New Roman" w:hAnsi="Times New Roman" w:cs="Times New Roman"/>
          <w:sz w:val="24"/>
          <w:szCs w:val="24"/>
        </w:rPr>
        <w:t xml:space="preserve">Subsection 21(1) </w:t>
      </w:r>
      <w:r w:rsidR="00E10DE5" w:rsidRPr="33750E9F">
        <w:rPr>
          <w:rFonts w:ascii="Times New Roman" w:hAnsi="Times New Roman" w:cs="Times New Roman"/>
          <w:sz w:val="24"/>
          <w:szCs w:val="24"/>
        </w:rPr>
        <w:t>provides that the map must be revised if</w:t>
      </w:r>
      <w:r w:rsidRPr="33750E9F">
        <w:rPr>
          <w:rFonts w:ascii="Times New Roman" w:hAnsi="Times New Roman" w:cs="Times New Roman"/>
          <w:sz w:val="24"/>
          <w:szCs w:val="24"/>
        </w:rPr>
        <w:t xml:space="preserve"> the proponent becomes aware that:</w:t>
      </w:r>
    </w:p>
    <w:p w14:paraId="063FC6C0" w14:textId="0F63C314" w:rsidR="00183D90" w:rsidRPr="00BF0FD0" w:rsidRDefault="00183D9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a mapping unit was incorrectly classified </w:t>
      </w:r>
      <w:r w:rsidR="00DE45E5" w:rsidRPr="33750E9F">
        <w:rPr>
          <w:rFonts w:ascii="Times New Roman" w:hAnsi="Times New Roman" w:cs="Times New Roman"/>
          <w:sz w:val="24"/>
          <w:szCs w:val="24"/>
        </w:rPr>
        <w:t xml:space="preserve">in accordance with the </w:t>
      </w:r>
      <w:r w:rsidR="00DE45E5" w:rsidRPr="33750E9F">
        <w:rPr>
          <w:rFonts w:ascii="Times New Roman" w:hAnsi="Times New Roman" w:cs="Times New Roman"/>
          <w:i/>
          <w:iCs/>
          <w:sz w:val="24"/>
          <w:szCs w:val="24"/>
        </w:rPr>
        <w:t>Savanna Fire Management Methods (2025) Technical Guidance Document</w:t>
      </w:r>
      <w:r w:rsidR="00DE45E5" w:rsidRPr="33750E9F">
        <w:rPr>
          <w:rFonts w:ascii="Times New Roman" w:hAnsi="Times New Roman" w:cs="Times New Roman"/>
          <w:sz w:val="24"/>
          <w:szCs w:val="24"/>
        </w:rPr>
        <w:t xml:space="preserve"> </w:t>
      </w:r>
      <w:r w:rsidR="00DC61FF" w:rsidRPr="33750E9F">
        <w:rPr>
          <w:rFonts w:ascii="Times New Roman" w:hAnsi="Times New Roman" w:cs="Times New Roman"/>
          <w:sz w:val="24"/>
          <w:szCs w:val="24"/>
        </w:rPr>
        <w:t>as containing</w:t>
      </w:r>
      <w:r w:rsidRPr="33750E9F">
        <w:rPr>
          <w:rFonts w:ascii="Times New Roman" w:hAnsi="Times New Roman" w:cs="Times New Roman"/>
          <w:sz w:val="24"/>
          <w:szCs w:val="24"/>
        </w:rPr>
        <w:t xml:space="preserve"> a vegetation fuel type </w:t>
      </w:r>
      <w:r w:rsidR="00DC61FF" w:rsidRPr="33750E9F">
        <w:rPr>
          <w:rFonts w:ascii="Times New Roman" w:hAnsi="Times New Roman" w:cs="Times New Roman"/>
          <w:sz w:val="24"/>
          <w:szCs w:val="24"/>
        </w:rPr>
        <w:t xml:space="preserve">when it </w:t>
      </w:r>
      <w:r w:rsidRPr="33750E9F">
        <w:rPr>
          <w:rFonts w:ascii="Times New Roman" w:hAnsi="Times New Roman" w:cs="Times New Roman"/>
          <w:sz w:val="24"/>
          <w:szCs w:val="24"/>
        </w:rPr>
        <w:t>should have been classified as ineligible (</w:t>
      </w:r>
      <w:r w:rsidR="00CD4A36" w:rsidRPr="33750E9F">
        <w:rPr>
          <w:rFonts w:ascii="Times New Roman" w:hAnsi="Times New Roman" w:cs="Times New Roman"/>
          <w:sz w:val="24"/>
          <w:szCs w:val="24"/>
        </w:rPr>
        <w:t xml:space="preserve">subsection </w:t>
      </w:r>
      <w:r w:rsidRPr="33750E9F">
        <w:rPr>
          <w:rFonts w:ascii="Times New Roman" w:hAnsi="Times New Roman" w:cs="Times New Roman"/>
          <w:sz w:val="24"/>
          <w:szCs w:val="24"/>
        </w:rPr>
        <w:t>21(1)(a)); or</w:t>
      </w:r>
    </w:p>
    <w:p w14:paraId="57B8643A" w14:textId="427D57F1" w:rsidR="00183D90" w:rsidRPr="00BF0FD0" w:rsidRDefault="00183D9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the classification of a mapping unit is not, or is no longer, </w:t>
      </w:r>
      <w:r w:rsidR="00DF758A" w:rsidRPr="33750E9F">
        <w:rPr>
          <w:rFonts w:ascii="Times New Roman" w:hAnsi="Times New Roman" w:cs="Times New Roman"/>
          <w:sz w:val="24"/>
          <w:szCs w:val="24"/>
        </w:rPr>
        <w:t xml:space="preserve">in accordance with the </w:t>
      </w:r>
      <w:r w:rsidR="00DF758A" w:rsidRPr="33750E9F">
        <w:rPr>
          <w:rFonts w:ascii="Times New Roman" w:hAnsi="Times New Roman" w:cs="Times New Roman"/>
          <w:i/>
          <w:iCs/>
          <w:sz w:val="24"/>
          <w:szCs w:val="24"/>
        </w:rPr>
        <w:t>Savanna Fire Management Methods (2025) Technical Guidance Document</w:t>
      </w:r>
      <w:r w:rsidR="00DF758A" w:rsidRPr="33750E9F">
        <w:rPr>
          <w:rFonts w:ascii="Times New Roman" w:hAnsi="Times New Roman" w:cs="Times New Roman"/>
          <w:sz w:val="24"/>
          <w:szCs w:val="24"/>
        </w:rPr>
        <w:t xml:space="preserve"> </w:t>
      </w:r>
      <w:r w:rsidRPr="33750E9F">
        <w:rPr>
          <w:rFonts w:ascii="Times New Roman" w:hAnsi="Times New Roman" w:cs="Times New Roman"/>
          <w:sz w:val="24"/>
          <w:szCs w:val="24"/>
        </w:rPr>
        <w:t>(</w:t>
      </w:r>
      <w:r w:rsidR="00CD4A36" w:rsidRPr="33750E9F">
        <w:rPr>
          <w:rFonts w:ascii="Times New Roman" w:hAnsi="Times New Roman" w:cs="Times New Roman"/>
          <w:sz w:val="24"/>
          <w:szCs w:val="24"/>
        </w:rPr>
        <w:t xml:space="preserve">subsection </w:t>
      </w:r>
      <w:r w:rsidRPr="33750E9F">
        <w:rPr>
          <w:rFonts w:ascii="Times New Roman" w:hAnsi="Times New Roman" w:cs="Times New Roman"/>
          <w:sz w:val="24"/>
          <w:szCs w:val="24"/>
        </w:rPr>
        <w:t>21(1)(b)).</w:t>
      </w:r>
    </w:p>
    <w:p w14:paraId="57E9F2EA" w14:textId="43BD27D0" w:rsidR="00183D90" w:rsidRPr="00183D90" w:rsidRDefault="00C92EA3"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Proponents may become aware of mapping units being incorrectly classified through a range of scenarios including as part of their</w:t>
      </w:r>
      <w:r w:rsidR="00183D90" w:rsidRPr="33750E9F">
        <w:rPr>
          <w:rFonts w:ascii="Times New Roman" w:hAnsi="Times New Roman" w:cs="Times New Roman"/>
          <w:sz w:val="24"/>
          <w:szCs w:val="24"/>
        </w:rPr>
        <w:t xml:space="preserve"> monitoring activities, audits, or other project assessments. </w:t>
      </w:r>
      <w:r w:rsidRPr="33750E9F">
        <w:rPr>
          <w:rFonts w:ascii="Times New Roman" w:hAnsi="Times New Roman" w:cs="Times New Roman"/>
          <w:sz w:val="24"/>
          <w:szCs w:val="24"/>
        </w:rPr>
        <w:t>The</w:t>
      </w:r>
      <w:r w:rsidR="00183D90" w:rsidRPr="33750E9F">
        <w:rPr>
          <w:rFonts w:ascii="Times New Roman" w:hAnsi="Times New Roman" w:cs="Times New Roman"/>
          <w:sz w:val="24"/>
          <w:szCs w:val="24"/>
        </w:rPr>
        <w:t xml:space="preserve"> proponent must </w:t>
      </w:r>
      <w:r w:rsidRPr="33750E9F">
        <w:rPr>
          <w:rFonts w:ascii="Times New Roman" w:hAnsi="Times New Roman" w:cs="Times New Roman"/>
          <w:sz w:val="24"/>
          <w:szCs w:val="24"/>
        </w:rPr>
        <w:t xml:space="preserve">then </w:t>
      </w:r>
      <w:r w:rsidR="00183D90" w:rsidRPr="33750E9F">
        <w:rPr>
          <w:rFonts w:ascii="Times New Roman" w:hAnsi="Times New Roman" w:cs="Times New Roman"/>
          <w:sz w:val="24"/>
          <w:szCs w:val="24"/>
        </w:rPr>
        <w:t>update the map to reflect the correct classification.</w:t>
      </w:r>
    </w:p>
    <w:p w14:paraId="664E079F" w14:textId="7F557588" w:rsidR="00183D90" w:rsidRPr="00183D90" w:rsidRDefault="00183D9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21(2) provides that a project proponent may revise a vegetation fuel type map if they become aware that a mapping unit previously classified as ineligible may now be classified with a vegetation fuel type, in accordance with the</w:t>
      </w:r>
      <w:r w:rsidR="00C907B3" w:rsidRPr="33750E9F">
        <w:rPr>
          <w:rFonts w:ascii="Times New Roman" w:hAnsi="Times New Roman" w:cs="Times New Roman"/>
          <w:sz w:val="24"/>
          <w:szCs w:val="24"/>
        </w:rPr>
        <w:t xml:space="preserve"> </w:t>
      </w:r>
      <w:r w:rsidRPr="33750E9F">
        <w:rPr>
          <w:rFonts w:ascii="Times New Roman" w:hAnsi="Times New Roman" w:cs="Times New Roman"/>
          <w:i/>
          <w:iCs/>
          <w:sz w:val="24"/>
          <w:szCs w:val="24"/>
        </w:rPr>
        <w:t>Savanna Fire Management Methods (2025) Technical Guidance Document</w:t>
      </w:r>
      <w:r w:rsidRPr="33750E9F">
        <w:rPr>
          <w:rFonts w:ascii="Times New Roman" w:hAnsi="Times New Roman" w:cs="Times New Roman"/>
          <w:sz w:val="24"/>
          <w:szCs w:val="24"/>
        </w:rPr>
        <w:t>. This allows for flexibility where vegetation conditions have changed or where new information becomes available</w:t>
      </w:r>
      <w:r w:rsidR="00390AC1" w:rsidRPr="33750E9F">
        <w:rPr>
          <w:rFonts w:ascii="Times New Roman" w:hAnsi="Times New Roman" w:cs="Times New Roman"/>
          <w:sz w:val="24"/>
          <w:szCs w:val="24"/>
        </w:rPr>
        <w:t xml:space="preserve"> but current measurements are still conservative</w:t>
      </w:r>
      <w:r w:rsidRPr="33750E9F">
        <w:rPr>
          <w:rFonts w:ascii="Times New Roman" w:hAnsi="Times New Roman" w:cs="Times New Roman"/>
          <w:sz w:val="24"/>
          <w:szCs w:val="24"/>
        </w:rPr>
        <w:t>.</w:t>
      </w:r>
    </w:p>
    <w:p w14:paraId="1253A972" w14:textId="1BBA1C29" w:rsidR="00183D90" w:rsidRPr="00183D90" w:rsidRDefault="00183D9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21(3) requires that any revised vegetation fuel type map must be validated in accordance with the</w:t>
      </w:r>
      <w:r w:rsidR="00877F86" w:rsidRPr="33750E9F">
        <w:rPr>
          <w:rFonts w:ascii="Times New Roman" w:hAnsi="Times New Roman" w:cs="Times New Roman"/>
          <w:sz w:val="24"/>
          <w:szCs w:val="24"/>
        </w:rPr>
        <w:t xml:space="preserve"> </w:t>
      </w:r>
      <w:r w:rsidRPr="33750E9F">
        <w:rPr>
          <w:rFonts w:ascii="Times New Roman" w:hAnsi="Times New Roman" w:cs="Times New Roman"/>
          <w:i/>
          <w:iCs/>
          <w:sz w:val="24"/>
          <w:szCs w:val="24"/>
        </w:rPr>
        <w:t>Savanna Fire Management Methods (2025) Technical Guidance Document</w:t>
      </w:r>
      <w:r w:rsidRPr="33750E9F">
        <w:rPr>
          <w:rFonts w:ascii="Times New Roman" w:hAnsi="Times New Roman" w:cs="Times New Roman"/>
          <w:sz w:val="24"/>
          <w:szCs w:val="24"/>
        </w:rPr>
        <w:t xml:space="preserve">. A note to this subsection </w:t>
      </w:r>
      <w:r w:rsidR="00DC1084" w:rsidRPr="33750E9F">
        <w:rPr>
          <w:rFonts w:ascii="Times New Roman" w:hAnsi="Times New Roman" w:cs="Times New Roman"/>
          <w:sz w:val="24"/>
          <w:szCs w:val="24"/>
        </w:rPr>
        <w:t>states</w:t>
      </w:r>
      <w:r w:rsidRPr="33750E9F">
        <w:rPr>
          <w:rFonts w:ascii="Times New Roman" w:hAnsi="Times New Roman" w:cs="Times New Roman"/>
          <w:sz w:val="24"/>
          <w:szCs w:val="24"/>
        </w:rPr>
        <w:t xml:space="preserve"> that if the area of land being revised constitutes a material proportion of the total project area, the entire </w:t>
      </w:r>
      <w:r w:rsidR="00E113F3" w:rsidRPr="33750E9F">
        <w:rPr>
          <w:rFonts w:ascii="Times New Roman" w:hAnsi="Times New Roman" w:cs="Times New Roman"/>
          <w:sz w:val="24"/>
          <w:szCs w:val="24"/>
        </w:rPr>
        <w:t xml:space="preserve">vegetation fuel </w:t>
      </w:r>
      <w:r w:rsidRPr="33750E9F">
        <w:rPr>
          <w:rFonts w:ascii="Times New Roman" w:hAnsi="Times New Roman" w:cs="Times New Roman"/>
          <w:sz w:val="24"/>
          <w:szCs w:val="24"/>
        </w:rPr>
        <w:t xml:space="preserve">map may need to be revalidated. The definition of a material proportion is provided in </w:t>
      </w:r>
      <w:r w:rsidR="00A33750">
        <w:rPr>
          <w:rFonts w:ascii="Times New Roman" w:hAnsi="Times New Roman" w:cs="Times New Roman"/>
          <w:sz w:val="24"/>
          <w:szCs w:val="24"/>
        </w:rPr>
        <w:t>t</w:t>
      </w:r>
      <w:r w:rsidR="00A33750" w:rsidRPr="33750E9F">
        <w:rPr>
          <w:rFonts w:ascii="Times New Roman" w:hAnsi="Times New Roman" w:cs="Times New Roman"/>
          <w:sz w:val="24"/>
          <w:szCs w:val="24"/>
        </w:rPr>
        <w:t xml:space="preserve">he </w:t>
      </w:r>
      <w:r w:rsidR="00A33750" w:rsidRPr="33750E9F">
        <w:rPr>
          <w:rFonts w:ascii="Times New Roman" w:hAnsi="Times New Roman" w:cs="Times New Roman"/>
          <w:i/>
          <w:iCs/>
          <w:sz w:val="24"/>
          <w:szCs w:val="24"/>
        </w:rPr>
        <w:t>Savanna Fire Management Methods (2025) Technical Guidance Document</w:t>
      </w:r>
      <w:r w:rsidR="00A33750" w:rsidRPr="33750E9F">
        <w:rPr>
          <w:rFonts w:ascii="Times New Roman" w:hAnsi="Times New Roman" w:cs="Times New Roman"/>
          <w:sz w:val="24"/>
          <w:szCs w:val="24"/>
        </w:rPr>
        <w:t>.</w:t>
      </w:r>
    </w:p>
    <w:p w14:paraId="2078863E" w14:textId="2A4B24E9" w:rsidR="00183D90" w:rsidRPr="00183D90" w:rsidRDefault="00183D90"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lastRenderedPageBreak/>
        <w:t>Subsection 21(4) sets out the timing requirements for completing revisions and validations</w:t>
      </w:r>
      <w:r w:rsidR="00F300C0" w:rsidRPr="165183F2">
        <w:rPr>
          <w:rFonts w:ascii="Times New Roman" w:hAnsi="Times New Roman" w:cs="Times New Roman"/>
          <w:sz w:val="24"/>
          <w:szCs w:val="24"/>
        </w:rPr>
        <w:t xml:space="preserve"> for</w:t>
      </w:r>
      <w:r w:rsidRPr="165183F2">
        <w:rPr>
          <w:rFonts w:ascii="Times New Roman" w:hAnsi="Times New Roman" w:cs="Times New Roman"/>
          <w:sz w:val="24"/>
          <w:szCs w:val="24"/>
        </w:rPr>
        <w:t>:</w:t>
      </w:r>
    </w:p>
    <w:p w14:paraId="4AC2B7FD" w14:textId="6A80377B" w:rsidR="00183D90" w:rsidRPr="00183D90" w:rsidRDefault="00183D90"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 xml:space="preserve">revisions required under subsection 21(1), the revised and validated map must be completed before submitting the offsets report for the reporting period </w:t>
      </w:r>
      <w:r w:rsidR="00ED24AE" w:rsidRPr="165183F2">
        <w:rPr>
          <w:rFonts w:ascii="Times New Roman" w:hAnsi="Times New Roman" w:cs="Times New Roman"/>
          <w:sz w:val="24"/>
          <w:szCs w:val="24"/>
        </w:rPr>
        <w:t xml:space="preserve">during </w:t>
      </w:r>
      <w:r w:rsidRPr="165183F2">
        <w:rPr>
          <w:rFonts w:ascii="Times New Roman" w:hAnsi="Times New Roman" w:cs="Times New Roman"/>
          <w:sz w:val="24"/>
          <w:szCs w:val="24"/>
        </w:rPr>
        <w:t>which the issue was identified (paragraph 21(4)(a))</w:t>
      </w:r>
      <w:r w:rsidR="00F300C0" w:rsidRPr="165183F2">
        <w:rPr>
          <w:rFonts w:ascii="Times New Roman" w:hAnsi="Times New Roman" w:cs="Times New Roman"/>
          <w:sz w:val="24"/>
          <w:szCs w:val="24"/>
        </w:rPr>
        <w:t>; and</w:t>
      </w:r>
    </w:p>
    <w:p w14:paraId="2B1938FB" w14:textId="6B5E8207" w:rsidR="00183D90" w:rsidRPr="00183D90" w:rsidRDefault="00183D90"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all other revisions, the revised and validated map must be completed before submitting the first offsets report that uses the revised map (paragraph 21(4)(b)).</w:t>
      </w:r>
    </w:p>
    <w:p w14:paraId="77FD11E6" w14:textId="524FE9E0" w:rsidR="0076059B" w:rsidRPr="00982930" w:rsidRDefault="00183D9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This ensures offsets reporting is based on accurate and validated vegetation fuel type data.</w:t>
      </w:r>
    </w:p>
    <w:p w14:paraId="42A4A80E" w14:textId="75859DB8" w:rsidR="0076059B" w:rsidRPr="00D034B5" w:rsidRDefault="007B25CF" w:rsidP="008103FF">
      <w:pPr>
        <w:keepNext/>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22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Vegetation fuel type map for subdivided project area </w:t>
      </w:r>
    </w:p>
    <w:p w14:paraId="3082A0A3" w14:textId="0AC31115" w:rsidR="008F6609" w:rsidRPr="008F6609" w:rsidRDefault="008F6609" w:rsidP="008103FF">
      <w:pPr>
        <w:keepNext/>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22(1) provides that </w:t>
      </w:r>
      <w:r w:rsidR="00F47A01">
        <w:rPr>
          <w:rFonts w:ascii="Times New Roman" w:hAnsi="Times New Roman" w:cs="Times New Roman"/>
          <w:sz w:val="24"/>
          <w:szCs w:val="24"/>
        </w:rPr>
        <w:t>section 22</w:t>
      </w:r>
      <w:r w:rsidRPr="33750E9F">
        <w:rPr>
          <w:rFonts w:ascii="Times New Roman" w:hAnsi="Times New Roman" w:cs="Times New Roman"/>
          <w:sz w:val="24"/>
          <w:szCs w:val="24"/>
        </w:rPr>
        <w:t xml:space="preserve"> applies where a vegetation fuel type map has already been created and validated, or revised and validated (where necessary), in accordance with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for a particular project area, and that project area is subsequently subdivided into two or more subdivided project areas.</w:t>
      </w:r>
    </w:p>
    <w:p w14:paraId="1E5956B9" w14:textId="77777777" w:rsidR="008F6609" w:rsidRPr="008F6609" w:rsidRDefault="008F660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There are various reasons a project proponent may choose to subdivide a project area, such as to transfer part of the area to a new project, or to exclude areas that have been cleared or contain weed species.</w:t>
      </w:r>
    </w:p>
    <w:p w14:paraId="6460B1F3" w14:textId="3701E50B" w:rsidR="008F6609" w:rsidRPr="008F6609" w:rsidRDefault="008F660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22(2) provides that the vegetation fuel type map for the original project area is taken to:</w:t>
      </w:r>
    </w:p>
    <w:p w14:paraId="6A02FAD4" w14:textId="7A49AA73" w:rsidR="00DA30A9" w:rsidRDefault="00AE40EE"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be a</w:t>
      </w:r>
      <w:r w:rsidR="00DA30A9">
        <w:rPr>
          <w:rFonts w:ascii="Times New Roman" w:hAnsi="Times New Roman" w:cs="Times New Roman"/>
          <w:sz w:val="24"/>
          <w:szCs w:val="24"/>
        </w:rPr>
        <w:t xml:space="preserve"> sin</w:t>
      </w:r>
      <w:r w:rsidR="008B4AD6">
        <w:rPr>
          <w:rFonts w:ascii="Times New Roman" w:hAnsi="Times New Roman" w:cs="Times New Roman"/>
          <w:sz w:val="24"/>
          <w:szCs w:val="24"/>
        </w:rPr>
        <w:t>gle map that relates to each subdivided project area</w:t>
      </w:r>
      <w:r w:rsidR="0075690D">
        <w:rPr>
          <w:rFonts w:ascii="Times New Roman" w:hAnsi="Times New Roman" w:cs="Times New Roman"/>
          <w:sz w:val="24"/>
          <w:szCs w:val="24"/>
        </w:rPr>
        <w:t xml:space="preserve"> (</w:t>
      </w:r>
      <w:r w:rsidR="0075690D" w:rsidRPr="0075690D">
        <w:rPr>
          <w:rFonts w:ascii="Times New Roman" w:hAnsi="Times New Roman" w:cs="Times New Roman"/>
          <w:sz w:val="24"/>
          <w:szCs w:val="24"/>
        </w:rPr>
        <w:t>subsection 22(2)(a)</w:t>
      </w:r>
      <w:r w:rsidR="0075690D">
        <w:rPr>
          <w:rFonts w:ascii="Times New Roman" w:hAnsi="Times New Roman" w:cs="Times New Roman"/>
          <w:sz w:val="24"/>
          <w:szCs w:val="24"/>
        </w:rPr>
        <w:t>)</w:t>
      </w:r>
      <w:r w:rsidR="00FC70B8">
        <w:rPr>
          <w:rFonts w:ascii="Times New Roman" w:hAnsi="Times New Roman" w:cs="Times New Roman"/>
          <w:sz w:val="24"/>
          <w:szCs w:val="24"/>
        </w:rPr>
        <w:t xml:space="preserve">; and </w:t>
      </w:r>
    </w:p>
    <w:p w14:paraId="2E50E26D" w14:textId="2684C161" w:rsidR="00FC70B8" w:rsidRDefault="0075690D"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have been created and </w:t>
      </w:r>
      <w:proofErr w:type="gramStart"/>
      <w:r>
        <w:rPr>
          <w:rFonts w:ascii="Times New Roman" w:hAnsi="Times New Roman" w:cs="Times New Roman"/>
          <w:sz w:val="24"/>
          <w:szCs w:val="24"/>
        </w:rPr>
        <w:t>validated, or</w:t>
      </w:r>
      <w:proofErr w:type="gramEnd"/>
      <w:r>
        <w:rPr>
          <w:rFonts w:ascii="Times New Roman" w:hAnsi="Times New Roman" w:cs="Times New Roman"/>
          <w:sz w:val="24"/>
          <w:szCs w:val="24"/>
        </w:rPr>
        <w:t xml:space="preserve"> revised and validated in accordance with the </w:t>
      </w:r>
      <w:r w:rsidR="004D74F5">
        <w:rPr>
          <w:rFonts w:ascii="Times New Roman" w:hAnsi="Times New Roman" w:cs="Times New Roman"/>
          <w:sz w:val="24"/>
          <w:szCs w:val="24"/>
        </w:rPr>
        <w:t>determination</w:t>
      </w:r>
      <w:r>
        <w:rPr>
          <w:rFonts w:ascii="Times New Roman" w:hAnsi="Times New Roman" w:cs="Times New Roman"/>
          <w:sz w:val="24"/>
          <w:szCs w:val="24"/>
        </w:rPr>
        <w:t xml:space="preserve"> (</w:t>
      </w:r>
      <w:r w:rsidRPr="0075690D">
        <w:rPr>
          <w:rFonts w:ascii="Times New Roman" w:hAnsi="Times New Roman" w:cs="Times New Roman"/>
          <w:sz w:val="24"/>
          <w:szCs w:val="24"/>
        </w:rPr>
        <w:t>subsection 22(2)(b)</w:t>
      </w:r>
      <w:r>
        <w:rPr>
          <w:rFonts w:ascii="Times New Roman" w:hAnsi="Times New Roman" w:cs="Times New Roman"/>
          <w:sz w:val="24"/>
          <w:szCs w:val="24"/>
        </w:rPr>
        <w:t>).</w:t>
      </w:r>
    </w:p>
    <w:p w14:paraId="27663634" w14:textId="125B0089" w:rsidR="0076059B" w:rsidRPr="00D034B5" w:rsidRDefault="0076059B" w:rsidP="008103FF">
      <w:pPr>
        <w:keepNext/>
        <w:spacing w:after="160" w:line="276" w:lineRule="auto"/>
        <w:rPr>
          <w:rFonts w:ascii="Times New Roman" w:hAnsi="Times New Roman" w:cs="Times New Roman"/>
          <w:b/>
          <w:sz w:val="24"/>
          <w:szCs w:val="24"/>
        </w:rPr>
      </w:pPr>
      <w:r w:rsidRPr="00D034B5">
        <w:rPr>
          <w:rFonts w:ascii="Times New Roman" w:hAnsi="Times New Roman" w:cs="Times New Roman"/>
          <w:b/>
          <w:sz w:val="24"/>
          <w:szCs w:val="24"/>
        </w:rPr>
        <w:t xml:space="preserve">Division 6—Newness and additionality </w:t>
      </w:r>
    </w:p>
    <w:p w14:paraId="173A3386" w14:textId="299156D7" w:rsidR="0076059B" w:rsidRPr="00D034B5" w:rsidRDefault="007B25CF"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23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 in lieu of newness requirement </w:t>
      </w:r>
    </w:p>
    <w:p w14:paraId="5FA1E9F6" w14:textId="5DF61EA8" w:rsidR="004B2AA7" w:rsidRPr="004B2AA7" w:rsidRDefault="004B2A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23(1)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provides that s</w:t>
      </w:r>
      <w:r w:rsidR="003A5EFF" w:rsidRPr="33750E9F">
        <w:rPr>
          <w:rFonts w:ascii="Times New Roman" w:hAnsi="Times New Roman" w:cs="Times New Roman"/>
          <w:sz w:val="24"/>
          <w:szCs w:val="24"/>
        </w:rPr>
        <w:t>ubs</w:t>
      </w:r>
      <w:r w:rsidRPr="33750E9F">
        <w:rPr>
          <w:rFonts w:ascii="Times New Roman" w:hAnsi="Times New Roman" w:cs="Times New Roman"/>
          <w:sz w:val="24"/>
          <w:szCs w:val="24"/>
        </w:rPr>
        <w:t>ection 23</w:t>
      </w:r>
      <w:r w:rsidR="003A5EFF" w:rsidRPr="33750E9F">
        <w:rPr>
          <w:rFonts w:ascii="Times New Roman" w:hAnsi="Times New Roman" w:cs="Times New Roman"/>
          <w:sz w:val="24"/>
          <w:szCs w:val="24"/>
        </w:rPr>
        <w:t>(2)</w:t>
      </w:r>
      <w:r w:rsidRPr="33750E9F">
        <w:rPr>
          <w:rFonts w:ascii="Times New Roman" w:hAnsi="Times New Roman" w:cs="Times New Roman"/>
          <w:sz w:val="24"/>
          <w:szCs w:val="24"/>
        </w:rPr>
        <w:t xml:space="preserve"> specifies </w:t>
      </w:r>
      <w:r w:rsidR="007E2E35" w:rsidRPr="33750E9F">
        <w:rPr>
          <w:rFonts w:ascii="Times New Roman" w:hAnsi="Times New Roman" w:cs="Times New Roman"/>
          <w:sz w:val="24"/>
          <w:szCs w:val="24"/>
        </w:rPr>
        <w:t xml:space="preserve">three possible </w:t>
      </w:r>
      <w:r w:rsidRPr="33750E9F">
        <w:rPr>
          <w:rFonts w:ascii="Times New Roman" w:hAnsi="Times New Roman" w:cs="Times New Roman"/>
          <w:sz w:val="24"/>
          <w:szCs w:val="24"/>
        </w:rPr>
        <w:t>requirement</w:t>
      </w:r>
      <w:r w:rsidR="007E2E35" w:rsidRPr="33750E9F">
        <w:rPr>
          <w:rFonts w:ascii="Times New Roman" w:hAnsi="Times New Roman" w:cs="Times New Roman"/>
          <w:sz w:val="24"/>
          <w:szCs w:val="24"/>
        </w:rPr>
        <w:t>s that can be used</w:t>
      </w:r>
      <w:r w:rsidRPr="33750E9F">
        <w:rPr>
          <w:rFonts w:ascii="Times New Roman" w:hAnsi="Times New Roman" w:cs="Times New Roman"/>
          <w:sz w:val="24"/>
          <w:szCs w:val="24"/>
        </w:rPr>
        <w:t xml:space="preserve"> in lieu of the newness requirement in the Act, as provided for in subparagraph 27(4</w:t>
      </w:r>
      <w:proofErr w:type="gramStart"/>
      <w:r w:rsidRPr="33750E9F">
        <w:rPr>
          <w:rFonts w:ascii="Times New Roman" w:hAnsi="Times New Roman" w:cs="Times New Roman"/>
          <w:sz w:val="24"/>
          <w:szCs w:val="24"/>
        </w:rPr>
        <w:t>A)(</w:t>
      </w:r>
      <w:proofErr w:type="gramEnd"/>
      <w:r w:rsidRPr="33750E9F">
        <w:rPr>
          <w:rFonts w:ascii="Times New Roman" w:hAnsi="Times New Roman" w:cs="Times New Roman"/>
          <w:sz w:val="24"/>
          <w:szCs w:val="24"/>
        </w:rPr>
        <w:t>a)(ii) of the</w:t>
      </w:r>
      <w:r w:rsidR="00877F86" w:rsidRPr="33750E9F">
        <w:rPr>
          <w:rFonts w:ascii="Times New Roman" w:hAnsi="Times New Roman" w:cs="Times New Roman"/>
          <w:sz w:val="24"/>
          <w:szCs w:val="24"/>
        </w:rPr>
        <w:t xml:space="preserve"> </w:t>
      </w:r>
      <w:r w:rsidR="00A33750" w:rsidRPr="00191689">
        <w:rPr>
          <w:rFonts w:ascii="Times New Roman" w:hAnsi="Times New Roman" w:cs="Times New Roman"/>
          <w:sz w:val="24"/>
          <w:szCs w:val="24"/>
        </w:rPr>
        <w:t>Act.</w:t>
      </w:r>
    </w:p>
    <w:p w14:paraId="2877FF64" w14:textId="37DBAFE3" w:rsidR="004B1C5C" w:rsidRDefault="004B1C5C"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The newness requirement is one of the ways </w:t>
      </w:r>
      <w:r w:rsidR="00B6497D" w:rsidRPr="33750E9F">
        <w:rPr>
          <w:rFonts w:ascii="Times New Roman" w:hAnsi="Times New Roman" w:cs="Times New Roman"/>
          <w:sz w:val="24"/>
          <w:szCs w:val="24"/>
        </w:rPr>
        <w:t xml:space="preserve">the Act </w:t>
      </w:r>
      <w:r w:rsidR="005369D3">
        <w:rPr>
          <w:rFonts w:ascii="Times New Roman" w:hAnsi="Times New Roman" w:cs="Times New Roman"/>
          <w:sz w:val="24"/>
          <w:szCs w:val="24"/>
        </w:rPr>
        <w:t>ensures</w:t>
      </w:r>
      <w:r w:rsidR="00573B50">
        <w:rPr>
          <w:rFonts w:ascii="Times New Roman" w:hAnsi="Times New Roman" w:cs="Times New Roman"/>
          <w:sz w:val="24"/>
          <w:szCs w:val="24"/>
        </w:rPr>
        <w:t xml:space="preserve"> ACCU</w:t>
      </w:r>
      <w:r w:rsidR="00B6497D" w:rsidRPr="33750E9F">
        <w:rPr>
          <w:rFonts w:ascii="Times New Roman" w:hAnsi="Times New Roman" w:cs="Times New Roman"/>
          <w:sz w:val="24"/>
          <w:szCs w:val="24"/>
        </w:rPr>
        <w:t xml:space="preserve"> methods </w:t>
      </w:r>
      <w:r w:rsidR="00890FC4">
        <w:rPr>
          <w:rFonts w:ascii="Times New Roman" w:hAnsi="Times New Roman" w:cs="Times New Roman"/>
          <w:sz w:val="24"/>
          <w:szCs w:val="24"/>
        </w:rPr>
        <w:t xml:space="preserve">only </w:t>
      </w:r>
      <w:r w:rsidR="00B6497D" w:rsidRPr="33750E9F">
        <w:rPr>
          <w:rFonts w:ascii="Times New Roman" w:hAnsi="Times New Roman" w:cs="Times New Roman"/>
          <w:sz w:val="24"/>
          <w:szCs w:val="24"/>
        </w:rPr>
        <w:t xml:space="preserve">credit additional </w:t>
      </w:r>
      <w:r w:rsidR="00A14F9C">
        <w:rPr>
          <w:rFonts w:ascii="Times New Roman" w:hAnsi="Times New Roman" w:cs="Times New Roman"/>
          <w:sz w:val="24"/>
          <w:szCs w:val="24"/>
        </w:rPr>
        <w:t>abatement</w:t>
      </w:r>
      <w:r w:rsidR="00B6497D" w:rsidRPr="33750E9F">
        <w:rPr>
          <w:rFonts w:ascii="Times New Roman" w:hAnsi="Times New Roman" w:cs="Times New Roman"/>
          <w:sz w:val="24"/>
          <w:szCs w:val="24"/>
        </w:rPr>
        <w:t xml:space="preserve">. </w:t>
      </w:r>
    </w:p>
    <w:p w14:paraId="6199687E" w14:textId="71997DB2" w:rsidR="004B2AA7" w:rsidRPr="00CA1357" w:rsidRDefault="004B2A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23(2) outlines three </w:t>
      </w:r>
      <w:r w:rsidR="007E2E35" w:rsidRPr="33750E9F">
        <w:rPr>
          <w:rFonts w:ascii="Times New Roman" w:hAnsi="Times New Roman" w:cs="Times New Roman"/>
          <w:sz w:val="24"/>
          <w:szCs w:val="24"/>
        </w:rPr>
        <w:t>alternative requirements</w:t>
      </w:r>
      <w:r w:rsidRPr="33750E9F">
        <w:rPr>
          <w:rFonts w:ascii="Times New Roman" w:hAnsi="Times New Roman" w:cs="Times New Roman"/>
          <w:sz w:val="24"/>
          <w:szCs w:val="24"/>
        </w:rPr>
        <w:t xml:space="preserve"> </w:t>
      </w:r>
      <w:r w:rsidR="007E2E35" w:rsidRPr="33750E9F">
        <w:rPr>
          <w:rFonts w:ascii="Times New Roman" w:hAnsi="Times New Roman" w:cs="Times New Roman"/>
          <w:sz w:val="24"/>
          <w:szCs w:val="24"/>
        </w:rPr>
        <w:t>for</w:t>
      </w:r>
      <w:r w:rsidRPr="33750E9F">
        <w:rPr>
          <w:rFonts w:ascii="Times New Roman" w:hAnsi="Times New Roman" w:cs="Times New Roman"/>
          <w:sz w:val="24"/>
          <w:szCs w:val="24"/>
        </w:rPr>
        <w:t xml:space="preserve"> </w:t>
      </w:r>
      <w:r w:rsidR="00C25E95" w:rsidRPr="33750E9F">
        <w:rPr>
          <w:rFonts w:ascii="Times New Roman" w:hAnsi="Times New Roman" w:cs="Times New Roman"/>
          <w:sz w:val="24"/>
          <w:szCs w:val="24"/>
        </w:rPr>
        <w:t>savanna sequestration projects</w:t>
      </w:r>
      <w:r w:rsidRPr="33750E9F">
        <w:rPr>
          <w:rFonts w:ascii="Times New Roman" w:hAnsi="Times New Roman" w:cs="Times New Roman"/>
          <w:sz w:val="24"/>
          <w:szCs w:val="24"/>
        </w:rPr>
        <w:t xml:space="preserve"> </w:t>
      </w:r>
      <w:r w:rsidR="007E2E35" w:rsidRPr="33750E9F">
        <w:rPr>
          <w:rFonts w:ascii="Times New Roman" w:hAnsi="Times New Roman" w:cs="Times New Roman"/>
          <w:sz w:val="24"/>
          <w:szCs w:val="24"/>
        </w:rPr>
        <w:t xml:space="preserve">in </w:t>
      </w:r>
      <w:r w:rsidRPr="33750E9F">
        <w:rPr>
          <w:rFonts w:ascii="Times New Roman" w:hAnsi="Times New Roman" w:cs="Times New Roman"/>
          <w:sz w:val="24"/>
          <w:szCs w:val="24"/>
        </w:rPr>
        <w:t>lieu of the newness requirement:</w:t>
      </w:r>
    </w:p>
    <w:p w14:paraId="554A99B7" w14:textId="25646979" w:rsidR="004B2AA7" w:rsidRPr="002C5741" w:rsidRDefault="004B2AA7"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Paragraph 23(2)(a)</w:t>
      </w:r>
      <w:r w:rsidR="00877F86" w:rsidRPr="165183F2">
        <w:rPr>
          <w:rFonts w:ascii="Times New Roman" w:hAnsi="Times New Roman" w:cs="Times New Roman"/>
          <w:sz w:val="24"/>
          <w:szCs w:val="24"/>
        </w:rPr>
        <w:t xml:space="preserve"> </w:t>
      </w:r>
      <w:r w:rsidR="00757115" w:rsidRPr="165183F2">
        <w:rPr>
          <w:rFonts w:ascii="Times New Roman" w:hAnsi="Times New Roman" w:cs="Times New Roman"/>
          <w:sz w:val="24"/>
          <w:szCs w:val="24"/>
        </w:rPr>
        <w:t xml:space="preserve">requires </w:t>
      </w:r>
      <w:r w:rsidRPr="165183F2">
        <w:rPr>
          <w:rFonts w:ascii="Times New Roman" w:hAnsi="Times New Roman" w:cs="Times New Roman"/>
          <w:sz w:val="24"/>
          <w:szCs w:val="24"/>
        </w:rPr>
        <w:t>that the project area be a</w:t>
      </w:r>
      <w:r w:rsidR="00877F86" w:rsidRPr="165183F2">
        <w:rPr>
          <w:rFonts w:ascii="Times New Roman" w:hAnsi="Times New Roman" w:cs="Times New Roman"/>
          <w:sz w:val="24"/>
          <w:szCs w:val="24"/>
        </w:rPr>
        <w:t xml:space="preserve"> </w:t>
      </w:r>
      <w:r w:rsidRPr="165183F2">
        <w:rPr>
          <w:rFonts w:ascii="Times New Roman" w:hAnsi="Times New Roman" w:cs="Times New Roman"/>
          <w:b/>
          <w:bCs/>
          <w:i/>
          <w:iCs/>
          <w:sz w:val="24"/>
          <w:szCs w:val="24"/>
        </w:rPr>
        <w:t>transferring project area</w:t>
      </w:r>
      <w:r w:rsidRPr="165183F2">
        <w:rPr>
          <w:rFonts w:ascii="Times New Roman" w:hAnsi="Times New Roman" w:cs="Times New Roman"/>
          <w:sz w:val="24"/>
          <w:szCs w:val="24"/>
        </w:rPr>
        <w:t>. This</w:t>
      </w:r>
      <w:r w:rsidR="00CA1357" w:rsidRPr="165183F2">
        <w:rPr>
          <w:rFonts w:ascii="Times New Roman" w:hAnsi="Times New Roman" w:cs="Times New Roman"/>
          <w:sz w:val="24"/>
          <w:szCs w:val="24"/>
        </w:rPr>
        <w:t xml:space="preserve"> recognises that proponents operating projects under </w:t>
      </w:r>
      <w:r w:rsidR="00FB6154" w:rsidRPr="165183F2">
        <w:rPr>
          <w:rFonts w:ascii="Times New Roman" w:hAnsi="Times New Roman" w:cs="Times New Roman"/>
          <w:sz w:val="24"/>
          <w:szCs w:val="24"/>
        </w:rPr>
        <w:t xml:space="preserve">a previous </w:t>
      </w:r>
      <w:r w:rsidR="00C13A21" w:rsidRPr="165183F2">
        <w:rPr>
          <w:rFonts w:ascii="Times New Roman" w:hAnsi="Times New Roman" w:cs="Times New Roman"/>
          <w:sz w:val="24"/>
          <w:szCs w:val="24"/>
        </w:rPr>
        <w:t>savanna emissions avoidance determination</w:t>
      </w:r>
      <w:r w:rsidR="00FB6154" w:rsidRPr="165183F2">
        <w:rPr>
          <w:rFonts w:ascii="Times New Roman" w:hAnsi="Times New Roman" w:cs="Times New Roman"/>
          <w:sz w:val="24"/>
          <w:szCs w:val="24"/>
        </w:rPr>
        <w:t xml:space="preserve"> </w:t>
      </w:r>
      <w:r w:rsidR="00CA1357" w:rsidRPr="165183F2">
        <w:rPr>
          <w:rFonts w:ascii="Times New Roman" w:hAnsi="Times New Roman" w:cs="Times New Roman"/>
          <w:sz w:val="24"/>
          <w:szCs w:val="24"/>
        </w:rPr>
        <w:t xml:space="preserve">may transfer to </w:t>
      </w:r>
      <w:r w:rsidR="0066508D"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B6497D" w:rsidRPr="165183F2">
        <w:rPr>
          <w:rFonts w:ascii="Times New Roman" w:hAnsi="Times New Roman" w:cs="Times New Roman"/>
          <w:sz w:val="24"/>
          <w:szCs w:val="24"/>
        </w:rPr>
        <w:t xml:space="preserve"> because </w:t>
      </w:r>
      <w:r w:rsidR="0066508D"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w:t>
      </w:r>
      <w:r w:rsidR="00B6497D" w:rsidRPr="165183F2">
        <w:rPr>
          <w:rFonts w:ascii="Times New Roman" w:hAnsi="Times New Roman" w:cs="Times New Roman"/>
          <w:sz w:val="24"/>
          <w:szCs w:val="24"/>
        </w:rPr>
        <w:t xml:space="preserve">etermination has measures in place to ensure </w:t>
      </w:r>
      <w:r w:rsidR="00952A54" w:rsidRPr="165183F2">
        <w:rPr>
          <w:rFonts w:ascii="Times New Roman" w:hAnsi="Times New Roman" w:cs="Times New Roman"/>
          <w:sz w:val="24"/>
          <w:szCs w:val="24"/>
        </w:rPr>
        <w:t xml:space="preserve">it can appropriately calculate and credit additional emissions reductions </w:t>
      </w:r>
      <w:r w:rsidR="00B73930" w:rsidRPr="165183F2">
        <w:rPr>
          <w:rFonts w:ascii="Times New Roman" w:hAnsi="Times New Roman" w:cs="Times New Roman"/>
          <w:sz w:val="24"/>
          <w:szCs w:val="24"/>
        </w:rPr>
        <w:t>for these types of projects</w:t>
      </w:r>
      <w:r w:rsidR="00142565" w:rsidRPr="165183F2">
        <w:rPr>
          <w:rFonts w:ascii="Times New Roman" w:hAnsi="Times New Roman" w:cs="Times New Roman"/>
          <w:sz w:val="24"/>
          <w:szCs w:val="24"/>
        </w:rPr>
        <w:t xml:space="preserve"> with transferring project areas</w:t>
      </w:r>
      <w:r w:rsidR="00CA1357" w:rsidRPr="165183F2">
        <w:rPr>
          <w:rFonts w:ascii="Times New Roman" w:hAnsi="Times New Roman" w:cs="Times New Roman"/>
          <w:sz w:val="24"/>
          <w:szCs w:val="24"/>
        </w:rPr>
        <w:t xml:space="preserve">. </w:t>
      </w:r>
    </w:p>
    <w:p w14:paraId="29F7E98F" w14:textId="1DFA7D69" w:rsidR="004B2AA7" w:rsidRPr="002C5741" w:rsidRDefault="004B2A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lastRenderedPageBreak/>
        <w:t>Paragraph 23(2)(b)</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provides that the project area must not have had any project covered by a savanna fire management determination or by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undertaken in any part of the project area. </w:t>
      </w:r>
    </w:p>
    <w:p w14:paraId="26C7D1E4" w14:textId="6738BA7D" w:rsidR="004B2AA7" w:rsidRPr="004B2AA7" w:rsidRDefault="004B2AA7"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Paragraph 23(2)(c)</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 xml:space="preserve">allows for a project area that has previously been part of a project under a savanna fire management determination or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provided no </w:t>
      </w:r>
      <w:r w:rsidR="004D4041" w:rsidRPr="165183F2">
        <w:rPr>
          <w:rFonts w:ascii="Times New Roman" w:hAnsi="Times New Roman" w:cs="Times New Roman"/>
          <w:sz w:val="24"/>
          <w:szCs w:val="24"/>
        </w:rPr>
        <w:t>ACCUs</w:t>
      </w:r>
      <w:r w:rsidRPr="165183F2">
        <w:rPr>
          <w:rFonts w:ascii="Times New Roman" w:hAnsi="Times New Roman" w:cs="Times New Roman"/>
          <w:sz w:val="24"/>
          <w:szCs w:val="24"/>
        </w:rPr>
        <w:t xml:space="preserve"> were issued in relation to any part of the project area during that time. This provision is intended to accommodate situations where a project was registered but revoked before any ACCUs were issued, allowing the area to be treated as new for the purposes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w:t>
      </w:r>
    </w:p>
    <w:p w14:paraId="05E7D61C" w14:textId="6952A2DF" w:rsidR="004C108E" w:rsidRDefault="004C108E"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These requirement</w:t>
      </w:r>
      <w:r w:rsidR="003162F0" w:rsidRPr="165183F2">
        <w:rPr>
          <w:rFonts w:ascii="Times New Roman" w:hAnsi="Times New Roman" w:cs="Times New Roman"/>
          <w:sz w:val="24"/>
          <w:szCs w:val="24"/>
        </w:rPr>
        <w:t>s</w:t>
      </w:r>
      <w:r w:rsidRPr="165183F2">
        <w:rPr>
          <w:rFonts w:ascii="Times New Roman" w:hAnsi="Times New Roman" w:cs="Times New Roman"/>
          <w:sz w:val="24"/>
          <w:szCs w:val="24"/>
        </w:rPr>
        <w:t xml:space="preserve"> in lieu of the newness requirement</w:t>
      </w:r>
      <w:r w:rsidR="003162F0" w:rsidRPr="165183F2">
        <w:rPr>
          <w:rFonts w:ascii="Times New Roman" w:hAnsi="Times New Roman" w:cs="Times New Roman"/>
          <w:sz w:val="24"/>
          <w:szCs w:val="24"/>
        </w:rPr>
        <w:t xml:space="preserve"> will allow most types of </w:t>
      </w:r>
      <w:r w:rsidR="00497F09" w:rsidRPr="165183F2">
        <w:rPr>
          <w:rFonts w:ascii="Times New Roman" w:hAnsi="Times New Roman" w:cs="Times New Roman"/>
          <w:sz w:val="24"/>
          <w:szCs w:val="24"/>
        </w:rPr>
        <w:t xml:space="preserve">previous </w:t>
      </w:r>
      <w:r w:rsidR="003162F0" w:rsidRPr="165183F2">
        <w:rPr>
          <w:rFonts w:ascii="Times New Roman" w:hAnsi="Times New Roman" w:cs="Times New Roman"/>
          <w:sz w:val="24"/>
          <w:szCs w:val="24"/>
        </w:rPr>
        <w:t>activity</w:t>
      </w:r>
      <w:r w:rsidR="00142EEC" w:rsidRPr="165183F2">
        <w:rPr>
          <w:rFonts w:ascii="Times New Roman" w:hAnsi="Times New Roman" w:cs="Times New Roman"/>
          <w:sz w:val="24"/>
          <w:szCs w:val="24"/>
        </w:rPr>
        <w:t xml:space="preserve"> at a </w:t>
      </w:r>
      <w:r w:rsidR="00D40D04" w:rsidRPr="165183F2">
        <w:rPr>
          <w:rFonts w:ascii="Times New Roman" w:hAnsi="Times New Roman" w:cs="Times New Roman"/>
          <w:sz w:val="24"/>
          <w:szCs w:val="24"/>
        </w:rPr>
        <w:t xml:space="preserve">project </w:t>
      </w:r>
      <w:r w:rsidR="00142EEC" w:rsidRPr="165183F2">
        <w:rPr>
          <w:rFonts w:ascii="Times New Roman" w:hAnsi="Times New Roman" w:cs="Times New Roman"/>
          <w:sz w:val="24"/>
          <w:szCs w:val="24"/>
        </w:rPr>
        <w:t>site</w:t>
      </w:r>
      <w:r w:rsidR="00010E7B" w:rsidRPr="165183F2">
        <w:rPr>
          <w:rFonts w:ascii="Times New Roman" w:hAnsi="Times New Roman" w:cs="Times New Roman"/>
          <w:sz w:val="24"/>
          <w:szCs w:val="24"/>
        </w:rPr>
        <w:t xml:space="preserve"> and </w:t>
      </w:r>
      <w:r w:rsidR="00374DAE" w:rsidRPr="165183F2">
        <w:rPr>
          <w:rFonts w:ascii="Times New Roman" w:hAnsi="Times New Roman" w:cs="Times New Roman"/>
          <w:sz w:val="24"/>
          <w:szCs w:val="24"/>
        </w:rPr>
        <w:t>meet the OIS</w:t>
      </w:r>
      <w:r w:rsidRPr="165183F2">
        <w:rPr>
          <w:rFonts w:ascii="Times New Roman" w:hAnsi="Times New Roman" w:cs="Times New Roman"/>
          <w:sz w:val="24"/>
          <w:szCs w:val="24"/>
        </w:rPr>
        <w:t xml:space="preserve"> because </w:t>
      </w:r>
      <w:r w:rsidR="00A31F62" w:rsidRPr="165183F2">
        <w:rPr>
          <w:rFonts w:ascii="Times New Roman" w:hAnsi="Times New Roman" w:cs="Times New Roman"/>
          <w:sz w:val="24"/>
          <w:szCs w:val="24"/>
        </w:rPr>
        <w:t xml:space="preserve">of </w:t>
      </w:r>
      <w:r w:rsidRPr="165183F2">
        <w:rPr>
          <w:rFonts w:ascii="Times New Roman" w:hAnsi="Times New Roman" w:cs="Times New Roman"/>
          <w:sz w:val="24"/>
          <w:szCs w:val="24"/>
        </w:rPr>
        <w:t xml:space="preserve">the way in which 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determines baseline conditions</w:t>
      </w:r>
      <w:r w:rsidR="00A31F62" w:rsidRPr="165183F2">
        <w:rPr>
          <w:rFonts w:ascii="Times New Roman" w:hAnsi="Times New Roman" w:cs="Times New Roman"/>
          <w:sz w:val="24"/>
          <w:szCs w:val="24"/>
        </w:rPr>
        <w:t>. The</w:t>
      </w:r>
      <w:r w:rsidR="00CB4B6A" w:rsidRPr="165183F2">
        <w:rPr>
          <w:rFonts w:ascii="Times New Roman" w:hAnsi="Times New Roman" w:cs="Times New Roman"/>
          <w:sz w:val="24"/>
          <w:szCs w:val="24"/>
        </w:rPr>
        <w:t>se baseline conditions ensure only additional emissions reductions are calculated even in circumstances</w:t>
      </w:r>
      <w:r w:rsidRPr="165183F2">
        <w:rPr>
          <w:rFonts w:ascii="Times New Roman" w:hAnsi="Times New Roman" w:cs="Times New Roman"/>
          <w:sz w:val="24"/>
          <w:szCs w:val="24"/>
        </w:rPr>
        <w:t xml:space="preserve"> where there </w:t>
      </w:r>
      <w:r w:rsidR="00CB4B6A" w:rsidRPr="165183F2">
        <w:rPr>
          <w:rFonts w:ascii="Times New Roman" w:hAnsi="Times New Roman" w:cs="Times New Roman"/>
          <w:sz w:val="24"/>
          <w:szCs w:val="24"/>
        </w:rPr>
        <w:t>has been</w:t>
      </w:r>
      <w:r w:rsidRPr="165183F2">
        <w:rPr>
          <w:rFonts w:ascii="Times New Roman" w:hAnsi="Times New Roman" w:cs="Times New Roman"/>
          <w:sz w:val="24"/>
          <w:szCs w:val="24"/>
        </w:rPr>
        <w:t xml:space="preserve"> </w:t>
      </w:r>
      <w:r w:rsidR="00CB4B6A" w:rsidRPr="165183F2">
        <w:rPr>
          <w:rFonts w:ascii="Times New Roman" w:hAnsi="Times New Roman" w:cs="Times New Roman"/>
          <w:sz w:val="24"/>
          <w:szCs w:val="24"/>
        </w:rPr>
        <w:t>previous</w:t>
      </w:r>
      <w:r w:rsidRPr="165183F2">
        <w:rPr>
          <w:rFonts w:ascii="Times New Roman" w:hAnsi="Times New Roman" w:cs="Times New Roman"/>
          <w:sz w:val="24"/>
          <w:szCs w:val="24"/>
        </w:rPr>
        <w:t xml:space="preserve"> fire activity in an area.</w:t>
      </w:r>
      <w:r w:rsidR="00142EEC" w:rsidRPr="165183F2">
        <w:rPr>
          <w:rFonts w:ascii="Times New Roman" w:hAnsi="Times New Roman" w:cs="Times New Roman"/>
          <w:sz w:val="24"/>
          <w:szCs w:val="24"/>
        </w:rPr>
        <w:t xml:space="preserve"> </w:t>
      </w:r>
    </w:p>
    <w:p w14:paraId="5ACBE17B" w14:textId="3EBC21BF" w:rsidR="004B2AA7" w:rsidRPr="004B2AA7" w:rsidRDefault="004B2A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A note following subsection 23(2) explains that where paragraph 23(2)(c) applies, some provisions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will operate in a modified manner to account for the earlier project activity. These modifications are set out in subsection 23(3).</w:t>
      </w:r>
    </w:p>
    <w:p w14:paraId="5A961ABA" w14:textId="50BEE7EA" w:rsidR="004B2AA7" w:rsidRPr="004B2AA7" w:rsidRDefault="004B2A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23(3) specifies how certain provisions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are to be applied differently for project areas that meet the condition in paragraph 23(2)(c):</w:t>
      </w:r>
    </w:p>
    <w:p w14:paraId="4B8C32C0" w14:textId="637E7A44" w:rsidR="004B2AA7" w:rsidRPr="002C5741" w:rsidRDefault="004B2A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Paragraph 23(3)(a)</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provides that, for the purposes of subsection 13(</w:t>
      </w:r>
      <w:r w:rsidR="00F60EFD" w:rsidRPr="33750E9F">
        <w:rPr>
          <w:rFonts w:ascii="Times New Roman" w:hAnsi="Times New Roman" w:cs="Times New Roman"/>
          <w:sz w:val="24"/>
          <w:szCs w:val="24"/>
        </w:rPr>
        <w:t>3</w:t>
      </w:r>
      <w:r w:rsidRPr="33750E9F">
        <w:rPr>
          <w:rFonts w:ascii="Times New Roman" w:hAnsi="Times New Roman" w:cs="Times New Roman"/>
          <w:sz w:val="24"/>
          <w:szCs w:val="24"/>
        </w:rPr>
        <w:t xml:space="preserve">) (which relates to the relevant application date for determining vegetation fuel type eligibility), the section 22 or section 29 application in which the project area was first identified is to be disregarded. This allows the project to be treated as if it were newly registered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w:t>
      </w:r>
    </w:p>
    <w:p w14:paraId="5C83E024" w14:textId="6F341522" w:rsidR="004B2AA7" w:rsidRPr="002C5741" w:rsidRDefault="004B2A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Paragraph 23(3)(b)</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provides that, for the purposes of subsection 26(1) (which defines a transferring project area), the earlier project </w:t>
      </w:r>
      <w:r w:rsidR="00102B5E" w:rsidRPr="33750E9F">
        <w:rPr>
          <w:rFonts w:ascii="Times New Roman" w:hAnsi="Times New Roman" w:cs="Times New Roman"/>
          <w:sz w:val="24"/>
          <w:szCs w:val="24"/>
        </w:rPr>
        <w:t xml:space="preserve">from which a project transfers </w:t>
      </w:r>
      <w:r w:rsidRPr="33750E9F">
        <w:rPr>
          <w:rFonts w:ascii="Times New Roman" w:hAnsi="Times New Roman" w:cs="Times New Roman"/>
          <w:sz w:val="24"/>
          <w:szCs w:val="24"/>
        </w:rPr>
        <w:t xml:space="preserve">is to be disregarded. This ensures the project area is not treated as a transferring project area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w:t>
      </w:r>
    </w:p>
    <w:p w14:paraId="4A3AB09A" w14:textId="7E520EC4" w:rsidR="004B2AA7" w:rsidRPr="004B2AA7" w:rsidRDefault="004B2A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Paragraph 23(3)(c)</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provides that, for the purposes of paragraph 3(1)(a) of Schedule 1 and paragraph 3(1)(a) of Schedule 2 (which relate to the calculation of uncertainty buffers and carry-over amounts), any values previously calculated for the project area are to be disregarded. </w:t>
      </w:r>
    </w:p>
    <w:p w14:paraId="2ED74BDC" w14:textId="7C2093C5" w:rsidR="0076059B" w:rsidRPr="00982930" w:rsidRDefault="004B2A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The effect of subsection 23(3) is to ensure that, aside from satisfying the requirement in lieu of newness, the earlier project is generally treated as if it had not occurred for the purposes of the provisions listed. </w:t>
      </w:r>
    </w:p>
    <w:p w14:paraId="148608E5" w14:textId="436C1029" w:rsidR="0076059B" w:rsidRPr="00C355BE" w:rsidRDefault="002C5741" w:rsidP="165183F2">
      <w:pPr>
        <w:keepNext/>
        <w:spacing w:after="160" w:line="276" w:lineRule="auto"/>
        <w:rPr>
          <w:rFonts w:ascii="Times New Roman" w:hAnsi="Times New Roman" w:cs="Times New Roman"/>
          <w:sz w:val="24"/>
          <w:szCs w:val="24"/>
          <w:u w:val="single"/>
        </w:rPr>
      </w:pPr>
      <w:r w:rsidRPr="165183F2">
        <w:rPr>
          <w:rFonts w:ascii="Times New Roman" w:hAnsi="Times New Roman" w:cs="Times New Roman"/>
          <w:sz w:val="24"/>
          <w:szCs w:val="24"/>
          <w:u w:val="single"/>
        </w:rPr>
        <w:lastRenderedPageBreak/>
        <w:t xml:space="preserve">Section </w:t>
      </w:r>
      <w:r w:rsidR="0076059B" w:rsidRPr="165183F2">
        <w:rPr>
          <w:rFonts w:ascii="Times New Roman" w:hAnsi="Times New Roman" w:cs="Times New Roman"/>
          <w:sz w:val="24"/>
          <w:szCs w:val="24"/>
          <w:u w:val="single"/>
        </w:rPr>
        <w:t xml:space="preserve">24 </w:t>
      </w:r>
      <w:r w:rsidRPr="165183F2">
        <w:rPr>
          <w:rFonts w:ascii="Times New Roman" w:hAnsi="Times New Roman" w:cs="Times New Roman"/>
          <w:sz w:val="24"/>
          <w:szCs w:val="24"/>
          <w:u w:val="single"/>
        </w:rPr>
        <w:t xml:space="preserve">– </w:t>
      </w:r>
      <w:r w:rsidR="0076059B" w:rsidRPr="165183F2">
        <w:rPr>
          <w:rFonts w:ascii="Times New Roman" w:hAnsi="Times New Roman" w:cs="Times New Roman"/>
          <w:sz w:val="24"/>
          <w:szCs w:val="24"/>
          <w:u w:val="single"/>
        </w:rPr>
        <w:t xml:space="preserve">Requirement in lieu of additionality requirement </w:t>
      </w:r>
    </w:p>
    <w:p w14:paraId="42CBE185" w14:textId="06F5792A" w:rsidR="00727574" w:rsidRPr="00727574" w:rsidRDefault="0072757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w:t>
      </w:r>
      <w:r w:rsidR="00881A08" w:rsidRPr="33750E9F">
        <w:rPr>
          <w:rFonts w:ascii="Times New Roman" w:hAnsi="Times New Roman" w:cs="Times New Roman"/>
          <w:sz w:val="24"/>
          <w:szCs w:val="24"/>
        </w:rPr>
        <w:t>4</w:t>
      </w:r>
      <w:r w:rsidRPr="33750E9F">
        <w:rPr>
          <w:rFonts w:ascii="Times New Roman" w:hAnsi="Times New Roman" w:cs="Times New Roman"/>
          <w:sz w:val="24"/>
          <w:szCs w:val="24"/>
        </w:rPr>
        <w:t xml:space="preserve">(1) provides that </w:t>
      </w:r>
      <w:r w:rsidR="001E3F8E" w:rsidRPr="33750E9F">
        <w:rPr>
          <w:rFonts w:ascii="Times New Roman" w:hAnsi="Times New Roman" w:cs="Times New Roman"/>
          <w:sz w:val="24"/>
          <w:szCs w:val="24"/>
        </w:rPr>
        <w:t>Sub</w:t>
      </w:r>
      <w:r w:rsidRPr="33750E9F">
        <w:rPr>
          <w:rFonts w:ascii="Times New Roman" w:hAnsi="Times New Roman" w:cs="Times New Roman"/>
          <w:sz w:val="24"/>
          <w:szCs w:val="24"/>
        </w:rPr>
        <w:t>section 2</w:t>
      </w:r>
      <w:r w:rsidR="00881A08" w:rsidRPr="33750E9F">
        <w:rPr>
          <w:rFonts w:ascii="Times New Roman" w:hAnsi="Times New Roman" w:cs="Times New Roman"/>
          <w:sz w:val="24"/>
          <w:szCs w:val="24"/>
        </w:rPr>
        <w:t>4</w:t>
      </w:r>
      <w:r w:rsidR="001E3F8E" w:rsidRPr="33750E9F">
        <w:rPr>
          <w:rFonts w:ascii="Times New Roman" w:hAnsi="Times New Roman" w:cs="Times New Roman"/>
          <w:sz w:val="24"/>
          <w:szCs w:val="24"/>
        </w:rPr>
        <w:t>(2)</w:t>
      </w:r>
      <w:r w:rsidRPr="33750E9F">
        <w:rPr>
          <w:rFonts w:ascii="Times New Roman" w:hAnsi="Times New Roman" w:cs="Times New Roman"/>
          <w:sz w:val="24"/>
          <w:szCs w:val="24"/>
        </w:rPr>
        <w:t xml:space="preserve"> specifies a requirement in lieu of the regulatory additionality requirement in the Act, as provided for in subparagraph 27(4</w:t>
      </w:r>
      <w:proofErr w:type="gramStart"/>
      <w:r w:rsidRPr="33750E9F">
        <w:rPr>
          <w:rFonts w:ascii="Times New Roman" w:hAnsi="Times New Roman" w:cs="Times New Roman"/>
          <w:sz w:val="24"/>
          <w:szCs w:val="24"/>
        </w:rPr>
        <w:t>A)(</w:t>
      </w:r>
      <w:proofErr w:type="gramEnd"/>
      <w:r w:rsidRPr="33750E9F">
        <w:rPr>
          <w:rFonts w:ascii="Times New Roman" w:hAnsi="Times New Roman" w:cs="Times New Roman"/>
          <w:sz w:val="24"/>
          <w:szCs w:val="24"/>
        </w:rPr>
        <w:t>b)(ii) of the Act.</w:t>
      </w:r>
    </w:p>
    <w:p w14:paraId="22978336" w14:textId="6931847F" w:rsidR="00727574" w:rsidRPr="00727574" w:rsidRDefault="00727574"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Subsection 2</w:t>
      </w:r>
      <w:r w:rsidR="00881A08" w:rsidRPr="165183F2">
        <w:rPr>
          <w:rFonts w:ascii="Times New Roman" w:hAnsi="Times New Roman" w:cs="Times New Roman"/>
          <w:sz w:val="24"/>
          <w:szCs w:val="24"/>
        </w:rPr>
        <w:t>4</w:t>
      </w:r>
      <w:r w:rsidRPr="165183F2">
        <w:rPr>
          <w:rFonts w:ascii="Times New Roman" w:hAnsi="Times New Roman" w:cs="Times New Roman"/>
          <w:sz w:val="24"/>
          <w:szCs w:val="24"/>
        </w:rPr>
        <w:t xml:space="preserve">(2)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w:t>
      </w:r>
      <w:r w:rsidR="00813453" w:rsidRPr="165183F2">
        <w:rPr>
          <w:rFonts w:ascii="Times New Roman" w:hAnsi="Times New Roman" w:cs="Times New Roman"/>
          <w:sz w:val="24"/>
          <w:szCs w:val="24"/>
        </w:rPr>
        <w:t xml:space="preserve">states </w:t>
      </w:r>
      <w:r w:rsidRPr="165183F2">
        <w:rPr>
          <w:rFonts w:ascii="Times New Roman" w:hAnsi="Times New Roman" w:cs="Times New Roman"/>
          <w:sz w:val="24"/>
          <w:szCs w:val="24"/>
        </w:rPr>
        <w:t xml:space="preserve">that </w:t>
      </w:r>
      <w:r w:rsidR="00FA1AEB" w:rsidRPr="165183F2">
        <w:rPr>
          <w:rFonts w:ascii="Times New Roman" w:hAnsi="Times New Roman" w:cs="Times New Roman"/>
          <w:sz w:val="24"/>
          <w:szCs w:val="24"/>
        </w:rPr>
        <w:t>a</w:t>
      </w:r>
      <w:r w:rsidRPr="165183F2">
        <w:rPr>
          <w:rFonts w:ascii="Times New Roman" w:hAnsi="Times New Roman" w:cs="Times New Roman"/>
          <w:sz w:val="24"/>
          <w:szCs w:val="24"/>
        </w:rPr>
        <w:t xml:space="preserve"> project must not include land where it is required by or under a law of the Commonwealth, a State or Territory to carry out fire management for the primary purpose of reducing emissions from fire or sequestering carbon in </w:t>
      </w:r>
      <w:r w:rsidR="00881A08" w:rsidRPr="165183F2">
        <w:rPr>
          <w:rFonts w:ascii="Times New Roman" w:hAnsi="Times New Roman" w:cs="Times New Roman"/>
          <w:sz w:val="24"/>
          <w:szCs w:val="24"/>
        </w:rPr>
        <w:t xml:space="preserve">living </w:t>
      </w:r>
      <w:r w:rsidR="0077219E" w:rsidRPr="165183F2">
        <w:rPr>
          <w:rFonts w:ascii="Times New Roman" w:hAnsi="Times New Roman" w:cs="Times New Roman"/>
          <w:sz w:val="24"/>
          <w:szCs w:val="24"/>
        </w:rPr>
        <w:t xml:space="preserve">biomass </w:t>
      </w:r>
      <w:r w:rsidR="00881A08" w:rsidRPr="165183F2">
        <w:rPr>
          <w:rFonts w:ascii="Times New Roman" w:hAnsi="Times New Roman" w:cs="Times New Roman"/>
          <w:sz w:val="24"/>
          <w:szCs w:val="24"/>
        </w:rPr>
        <w:t xml:space="preserve">and </w:t>
      </w:r>
      <w:r w:rsidRPr="165183F2">
        <w:rPr>
          <w:rFonts w:ascii="Times New Roman" w:hAnsi="Times New Roman" w:cs="Times New Roman"/>
          <w:sz w:val="24"/>
          <w:szCs w:val="24"/>
        </w:rPr>
        <w:t>dead organic matter.</w:t>
      </w:r>
    </w:p>
    <w:p w14:paraId="2D61F01C" w14:textId="3F2D1634" w:rsidR="00727574" w:rsidRPr="00E669A7" w:rsidRDefault="0072757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The effect of section 2</w:t>
      </w:r>
      <w:r w:rsidR="004D7AD3" w:rsidRPr="33750E9F">
        <w:rPr>
          <w:rFonts w:ascii="Times New Roman" w:hAnsi="Times New Roman" w:cs="Times New Roman"/>
          <w:sz w:val="24"/>
          <w:szCs w:val="24"/>
        </w:rPr>
        <w:t>4 (</w:t>
      </w:r>
      <w:r w:rsidRPr="33750E9F">
        <w:rPr>
          <w:rFonts w:ascii="Times New Roman" w:hAnsi="Times New Roman" w:cs="Times New Roman"/>
          <w:sz w:val="24"/>
          <w:szCs w:val="24"/>
        </w:rPr>
        <w:t>2</w:t>
      </w:r>
      <w:r w:rsidR="004D7AD3" w:rsidRPr="33750E9F">
        <w:rPr>
          <w:rFonts w:ascii="Times New Roman" w:hAnsi="Times New Roman" w:cs="Times New Roman"/>
          <w:sz w:val="24"/>
          <w:szCs w:val="24"/>
        </w:rPr>
        <w:t>)</w:t>
      </w:r>
      <w:r w:rsidRPr="33750E9F">
        <w:rPr>
          <w:rFonts w:ascii="Times New Roman" w:hAnsi="Times New Roman" w:cs="Times New Roman"/>
          <w:sz w:val="24"/>
          <w:szCs w:val="24"/>
        </w:rPr>
        <w:t xml:space="preserve"> is that if a project proponent is required by or under a Commonwealth, State or Territory law to reduce emissions from fire or sequester carbon in </w:t>
      </w:r>
      <w:r w:rsidR="00E454DA" w:rsidRPr="33750E9F">
        <w:rPr>
          <w:rFonts w:ascii="Times New Roman" w:hAnsi="Times New Roman" w:cs="Times New Roman"/>
          <w:sz w:val="24"/>
          <w:szCs w:val="24"/>
        </w:rPr>
        <w:t xml:space="preserve">living biomass </w:t>
      </w:r>
      <w:r w:rsidR="00062C33" w:rsidRPr="33750E9F">
        <w:rPr>
          <w:rFonts w:ascii="Times New Roman" w:hAnsi="Times New Roman" w:cs="Times New Roman"/>
          <w:sz w:val="24"/>
          <w:szCs w:val="24"/>
        </w:rPr>
        <w:t xml:space="preserve">and </w:t>
      </w:r>
      <w:r w:rsidRPr="33750E9F">
        <w:rPr>
          <w:rFonts w:ascii="Times New Roman" w:hAnsi="Times New Roman" w:cs="Times New Roman"/>
          <w:sz w:val="24"/>
          <w:szCs w:val="24"/>
        </w:rPr>
        <w:t xml:space="preserve">dead organic matter on that land, then the project will not meet the requirement in lieu of regulatory additionality. In this situation, the project cannot be declared an eligible offsets project, as it will not </w:t>
      </w:r>
      <w:r w:rsidR="00103D64">
        <w:rPr>
          <w:rFonts w:ascii="Times New Roman" w:hAnsi="Times New Roman" w:cs="Times New Roman"/>
          <w:sz w:val="24"/>
          <w:szCs w:val="24"/>
        </w:rPr>
        <w:t>result in</w:t>
      </w:r>
      <w:r w:rsidRPr="33750E9F">
        <w:rPr>
          <w:rFonts w:ascii="Times New Roman" w:hAnsi="Times New Roman" w:cs="Times New Roman"/>
          <w:sz w:val="24"/>
          <w:szCs w:val="24"/>
        </w:rPr>
        <w:t xml:space="preserve"> additional abatement. However, if a project is required by a Commonwealth, State or Territory law to undertake planned fire management for any other purpose, such as asset protection, then the project will not fail this eligibility requirement.</w:t>
      </w:r>
    </w:p>
    <w:p w14:paraId="03133E77" w14:textId="6F73DDAD" w:rsidR="0076059B" w:rsidRPr="00C355BE" w:rsidRDefault="0076059B" w:rsidP="008103FF">
      <w:pPr>
        <w:spacing w:after="160" w:line="276" w:lineRule="auto"/>
        <w:rPr>
          <w:rFonts w:ascii="Times New Roman" w:hAnsi="Times New Roman" w:cs="Times New Roman"/>
          <w:b/>
          <w:sz w:val="24"/>
          <w:szCs w:val="24"/>
        </w:rPr>
      </w:pPr>
      <w:r w:rsidRPr="00C355BE">
        <w:rPr>
          <w:rFonts w:ascii="Times New Roman" w:hAnsi="Times New Roman" w:cs="Times New Roman"/>
          <w:b/>
          <w:sz w:val="24"/>
          <w:szCs w:val="24"/>
        </w:rPr>
        <w:t xml:space="preserve">Division 7—Projects that include transferring project areas </w:t>
      </w:r>
    </w:p>
    <w:p w14:paraId="5C6E1D27" w14:textId="017C09FC" w:rsidR="0076059B" w:rsidRPr="00C355BE" w:rsidRDefault="002C5741"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25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Simplified outline of this Division </w:t>
      </w:r>
    </w:p>
    <w:p w14:paraId="44D6D5F5" w14:textId="0F520D17" w:rsidR="009C1657" w:rsidRDefault="0071663A"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Section 25</w:t>
      </w:r>
      <w:r w:rsidR="00E669A7" w:rsidRPr="165183F2">
        <w:rPr>
          <w:rFonts w:ascii="Times New Roman" w:hAnsi="Times New Roman" w:cs="Times New Roman"/>
          <w:sz w:val="24"/>
          <w:szCs w:val="24"/>
        </w:rPr>
        <w:t xml:space="preserve"> provides a simplified outline of the </w:t>
      </w:r>
      <w:r w:rsidR="00B807C3" w:rsidRPr="165183F2">
        <w:rPr>
          <w:rFonts w:ascii="Times New Roman" w:hAnsi="Times New Roman" w:cs="Times New Roman"/>
          <w:sz w:val="24"/>
          <w:szCs w:val="24"/>
        </w:rPr>
        <w:t>D</w:t>
      </w:r>
      <w:r w:rsidR="00E669A7" w:rsidRPr="165183F2">
        <w:rPr>
          <w:rFonts w:ascii="Times New Roman" w:hAnsi="Times New Roman" w:cs="Times New Roman"/>
          <w:sz w:val="24"/>
          <w:szCs w:val="24"/>
        </w:rPr>
        <w:t xml:space="preserve">ivision. </w:t>
      </w:r>
    </w:p>
    <w:p w14:paraId="13705BD8" w14:textId="02050AE7" w:rsidR="009C1657" w:rsidRPr="00890C27" w:rsidRDefault="009C165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This Division </w:t>
      </w:r>
      <w:r w:rsidR="003260B3" w:rsidRPr="00890C27">
        <w:rPr>
          <w:rFonts w:ascii="Times New Roman" w:hAnsi="Times New Roman" w:cs="Times New Roman"/>
          <w:sz w:val="24"/>
          <w:szCs w:val="24"/>
        </w:rPr>
        <w:t>contains</w:t>
      </w:r>
      <w:r w:rsidRPr="00890C27">
        <w:rPr>
          <w:rFonts w:ascii="Times New Roman" w:hAnsi="Times New Roman" w:cs="Times New Roman"/>
          <w:sz w:val="24"/>
          <w:szCs w:val="24"/>
        </w:rPr>
        <w:t xml:space="preserve"> provisions for project areas that were previously </w:t>
      </w:r>
      <w:r w:rsidRPr="00890C27" w:rsidDel="00006291">
        <w:rPr>
          <w:rFonts w:ascii="Times New Roman" w:hAnsi="Times New Roman" w:cs="Times New Roman"/>
          <w:sz w:val="24"/>
          <w:szCs w:val="24"/>
        </w:rPr>
        <w:t xml:space="preserve">part of </w:t>
      </w:r>
      <w:r w:rsidR="00006291" w:rsidRPr="00890C27">
        <w:rPr>
          <w:rFonts w:ascii="Times New Roman" w:hAnsi="Times New Roman" w:cs="Times New Roman"/>
          <w:sz w:val="24"/>
          <w:szCs w:val="24"/>
        </w:rPr>
        <w:t>a project covered by a savanna emissions avoidance determination</w:t>
      </w:r>
      <w:r w:rsidRPr="00890C27">
        <w:rPr>
          <w:rFonts w:ascii="Times New Roman" w:hAnsi="Times New Roman" w:cs="Times New Roman"/>
          <w:sz w:val="24"/>
          <w:szCs w:val="24"/>
        </w:rPr>
        <w:t xml:space="preserve"> </w:t>
      </w:r>
      <w:r w:rsidR="00006291" w:rsidRPr="00890C27">
        <w:rPr>
          <w:rFonts w:ascii="Times New Roman" w:hAnsi="Times New Roman" w:cs="Times New Roman"/>
          <w:sz w:val="24"/>
          <w:szCs w:val="24"/>
        </w:rPr>
        <w:t xml:space="preserve">or another project covered by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DD628D" w:rsidRPr="00890C27">
        <w:rPr>
          <w:rFonts w:ascii="Times New Roman" w:hAnsi="Times New Roman" w:cs="Times New Roman"/>
          <w:sz w:val="24"/>
          <w:szCs w:val="24"/>
        </w:rPr>
        <w:t xml:space="preserve"> that seek to </w:t>
      </w:r>
      <w:r w:rsidRPr="00890C27">
        <w:rPr>
          <w:rFonts w:ascii="Times New Roman" w:hAnsi="Times New Roman" w:cs="Times New Roman"/>
          <w:sz w:val="24"/>
          <w:szCs w:val="24"/>
        </w:rPr>
        <w:t>become a new savanna sequestration project. These project areas are known as transferring project areas.</w:t>
      </w:r>
    </w:p>
    <w:p w14:paraId="591682A6" w14:textId="4A2E8381" w:rsidR="001E0268" w:rsidRPr="001E0268" w:rsidRDefault="001E0268"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A project area may be moved from one savanna sequestration project to another under section 23 of the Rule. In this case, the crediting period for the receiving project is adjusted in accordance with section 53 of the Rule to reflect the time already elapsed under the original project.</w:t>
      </w:r>
    </w:p>
    <w:p w14:paraId="4F9EFCD6" w14:textId="0EC76E4D" w:rsidR="001E0268" w:rsidRPr="001E0268" w:rsidRDefault="001E0268"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Where the original project is an emissions avoidance project covered by a savanna fire management determination, project areas may be transferred to a savanna sequestration project </w:t>
      </w:r>
      <w:r w:rsidR="00053480" w:rsidRPr="165183F2">
        <w:rPr>
          <w:rFonts w:ascii="Times New Roman" w:hAnsi="Times New Roman" w:cs="Times New Roman"/>
          <w:sz w:val="24"/>
          <w:szCs w:val="24"/>
        </w:rPr>
        <w:t xml:space="preserve">under </w:t>
      </w:r>
      <w:r w:rsidR="0066508D"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w:t>
      </w:r>
      <w:r w:rsidR="00053480" w:rsidRPr="165183F2">
        <w:rPr>
          <w:rFonts w:ascii="Times New Roman" w:hAnsi="Times New Roman" w:cs="Times New Roman"/>
          <w:sz w:val="24"/>
          <w:szCs w:val="24"/>
        </w:rPr>
        <w:t xml:space="preserve">etermination </w:t>
      </w:r>
      <w:r w:rsidRPr="165183F2">
        <w:rPr>
          <w:rFonts w:ascii="Times New Roman" w:hAnsi="Times New Roman" w:cs="Times New Roman"/>
          <w:sz w:val="24"/>
          <w:szCs w:val="24"/>
        </w:rPr>
        <w:t>in two ways. Under section 30A of the Rule, all project areas from the original project may be moved, which requires revocation of the original project’s section 27 declaration</w:t>
      </w:r>
      <w:r w:rsidR="004231F8" w:rsidRPr="165183F2">
        <w:rPr>
          <w:rFonts w:ascii="Times New Roman" w:hAnsi="Times New Roman" w:cs="Times New Roman"/>
          <w:sz w:val="24"/>
          <w:szCs w:val="24"/>
        </w:rPr>
        <w:t xml:space="preserve"> –</w:t>
      </w:r>
      <w:r w:rsidR="00B65F0D" w:rsidRPr="165183F2">
        <w:rPr>
          <w:rFonts w:ascii="Times New Roman" w:hAnsi="Times New Roman" w:cs="Times New Roman"/>
          <w:sz w:val="24"/>
          <w:szCs w:val="24"/>
        </w:rPr>
        <w:t xml:space="preserve"> which </w:t>
      </w:r>
      <w:r w:rsidR="00B16298" w:rsidRPr="165183F2">
        <w:rPr>
          <w:rFonts w:ascii="Times New Roman" w:hAnsi="Times New Roman" w:cs="Times New Roman"/>
          <w:sz w:val="24"/>
          <w:szCs w:val="24"/>
        </w:rPr>
        <w:t xml:space="preserve">is the declaration under section 27 of the </w:t>
      </w:r>
      <w:r w:rsidR="00D81A23" w:rsidRPr="165183F2">
        <w:rPr>
          <w:rFonts w:ascii="Times New Roman" w:hAnsi="Times New Roman" w:cs="Times New Roman"/>
          <w:sz w:val="24"/>
          <w:szCs w:val="24"/>
        </w:rPr>
        <w:t>Act</w:t>
      </w:r>
      <w:r w:rsidR="00B16298" w:rsidRPr="165183F2">
        <w:rPr>
          <w:rFonts w:ascii="Times New Roman" w:hAnsi="Times New Roman" w:cs="Times New Roman"/>
          <w:sz w:val="24"/>
          <w:szCs w:val="24"/>
        </w:rPr>
        <w:t xml:space="preserve"> that the project is an eligible offsets project</w:t>
      </w:r>
      <w:r w:rsidRPr="165183F2">
        <w:rPr>
          <w:rFonts w:ascii="Times New Roman" w:hAnsi="Times New Roman" w:cs="Times New Roman"/>
          <w:sz w:val="24"/>
          <w:szCs w:val="24"/>
        </w:rPr>
        <w:t xml:space="preserve">. Alternatively, under section 30B of the Rule, only some project areas may be moved, which requires a variation of the original project’s section 27 declaration to remove the transferring areas. </w:t>
      </w:r>
    </w:p>
    <w:p w14:paraId="3BC7C35E" w14:textId="0AAB7FB3" w:rsidR="0076059B" w:rsidRPr="00964BA3" w:rsidRDefault="002C5741"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26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Meaning of transferring project area and related definitions </w:t>
      </w:r>
    </w:p>
    <w:p w14:paraId="799EC9E8" w14:textId="1B44A4CD" w:rsidR="0076059B" w:rsidRDefault="00D63F3A"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Subsection 26(1) provides </w:t>
      </w:r>
      <w:r w:rsidR="00355EF1" w:rsidRPr="165183F2">
        <w:rPr>
          <w:rFonts w:ascii="Times New Roman" w:hAnsi="Times New Roman" w:cs="Times New Roman"/>
          <w:sz w:val="24"/>
          <w:szCs w:val="24"/>
        </w:rPr>
        <w:t xml:space="preserve">that a project area is considered a transferring project area if, immediately before becoming part of a savanna sequestration project under </w:t>
      </w:r>
      <w:r w:rsidR="0066508D"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lastRenderedPageBreak/>
        <w:t>d</w:t>
      </w:r>
      <w:r w:rsidR="00355EF1" w:rsidRPr="165183F2">
        <w:rPr>
          <w:rFonts w:ascii="Times New Roman" w:hAnsi="Times New Roman" w:cs="Times New Roman"/>
          <w:sz w:val="24"/>
          <w:szCs w:val="24"/>
        </w:rPr>
        <w:t xml:space="preserve">etermination, it was part of either a project covered by a savanna </w:t>
      </w:r>
      <w:r w:rsidR="009653BA" w:rsidRPr="165183F2">
        <w:rPr>
          <w:rFonts w:ascii="Times New Roman" w:hAnsi="Times New Roman" w:cs="Times New Roman"/>
          <w:sz w:val="24"/>
          <w:szCs w:val="24"/>
        </w:rPr>
        <w:t xml:space="preserve">emissions avoidance </w:t>
      </w:r>
      <w:proofErr w:type="gramStart"/>
      <w:r w:rsidR="009653BA" w:rsidRPr="165183F2">
        <w:rPr>
          <w:rFonts w:ascii="Times New Roman" w:hAnsi="Times New Roman" w:cs="Times New Roman"/>
          <w:sz w:val="24"/>
          <w:szCs w:val="24"/>
        </w:rPr>
        <w:t>determination</w:t>
      </w:r>
      <w:proofErr w:type="gramEnd"/>
      <w:r w:rsidR="009653BA" w:rsidRPr="165183F2">
        <w:rPr>
          <w:rFonts w:ascii="Times New Roman" w:hAnsi="Times New Roman" w:cs="Times New Roman"/>
          <w:sz w:val="24"/>
          <w:szCs w:val="24"/>
        </w:rPr>
        <w:t xml:space="preserve"> </w:t>
      </w:r>
      <w:r w:rsidR="00355EF1" w:rsidRPr="165183F2">
        <w:rPr>
          <w:rFonts w:ascii="Times New Roman" w:hAnsi="Times New Roman" w:cs="Times New Roman"/>
          <w:sz w:val="24"/>
          <w:szCs w:val="24"/>
        </w:rPr>
        <w:t xml:space="preserve">or another project covered by </w:t>
      </w:r>
      <w:r w:rsidR="0066508D" w:rsidRPr="165183F2">
        <w:rPr>
          <w:rFonts w:ascii="Times New Roman" w:hAnsi="Times New Roman" w:cs="Times New Roman"/>
          <w:sz w:val="24"/>
          <w:szCs w:val="24"/>
        </w:rPr>
        <w:t>the</w:t>
      </w:r>
      <w:r w:rsidR="00355EF1" w:rsidRPr="165183F2">
        <w:rPr>
          <w:rFonts w:ascii="Times New Roman" w:hAnsi="Times New Roman" w:cs="Times New Roman"/>
          <w:sz w:val="24"/>
          <w:szCs w:val="24"/>
        </w:rPr>
        <w:t xml:space="preserve"> </w:t>
      </w:r>
      <w:r w:rsidR="004D74F5" w:rsidRPr="165183F2">
        <w:rPr>
          <w:rFonts w:ascii="Times New Roman" w:hAnsi="Times New Roman" w:cs="Times New Roman"/>
          <w:sz w:val="24"/>
          <w:szCs w:val="24"/>
        </w:rPr>
        <w:t>d</w:t>
      </w:r>
      <w:r w:rsidR="00355EF1" w:rsidRPr="165183F2">
        <w:rPr>
          <w:rFonts w:ascii="Times New Roman" w:hAnsi="Times New Roman" w:cs="Times New Roman"/>
          <w:sz w:val="24"/>
          <w:szCs w:val="24"/>
        </w:rPr>
        <w:t>etermination.</w:t>
      </w:r>
    </w:p>
    <w:p w14:paraId="3DBA193E" w14:textId="7297BEA2" w:rsidR="00297B5B" w:rsidRDefault="00297B5B"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A note makes it clear that </w:t>
      </w:r>
      <w:r w:rsidR="006062C1" w:rsidRPr="165183F2">
        <w:rPr>
          <w:rFonts w:ascii="Times New Roman" w:hAnsi="Times New Roman" w:cs="Times New Roman"/>
          <w:sz w:val="24"/>
          <w:szCs w:val="24"/>
        </w:rPr>
        <w:t xml:space="preserve">subsection 26(1) is modified in certain cases where the </w:t>
      </w:r>
      <w:r w:rsidR="00684C00" w:rsidRPr="165183F2">
        <w:rPr>
          <w:rFonts w:ascii="Times New Roman" w:hAnsi="Times New Roman" w:cs="Times New Roman"/>
          <w:sz w:val="24"/>
          <w:szCs w:val="24"/>
        </w:rPr>
        <w:t xml:space="preserve">in lieu of </w:t>
      </w:r>
      <w:r w:rsidR="006062C1" w:rsidRPr="165183F2">
        <w:rPr>
          <w:rFonts w:ascii="Times New Roman" w:hAnsi="Times New Roman" w:cs="Times New Roman"/>
          <w:sz w:val="24"/>
          <w:szCs w:val="24"/>
        </w:rPr>
        <w:t>newness requirement, as described in paragraph 23(2)(c), has been satisfied. In those cases, paragraph 23(3)(b) sets out how the modification applies</w:t>
      </w:r>
      <w:r w:rsidR="51A3A66D" w:rsidRPr="165183F2">
        <w:rPr>
          <w:rFonts w:ascii="Times New Roman" w:hAnsi="Times New Roman" w:cs="Times New Roman"/>
          <w:sz w:val="24"/>
          <w:szCs w:val="24"/>
        </w:rPr>
        <w:t>.</w:t>
      </w:r>
    </w:p>
    <w:p w14:paraId="41DCFCF3" w14:textId="0B13C435" w:rsidR="00D63F3A" w:rsidRDefault="00355EF1"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26(2) provides </w:t>
      </w:r>
      <w:r w:rsidR="00AF2568" w:rsidRPr="33750E9F">
        <w:rPr>
          <w:rFonts w:ascii="Times New Roman" w:hAnsi="Times New Roman" w:cs="Times New Roman"/>
          <w:sz w:val="24"/>
          <w:szCs w:val="24"/>
        </w:rPr>
        <w:t xml:space="preserve">that a transferring project area’s former determination </w:t>
      </w:r>
      <w:r w:rsidR="00BB3643" w:rsidRPr="00BB3643">
        <w:rPr>
          <w:rFonts w:ascii="Times New Roman" w:hAnsi="Times New Roman" w:cs="Times New Roman"/>
          <w:sz w:val="24"/>
          <w:szCs w:val="24"/>
        </w:rPr>
        <w:t>is the method that applied to the project it was part of most recently, before it became part of the current savanna sequestration project</w:t>
      </w:r>
      <w:r w:rsidR="00BB3643">
        <w:rPr>
          <w:rFonts w:ascii="Times New Roman" w:hAnsi="Times New Roman" w:cs="Times New Roman"/>
          <w:sz w:val="24"/>
          <w:szCs w:val="24"/>
        </w:rPr>
        <w:t xml:space="preserve">. </w:t>
      </w:r>
    </w:p>
    <w:p w14:paraId="56EAAABE" w14:textId="16290141" w:rsidR="0057126F" w:rsidRPr="0057126F" w:rsidRDefault="00AF2568"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Subsection 26(3) provides that </w:t>
      </w:r>
      <w:r w:rsidR="00C05D86" w:rsidRPr="165183F2">
        <w:rPr>
          <w:rFonts w:ascii="Times New Roman" w:hAnsi="Times New Roman" w:cs="Times New Roman"/>
          <w:sz w:val="24"/>
          <w:szCs w:val="24"/>
        </w:rPr>
        <w:t>a savanna sequestration project is considered a restarting transferring project if</w:t>
      </w:r>
      <w:r w:rsidR="00616983" w:rsidRPr="165183F2">
        <w:rPr>
          <w:rFonts w:ascii="Times New Roman" w:hAnsi="Times New Roman" w:cs="Times New Roman"/>
          <w:sz w:val="24"/>
          <w:szCs w:val="24"/>
        </w:rPr>
        <w:t xml:space="preserve"> </w:t>
      </w:r>
      <w:r w:rsidR="0057126F" w:rsidRPr="165183F2">
        <w:rPr>
          <w:rFonts w:ascii="Times New Roman" w:hAnsi="Times New Roman" w:cs="Times New Roman"/>
          <w:sz w:val="24"/>
          <w:szCs w:val="24"/>
        </w:rPr>
        <w:t>it me</w:t>
      </w:r>
      <w:r w:rsidR="00616983" w:rsidRPr="165183F2">
        <w:rPr>
          <w:rFonts w:ascii="Times New Roman" w:hAnsi="Times New Roman" w:cs="Times New Roman"/>
          <w:sz w:val="24"/>
          <w:szCs w:val="24"/>
        </w:rPr>
        <w:t>e</w:t>
      </w:r>
      <w:r w:rsidR="0057126F" w:rsidRPr="165183F2">
        <w:rPr>
          <w:rFonts w:ascii="Times New Roman" w:hAnsi="Times New Roman" w:cs="Times New Roman"/>
          <w:sz w:val="24"/>
          <w:szCs w:val="24"/>
        </w:rPr>
        <w:t>t</w:t>
      </w:r>
      <w:r w:rsidR="00616983" w:rsidRPr="165183F2">
        <w:rPr>
          <w:rFonts w:ascii="Times New Roman" w:hAnsi="Times New Roman" w:cs="Times New Roman"/>
          <w:sz w:val="24"/>
          <w:szCs w:val="24"/>
        </w:rPr>
        <w:t>s</w:t>
      </w:r>
      <w:r w:rsidR="0057126F" w:rsidRPr="165183F2">
        <w:rPr>
          <w:rFonts w:ascii="Times New Roman" w:hAnsi="Times New Roman" w:cs="Times New Roman"/>
          <w:sz w:val="24"/>
          <w:szCs w:val="24"/>
        </w:rPr>
        <w:t xml:space="preserve"> three conditions:</w:t>
      </w:r>
    </w:p>
    <w:p w14:paraId="03A51145" w14:textId="1526AC52" w:rsidR="0057126F" w:rsidRPr="0004203D" w:rsidRDefault="0057126F"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04203D">
        <w:rPr>
          <w:rFonts w:ascii="Times New Roman" w:hAnsi="Times New Roman" w:cs="Times New Roman"/>
          <w:sz w:val="24"/>
          <w:szCs w:val="24"/>
        </w:rPr>
        <w:t xml:space="preserve">When it was first approved, it included at least one </w:t>
      </w:r>
      <w:r w:rsidR="00616983">
        <w:rPr>
          <w:rFonts w:ascii="Times New Roman" w:hAnsi="Times New Roman" w:cs="Times New Roman"/>
          <w:sz w:val="24"/>
          <w:szCs w:val="24"/>
        </w:rPr>
        <w:t>transferring project area.</w:t>
      </w:r>
    </w:p>
    <w:p w14:paraId="6E943A2A" w14:textId="2F7D1DDC" w:rsidR="0057126F" w:rsidRPr="0004203D" w:rsidRDefault="0057126F"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04203D">
        <w:rPr>
          <w:rFonts w:ascii="Times New Roman" w:hAnsi="Times New Roman" w:cs="Times New Roman"/>
          <w:sz w:val="24"/>
          <w:szCs w:val="24"/>
        </w:rPr>
        <w:t xml:space="preserve">The </w:t>
      </w:r>
      <w:r w:rsidR="5D50D872" w:rsidRPr="0E4058A9">
        <w:rPr>
          <w:rFonts w:ascii="Times New Roman" w:hAnsi="Times New Roman" w:cs="Times New Roman"/>
          <w:sz w:val="24"/>
          <w:szCs w:val="24"/>
        </w:rPr>
        <w:t xml:space="preserve">former </w:t>
      </w:r>
      <w:r w:rsidR="5D50D872" w:rsidRPr="0F2C50B9">
        <w:rPr>
          <w:rFonts w:ascii="Times New Roman" w:hAnsi="Times New Roman" w:cs="Times New Roman"/>
          <w:sz w:val="24"/>
          <w:szCs w:val="24"/>
        </w:rPr>
        <w:t>determination</w:t>
      </w:r>
      <w:r w:rsidRPr="0F2C50B9">
        <w:rPr>
          <w:rFonts w:ascii="Times New Roman" w:hAnsi="Times New Roman" w:cs="Times New Roman"/>
          <w:sz w:val="24"/>
          <w:szCs w:val="24"/>
        </w:rPr>
        <w:t xml:space="preserve"> </w:t>
      </w:r>
      <w:r w:rsidRPr="0004203D">
        <w:rPr>
          <w:rFonts w:ascii="Times New Roman" w:hAnsi="Times New Roman" w:cs="Times New Roman"/>
          <w:sz w:val="24"/>
          <w:szCs w:val="24"/>
        </w:rPr>
        <w:t xml:space="preserve">for </w:t>
      </w:r>
      <w:r w:rsidR="00616983">
        <w:rPr>
          <w:rFonts w:ascii="Times New Roman" w:hAnsi="Times New Roman" w:cs="Times New Roman"/>
          <w:sz w:val="24"/>
          <w:szCs w:val="24"/>
        </w:rPr>
        <w:t>each transferring project area</w:t>
      </w:r>
      <w:r w:rsidRPr="0004203D">
        <w:rPr>
          <w:rFonts w:ascii="Times New Roman" w:hAnsi="Times New Roman" w:cs="Times New Roman"/>
          <w:sz w:val="24"/>
          <w:szCs w:val="24"/>
        </w:rPr>
        <w:t xml:space="preserve"> was a savanna </w:t>
      </w:r>
      <w:r w:rsidR="00267B1F">
        <w:rPr>
          <w:rFonts w:ascii="Times New Roman" w:hAnsi="Times New Roman" w:cs="Times New Roman"/>
          <w:sz w:val="24"/>
          <w:szCs w:val="24"/>
        </w:rPr>
        <w:t>emissions avoidance determination</w:t>
      </w:r>
      <w:r w:rsidRPr="0004203D">
        <w:rPr>
          <w:rFonts w:ascii="Times New Roman" w:hAnsi="Times New Roman" w:cs="Times New Roman"/>
          <w:sz w:val="24"/>
          <w:szCs w:val="24"/>
        </w:rPr>
        <w:t>.</w:t>
      </w:r>
    </w:p>
    <w:p w14:paraId="72275A65" w14:textId="1DA75CF8" w:rsidR="00AF2568" w:rsidRPr="00CF271D" w:rsidRDefault="0057126F"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 xml:space="preserve">Before the new project was approved, the Regulator either officially removed those </w:t>
      </w:r>
      <w:r w:rsidR="006C3087" w:rsidRPr="165183F2">
        <w:rPr>
          <w:rFonts w:ascii="Times New Roman" w:hAnsi="Times New Roman" w:cs="Times New Roman"/>
          <w:sz w:val="24"/>
          <w:szCs w:val="24"/>
        </w:rPr>
        <w:t xml:space="preserve">transferring project </w:t>
      </w:r>
      <w:r w:rsidRPr="165183F2">
        <w:rPr>
          <w:rFonts w:ascii="Times New Roman" w:hAnsi="Times New Roman" w:cs="Times New Roman"/>
          <w:sz w:val="24"/>
          <w:szCs w:val="24"/>
        </w:rPr>
        <w:t>areas from their original project or cancelled that project altogether.</w:t>
      </w:r>
    </w:p>
    <w:p w14:paraId="5BB4C489" w14:textId="078C0EA4" w:rsidR="0076059B" w:rsidRPr="0004203D" w:rsidRDefault="002C5741"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27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Requirements for projects with transferring project areas </w:t>
      </w:r>
    </w:p>
    <w:p w14:paraId="573C6009" w14:textId="3541DB1C" w:rsidR="00944FA7" w:rsidRPr="00944FA7" w:rsidRDefault="0071663A"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27</w:t>
      </w:r>
      <w:r w:rsidR="00944FA7" w:rsidRPr="33750E9F">
        <w:rPr>
          <w:rFonts w:ascii="Times New Roman" w:hAnsi="Times New Roman" w:cs="Times New Roman"/>
          <w:sz w:val="24"/>
          <w:szCs w:val="24"/>
        </w:rPr>
        <w:t xml:space="preserve"> sets out requirements that apply to savanna sequestration projects that include one or more transferring project areas. These requirements ensure continuity between the former determination and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944FA7" w:rsidRPr="33750E9F">
        <w:rPr>
          <w:rFonts w:ascii="Times New Roman" w:hAnsi="Times New Roman" w:cs="Times New Roman"/>
          <w:sz w:val="24"/>
          <w:szCs w:val="24"/>
        </w:rPr>
        <w:t>.</w:t>
      </w:r>
    </w:p>
    <w:p w14:paraId="423D0E17" w14:textId="7A6CD171" w:rsidR="00944FA7" w:rsidRPr="00344B42" w:rsidRDefault="00944F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27(1)</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provides that for each transferring project area, the final calendar year for which the project area was reported on under the former determination and the first calendar year for which the project area is reported on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must be consecutive. This ensures that there is no gap in reporting between the former project and the new savanna sequestration project.</w:t>
      </w:r>
    </w:p>
    <w:p w14:paraId="3B525382" w14:textId="700F730A" w:rsidR="00944FA7" w:rsidRPr="00344B42" w:rsidRDefault="00944F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27(2)</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sets out an eligibility requirement specific to restarting transferring projects. It requires that such projects must be declared eligible in accordance with the process set out in section 30A or 30B of the </w:t>
      </w:r>
      <w:r w:rsidR="006C3087">
        <w:rPr>
          <w:rFonts w:ascii="Times New Roman" w:hAnsi="Times New Roman" w:cs="Times New Roman"/>
          <w:sz w:val="24"/>
          <w:szCs w:val="24"/>
        </w:rPr>
        <w:t>Rule</w:t>
      </w:r>
      <w:r w:rsidRPr="33750E9F">
        <w:rPr>
          <w:rFonts w:ascii="Times New Roman" w:hAnsi="Times New Roman" w:cs="Times New Roman"/>
          <w:sz w:val="24"/>
          <w:szCs w:val="24"/>
        </w:rPr>
        <w:t xml:space="preserve">. </w:t>
      </w:r>
    </w:p>
    <w:p w14:paraId="605A832F" w14:textId="08796F7A" w:rsidR="00944FA7" w:rsidRPr="00344B42" w:rsidRDefault="00944F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27(3)</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modifies the application of certain definitions for restarting transferring projects. Specifically, for the purposes of the Savanna Fire Management High Rainfall Zone and Low Rainfall Zone spatial data layers, the reference to the date the project was declared an eligible offsets project is taken to be the date the project was declared eligible under the former determination. </w:t>
      </w:r>
    </w:p>
    <w:p w14:paraId="0B677D91" w14:textId="789F9EF0" w:rsidR="00944FA7" w:rsidRPr="00344B42" w:rsidRDefault="00944F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Subsections 27(4</w:t>
      </w:r>
      <w:r w:rsidRPr="00890C27">
        <w:rPr>
          <w:rFonts w:ascii="Times New Roman" w:hAnsi="Times New Roman" w:cs="Times New Roman"/>
          <w:sz w:val="24"/>
          <w:szCs w:val="24"/>
        </w:rPr>
        <w:t>)</w:t>
      </w:r>
      <w:r w:rsidR="00A61A17">
        <w:rPr>
          <w:rFonts w:ascii="Times New Roman" w:hAnsi="Times New Roman" w:cs="Times New Roman"/>
          <w:sz w:val="24"/>
          <w:szCs w:val="24"/>
        </w:rPr>
        <w:t xml:space="preserve">, 27(5), and </w:t>
      </w:r>
      <w:r w:rsidRPr="33750E9F">
        <w:rPr>
          <w:rFonts w:ascii="Times New Roman" w:hAnsi="Times New Roman" w:cs="Times New Roman"/>
          <w:sz w:val="24"/>
          <w:szCs w:val="24"/>
        </w:rPr>
        <w:t>27(6)</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provide exceptions to certain project area requirements under sections 13, 14, and 15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w:t>
      </w:r>
      <w:r w:rsidRPr="33750E9F">
        <w:rPr>
          <w:rFonts w:ascii="Times New Roman" w:hAnsi="Times New Roman" w:cs="Times New Roman"/>
          <w:sz w:val="24"/>
          <w:szCs w:val="24"/>
        </w:rPr>
        <w:t xml:space="preserve"> These exceptions apply when a relevant decision on a transferring project area is made, and the relevant application indicates that the area of land will be removed from the project in accordance with section 16. Specifically:</w:t>
      </w:r>
    </w:p>
    <w:p w14:paraId="1C48CED6" w14:textId="1682B8B4" w:rsidR="00944FA7" w:rsidRPr="00344B42" w:rsidRDefault="00944F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lastRenderedPageBreak/>
        <w:t>Subsection 27(4)</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provides that the requirement for a project area to include vegetation fuel types does not apply to land that will be removed.</w:t>
      </w:r>
    </w:p>
    <w:p w14:paraId="3033B332" w14:textId="6EB7BC8E" w:rsidR="00944FA7" w:rsidRPr="00344B42" w:rsidRDefault="00944F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Subsection 27(5)</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provides that the requirement for a project area to be clear of relevant weed species does not apply to land that will be removed.</w:t>
      </w:r>
    </w:p>
    <w:p w14:paraId="4A6E5BA2" w14:textId="1556CC68" w:rsidR="00944FA7" w:rsidRPr="00344B42" w:rsidRDefault="00944F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Subsection 27(6)</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provides that the restriction on re-including previously removed land does not apply if the land will be removed again under section 16.</w:t>
      </w:r>
    </w:p>
    <w:p w14:paraId="5FF5C114" w14:textId="77231B29" w:rsidR="000827ED" w:rsidRDefault="00944FA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27(7)</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defines the terms</w:t>
      </w:r>
      <w:r w:rsidR="00877F86" w:rsidRPr="33750E9F">
        <w:rPr>
          <w:rFonts w:ascii="Times New Roman" w:hAnsi="Times New Roman" w:cs="Times New Roman"/>
          <w:sz w:val="24"/>
          <w:szCs w:val="24"/>
        </w:rPr>
        <w:t xml:space="preserve"> </w:t>
      </w:r>
      <w:r w:rsidRPr="004C30B1">
        <w:rPr>
          <w:rFonts w:ascii="Times New Roman" w:hAnsi="Times New Roman" w:cs="Times New Roman"/>
          <w:b/>
          <w:i/>
          <w:sz w:val="24"/>
          <w:szCs w:val="24"/>
        </w:rPr>
        <w:t>relevant application</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and</w:t>
      </w:r>
      <w:r w:rsidR="00877F86" w:rsidRPr="33750E9F">
        <w:rPr>
          <w:rFonts w:ascii="Times New Roman" w:hAnsi="Times New Roman" w:cs="Times New Roman"/>
          <w:sz w:val="24"/>
          <w:szCs w:val="24"/>
        </w:rPr>
        <w:t xml:space="preserve"> </w:t>
      </w:r>
      <w:r w:rsidRPr="004C30B1">
        <w:rPr>
          <w:rFonts w:ascii="Times New Roman" w:hAnsi="Times New Roman" w:cs="Times New Roman"/>
          <w:b/>
          <w:i/>
          <w:sz w:val="24"/>
          <w:szCs w:val="24"/>
        </w:rPr>
        <w:t>relevant decision on a transferring project area</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as used in section</w:t>
      </w:r>
      <w:r w:rsidR="000827ED">
        <w:rPr>
          <w:rFonts w:ascii="Times New Roman" w:hAnsi="Times New Roman" w:cs="Times New Roman"/>
          <w:sz w:val="24"/>
          <w:szCs w:val="24"/>
        </w:rPr>
        <w:t xml:space="preserve"> 27</w:t>
      </w:r>
      <w:r w:rsidRPr="00890C27">
        <w:rPr>
          <w:rFonts w:ascii="Times New Roman" w:hAnsi="Times New Roman" w:cs="Times New Roman"/>
          <w:sz w:val="24"/>
          <w:szCs w:val="24"/>
        </w:rPr>
        <w:t xml:space="preserve">. </w:t>
      </w:r>
    </w:p>
    <w:p w14:paraId="1E09EFE7" w14:textId="77777777" w:rsidR="003132BC" w:rsidRDefault="00944F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A relevant application includes a section 22 application, a section 29 application, or an application under section 128 of the Act. </w:t>
      </w:r>
    </w:p>
    <w:p w14:paraId="40E4B454" w14:textId="3D978B6D" w:rsidR="0076059B" w:rsidRPr="00982930" w:rsidRDefault="00944FA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A relevant decision is a decision on such an application that results in a transferring project area becoming a</w:t>
      </w:r>
      <w:r w:rsidR="00344B42" w:rsidRPr="33750E9F">
        <w:rPr>
          <w:rFonts w:ascii="Times New Roman" w:hAnsi="Times New Roman" w:cs="Times New Roman"/>
          <w:sz w:val="24"/>
          <w:szCs w:val="24"/>
        </w:rPr>
        <w:t xml:space="preserve"> project area, or part of a project area</w:t>
      </w:r>
      <w:r w:rsidRPr="33750E9F">
        <w:rPr>
          <w:rFonts w:ascii="Times New Roman" w:hAnsi="Times New Roman" w:cs="Times New Roman"/>
          <w:sz w:val="24"/>
          <w:szCs w:val="24"/>
        </w:rPr>
        <w:t>.</w:t>
      </w:r>
    </w:p>
    <w:p w14:paraId="20E6DE53" w14:textId="4C1B5FB2" w:rsidR="0076059B" w:rsidRPr="004C30B1" w:rsidRDefault="00C34DE2"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28 </w:t>
      </w:r>
      <w:r w:rsidR="00BB3D18"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Crediting period for projects that include restarting transferring project areas </w:t>
      </w:r>
    </w:p>
    <w:p w14:paraId="3F4CB6D9" w14:textId="27E03BAF" w:rsidR="00961EC2" w:rsidRPr="00961EC2" w:rsidRDefault="00961EC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A note at the start of section 28 outlines that subsection 69(2) of the Act sets out the </w:t>
      </w:r>
      <w:r w:rsidR="006171FD">
        <w:rPr>
          <w:rFonts w:ascii="Times New Roman" w:hAnsi="Times New Roman" w:cs="Times New Roman"/>
          <w:sz w:val="24"/>
          <w:szCs w:val="24"/>
        </w:rPr>
        <w:t>requirements</w:t>
      </w:r>
      <w:r w:rsidRPr="33750E9F">
        <w:rPr>
          <w:rFonts w:ascii="Times New Roman" w:hAnsi="Times New Roman" w:cs="Times New Roman"/>
          <w:sz w:val="24"/>
          <w:szCs w:val="24"/>
        </w:rPr>
        <w:t xml:space="preserve"> for the crediting period for an eligible offsets project. Under paragraph 69(2)(a</w:t>
      </w:r>
      <w:r w:rsidRPr="00890C27">
        <w:rPr>
          <w:rFonts w:ascii="Times New Roman" w:hAnsi="Times New Roman" w:cs="Times New Roman"/>
          <w:sz w:val="24"/>
          <w:szCs w:val="24"/>
        </w:rPr>
        <w:t>)</w:t>
      </w:r>
      <w:r w:rsidR="0098529A">
        <w:rPr>
          <w:rFonts w:ascii="Times New Roman" w:hAnsi="Times New Roman" w:cs="Times New Roman"/>
          <w:sz w:val="24"/>
          <w:szCs w:val="24"/>
        </w:rPr>
        <w:t xml:space="preserve"> of the Act</w:t>
      </w:r>
      <w:r w:rsidRPr="00890C27">
        <w:rPr>
          <w:rFonts w:ascii="Times New Roman" w:hAnsi="Times New Roman" w:cs="Times New Roman"/>
          <w:sz w:val="24"/>
          <w:szCs w:val="24"/>
        </w:rPr>
        <w:t>,</w:t>
      </w:r>
      <w:r w:rsidRPr="33750E9F">
        <w:rPr>
          <w:rFonts w:ascii="Times New Roman" w:hAnsi="Times New Roman" w:cs="Times New Roman"/>
          <w:sz w:val="24"/>
          <w:szCs w:val="24"/>
        </w:rPr>
        <w:t xml:space="preserve"> the default crediting period for a project covered by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is 25 years. However, paragraph 69(2)(b) </w:t>
      </w:r>
      <w:r w:rsidR="00C15DC3">
        <w:rPr>
          <w:rFonts w:ascii="Times New Roman" w:hAnsi="Times New Roman" w:cs="Times New Roman"/>
          <w:sz w:val="24"/>
          <w:szCs w:val="24"/>
        </w:rPr>
        <w:t>of the Act</w:t>
      </w:r>
      <w:r w:rsidRPr="00890C27">
        <w:rPr>
          <w:rFonts w:ascii="Times New Roman" w:hAnsi="Times New Roman" w:cs="Times New Roman"/>
          <w:sz w:val="24"/>
          <w:szCs w:val="24"/>
        </w:rPr>
        <w:t xml:space="preserve"> </w:t>
      </w:r>
      <w:r w:rsidRPr="33750E9F">
        <w:rPr>
          <w:rFonts w:ascii="Times New Roman" w:hAnsi="Times New Roman" w:cs="Times New Roman"/>
          <w:sz w:val="24"/>
          <w:szCs w:val="24"/>
        </w:rPr>
        <w:t xml:space="preserve">allows for a different crediting period to be specified in the applicable methodology determination. </w:t>
      </w:r>
      <w:r w:rsidR="00AF1610">
        <w:rPr>
          <w:rFonts w:ascii="Times New Roman" w:hAnsi="Times New Roman" w:cs="Times New Roman"/>
          <w:sz w:val="24"/>
          <w:szCs w:val="24"/>
        </w:rPr>
        <w:t>Section 28</w:t>
      </w:r>
      <w:r w:rsidRPr="33750E9F">
        <w:rPr>
          <w:rFonts w:ascii="Times New Roman" w:hAnsi="Times New Roman" w:cs="Times New Roman"/>
          <w:sz w:val="24"/>
          <w:szCs w:val="24"/>
        </w:rPr>
        <w:t xml:space="preserve"> specifies a shorter crediting period for restarting transferring projects.</w:t>
      </w:r>
    </w:p>
    <w:p w14:paraId="7D0F80B7" w14:textId="7361DBC1" w:rsidR="00961EC2" w:rsidRPr="00961EC2" w:rsidRDefault="00706423"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The note further provides that p</w:t>
      </w:r>
      <w:r w:rsidR="00961EC2" w:rsidRPr="165183F2">
        <w:rPr>
          <w:rFonts w:ascii="Times New Roman" w:hAnsi="Times New Roman" w:cs="Times New Roman"/>
          <w:sz w:val="24"/>
          <w:szCs w:val="24"/>
        </w:rPr>
        <w:t xml:space="preserve">rojects that have been restructured are subject to separate provisions under section 57 of the Act and section 53 of the </w:t>
      </w:r>
      <w:r w:rsidR="00DD05A6" w:rsidRPr="165183F2">
        <w:rPr>
          <w:rFonts w:ascii="Times New Roman" w:hAnsi="Times New Roman" w:cs="Times New Roman"/>
          <w:sz w:val="24"/>
          <w:szCs w:val="24"/>
        </w:rPr>
        <w:t>Rule.</w:t>
      </w:r>
      <w:r w:rsidR="00961EC2" w:rsidRPr="165183F2">
        <w:rPr>
          <w:rFonts w:ascii="Times New Roman" w:hAnsi="Times New Roman" w:cs="Times New Roman"/>
          <w:sz w:val="24"/>
          <w:szCs w:val="24"/>
        </w:rPr>
        <w:t xml:space="preserve"> These provisions outline how the crediting period is adjusted following a restructure</w:t>
      </w:r>
      <w:r w:rsidR="00DD05A6" w:rsidRPr="165183F2">
        <w:rPr>
          <w:rFonts w:ascii="Times New Roman" w:hAnsi="Times New Roman" w:cs="Times New Roman"/>
          <w:sz w:val="24"/>
          <w:szCs w:val="24"/>
        </w:rPr>
        <w:t xml:space="preserve"> of the project</w:t>
      </w:r>
      <w:r w:rsidR="00961EC2" w:rsidRPr="165183F2">
        <w:rPr>
          <w:rFonts w:ascii="Times New Roman" w:hAnsi="Times New Roman" w:cs="Times New Roman"/>
          <w:sz w:val="24"/>
          <w:szCs w:val="24"/>
        </w:rPr>
        <w:t>. In all other cases, the crediting period is determined in accordance with section 69 of the Act.</w:t>
      </w:r>
    </w:p>
    <w:p w14:paraId="6DF67414" w14:textId="27841E09" w:rsidR="00B8736D" w:rsidRPr="00B8736D" w:rsidRDefault="00961EC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28(1)</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specifies the adjusted crediting period for restarting transferring projects. </w:t>
      </w:r>
      <w:r w:rsidR="00CB6210">
        <w:rPr>
          <w:rFonts w:ascii="Times New Roman" w:hAnsi="Times New Roman" w:cs="Times New Roman"/>
          <w:sz w:val="24"/>
          <w:szCs w:val="24"/>
        </w:rPr>
        <w:t>T</w:t>
      </w:r>
      <w:r w:rsidR="00B8736D" w:rsidRPr="00B8736D">
        <w:rPr>
          <w:rFonts w:ascii="Times New Roman" w:hAnsi="Times New Roman" w:cs="Times New Roman"/>
          <w:sz w:val="24"/>
          <w:szCs w:val="24"/>
        </w:rPr>
        <w:t>he crediting period is reduced by the number of years the project area was already credited under a previous savanna emissions avoidance method.</w:t>
      </w:r>
    </w:p>
    <w:p w14:paraId="22D00C9E" w14:textId="4A157E2D" w:rsidR="00B8736D" w:rsidRPr="00B8736D" w:rsidRDefault="00234924"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DB7453">
        <w:rPr>
          <w:rFonts w:ascii="Times New Roman" w:hAnsi="Times New Roman" w:cs="Times New Roman"/>
          <w:sz w:val="24"/>
          <w:szCs w:val="24"/>
        </w:rPr>
        <w:t>28(</w:t>
      </w:r>
      <w:r w:rsidR="00DB7453" w:rsidRPr="00890C27">
        <w:rPr>
          <w:rFonts w:ascii="Times New Roman" w:hAnsi="Times New Roman" w:cs="Times New Roman"/>
          <w:sz w:val="24"/>
          <w:szCs w:val="24"/>
        </w:rPr>
        <w:t>2</w:t>
      </w:r>
      <w:r w:rsidR="00CB6210">
        <w:rPr>
          <w:rFonts w:ascii="Times New Roman" w:hAnsi="Times New Roman" w:cs="Times New Roman"/>
          <w:sz w:val="24"/>
          <w:szCs w:val="24"/>
        </w:rPr>
        <w:t>)</w:t>
      </w:r>
      <w:r w:rsidR="00DB7453">
        <w:rPr>
          <w:rFonts w:ascii="Times New Roman" w:hAnsi="Times New Roman" w:cs="Times New Roman"/>
          <w:sz w:val="24"/>
          <w:szCs w:val="24"/>
        </w:rPr>
        <w:t xml:space="preserve"> provides that </w:t>
      </w:r>
      <w:proofErr w:type="gramStart"/>
      <w:r w:rsidR="00DB7453">
        <w:rPr>
          <w:rFonts w:ascii="Times New Roman" w:hAnsi="Times New Roman" w:cs="Times New Roman"/>
          <w:sz w:val="24"/>
          <w:szCs w:val="24"/>
        </w:rPr>
        <w:t>in order t</w:t>
      </w:r>
      <w:r w:rsidR="00B8736D" w:rsidRPr="00B8736D">
        <w:rPr>
          <w:rFonts w:ascii="Times New Roman" w:hAnsi="Times New Roman" w:cs="Times New Roman"/>
          <w:sz w:val="24"/>
          <w:szCs w:val="24"/>
        </w:rPr>
        <w:t>o</w:t>
      </w:r>
      <w:proofErr w:type="gramEnd"/>
      <w:r w:rsidR="00B8736D" w:rsidRPr="00B8736D">
        <w:rPr>
          <w:rFonts w:ascii="Times New Roman" w:hAnsi="Times New Roman" w:cs="Times New Roman"/>
          <w:sz w:val="24"/>
          <w:szCs w:val="24"/>
        </w:rPr>
        <w:t xml:space="preserve"> calculate how many years to subtract:</w:t>
      </w:r>
    </w:p>
    <w:p w14:paraId="3041128F" w14:textId="77777777" w:rsidR="00B8736D" w:rsidRPr="004C30B1" w:rsidRDefault="00B8736D"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4C30B1">
        <w:rPr>
          <w:rFonts w:ascii="Times New Roman" w:hAnsi="Times New Roman" w:cs="Times New Roman"/>
          <w:sz w:val="24"/>
          <w:szCs w:val="24"/>
        </w:rPr>
        <w:t>Start from 1 January 2015, or the start date of the previous project’s crediting period—whichever is later.</w:t>
      </w:r>
    </w:p>
    <w:p w14:paraId="4219952F" w14:textId="77777777" w:rsidR="00B8736D" w:rsidRPr="004C30B1" w:rsidRDefault="00B8736D"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4C30B1">
        <w:rPr>
          <w:rFonts w:ascii="Times New Roman" w:hAnsi="Times New Roman" w:cs="Times New Roman"/>
          <w:sz w:val="24"/>
          <w:szCs w:val="24"/>
        </w:rPr>
        <w:t>End on the date the project area officially became part of the new restarting transferring project.</w:t>
      </w:r>
    </w:p>
    <w:p w14:paraId="0A653EB7" w14:textId="77777777" w:rsidR="007B1D1E" w:rsidRDefault="00B8736D" w:rsidP="008103FF">
      <w:pPr>
        <w:spacing w:after="160" w:line="276" w:lineRule="auto"/>
        <w:rPr>
          <w:rFonts w:ascii="Times New Roman" w:hAnsi="Times New Roman" w:cs="Times New Roman"/>
          <w:sz w:val="24"/>
          <w:szCs w:val="24"/>
        </w:rPr>
      </w:pPr>
      <w:r w:rsidRPr="00B8736D">
        <w:rPr>
          <w:rFonts w:ascii="Times New Roman" w:hAnsi="Times New Roman" w:cs="Times New Roman"/>
          <w:sz w:val="24"/>
          <w:szCs w:val="24"/>
        </w:rPr>
        <w:t xml:space="preserve">The time between these two dates is the number of years the area was already credited. </w:t>
      </w:r>
    </w:p>
    <w:p w14:paraId="6A7CF2E1" w14:textId="3024AF49" w:rsidR="00B8736D" w:rsidRDefault="00B8736D" w:rsidP="008103FF">
      <w:pPr>
        <w:spacing w:after="160" w:line="276" w:lineRule="auto"/>
        <w:rPr>
          <w:rFonts w:ascii="Times New Roman" w:hAnsi="Times New Roman" w:cs="Times New Roman"/>
          <w:sz w:val="24"/>
          <w:szCs w:val="24"/>
        </w:rPr>
      </w:pPr>
      <w:r w:rsidRPr="00B8736D">
        <w:rPr>
          <w:rFonts w:ascii="Times New Roman" w:hAnsi="Times New Roman" w:cs="Times New Roman"/>
          <w:sz w:val="24"/>
          <w:szCs w:val="24"/>
        </w:rPr>
        <w:t>That amount is subtracted from the standard 25-year crediting period for the new project. This ensures that the total time a project area is credited under savanna methods does</w:t>
      </w:r>
      <w:r w:rsidR="00BC572B">
        <w:rPr>
          <w:rFonts w:ascii="Times New Roman" w:hAnsi="Times New Roman" w:cs="Times New Roman"/>
          <w:sz w:val="24"/>
          <w:szCs w:val="24"/>
        </w:rPr>
        <w:t xml:space="preserve"> not</w:t>
      </w:r>
      <w:r w:rsidRPr="00B8736D">
        <w:rPr>
          <w:rFonts w:ascii="Times New Roman" w:hAnsi="Times New Roman" w:cs="Times New Roman"/>
          <w:sz w:val="24"/>
          <w:szCs w:val="24"/>
        </w:rPr>
        <w:t xml:space="preserve"> exceed 25 years, maintaining consistency and avoiding double-counting.</w:t>
      </w:r>
    </w:p>
    <w:p w14:paraId="2710249B" w14:textId="55DD3D37" w:rsidR="0076575A" w:rsidRPr="004C30B1" w:rsidRDefault="0076575A" w:rsidP="008103FF">
      <w:pPr>
        <w:spacing w:after="160" w:line="276" w:lineRule="auto"/>
        <w:rPr>
          <w:rFonts w:ascii="Times New Roman" w:hAnsi="Times New Roman" w:cs="Times New Roman"/>
          <w:sz w:val="24"/>
          <w:szCs w:val="24"/>
          <w:u w:val="single"/>
        </w:rPr>
      </w:pPr>
      <w:r w:rsidRPr="004C30B1">
        <w:rPr>
          <w:rFonts w:ascii="Times New Roman" w:hAnsi="Times New Roman" w:cs="Times New Roman"/>
          <w:sz w:val="24"/>
          <w:szCs w:val="24"/>
          <w:u w:val="single"/>
        </w:rPr>
        <w:t>Section 28A – Vegetation fuel type map for transferring project area</w:t>
      </w:r>
    </w:p>
    <w:p w14:paraId="62415AB4" w14:textId="501C1DC4" w:rsidR="0020525F" w:rsidRPr="0020525F" w:rsidRDefault="003B6B4A"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20525F" w:rsidRPr="00890C27">
        <w:rPr>
          <w:rFonts w:ascii="Times New Roman" w:hAnsi="Times New Roman" w:cs="Times New Roman"/>
          <w:sz w:val="24"/>
          <w:szCs w:val="24"/>
        </w:rPr>
        <w:t>28</w:t>
      </w:r>
      <w:proofErr w:type="gramStart"/>
      <w:r w:rsidR="00F42CC3">
        <w:rPr>
          <w:rFonts w:ascii="Times New Roman" w:hAnsi="Times New Roman" w:cs="Times New Roman"/>
          <w:sz w:val="24"/>
          <w:szCs w:val="24"/>
        </w:rPr>
        <w:t>A</w:t>
      </w:r>
      <w:r w:rsidR="0020525F">
        <w:rPr>
          <w:rFonts w:ascii="Times New Roman" w:hAnsi="Times New Roman" w:cs="Times New Roman"/>
          <w:sz w:val="24"/>
          <w:szCs w:val="24"/>
        </w:rPr>
        <w:t>(</w:t>
      </w:r>
      <w:proofErr w:type="gramEnd"/>
      <w:r w:rsidR="0020525F">
        <w:rPr>
          <w:rFonts w:ascii="Times New Roman" w:hAnsi="Times New Roman" w:cs="Times New Roman"/>
          <w:sz w:val="24"/>
          <w:szCs w:val="24"/>
        </w:rPr>
        <w:t>1) provides</w:t>
      </w:r>
      <w:r w:rsidR="0020525F" w:rsidRPr="0020525F">
        <w:rPr>
          <w:rFonts w:ascii="Times New Roman" w:hAnsi="Times New Roman" w:cs="Times New Roman"/>
          <w:sz w:val="24"/>
          <w:szCs w:val="24"/>
        </w:rPr>
        <w:t xml:space="preserve"> the conditions for when the rules in the section are relevant. It applies only if:</w:t>
      </w:r>
    </w:p>
    <w:p w14:paraId="004198B7" w14:textId="77777777" w:rsidR="0020525F" w:rsidRPr="004C30B1" w:rsidRDefault="0020525F"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4C30B1">
        <w:rPr>
          <w:rFonts w:ascii="Times New Roman" w:hAnsi="Times New Roman" w:cs="Times New Roman"/>
          <w:sz w:val="24"/>
          <w:szCs w:val="24"/>
        </w:rPr>
        <w:t>The project area is a transferring project area—meaning it was previously part of another savanna fire management project.</w:t>
      </w:r>
    </w:p>
    <w:p w14:paraId="6F8C587A" w14:textId="77777777" w:rsidR="0020525F" w:rsidRPr="004C30B1" w:rsidRDefault="0020525F"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4C30B1">
        <w:rPr>
          <w:rFonts w:ascii="Times New Roman" w:hAnsi="Times New Roman" w:cs="Times New Roman"/>
          <w:sz w:val="24"/>
          <w:szCs w:val="24"/>
        </w:rPr>
        <w:t>A vegetation map or vegetation fuel type map was already created and validated for that area under the former determination (the method that applied before the area joined the current project).</w:t>
      </w:r>
    </w:p>
    <w:p w14:paraId="053941BE" w14:textId="38B06EC3" w:rsidR="0076575A" w:rsidRDefault="0020525F" w:rsidP="008103FF">
      <w:pPr>
        <w:spacing w:after="160" w:line="276" w:lineRule="auto"/>
        <w:rPr>
          <w:rFonts w:ascii="Times New Roman" w:hAnsi="Times New Roman" w:cs="Times New Roman"/>
          <w:sz w:val="24"/>
          <w:szCs w:val="24"/>
        </w:rPr>
      </w:pPr>
      <w:r w:rsidRPr="0020525F">
        <w:rPr>
          <w:rFonts w:ascii="Times New Roman" w:hAnsi="Times New Roman" w:cs="Times New Roman"/>
          <w:sz w:val="24"/>
          <w:szCs w:val="24"/>
        </w:rPr>
        <w:t xml:space="preserve">In short, </w:t>
      </w:r>
      <w:r w:rsidR="00AF1610">
        <w:rPr>
          <w:rFonts w:ascii="Times New Roman" w:hAnsi="Times New Roman" w:cs="Times New Roman"/>
          <w:sz w:val="24"/>
          <w:szCs w:val="24"/>
        </w:rPr>
        <w:t>Section 28A</w:t>
      </w:r>
      <w:r w:rsidRPr="0020525F">
        <w:rPr>
          <w:rFonts w:ascii="Times New Roman" w:hAnsi="Times New Roman" w:cs="Times New Roman"/>
          <w:sz w:val="24"/>
          <w:szCs w:val="24"/>
        </w:rPr>
        <w:t xml:space="preserve"> is triggered when a transferring area already has a validated vegetation map from its previous project.</w:t>
      </w:r>
    </w:p>
    <w:p w14:paraId="1309B28D" w14:textId="733FD2EB" w:rsidR="0089205E" w:rsidRDefault="0089205E"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Subsection </w:t>
      </w:r>
      <w:r w:rsidRPr="00890C27">
        <w:rPr>
          <w:rFonts w:ascii="Times New Roman" w:hAnsi="Times New Roman" w:cs="Times New Roman"/>
          <w:sz w:val="24"/>
          <w:szCs w:val="24"/>
        </w:rPr>
        <w:t>28</w:t>
      </w:r>
      <w:proofErr w:type="gramStart"/>
      <w:r w:rsidR="00F42CC3">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2) provides that </w:t>
      </w:r>
      <w:r w:rsidRPr="0089205E">
        <w:rPr>
          <w:rFonts w:ascii="Times New Roman" w:hAnsi="Times New Roman" w:cs="Times New Roman"/>
          <w:sz w:val="24"/>
          <w:szCs w:val="24"/>
        </w:rPr>
        <w:t>the previously validated map is automatically accepted as a vegetation fuel type map under the current determination.</w:t>
      </w:r>
      <w:r w:rsidR="00F062F4">
        <w:rPr>
          <w:rFonts w:ascii="Times New Roman" w:hAnsi="Times New Roman" w:cs="Times New Roman"/>
          <w:sz w:val="24"/>
          <w:szCs w:val="24"/>
        </w:rPr>
        <w:t xml:space="preserve"> </w:t>
      </w:r>
      <w:r w:rsidRPr="0089205E">
        <w:rPr>
          <w:rFonts w:ascii="Times New Roman" w:hAnsi="Times New Roman" w:cs="Times New Roman"/>
          <w:sz w:val="24"/>
          <w:szCs w:val="24"/>
        </w:rPr>
        <w:t>It also clarifies that the pixels (individual units of the map) are treated as mapping units, which are the basic units used for calculating emissions and abatement.</w:t>
      </w:r>
      <w:r w:rsidR="00F062F4">
        <w:rPr>
          <w:rFonts w:ascii="Times New Roman" w:hAnsi="Times New Roman" w:cs="Times New Roman"/>
          <w:sz w:val="24"/>
          <w:szCs w:val="24"/>
        </w:rPr>
        <w:t xml:space="preserve"> </w:t>
      </w:r>
      <w:r w:rsidRPr="0089205E">
        <w:rPr>
          <w:rFonts w:ascii="Times New Roman" w:hAnsi="Times New Roman" w:cs="Times New Roman"/>
          <w:sz w:val="24"/>
          <w:szCs w:val="24"/>
        </w:rPr>
        <w:t>This ensures continuity and avoids requiring duplicate mapping work for areas that have already been properly mapped.</w:t>
      </w:r>
    </w:p>
    <w:p w14:paraId="46B07E7B" w14:textId="771368DD" w:rsidR="0089205E" w:rsidRPr="00B8736D" w:rsidRDefault="0089205E"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Subsection </w:t>
      </w:r>
      <w:r w:rsidRPr="00890C27">
        <w:rPr>
          <w:rFonts w:ascii="Times New Roman" w:hAnsi="Times New Roman" w:cs="Times New Roman"/>
          <w:sz w:val="24"/>
          <w:szCs w:val="24"/>
        </w:rPr>
        <w:t>28</w:t>
      </w:r>
      <w:proofErr w:type="gramStart"/>
      <w:r w:rsidR="00F42CC3">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3) </w:t>
      </w:r>
      <w:r w:rsidR="0013043A">
        <w:rPr>
          <w:rFonts w:ascii="Times New Roman" w:hAnsi="Times New Roman" w:cs="Times New Roman"/>
          <w:sz w:val="24"/>
          <w:szCs w:val="24"/>
        </w:rPr>
        <w:t xml:space="preserve">provides for </w:t>
      </w:r>
      <w:r w:rsidR="0013043A" w:rsidRPr="0013043A">
        <w:rPr>
          <w:rFonts w:ascii="Times New Roman" w:hAnsi="Times New Roman" w:cs="Times New Roman"/>
          <w:sz w:val="24"/>
          <w:szCs w:val="24"/>
        </w:rPr>
        <w:t>how to interpret vegetation classifications from older maps.</w:t>
      </w:r>
      <w:r w:rsidR="002104B3">
        <w:rPr>
          <w:rFonts w:ascii="Times New Roman" w:hAnsi="Times New Roman" w:cs="Times New Roman"/>
          <w:sz w:val="24"/>
          <w:szCs w:val="24"/>
        </w:rPr>
        <w:t xml:space="preserve"> </w:t>
      </w:r>
      <w:r w:rsidR="0013043A" w:rsidRPr="0013043A">
        <w:rPr>
          <w:rFonts w:ascii="Times New Roman" w:hAnsi="Times New Roman" w:cs="Times New Roman"/>
          <w:sz w:val="24"/>
          <w:szCs w:val="24"/>
        </w:rPr>
        <w:t>If a map created under a previous savanna emissions avoidance method refers to a vegetation class, that reference is now treated as referring to the corresponding vegetation fuel type, as defined in the Savanna Fire Management Methods (2025) Technical Guidance Document.</w:t>
      </w:r>
      <w:r w:rsidR="002104B3">
        <w:rPr>
          <w:rFonts w:ascii="Times New Roman" w:hAnsi="Times New Roman" w:cs="Times New Roman"/>
          <w:sz w:val="24"/>
          <w:szCs w:val="24"/>
        </w:rPr>
        <w:t xml:space="preserve"> </w:t>
      </w:r>
      <w:r w:rsidR="0013043A" w:rsidRPr="0013043A">
        <w:rPr>
          <w:rFonts w:ascii="Times New Roman" w:hAnsi="Times New Roman" w:cs="Times New Roman"/>
          <w:sz w:val="24"/>
          <w:szCs w:val="24"/>
        </w:rPr>
        <w:t>This ensures consistency in terminology and classification across different versions of the method, allowing older maps to be used reliably under the new rules.</w:t>
      </w:r>
    </w:p>
    <w:p w14:paraId="523D2458" w14:textId="2E0623E8" w:rsidR="0076059B" w:rsidRPr="00D017FA" w:rsidRDefault="0076059B" w:rsidP="008103FF">
      <w:pPr>
        <w:keepNext/>
        <w:spacing w:after="160" w:line="276" w:lineRule="auto"/>
        <w:rPr>
          <w:rFonts w:ascii="Times New Roman" w:hAnsi="Times New Roman" w:cs="Times New Roman"/>
          <w:b/>
          <w:sz w:val="24"/>
          <w:szCs w:val="24"/>
        </w:rPr>
      </w:pPr>
      <w:r w:rsidRPr="00D017FA">
        <w:rPr>
          <w:rFonts w:ascii="Times New Roman" w:hAnsi="Times New Roman" w:cs="Times New Roman"/>
          <w:b/>
          <w:sz w:val="24"/>
          <w:szCs w:val="24"/>
        </w:rPr>
        <w:t xml:space="preserve">Division 8—Project applications </w:t>
      </w:r>
    </w:p>
    <w:p w14:paraId="0EA82E12" w14:textId="45446B0A" w:rsidR="0076059B" w:rsidRPr="00D017FA" w:rsidRDefault="00055FEB"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29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Information to include in section 22</w:t>
      </w:r>
      <w:r w:rsidR="007B1D1E">
        <w:rPr>
          <w:rFonts w:ascii="Times New Roman" w:hAnsi="Times New Roman" w:cs="Times New Roman"/>
          <w:sz w:val="24"/>
          <w:szCs w:val="24"/>
          <w:u w:val="single"/>
        </w:rPr>
        <w:t>, 29</w:t>
      </w:r>
      <w:r w:rsidR="0076059B" w:rsidRPr="33750E9F">
        <w:rPr>
          <w:rFonts w:ascii="Times New Roman" w:hAnsi="Times New Roman" w:cs="Times New Roman"/>
          <w:sz w:val="24"/>
          <w:szCs w:val="24"/>
          <w:u w:val="single"/>
        </w:rPr>
        <w:t xml:space="preserve"> and 128 applications </w:t>
      </w:r>
    </w:p>
    <w:p w14:paraId="619A5691" w14:textId="79B29EA9" w:rsidR="00253D74" w:rsidRDefault="00AF1610"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29</w:t>
      </w:r>
      <w:r w:rsidR="00253D74" w:rsidRPr="33750E9F">
        <w:rPr>
          <w:rFonts w:ascii="Times New Roman" w:hAnsi="Times New Roman" w:cs="Times New Roman"/>
          <w:sz w:val="24"/>
          <w:szCs w:val="24"/>
        </w:rPr>
        <w:t xml:space="preserve"> sets out the information requirements for applications made under section 22</w:t>
      </w:r>
      <w:r w:rsidR="007B1D1E">
        <w:rPr>
          <w:rFonts w:ascii="Times New Roman" w:hAnsi="Times New Roman" w:cs="Times New Roman"/>
          <w:sz w:val="24"/>
          <w:szCs w:val="24"/>
        </w:rPr>
        <w:t>, section 29</w:t>
      </w:r>
      <w:r w:rsidR="00253D74" w:rsidRPr="33750E9F">
        <w:rPr>
          <w:rFonts w:ascii="Times New Roman" w:hAnsi="Times New Roman" w:cs="Times New Roman"/>
          <w:sz w:val="24"/>
          <w:szCs w:val="24"/>
        </w:rPr>
        <w:t xml:space="preserve"> or section 128 of the Act for savanna sequestration projects that include transferring project areas or areas where eligible capacity building fire management has been conducted.</w:t>
      </w:r>
    </w:p>
    <w:p w14:paraId="483F3615" w14:textId="31B4B090" w:rsidR="007953D1" w:rsidRDefault="003D29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A section 22 application is made under section 22 of the Act which </w:t>
      </w:r>
      <w:r w:rsidR="0040315B">
        <w:rPr>
          <w:rFonts w:ascii="Times New Roman" w:hAnsi="Times New Roman" w:cs="Times New Roman"/>
          <w:sz w:val="24"/>
          <w:szCs w:val="24"/>
        </w:rPr>
        <w:t xml:space="preserve">section </w:t>
      </w:r>
      <w:r w:rsidRPr="33750E9F">
        <w:rPr>
          <w:rFonts w:ascii="Times New Roman" w:hAnsi="Times New Roman" w:cs="Times New Roman"/>
          <w:sz w:val="24"/>
          <w:szCs w:val="24"/>
        </w:rPr>
        <w:t xml:space="preserve">provides that a person may apply to the Regulator for the declaration of an offsets project as an eligible offsets project. </w:t>
      </w:r>
    </w:p>
    <w:p w14:paraId="013334A5" w14:textId="2BBFFE16" w:rsidR="007953D1" w:rsidRPr="00FB3769" w:rsidRDefault="007953D1"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A section 128 application is made under section 128 of the Act and provides that a project proponent may, during a reporting period for an eligible offsets project, request the Regulator to approve the application of a specified methodology determination to the project. This</w:t>
      </w:r>
      <w:r w:rsidRPr="33750E9F" w:rsidDel="00362FCC">
        <w:rPr>
          <w:rFonts w:ascii="Times New Roman" w:hAnsi="Times New Roman" w:cs="Times New Roman"/>
          <w:sz w:val="24"/>
          <w:szCs w:val="24"/>
        </w:rPr>
        <w:t xml:space="preserve"> </w:t>
      </w:r>
      <w:r w:rsidRPr="33750E9F">
        <w:rPr>
          <w:rFonts w:ascii="Times New Roman" w:hAnsi="Times New Roman" w:cs="Times New Roman"/>
          <w:sz w:val="24"/>
          <w:szCs w:val="24"/>
        </w:rPr>
        <w:t>allows proponents to transfer their projects to a new or updated methodology determination, where appropriate.</w:t>
      </w:r>
    </w:p>
    <w:p w14:paraId="647193C3" w14:textId="739B30F1" w:rsidR="00573303" w:rsidRDefault="00573303"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29(1) applies to savanna sequestration projects that contain one or more transferring project areas. The section 22</w:t>
      </w:r>
      <w:r w:rsidR="007B1D1E">
        <w:rPr>
          <w:rFonts w:ascii="Times New Roman" w:hAnsi="Times New Roman" w:cs="Times New Roman"/>
          <w:sz w:val="24"/>
          <w:szCs w:val="24"/>
        </w:rPr>
        <w:t>, 29</w:t>
      </w:r>
      <w:r w:rsidRPr="33750E9F">
        <w:rPr>
          <w:rFonts w:ascii="Times New Roman" w:hAnsi="Times New Roman" w:cs="Times New Roman"/>
          <w:sz w:val="24"/>
          <w:szCs w:val="24"/>
        </w:rPr>
        <w:t xml:space="preserve"> or 128 </w:t>
      </w:r>
      <w:proofErr w:type="gramStart"/>
      <w:r w:rsidRPr="33750E9F">
        <w:rPr>
          <w:rFonts w:ascii="Times New Roman" w:hAnsi="Times New Roman" w:cs="Times New Roman"/>
          <w:sz w:val="24"/>
          <w:szCs w:val="24"/>
        </w:rPr>
        <w:t>application</w:t>
      </w:r>
      <w:proofErr w:type="gramEnd"/>
      <w:r w:rsidRPr="33750E9F">
        <w:rPr>
          <w:rFonts w:ascii="Times New Roman" w:hAnsi="Times New Roman" w:cs="Times New Roman"/>
          <w:sz w:val="24"/>
          <w:szCs w:val="24"/>
        </w:rPr>
        <w:t xml:space="preserve"> must state that the project includes transferring areas, identify each transferring area, and provide the unique project identifiers of the projects from which those areas are being transferred</w:t>
      </w:r>
      <w:r w:rsidR="00B61133">
        <w:rPr>
          <w:rFonts w:ascii="Times New Roman" w:hAnsi="Times New Roman" w:cs="Times New Roman"/>
          <w:sz w:val="24"/>
          <w:szCs w:val="24"/>
        </w:rPr>
        <w:t>.</w:t>
      </w:r>
    </w:p>
    <w:p w14:paraId="212746ED" w14:textId="5D213CE4" w:rsidR="00253D74" w:rsidRPr="00FB3769" w:rsidRDefault="009E3D5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 xml:space="preserve">Subsection 29(2) applies to savanna sequestration projects that include one or more areas where eligible capacity building fire management has been undertaken. The section 22 </w:t>
      </w:r>
      <w:r w:rsidR="00684637">
        <w:rPr>
          <w:rFonts w:ascii="Times New Roman" w:hAnsi="Times New Roman" w:cs="Times New Roman"/>
          <w:sz w:val="24"/>
          <w:szCs w:val="24"/>
        </w:rPr>
        <w:t xml:space="preserve">application or section 29 </w:t>
      </w:r>
      <w:r w:rsidRPr="33750E9F">
        <w:rPr>
          <w:rFonts w:ascii="Times New Roman" w:hAnsi="Times New Roman" w:cs="Times New Roman"/>
          <w:sz w:val="24"/>
          <w:szCs w:val="24"/>
        </w:rPr>
        <w:t>application must confirm the inclusion of these areas, identify each capacity building fire management area, describe the activities carried out in each, and provide supporting evidence—such as fire permits, burning records, or reports submitted to relevant authorities—that the activities have occurred.</w:t>
      </w:r>
      <w:r w:rsidR="004468A7" w:rsidRPr="33750E9F">
        <w:rPr>
          <w:rFonts w:ascii="Times New Roman" w:hAnsi="Times New Roman" w:cs="Times New Roman"/>
          <w:sz w:val="24"/>
          <w:szCs w:val="24"/>
        </w:rPr>
        <w:t xml:space="preserve"> </w:t>
      </w:r>
    </w:p>
    <w:p w14:paraId="080C84A6" w14:textId="4A8AF986" w:rsidR="0076059B" w:rsidRPr="00D017FA" w:rsidRDefault="0076059B" w:rsidP="008103FF">
      <w:pPr>
        <w:spacing w:after="160" w:line="276" w:lineRule="auto"/>
        <w:rPr>
          <w:rFonts w:ascii="Times New Roman" w:hAnsi="Times New Roman" w:cs="Times New Roman"/>
          <w:b/>
          <w:sz w:val="24"/>
          <w:szCs w:val="24"/>
        </w:rPr>
      </w:pPr>
      <w:r w:rsidRPr="33750E9F">
        <w:rPr>
          <w:rFonts w:ascii="Times New Roman" w:hAnsi="Times New Roman" w:cs="Times New Roman"/>
          <w:b/>
          <w:bCs/>
          <w:sz w:val="24"/>
          <w:szCs w:val="24"/>
        </w:rPr>
        <w:t xml:space="preserve">Part 4—Net abatement amount </w:t>
      </w:r>
    </w:p>
    <w:p w14:paraId="15444858" w14:textId="0BD0E397" w:rsidR="0076059B" w:rsidRPr="00D017FA" w:rsidRDefault="0076059B" w:rsidP="008103FF">
      <w:pPr>
        <w:spacing w:after="160" w:line="276" w:lineRule="auto"/>
        <w:rPr>
          <w:rFonts w:ascii="Times New Roman" w:hAnsi="Times New Roman" w:cs="Times New Roman"/>
          <w:b/>
          <w:sz w:val="24"/>
          <w:szCs w:val="24"/>
        </w:rPr>
      </w:pPr>
      <w:r w:rsidRPr="00D017FA">
        <w:rPr>
          <w:rFonts w:ascii="Times New Roman" w:hAnsi="Times New Roman" w:cs="Times New Roman"/>
          <w:b/>
          <w:sz w:val="24"/>
          <w:szCs w:val="24"/>
        </w:rPr>
        <w:t xml:space="preserve">Division 1—Preliminary </w:t>
      </w:r>
    </w:p>
    <w:p w14:paraId="779802F9" w14:textId="74D8F02C" w:rsidR="0076059B" w:rsidRPr="00D017FA" w:rsidRDefault="00055FEB"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30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Operation of this Part </w:t>
      </w:r>
    </w:p>
    <w:p w14:paraId="47F9593B" w14:textId="681DFD1E" w:rsidR="0076059B" w:rsidRPr="00982930" w:rsidRDefault="00A62B9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For paragraph 106(1)(c) of the Act, </w:t>
      </w:r>
      <w:r w:rsidR="00165BDC">
        <w:rPr>
          <w:rFonts w:ascii="Times New Roman" w:hAnsi="Times New Roman" w:cs="Times New Roman"/>
          <w:sz w:val="24"/>
          <w:szCs w:val="24"/>
        </w:rPr>
        <w:t xml:space="preserve">Part 4 of 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xml:space="preserve"> specifies the method for working out the net abatement amount for a reporting period for a savanna sequestration project that is an eligible offsets project.</w:t>
      </w:r>
    </w:p>
    <w:p w14:paraId="13A1F5D1" w14:textId="7436A970" w:rsidR="0076059B" w:rsidRPr="00D017FA" w:rsidRDefault="00055FEB"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31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Simplified outline of this Part </w:t>
      </w:r>
    </w:p>
    <w:p w14:paraId="3D41B35B" w14:textId="298C708A" w:rsidR="00394616" w:rsidRPr="00394616" w:rsidRDefault="004C202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31</w:t>
      </w:r>
      <w:r w:rsidR="00394616" w:rsidRPr="33750E9F">
        <w:rPr>
          <w:rFonts w:ascii="Times New Roman" w:hAnsi="Times New Roman" w:cs="Times New Roman"/>
          <w:sz w:val="24"/>
          <w:szCs w:val="24"/>
        </w:rPr>
        <w:t xml:space="preserve"> provides a simplified outline of Part</w:t>
      </w:r>
      <w:r w:rsidR="000C5AC9">
        <w:rPr>
          <w:rFonts w:ascii="Times New Roman" w:hAnsi="Times New Roman" w:cs="Times New Roman"/>
          <w:sz w:val="24"/>
          <w:szCs w:val="24"/>
        </w:rPr>
        <w:t xml:space="preserve"> 4</w:t>
      </w:r>
      <w:r w:rsidR="00394616" w:rsidRPr="33750E9F">
        <w:rPr>
          <w:rFonts w:ascii="Times New Roman" w:hAnsi="Times New Roman" w:cs="Times New Roman"/>
          <w:sz w:val="24"/>
          <w:szCs w:val="24"/>
        </w:rPr>
        <w:t xml:space="preserve">. </w:t>
      </w:r>
    </w:p>
    <w:p w14:paraId="1C8A8480" w14:textId="2F71E34A" w:rsidR="00394616" w:rsidRPr="00394616" w:rsidRDefault="00394616"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For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33750E9F">
        <w:rPr>
          <w:rFonts w:ascii="Times New Roman" w:hAnsi="Times New Roman" w:cs="Times New Roman"/>
          <w:sz w:val="24"/>
          <w:szCs w:val="24"/>
        </w:rPr>
        <w:t>, carbon abatement is accounted for by estimating:</w:t>
      </w:r>
    </w:p>
    <w:p w14:paraId="0909DF32" w14:textId="77777777" w:rsidR="00394616" w:rsidRPr="00394616" w:rsidRDefault="00394616"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the avoidance of emissions of greenhouse gases (methane and nitrous oxide) into the atmosphere; and</w:t>
      </w:r>
    </w:p>
    <w:p w14:paraId="5AC43995" w14:textId="315CAF9F" w:rsidR="00394616" w:rsidRPr="00394616" w:rsidRDefault="00394616"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the carbon dioxide that is removed from the atmosphere and sequestered in </w:t>
      </w:r>
      <w:r w:rsidR="00E50307" w:rsidRPr="33750E9F">
        <w:rPr>
          <w:rFonts w:ascii="Times New Roman" w:hAnsi="Times New Roman" w:cs="Times New Roman"/>
          <w:sz w:val="24"/>
          <w:szCs w:val="24"/>
        </w:rPr>
        <w:t xml:space="preserve">living biomass and </w:t>
      </w:r>
      <w:r w:rsidRPr="33750E9F">
        <w:rPr>
          <w:rFonts w:ascii="Times New Roman" w:hAnsi="Times New Roman" w:cs="Times New Roman"/>
          <w:sz w:val="24"/>
          <w:szCs w:val="24"/>
        </w:rPr>
        <w:t>dead organic matter</w:t>
      </w:r>
      <w:r w:rsidR="009F6461" w:rsidRPr="33750E9F">
        <w:rPr>
          <w:rFonts w:ascii="Times New Roman" w:hAnsi="Times New Roman" w:cs="Times New Roman"/>
          <w:sz w:val="24"/>
          <w:szCs w:val="24"/>
        </w:rPr>
        <w:t xml:space="preserve"> in savannas</w:t>
      </w:r>
      <w:r w:rsidRPr="33750E9F">
        <w:rPr>
          <w:rFonts w:ascii="Times New Roman" w:hAnsi="Times New Roman" w:cs="Times New Roman"/>
          <w:sz w:val="24"/>
          <w:szCs w:val="24"/>
        </w:rPr>
        <w:t>.</w:t>
      </w:r>
    </w:p>
    <w:p w14:paraId="34E200B7" w14:textId="5CF595A2" w:rsidR="00394616" w:rsidRPr="00394616" w:rsidRDefault="00394616"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Savanna sequestration projects are sequestration offsets projects, and therefore subject to permanence obligations in accordance with the Act. These obligations relate to maintaining credited carbon stocks for the duration of the permanence period. The Regulator has powers to require relinquishment of ACCUs that have been issued in relation to project areas where permanence obligations have not been met and carbon stocks have declined below those for which the project has been credited. Part 7 of the Act specifies the conditions under which carbon credits must be relinquished.</w:t>
      </w:r>
    </w:p>
    <w:p w14:paraId="76611114" w14:textId="77777777" w:rsidR="00E13352" w:rsidRDefault="001A0986"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To work out the</w:t>
      </w:r>
      <w:r w:rsidR="00316826" w:rsidRPr="33750E9F">
        <w:rPr>
          <w:rFonts w:ascii="Times New Roman" w:hAnsi="Times New Roman" w:cs="Times New Roman"/>
          <w:sz w:val="24"/>
          <w:szCs w:val="24"/>
        </w:rPr>
        <w:t xml:space="preserve"> net abatement amount in relation to a reporting period for a savanna sequestration project, the project proponent must calculate the adjusted contributions from emissions avoidance and from sequestration of carbon each calendar year that ends during the reporting period and add these together. These calculations must be performed using </w:t>
      </w:r>
      <w:proofErr w:type="spellStart"/>
      <w:r w:rsidR="00316826" w:rsidRPr="33750E9F">
        <w:rPr>
          <w:rFonts w:ascii="Times New Roman" w:hAnsi="Times New Roman" w:cs="Times New Roman"/>
          <w:sz w:val="24"/>
          <w:szCs w:val="24"/>
        </w:rPr>
        <w:t>SavCAM</w:t>
      </w:r>
      <w:proofErr w:type="spellEnd"/>
      <w:r w:rsidR="00316826" w:rsidRPr="33750E9F">
        <w:rPr>
          <w:rFonts w:ascii="Times New Roman" w:hAnsi="Times New Roman" w:cs="Times New Roman"/>
          <w:sz w:val="24"/>
          <w:szCs w:val="24"/>
        </w:rPr>
        <w:t xml:space="preserve">. </w:t>
      </w:r>
    </w:p>
    <w:p w14:paraId="1FDB07DE" w14:textId="4CED225D" w:rsidR="006251FC" w:rsidRDefault="00316826" w:rsidP="008103FF">
      <w:pPr>
        <w:spacing w:after="160" w:line="276" w:lineRule="auto"/>
        <w:rPr>
          <w:rFonts w:ascii="Times New Roman" w:hAnsi="Times New Roman" w:cs="Times New Roman"/>
          <w:sz w:val="24"/>
          <w:szCs w:val="24"/>
        </w:rPr>
      </w:pPr>
      <w:r w:rsidRPr="165183F2">
        <w:rPr>
          <w:rFonts w:ascii="Times New Roman" w:eastAsia="Times New Roman" w:hAnsi="Times New Roman" w:cs="Times New Roman"/>
          <w:sz w:val="24"/>
          <w:szCs w:val="24"/>
        </w:rPr>
        <w:t xml:space="preserve">The calculations in </w:t>
      </w:r>
      <w:r w:rsidR="005D56BA" w:rsidRPr="165183F2">
        <w:rPr>
          <w:rFonts w:ascii="Times New Roman" w:eastAsia="Times New Roman" w:hAnsi="Times New Roman" w:cs="Times New Roman"/>
          <w:sz w:val="24"/>
          <w:szCs w:val="24"/>
        </w:rPr>
        <w:t xml:space="preserve">the </w:t>
      </w:r>
      <w:r w:rsidR="004D74F5" w:rsidRPr="165183F2">
        <w:rPr>
          <w:rFonts w:ascii="Times New Roman" w:eastAsia="Times New Roman" w:hAnsi="Times New Roman" w:cs="Times New Roman"/>
          <w:sz w:val="24"/>
          <w:szCs w:val="24"/>
        </w:rPr>
        <w:t>determination</w:t>
      </w:r>
      <w:r w:rsidRPr="165183F2">
        <w:rPr>
          <w:rFonts w:ascii="Times New Roman" w:eastAsia="Times New Roman" w:hAnsi="Times New Roman" w:cs="Times New Roman"/>
          <w:sz w:val="24"/>
          <w:szCs w:val="24"/>
        </w:rPr>
        <w:t xml:space="preserve"> are made over whole calendar years. It is not possible to calculate abatement over a period shorter than one calendar year or over a twelve‑month period not beginning on 1 January.</w:t>
      </w:r>
      <w:r w:rsidR="00E13352" w:rsidRPr="165183F2">
        <w:rPr>
          <w:rFonts w:ascii="Times New Roman" w:eastAsia="Times New Roman" w:hAnsi="Times New Roman" w:cs="Times New Roman"/>
          <w:sz w:val="24"/>
          <w:szCs w:val="24"/>
        </w:rPr>
        <w:t xml:space="preserve"> While it is not possible to calculate abatement over less than a whole calendar year, this does not prevent or impact projects being declared eligible at any date during the year. For example, if a project was declared eligible on 1 December, then the crediting period starts on that date (see sections 69-70 of the Act for exceptions). </w:t>
      </w:r>
      <w:r w:rsidR="00991A1F" w:rsidRPr="165183F2">
        <w:rPr>
          <w:rFonts w:ascii="Times New Roman" w:eastAsia="Times New Roman" w:hAnsi="Times New Roman" w:cs="Times New Roman"/>
          <w:sz w:val="24"/>
          <w:szCs w:val="24"/>
        </w:rPr>
        <w:t xml:space="preserve">Even </w:t>
      </w:r>
      <w:r w:rsidR="00991A1F" w:rsidRPr="165183F2">
        <w:rPr>
          <w:rFonts w:ascii="Times New Roman" w:eastAsia="Times New Roman" w:hAnsi="Times New Roman" w:cs="Times New Roman"/>
          <w:sz w:val="24"/>
          <w:szCs w:val="24"/>
        </w:rPr>
        <w:lastRenderedPageBreak/>
        <w:t>though the crediting period starts on December 1, the abatement is calculated for the entire calendar year, because that year ends within the reporting period.</w:t>
      </w:r>
      <w:r w:rsidR="00E13352" w:rsidRPr="165183F2">
        <w:rPr>
          <w:rFonts w:ascii="Times New Roman" w:eastAsia="Times New Roman" w:hAnsi="Times New Roman" w:cs="Times New Roman"/>
          <w:sz w:val="24"/>
          <w:szCs w:val="24"/>
        </w:rPr>
        <w:t xml:space="preserve"> This approach ensures abatement</w:t>
      </w:r>
      <w:r w:rsidR="000E79A2" w:rsidRPr="165183F2">
        <w:rPr>
          <w:rFonts w:ascii="Times New Roman" w:eastAsia="Times New Roman" w:hAnsi="Times New Roman" w:cs="Times New Roman"/>
          <w:sz w:val="24"/>
          <w:szCs w:val="24"/>
        </w:rPr>
        <w:t xml:space="preserve"> is</w:t>
      </w:r>
      <w:r w:rsidR="00E13352" w:rsidRPr="165183F2">
        <w:rPr>
          <w:rFonts w:ascii="Times New Roman" w:eastAsia="Times New Roman" w:hAnsi="Times New Roman" w:cs="Times New Roman"/>
          <w:sz w:val="24"/>
          <w:szCs w:val="24"/>
        </w:rPr>
        <w:t xml:space="preserve"> calculated and credited, for the first year following the end of the baseline period</w:t>
      </w:r>
      <w:r w:rsidR="000E56F0" w:rsidRPr="165183F2">
        <w:rPr>
          <w:rFonts w:ascii="Times New Roman" w:eastAsia="Times New Roman" w:hAnsi="Times New Roman" w:cs="Times New Roman"/>
          <w:sz w:val="24"/>
          <w:szCs w:val="24"/>
        </w:rPr>
        <w:t>, ensuring</w:t>
      </w:r>
      <w:r w:rsidR="00E13352" w:rsidRPr="165183F2">
        <w:rPr>
          <w:rFonts w:ascii="Times New Roman" w:eastAsia="Times New Roman" w:hAnsi="Times New Roman" w:cs="Times New Roman"/>
          <w:sz w:val="24"/>
          <w:szCs w:val="24"/>
        </w:rPr>
        <w:t xml:space="preserve"> no ‘gap’ year between the baseline period and the crediting period (the only exception being when capacity building fire management has occurred). </w:t>
      </w:r>
      <w:r w:rsidR="00E13352" w:rsidRPr="165183F2">
        <w:rPr>
          <w:rFonts w:ascii="Times New Roman" w:hAnsi="Times New Roman" w:cs="Times New Roman"/>
          <w:sz w:val="24"/>
          <w:szCs w:val="24"/>
        </w:rPr>
        <w:t>Abatement calculations are also made for every calendar year that ends during the crediting period. In this example, the final 11 months of the crediting period will not have any abatement calculated. Nevertheless, the project w</w:t>
      </w:r>
      <w:r w:rsidR="00F25667" w:rsidRPr="165183F2">
        <w:rPr>
          <w:rFonts w:ascii="Times New Roman" w:hAnsi="Times New Roman" w:cs="Times New Roman"/>
          <w:sz w:val="24"/>
          <w:szCs w:val="24"/>
        </w:rPr>
        <w:t>ould</w:t>
      </w:r>
      <w:r w:rsidR="00E13352" w:rsidRPr="165183F2">
        <w:rPr>
          <w:rFonts w:ascii="Times New Roman" w:hAnsi="Times New Roman" w:cs="Times New Roman"/>
          <w:sz w:val="24"/>
          <w:szCs w:val="24"/>
        </w:rPr>
        <w:t xml:space="preserve"> have had 25 full years of abatement calculated and credited.</w:t>
      </w:r>
    </w:p>
    <w:p w14:paraId="52E5F99C" w14:textId="5A96825E" w:rsidR="00316826" w:rsidRPr="00316826" w:rsidRDefault="00365B3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If a project has more than one project area, the net abatement from emissions avoidance and sequestration must be calculated separately for each project area. These values can then be summed across all project areas being reported on. See subsection 34(2). It is not permitted to account for negative abatement in one project area by adjusting positive abatement in another project area.</w:t>
      </w:r>
      <w:r w:rsidR="00EE0B0D">
        <w:rPr>
          <w:rFonts w:ascii="Times New Roman" w:hAnsi="Times New Roman" w:cs="Times New Roman"/>
          <w:sz w:val="24"/>
          <w:szCs w:val="24"/>
        </w:rPr>
        <w:t xml:space="preserve"> F</w:t>
      </w:r>
      <w:r w:rsidRPr="33750E9F">
        <w:rPr>
          <w:rFonts w:ascii="Times New Roman" w:hAnsi="Times New Roman" w:cs="Times New Roman"/>
          <w:sz w:val="24"/>
          <w:szCs w:val="24"/>
        </w:rPr>
        <w:t xml:space="preserve">or project areas that span both </w:t>
      </w:r>
      <w:r w:rsidR="00EE0B0D">
        <w:rPr>
          <w:rFonts w:ascii="Times New Roman" w:hAnsi="Times New Roman" w:cs="Times New Roman"/>
          <w:sz w:val="24"/>
          <w:szCs w:val="24"/>
        </w:rPr>
        <w:t xml:space="preserve">the high and low </w:t>
      </w:r>
      <w:r w:rsidRPr="33750E9F">
        <w:rPr>
          <w:rFonts w:ascii="Times New Roman" w:hAnsi="Times New Roman" w:cs="Times New Roman"/>
          <w:sz w:val="24"/>
          <w:szCs w:val="24"/>
        </w:rPr>
        <w:t xml:space="preserve">rainfall zones, </w:t>
      </w:r>
      <w:proofErr w:type="spellStart"/>
      <w:r w:rsidRPr="33750E9F">
        <w:rPr>
          <w:rFonts w:ascii="Times New Roman" w:hAnsi="Times New Roman" w:cs="Times New Roman"/>
          <w:sz w:val="24"/>
          <w:szCs w:val="24"/>
        </w:rPr>
        <w:t>SavCAM</w:t>
      </w:r>
      <w:proofErr w:type="spellEnd"/>
      <w:r w:rsidRPr="33750E9F">
        <w:rPr>
          <w:rFonts w:ascii="Times New Roman" w:hAnsi="Times New Roman" w:cs="Times New Roman"/>
          <w:sz w:val="24"/>
          <w:szCs w:val="24"/>
        </w:rPr>
        <w:t xml:space="preserve"> will automatically account for each part of a project area that is in a single rainfall zone, then add the amounts for the different rainfall zones together. </w:t>
      </w:r>
    </w:p>
    <w:p w14:paraId="4F856F21" w14:textId="28A90291" w:rsidR="006D1CD3" w:rsidRDefault="00316826"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When calculating the contribution to the net abatement amount from emissions avoidance, </w:t>
      </w:r>
      <w:proofErr w:type="spellStart"/>
      <w:r w:rsidRPr="33750E9F">
        <w:rPr>
          <w:rFonts w:ascii="Times New Roman" w:hAnsi="Times New Roman" w:cs="Times New Roman"/>
          <w:sz w:val="24"/>
          <w:szCs w:val="24"/>
        </w:rPr>
        <w:t>SavCAM</w:t>
      </w:r>
      <w:proofErr w:type="spellEnd"/>
      <w:r w:rsidRPr="33750E9F">
        <w:rPr>
          <w:rFonts w:ascii="Times New Roman" w:hAnsi="Times New Roman" w:cs="Times New Roman"/>
          <w:sz w:val="24"/>
          <w:szCs w:val="24"/>
        </w:rPr>
        <w:t xml:space="preserve"> calculations account for emissions for all fuel classes (that is, grass fuel, fine fuel, coarse fuel, and heavy fuel and the fire impacted proportion of living biomass). </w:t>
      </w:r>
      <w:r w:rsidR="00257359">
        <w:rPr>
          <w:rFonts w:ascii="Times New Roman" w:hAnsi="Times New Roman" w:cs="Times New Roman"/>
          <w:sz w:val="24"/>
          <w:szCs w:val="24"/>
        </w:rPr>
        <w:t>W</w:t>
      </w:r>
      <w:r w:rsidRPr="33750E9F">
        <w:rPr>
          <w:rFonts w:ascii="Times New Roman" w:hAnsi="Times New Roman" w:cs="Times New Roman"/>
          <w:sz w:val="24"/>
          <w:szCs w:val="24"/>
        </w:rPr>
        <w:t xml:space="preserve">hen calculating the contribution to the net abatement amount from sequestration, </w:t>
      </w:r>
      <w:proofErr w:type="spellStart"/>
      <w:r w:rsidRPr="33750E9F">
        <w:rPr>
          <w:rFonts w:ascii="Times New Roman" w:hAnsi="Times New Roman" w:cs="Times New Roman"/>
          <w:sz w:val="24"/>
          <w:szCs w:val="24"/>
        </w:rPr>
        <w:t>SavCAM</w:t>
      </w:r>
      <w:proofErr w:type="spellEnd"/>
      <w:r w:rsidRPr="33750E9F">
        <w:rPr>
          <w:rFonts w:ascii="Times New Roman" w:hAnsi="Times New Roman" w:cs="Times New Roman"/>
          <w:sz w:val="24"/>
          <w:szCs w:val="24"/>
        </w:rPr>
        <w:t xml:space="preserve"> calculations account for living biomass and dead organic matter that consists of coarse fuel and heavy fuel.</w:t>
      </w:r>
    </w:p>
    <w:p w14:paraId="4897DDF6" w14:textId="7A2186CC" w:rsidR="0076059B" w:rsidRPr="00B16C56" w:rsidRDefault="00055FEB"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32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All calculations must use </w:t>
      </w:r>
      <w:proofErr w:type="spellStart"/>
      <w:r w:rsidR="0076059B" w:rsidRPr="33750E9F">
        <w:rPr>
          <w:rFonts w:ascii="Times New Roman" w:hAnsi="Times New Roman" w:cs="Times New Roman"/>
          <w:sz w:val="24"/>
          <w:szCs w:val="24"/>
          <w:u w:val="single"/>
        </w:rPr>
        <w:t>SavCAM</w:t>
      </w:r>
      <w:proofErr w:type="spellEnd"/>
    </w:p>
    <w:p w14:paraId="69D88641" w14:textId="512A510E" w:rsidR="004B5C23" w:rsidRDefault="006E445B"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Section 32 </w:t>
      </w:r>
      <w:r w:rsidR="00F161E5" w:rsidRPr="165183F2">
        <w:rPr>
          <w:rFonts w:ascii="Times New Roman" w:hAnsi="Times New Roman" w:cs="Times New Roman"/>
          <w:sz w:val="24"/>
          <w:szCs w:val="24"/>
        </w:rPr>
        <w:t>provides</w:t>
      </w:r>
      <w:r w:rsidRPr="165183F2">
        <w:rPr>
          <w:rFonts w:ascii="Times New Roman" w:hAnsi="Times New Roman" w:cs="Times New Roman"/>
          <w:sz w:val="24"/>
          <w:szCs w:val="24"/>
        </w:rPr>
        <w:t xml:space="preserve"> that all calculations undertaken in accordance with </w:t>
      </w:r>
      <w:r w:rsidR="00AF4656" w:rsidRPr="165183F2">
        <w:rPr>
          <w:rFonts w:ascii="Times New Roman" w:hAnsi="Times New Roman" w:cs="Times New Roman"/>
          <w:sz w:val="24"/>
          <w:szCs w:val="24"/>
        </w:rPr>
        <w:t>Part 4</w:t>
      </w:r>
      <w:r w:rsidRPr="165183F2">
        <w:rPr>
          <w:rFonts w:ascii="Times New Roman" w:hAnsi="Times New Roman" w:cs="Times New Roman"/>
          <w:sz w:val="24"/>
          <w:szCs w:val="24"/>
        </w:rPr>
        <w:t xml:space="preserve"> must be performed using </w:t>
      </w:r>
      <w:proofErr w:type="spellStart"/>
      <w:r w:rsidRPr="165183F2">
        <w:rPr>
          <w:rFonts w:ascii="Times New Roman" w:hAnsi="Times New Roman" w:cs="Times New Roman"/>
          <w:sz w:val="24"/>
          <w:szCs w:val="24"/>
        </w:rPr>
        <w:t>SavCAM</w:t>
      </w:r>
      <w:proofErr w:type="spellEnd"/>
      <w:r w:rsidRPr="165183F2">
        <w:rPr>
          <w:rFonts w:ascii="Times New Roman" w:hAnsi="Times New Roman" w:cs="Times New Roman"/>
          <w:sz w:val="24"/>
          <w:szCs w:val="24"/>
        </w:rPr>
        <w:t xml:space="preserve">. This requirement ensures consistency, transparency, and scientific integrity in the quantification of greenhouse gas abatement under the relevant savanna fire management methods. </w:t>
      </w:r>
      <w:r w:rsidR="004B5C23" w:rsidRPr="165183F2">
        <w:rPr>
          <w:rFonts w:ascii="Times New Roman" w:hAnsi="Times New Roman" w:cs="Times New Roman"/>
          <w:sz w:val="24"/>
          <w:szCs w:val="24"/>
        </w:rPr>
        <w:t xml:space="preserve">The definition of </w:t>
      </w:r>
      <w:proofErr w:type="spellStart"/>
      <w:r w:rsidR="004B5C23" w:rsidRPr="165183F2">
        <w:rPr>
          <w:rFonts w:ascii="Times New Roman" w:hAnsi="Times New Roman" w:cs="Times New Roman"/>
          <w:sz w:val="24"/>
          <w:szCs w:val="24"/>
        </w:rPr>
        <w:t>SavCAM</w:t>
      </w:r>
      <w:proofErr w:type="spellEnd"/>
      <w:r w:rsidR="004B5C23" w:rsidRPr="165183F2">
        <w:rPr>
          <w:rFonts w:ascii="Times New Roman" w:hAnsi="Times New Roman" w:cs="Times New Roman"/>
          <w:sz w:val="24"/>
          <w:szCs w:val="24"/>
        </w:rPr>
        <w:t xml:space="preserve"> </w:t>
      </w:r>
      <w:r w:rsidR="00685F7B" w:rsidRPr="165183F2">
        <w:rPr>
          <w:rFonts w:ascii="Times New Roman" w:hAnsi="Times New Roman" w:cs="Times New Roman"/>
          <w:sz w:val="24"/>
          <w:szCs w:val="24"/>
        </w:rPr>
        <w:t xml:space="preserve">in section 5 makes it clear that </w:t>
      </w:r>
      <w:proofErr w:type="spellStart"/>
      <w:r w:rsidR="00685F7B" w:rsidRPr="165183F2">
        <w:rPr>
          <w:rFonts w:ascii="Times New Roman" w:hAnsi="Times New Roman" w:cs="Times New Roman"/>
          <w:sz w:val="24"/>
          <w:szCs w:val="24"/>
        </w:rPr>
        <w:t>SavCAM</w:t>
      </w:r>
      <w:proofErr w:type="spellEnd"/>
      <w:r w:rsidR="00685F7B" w:rsidRPr="165183F2">
        <w:rPr>
          <w:rFonts w:ascii="Times New Roman" w:hAnsi="Times New Roman" w:cs="Times New Roman"/>
          <w:sz w:val="24"/>
          <w:szCs w:val="24"/>
        </w:rPr>
        <w:t xml:space="preserve"> </w:t>
      </w:r>
      <w:r w:rsidR="009178A0" w:rsidRPr="165183F2">
        <w:rPr>
          <w:rFonts w:ascii="Times New Roman" w:hAnsi="Times New Roman" w:cs="Times New Roman"/>
          <w:sz w:val="24"/>
          <w:szCs w:val="24"/>
        </w:rPr>
        <w:t>is</w:t>
      </w:r>
      <w:r w:rsidR="004B5C23" w:rsidRPr="165183F2">
        <w:rPr>
          <w:rFonts w:ascii="Times New Roman" w:hAnsi="Times New Roman" w:cs="Times New Roman"/>
          <w:sz w:val="24"/>
          <w:szCs w:val="24"/>
        </w:rPr>
        <w:t xml:space="preserve"> incorporated as it is in force from time to time</w:t>
      </w:r>
      <w:r w:rsidR="009178A0" w:rsidRPr="165183F2">
        <w:rPr>
          <w:rFonts w:ascii="Times New Roman" w:hAnsi="Times New Roman" w:cs="Times New Roman"/>
          <w:sz w:val="24"/>
          <w:szCs w:val="24"/>
        </w:rPr>
        <w:t xml:space="preserve">, so proponents must use the latest version of </w:t>
      </w:r>
      <w:proofErr w:type="spellStart"/>
      <w:r w:rsidR="009178A0" w:rsidRPr="165183F2">
        <w:rPr>
          <w:rFonts w:ascii="Times New Roman" w:hAnsi="Times New Roman" w:cs="Times New Roman"/>
          <w:sz w:val="24"/>
          <w:szCs w:val="24"/>
        </w:rPr>
        <w:t>SavCAM</w:t>
      </w:r>
      <w:proofErr w:type="spellEnd"/>
      <w:r w:rsidR="009178A0" w:rsidRPr="165183F2">
        <w:rPr>
          <w:rFonts w:ascii="Times New Roman" w:hAnsi="Times New Roman" w:cs="Times New Roman"/>
          <w:sz w:val="24"/>
          <w:szCs w:val="24"/>
        </w:rPr>
        <w:t xml:space="preserve"> subject to </w:t>
      </w:r>
      <w:r w:rsidR="00697DC2" w:rsidRPr="165183F2">
        <w:rPr>
          <w:rFonts w:ascii="Times New Roman" w:hAnsi="Times New Roman" w:cs="Times New Roman"/>
          <w:sz w:val="24"/>
          <w:szCs w:val="24"/>
        </w:rPr>
        <w:t>the clarifications in</w:t>
      </w:r>
      <w:r w:rsidR="009178A0" w:rsidRPr="165183F2">
        <w:rPr>
          <w:rFonts w:ascii="Times New Roman" w:hAnsi="Times New Roman" w:cs="Times New Roman"/>
          <w:sz w:val="24"/>
          <w:szCs w:val="24"/>
        </w:rPr>
        <w:t xml:space="preserve"> section </w:t>
      </w:r>
      <w:r w:rsidR="00697DC2" w:rsidRPr="165183F2">
        <w:rPr>
          <w:rFonts w:ascii="Times New Roman" w:hAnsi="Times New Roman" w:cs="Times New Roman"/>
          <w:sz w:val="24"/>
          <w:szCs w:val="24"/>
        </w:rPr>
        <w:t xml:space="preserve">8 and 9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4B5C23" w:rsidRPr="165183F2">
        <w:rPr>
          <w:rFonts w:ascii="Times New Roman" w:hAnsi="Times New Roman" w:cs="Times New Roman"/>
          <w:sz w:val="24"/>
          <w:szCs w:val="24"/>
        </w:rPr>
        <w:t>.</w:t>
      </w:r>
    </w:p>
    <w:p w14:paraId="5FAACC4B" w14:textId="58DC0C44" w:rsidR="0076059B" w:rsidRPr="00D9654C" w:rsidRDefault="003B753A"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33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Overview of gases accounted for in abatement calculations </w:t>
      </w:r>
    </w:p>
    <w:p w14:paraId="0A2D07BB" w14:textId="2D5D61E2" w:rsidR="00A244ED" w:rsidRDefault="003B753A"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Paragraph </w:t>
      </w:r>
      <w:r w:rsidR="00A244ED" w:rsidRPr="33750E9F">
        <w:rPr>
          <w:rFonts w:ascii="Times New Roman" w:hAnsi="Times New Roman" w:cs="Times New Roman"/>
          <w:sz w:val="24"/>
          <w:szCs w:val="24"/>
        </w:rPr>
        <w:t xml:space="preserve">133(1)(e) of the Act requires all material emissions </w:t>
      </w:r>
      <w:r w:rsidR="008048D9" w:rsidRPr="33750E9F">
        <w:rPr>
          <w:rFonts w:ascii="Times New Roman" w:hAnsi="Times New Roman" w:cs="Times New Roman"/>
          <w:sz w:val="24"/>
          <w:szCs w:val="24"/>
        </w:rPr>
        <w:t>emitted as a direct consequence of carrying out the project to be deducted from the net abatement calculations.</w:t>
      </w:r>
    </w:p>
    <w:p w14:paraId="54E14C40" w14:textId="4B619548" w:rsidR="00550C8E" w:rsidRDefault="00BA1F57"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Section 33</w:t>
      </w:r>
      <w:r w:rsidR="009F5732" w:rsidRPr="33750E9F">
        <w:rPr>
          <w:rFonts w:ascii="Times New Roman" w:hAnsi="Times New Roman" w:cs="Times New Roman"/>
          <w:sz w:val="24"/>
          <w:szCs w:val="24"/>
        </w:rPr>
        <w:t xml:space="preserve"> </w:t>
      </w:r>
      <w:r w:rsidR="003B753A" w:rsidRPr="33750E9F">
        <w:rPr>
          <w:rFonts w:ascii="Times New Roman" w:hAnsi="Times New Roman" w:cs="Times New Roman"/>
          <w:sz w:val="24"/>
          <w:szCs w:val="24"/>
        </w:rPr>
        <w:t xml:space="preserve">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3B753A" w:rsidRPr="33750E9F">
        <w:rPr>
          <w:rFonts w:ascii="Times New Roman" w:hAnsi="Times New Roman" w:cs="Times New Roman"/>
          <w:sz w:val="24"/>
          <w:szCs w:val="24"/>
        </w:rPr>
        <w:t xml:space="preserve"> </w:t>
      </w:r>
      <w:r w:rsidR="009F5732" w:rsidRPr="33750E9F">
        <w:rPr>
          <w:rFonts w:ascii="Times New Roman" w:hAnsi="Times New Roman" w:cs="Times New Roman"/>
          <w:sz w:val="24"/>
          <w:szCs w:val="24"/>
        </w:rPr>
        <w:t xml:space="preserve">provides </w:t>
      </w:r>
      <w:r w:rsidR="00C436FD" w:rsidRPr="33750E9F">
        <w:rPr>
          <w:rFonts w:ascii="Times New Roman" w:hAnsi="Times New Roman" w:cs="Times New Roman"/>
          <w:sz w:val="24"/>
          <w:szCs w:val="24"/>
        </w:rPr>
        <w:t xml:space="preserve">an overview of </w:t>
      </w:r>
      <w:r w:rsidRPr="33750E9F">
        <w:rPr>
          <w:rFonts w:ascii="Times New Roman" w:hAnsi="Times New Roman" w:cs="Times New Roman"/>
          <w:sz w:val="24"/>
          <w:szCs w:val="24"/>
        </w:rPr>
        <w:t>the emissions sources and carbon pools</w:t>
      </w:r>
      <w:r w:rsidR="001955C8" w:rsidRPr="33750E9F">
        <w:rPr>
          <w:rFonts w:ascii="Times New Roman" w:hAnsi="Times New Roman" w:cs="Times New Roman"/>
          <w:sz w:val="24"/>
          <w:szCs w:val="24"/>
        </w:rPr>
        <w:t>, and associated greenhouse gases</w:t>
      </w:r>
      <w:r w:rsidR="00214E96">
        <w:rPr>
          <w:rFonts w:ascii="Times New Roman" w:hAnsi="Times New Roman" w:cs="Times New Roman"/>
          <w:sz w:val="24"/>
          <w:szCs w:val="24"/>
        </w:rPr>
        <w:t xml:space="preserve"> </w:t>
      </w:r>
      <w:r w:rsidR="00F61BB4" w:rsidRPr="33750E9F">
        <w:rPr>
          <w:rFonts w:ascii="Times New Roman" w:hAnsi="Times New Roman" w:cs="Times New Roman"/>
          <w:sz w:val="24"/>
          <w:szCs w:val="24"/>
        </w:rPr>
        <w:t>relevant to working out the net abat</w:t>
      </w:r>
      <w:r w:rsidR="00247F03" w:rsidRPr="33750E9F">
        <w:rPr>
          <w:rFonts w:ascii="Times New Roman" w:hAnsi="Times New Roman" w:cs="Times New Roman"/>
          <w:sz w:val="24"/>
          <w:szCs w:val="24"/>
        </w:rPr>
        <w:t xml:space="preserve">ement amount for a savanna </w:t>
      </w:r>
      <w:r w:rsidR="005D1AE4" w:rsidRPr="00890C27">
        <w:rPr>
          <w:rFonts w:ascii="Times New Roman" w:hAnsi="Times New Roman" w:cs="Times New Roman"/>
          <w:sz w:val="24"/>
          <w:szCs w:val="24"/>
        </w:rPr>
        <w:t>sequestrat</w:t>
      </w:r>
      <w:r w:rsidR="005D1AE4">
        <w:rPr>
          <w:rFonts w:ascii="Times New Roman" w:hAnsi="Times New Roman" w:cs="Times New Roman"/>
          <w:sz w:val="24"/>
          <w:szCs w:val="24"/>
        </w:rPr>
        <w:t xml:space="preserve">ion </w:t>
      </w:r>
      <w:r w:rsidR="00247F03" w:rsidRPr="33750E9F">
        <w:rPr>
          <w:rFonts w:ascii="Times New Roman" w:hAnsi="Times New Roman" w:cs="Times New Roman"/>
          <w:sz w:val="24"/>
          <w:szCs w:val="24"/>
        </w:rPr>
        <w:t xml:space="preserve">project. </w:t>
      </w:r>
      <w:r w:rsidR="006518A1" w:rsidRPr="33750E9F">
        <w:rPr>
          <w:rFonts w:ascii="Times New Roman" w:hAnsi="Times New Roman" w:cs="Times New Roman"/>
          <w:sz w:val="24"/>
          <w:szCs w:val="24"/>
        </w:rPr>
        <w:t xml:space="preserve">The gases to be </w:t>
      </w:r>
      <w:proofErr w:type="gramStart"/>
      <w:r w:rsidR="006518A1" w:rsidRPr="33750E9F">
        <w:rPr>
          <w:rFonts w:ascii="Times New Roman" w:hAnsi="Times New Roman" w:cs="Times New Roman"/>
          <w:sz w:val="24"/>
          <w:szCs w:val="24"/>
        </w:rPr>
        <w:t>taken into account</w:t>
      </w:r>
      <w:proofErr w:type="gramEnd"/>
      <w:r w:rsidR="006518A1" w:rsidRPr="33750E9F">
        <w:rPr>
          <w:rFonts w:ascii="Times New Roman" w:hAnsi="Times New Roman" w:cs="Times New Roman"/>
          <w:sz w:val="24"/>
          <w:szCs w:val="24"/>
        </w:rPr>
        <w:t xml:space="preserve"> when calculating abatement are:</w:t>
      </w:r>
    </w:p>
    <w:p w14:paraId="02574C55" w14:textId="5DE56522" w:rsidR="00550C8E" w:rsidRDefault="00550C8E"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me</w:t>
      </w:r>
      <w:r w:rsidR="006518A1" w:rsidRPr="33750E9F">
        <w:rPr>
          <w:rFonts w:ascii="Times New Roman" w:hAnsi="Times New Roman" w:cs="Times New Roman"/>
          <w:sz w:val="24"/>
          <w:szCs w:val="24"/>
        </w:rPr>
        <w:t>thane and nitrous oxide emissions from the burning of flammable vegetation (fine, coarse, and heavy fuels</w:t>
      </w:r>
      <w:r w:rsidR="20863D93" w:rsidRPr="33750E9F">
        <w:rPr>
          <w:rFonts w:ascii="Times New Roman" w:hAnsi="Times New Roman" w:cs="Times New Roman"/>
          <w:sz w:val="24"/>
          <w:szCs w:val="24"/>
        </w:rPr>
        <w:t>,</w:t>
      </w:r>
      <w:r w:rsidR="006518A1" w:rsidRPr="33750E9F">
        <w:rPr>
          <w:rFonts w:ascii="Times New Roman" w:hAnsi="Times New Roman" w:cs="Times New Roman"/>
          <w:sz w:val="24"/>
          <w:szCs w:val="24"/>
        </w:rPr>
        <w:t xml:space="preserve"> and </w:t>
      </w:r>
      <w:r w:rsidR="20863D93" w:rsidRPr="33750E9F">
        <w:rPr>
          <w:rFonts w:ascii="Times New Roman" w:hAnsi="Times New Roman" w:cs="Times New Roman"/>
          <w:sz w:val="24"/>
          <w:szCs w:val="24"/>
        </w:rPr>
        <w:t xml:space="preserve">the fire-impacted </w:t>
      </w:r>
      <w:r w:rsidR="00544F36" w:rsidRPr="33750E9F">
        <w:rPr>
          <w:rFonts w:ascii="Times New Roman" w:hAnsi="Times New Roman" w:cs="Times New Roman"/>
          <w:sz w:val="24"/>
          <w:szCs w:val="24"/>
        </w:rPr>
        <w:t>proportion</w:t>
      </w:r>
      <w:r w:rsidR="20863D93" w:rsidRPr="33750E9F">
        <w:rPr>
          <w:rFonts w:ascii="Times New Roman" w:hAnsi="Times New Roman" w:cs="Times New Roman"/>
          <w:sz w:val="24"/>
          <w:szCs w:val="24"/>
        </w:rPr>
        <w:t xml:space="preserve"> of living biomass</w:t>
      </w:r>
      <w:r w:rsidR="006518A1" w:rsidRPr="33750E9F">
        <w:rPr>
          <w:rFonts w:ascii="Times New Roman" w:hAnsi="Times New Roman" w:cs="Times New Roman"/>
          <w:sz w:val="24"/>
          <w:szCs w:val="24"/>
        </w:rPr>
        <w:t>) in the project area during the baseline period and the reporting period; and</w:t>
      </w:r>
    </w:p>
    <w:p w14:paraId="40D3B603" w14:textId="72F4B25E" w:rsidR="006518A1" w:rsidRPr="008A1120" w:rsidRDefault="006518A1"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lastRenderedPageBreak/>
        <w:t xml:space="preserve">carbon dioxide from the sequestration of carbon in </w:t>
      </w:r>
      <w:r w:rsidR="004E075E" w:rsidRPr="33750E9F">
        <w:rPr>
          <w:rFonts w:ascii="Times New Roman" w:hAnsi="Times New Roman" w:cs="Times New Roman"/>
          <w:sz w:val="24"/>
          <w:szCs w:val="24"/>
        </w:rPr>
        <w:t xml:space="preserve">living biomass and </w:t>
      </w:r>
      <w:r w:rsidRPr="33750E9F">
        <w:rPr>
          <w:rFonts w:ascii="Times New Roman" w:hAnsi="Times New Roman" w:cs="Times New Roman"/>
          <w:sz w:val="24"/>
          <w:szCs w:val="24"/>
        </w:rPr>
        <w:t xml:space="preserve">dead </w:t>
      </w:r>
      <w:r w:rsidR="0861C236" w:rsidRPr="33750E9F">
        <w:rPr>
          <w:rFonts w:ascii="Times New Roman" w:hAnsi="Times New Roman" w:cs="Times New Roman"/>
          <w:sz w:val="24"/>
          <w:szCs w:val="24"/>
        </w:rPr>
        <w:t>(coarse and heavy)</w:t>
      </w:r>
      <w:r w:rsidRPr="33750E9F">
        <w:rPr>
          <w:rFonts w:ascii="Times New Roman" w:hAnsi="Times New Roman" w:cs="Times New Roman"/>
          <w:sz w:val="24"/>
          <w:szCs w:val="24"/>
        </w:rPr>
        <w:t xml:space="preserve"> organic matter.</w:t>
      </w:r>
    </w:p>
    <w:p w14:paraId="14FA556D" w14:textId="1645F4D9" w:rsidR="006518A1" w:rsidRPr="006518A1" w:rsidRDefault="006518A1"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Emissions from </w:t>
      </w:r>
      <w:proofErr w:type="gramStart"/>
      <w:r w:rsidRPr="165183F2">
        <w:rPr>
          <w:rFonts w:ascii="Times New Roman" w:hAnsi="Times New Roman" w:cs="Times New Roman"/>
          <w:sz w:val="24"/>
          <w:szCs w:val="24"/>
        </w:rPr>
        <w:t>a number of</w:t>
      </w:r>
      <w:proofErr w:type="gramEnd"/>
      <w:r w:rsidRPr="165183F2">
        <w:rPr>
          <w:rFonts w:ascii="Times New Roman" w:hAnsi="Times New Roman" w:cs="Times New Roman"/>
          <w:sz w:val="24"/>
          <w:szCs w:val="24"/>
        </w:rPr>
        <w:t xml:space="preserve"> specified sources are </w:t>
      </w:r>
      <w:r w:rsidR="008A1120" w:rsidRPr="165183F2">
        <w:rPr>
          <w:rFonts w:ascii="Times New Roman" w:hAnsi="Times New Roman" w:cs="Times New Roman"/>
          <w:sz w:val="24"/>
          <w:szCs w:val="24"/>
        </w:rPr>
        <w:t>not accounted for in the net abatement calculations</w:t>
      </w:r>
      <w:r w:rsidRPr="165183F2">
        <w:rPr>
          <w:rFonts w:ascii="Times New Roman" w:hAnsi="Times New Roman" w:cs="Times New Roman"/>
          <w:sz w:val="24"/>
          <w:szCs w:val="24"/>
        </w:rPr>
        <w:t xml:space="preserve"> as these are </w:t>
      </w:r>
      <w:r w:rsidR="008A1120" w:rsidRPr="165183F2">
        <w:rPr>
          <w:rFonts w:ascii="Times New Roman" w:hAnsi="Times New Roman" w:cs="Times New Roman"/>
          <w:sz w:val="24"/>
          <w:szCs w:val="24"/>
        </w:rPr>
        <w:t xml:space="preserve">immaterial </w:t>
      </w:r>
      <w:r w:rsidRPr="165183F2">
        <w:rPr>
          <w:rFonts w:ascii="Times New Roman" w:hAnsi="Times New Roman" w:cs="Times New Roman"/>
          <w:sz w:val="24"/>
          <w:szCs w:val="24"/>
        </w:rPr>
        <w:t xml:space="preserve">when compared to fire emissions. These include emissions from decomposition and degradation of living matter in the dead organic matter and soil. </w:t>
      </w:r>
      <w:r w:rsidR="00E234CD" w:rsidRPr="165183F2">
        <w:rPr>
          <w:rFonts w:ascii="Times New Roman" w:hAnsi="Times New Roman" w:cs="Times New Roman"/>
          <w:sz w:val="24"/>
          <w:szCs w:val="24"/>
        </w:rPr>
        <w:t xml:space="preserve">Emissions from existing livestock are excluded from the calculations, </w:t>
      </w:r>
      <w:r w:rsidR="002C64AB" w:rsidRPr="165183F2">
        <w:rPr>
          <w:rFonts w:ascii="Times New Roman" w:hAnsi="Times New Roman" w:cs="Times New Roman"/>
          <w:sz w:val="24"/>
          <w:szCs w:val="24"/>
        </w:rPr>
        <w:t>provided</w:t>
      </w:r>
      <w:r w:rsidR="00E234CD" w:rsidRPr="165183F2">
        <w:rPr>
          <w:rFonts w:ascii="Times New Roman" w:hAnsi="Times New Roman" w:cs="Times New Roman"/>
          <w:sz w:val="24"/>
          <w:szCs w:val="24"/>
        </w:rPr>
        <w:t xml:space="preserve"> their numbers don’t significantly increase because of the project. Emissions from fossil fuels used to carry out the project are also excluded, since they are considered too small to materially affect the results</w:t>
      </w:r>
      <w:r w:rsidRPr="165183F2">
        <w:rPr>
          <w:rFonts w:ascii="Times New Roman" w:hAnsi="Times New Roman" w:cs="Times New Roman"/>
          <w:sz w:val="24"/>
          <w:szCs w:val="24"/>
        </w:rPr>
        <w:t>.</w:t>
      </w:r>
    </w:p>
    <w:p w14:paraId="5CCB92B2" w14:textId="41095F4B" w:rsidR="00652223" w:rsidRDefault="00C82A17"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T</w:t>
      </w:r>
      <w:r w:rsidR="00652223" w:rsidRPr="00652223">
        <w:rPr>
          <w:rFonts w:ascii="Times New Roman" w:hAnsi="Times New Roman" w:cs="Times New Roman"/>
          <w:sz w:val="24"/>
          <w:szCs w:val="24"/>
        </w:rPr>
        <w:t>ermite emissions are excluded from the greenhouse gas assessment boundary because they are considered immaterial. While termite methane emissions may be higher in low-rainfall zones—due to greater termite density and lower fuel loads compared to high-rainfall zones—there is limited research on how fire regimes, soil types, and termite species affect these emissions. Fire remains the dominant source of methane in both zones (likely over 90%). Although termite emissions may vary slightly due to project activities, these changes are small relative to total termite emissions and cannot currently be quantified. Therefore, excluding termite emissions is considered reasonable for both rainfall zones.</w:t>
      </w:r>
    </w:p>
    <w:p w14:paraId="7107781E" w14:textId="42C3EF4D" w:rsidR="0076059B" w:rsidRPr="005D165B" w:rsidRDefault="0076059B" w:rsidP="008103FF">
      <w:pPr>
        <w:keepNext/>
        <w:spacing w:after="160" w:line="276" w:lineRule="auto"/>
        <w:rPr>
          <w:rFonts w:ascii="Times New Roman" w:hAnsi="Times New Roman" w:cs="Times New Roman"/>
          <w:b/>
          <w:sz w:val="24"/>
          <w:szCs w:val="24"/>
        </w:rPr>
      </w:pPr>
      <w:r w:rsidRPr="005D165B">
        <w:rPr>
          <w:rFonts w:ascii="Times New Roman" w:hAnsi="Times New Roman" w:cs="Times New Roman"/>
          <w:b/>
          <w:sz w:val="24"/>
          <w:szCs w:val="24"/>
        </w:rPr>
        <w:t xml:space="preserve">Division 2—Calculation of net abatement amount </w:t>
      </w:r>
    </w:p>
    <w:p w14:paraId="513FCED9" w14:textId="540C721C" w:rsidR="0076059B" w:rsidRPr="005D165B" w:rsidRDefault="003B753A" w:rsidP="008103FF">
      <w:pPr>
        <w:keepNext/>
        <w:spacing w:after="160" w:line="276" w:lineRule="auto"/>
        <w:rPr>
          <w:rFonts w:ascii="Times New Roman" w:hAnsi="Times New Roman" w:cs="Times New Roman"/>
          <w:i/>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34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The net abatement amount, </w:t>
      </w:r>
      <w:r w:rsidR="0076059B" w:rsidRPr="33750E9F">
        <w:rPr>
          <w:rFonts w:ascii="Times New Roman" w:hAnsi="Times New Roman" w:cs="Times New Roman"/>
          <w:i/>
          <w:iCs/>
          <w:sz w:val="24"/>
          <w:szCs w:val="24"/>
          <w:u w:val="single"/>
        </w:rPr>
        <w:t xml:space="preserve">A </w:t>
      </w:r>
    </w:p>
    <w:p w14:paraId="5EE8A011" w14:textId="77777777" w:rsidR="00B560C8" w:rsidRDefault="000F400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34(1) sets out the calculation for determining the net abatement amount</w:t>
      </w:r>
      <w:r w:rsidR="003A138F" w:rsidRPr="33750E9F">
        <w:rPr>
          <w:rFonts w:ascii="Times New Roman" w:hAnsi="Times New Roman" w:cs="Times New Roman"/>
          <w:sz w:val="24"/>
          <w:szCs w:val="24"/>
        </w:rPr>
        <w:t xml:space="preserve">, </w:t>
      </w:r>
      <w:r w:rsidR="003A138F" w:rsidRPr="33750E9F">
        <w:rPr>
          <w:rFonts w:ascii="Times New Roman" w:hAnsi="Times New Roman" w:cs="Times New Roman"/>
          <w:i/>
          <w:iCs/>
          <w:sz w:val="24"/>
          <w:szCs w:val="24"/>
        </w:rPr>
        <w:t>A,</w:t>
      </w:r>
      <w:r w:rsidRPr="33750E9F">
        <w:rPr>
          <w:rFonts w:ascii="Times New Roman" w:hAnsi="Times New Roman" w:cs="Times New Roman"/>
          <w:sz w:val="24"/>
          <w:szCs w:val="24"/>
        </w:rPr>
        <w:t xml:space="preserve"> for a calendar year in the reporting period. It is used to calculate abatement resulting from fire management for both emissions avoidance and sequestration of carbon </w:t>
      </w:r>
      <w:r w:rsidR="64B4A0BD" w:rsidRPr="33750E9F">
        <w:rPr>
          <w:rFonts w:ascii="Times New Roman" w:hAnsi="Times New Roman" w:cs="Times New Roman"/>
          <w:sz w:val="24"/>
          <w:szCs w:val="24"/>
        </w:rPr>
        <w:t>in</w:t>
      </w:r>
      <w:r w:rsidRPr="33750E9F">
        <w:rPr>
          <w:rFonts w:ascii="Times New Roman" w:hAnsi="Times New Roman" w:cs="Times New Roman"/>
          <w:sz w:val="24"/>
          <w:szCs w:val="24"/>
        </w:rPr>
        <w:t xml:space="preserve"> </w:t>
      </w:r>
      <w:r w:rsidR="0003794E" w:rsidRPr="33750E9F">
        <w:rPr>
          <w:rFonts w:ascii="Times New Roman" w:hAnsi="Times New Roman" w:cs="Times New Roman"/>
          <w:sz w:val="24"/>
          <w:szCs w:val="24"/>
        </w:rPr>
        <w:t xml:space="preserve">living biomass and </w:t>
      </w:r>
      <w:r w:rsidRPr="33750E9F">
        <w:rPr>
          <w:rFonts w:ascii="Times New Roman" w:hAnsi="Times New Roman" w:cs="Times New Roman"/>
          <w:sz w:val="24"/>
          <w:szCs w:val="24"/>
        </w:rPr>
        <w:t>dead organic matter.</w:t>
      </w:r>
    </w:p>
    <w:p w14:paraId="37C41833" w14:textId="5D5422C5" w:rsidR="008D72C5" w:rsidRDefault="000F4009"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The net abatement amount is </w:t>
      </w:r>
      <w:r w:rsidR="00B560C8" w:rsidRPr="165183F2">
        <w:rPr>
          <w:rFonts w:ascii="Times New Roman" w:hAnsi="Times New Roman" w:cs="Times New Roman"/>
          <w:sz w:val="24"/>
          <w:szCs w:val="24"/>
        </w:rPr>
        <w:t xml:space="preserve">equal </w:t>
      </w:r>
      <w:r w:rsidR="00652223" w:rsidRPr="165183F2">
        <w:rPr>
          <w:rFonts w:ascii="Times New Roman" w:hAnsi="Times New Roman" w:cs="Times New Roman"/>
          <w:sz w:val="24"/>
          <w:szCs w:val="24"/>
        </w:rPr>
        <w:t xml:space="preserve">to </w:t>
      </w:r>
      <w:r w:rsidRPr="165183F2">
        <w:rPr>
          <w:rFonts w:ascii="Times New Roman" w:hAnsi="Times New Roman" w:cs="Times New Roman"/>
          <w:sz w:val="24"/>
          <w:szCs w:val="24"/>
        </w:rPr>
        <w:t xml:space="preserve">the sum of the adjusted </w:t>
      </w:r>
      <w:r w:rsidR="008D72C5" w:rsidRPr="165183F2">
        <w:rPr>
          <w:rFonts w:ascii="Times New Roman" w:hAnsi="Times New Roman" w:cs="Times New Roman"/>
          <w:sz w:val="24"/>
          <w:szCs w:val="24"/>
        </w:rPr>
        <w:t xml:space="preserve">contribution to </w:t>
      </w:r>
      <w:r w:rsidRPr="165183F2">
        <w:rPr>
          <w:rFonts w:ascii="Times New Roman" w:hAnsi="Times New Roman" w:cs="Times New Roman"/>
          <w:sz w:val="24"/>
          <w:szCs w:val="24"/>
        </w:rPr>
        <w:t xml:space="preserve">net abatement from emissions avoidance and the adjusted </w:t>
      </w:r>
      <w:r w:rsidR="008D72C5" w:rsidRPr="165183F2">
        <w:rPr>
          <w:rFonts w:ascii="Times New Roman" w:hAnsi="Times New Roman" w:cs="Times New Roman"/>
          <w:sz w:val="24"/>
          <w:szCs w:val="24"/>
        </w:rPr>
        <w:t xml:space="preserve">contribution to </w:t>
      </w:r>
      <w:r w:rsidRPr="165183F2">
        <w:rPr>
          <w:rFonts w:ascii="Times New Roman" w:hAnsi="Times New Roman" w:cs="Times New Roman"/>
          <w:sz w:val="24"/>
          <w:szCs w:val="24"/>
        </w:rPr>
        <w:t>net abatement from sequestration in each project area and each full calendar year that ends in the reporting period</w:t>
      </w:r>
      <w:r w:rsidR="008D72C5" w:rsidRPr="165183F2">
        <w:rPr>
          <w:rFonts w:ascii="Times New Roman" w:hAnsi="Times New Roman" w:cs="Times New Roman"/>
          <w:sz w:val="24"/>
          <w:szCs w:val="24"/>
        </w:rPr>
        <w:t xml:space="preserve">. </w:t>
      </w:r>
    </w:p>
    <w:p w14:paraId="21AD8117" w14:textId="6B16D6EF" w:rsidR="007F26C7" w:rsidRDefault="008D72C5"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The adjusted </w:t>
      </w:r>
      <w:r w:rsidR="000D5D1F" w:rsidRPr="33750E9F">
        <w:rPr>
          <w:rFonts w:ascii="Times New Roman" w:hAnsi="Times New Roman" w:cs="Times New Roman"/>
          <w:sz w:val="24"/>
          <w:szCs w:val="24"/>
        </w:rPr>
        <w:t xml:space="preserve">contribution to </w:t>
      </w:r>
      <w:r w:rsidRPr="33750E9F">
        <w:rPr>
          <w:rFonts w:ascii="Times New Roman" w:hAnsi="Times New Roman" w:cs="Times New Roman"/>
          <w:sz w:val="24"/>
          <w:szCs w:val="24"/>
        </w:rPr>
        <w:t>net abatement from emissions avoidance must</w:t>
      </w:r>
      <w:r w:rsidR="00A77192" w:rsidRPr="33750E9F">
        <w:rPr>
          <w:rFonts w:ascii="Times New Roman" w:hAnsi="Times New Roman" w:cs="Times New Roman"/>
          <w:sz w:val="24"/>
          <w:szCs w:val="24"/>
        </w:rPr>
        <w:t xml:space="preserve"> be calculated using </w:t>
      </w:r>
      <w:r w:rsidRPr="33750E9F">
        <w:rPr>
          <w:rFonts w:ascii="Times New Roman" w:hAnsi="Times New Roman" w:cs="Times New Roman"/>
          <w:sz w:val="24"/>
          <w:szCs w:val="24"/>
        </w:rPr>
        <w:t xml:space="preserve">either </w:t>
      </w:r>
      <w:proofErr w:type="spellStart"/>
      <w:r w:rsidR="00A77192" w:rsidRPr="33750E9F">
        <w:rPr>
          <w:rFonts w:ascii="Times New Roman" w:hAnsi="Times New Roman" w:cs="Times New Roman"/>
          <w:sz w:val="24"/>
          <w:szCs w:val="24"/>
        </w:rPr>
        <w:t>SavCAM</w:t>
      </w:r>
      <w:proofErr w:type="spellEnd"/>
      <w:r w:rsidR="00E77D6C" w:rsidRPr="33750E9F">
        <w:rPr>
          <w:rFonts w:ascii="Times New Roman" w:hAnsi="Times New Roman" w:cs="Times New Roman"/>
          <w:sz w:val="24"/>
          <w:szCs w:val="24"/>
        </w:rPr>
        <w:t xml:space="preserve"> or Schedule</w:t>
      </w:r>
      <w:r w:rsidRPr="33750E9F">
        <w:rPr>
          <w:rFonts w:ascii="Times New Roman" w:hAnsi="Times New Roman" w:cs="Times New Roman"/>
          <w:sz w:val="24"/>
          <w:szCs w:val="24"/>
        </w:rPr>
        <w:t xml:space="preserve"> 1</w:t>
      </w:r>
      <w:r w:rsidR="00A77192" w:rsidRPr="33750E9F">
        <w:rPr>
          <w:rFonts w:ascii="Times New Roman" w:hAnsi="Times New Roman" w:cs="Times New Roman"/>
          <w:sz w:val="24"/>
          <w:szCs w:val="24"/>
        </w:rPr>
        <w:t>.</w:t>
      </w:r>
      <w:r w:rsidRPr="33750E9F">
        <w:rPr>
          <w:rFonts w:ascii="Times New Roman" w:hAnsi="Times New Roman" w:cs="Times New Roman"/>
          <w:sz w:val="24"/>
          <w:szCs w:val="24"/>
        </w:rPr>
        <w:t xml:space="preserve"> The adjusted </w:t>
      </w:r>
      <w:r w:rsidR="000D5D1F" w:rsidRPr="33750E9F">
        <w:rPr>
          <w:rFonts w:ascii="Times New Roman" w:hAnsi="Times New Roman" w:cs="Times New Roman"/>
          <w:sz w:val="24"/>
          <w:szCs w:val="24"/>
        </w:rPr>
        <w:t xml:space="preserve">contribution to </w:t>
      </w:r>
      <w:r w:rsidRPr="33750E9F">
        <w:rPr>
          <w:rFonts w:ascii="Times New Roman" w:hAnsi="Times New Roman" w:cs="Times New Roman"/>
          <w:sz w:val="24"/>
          <w:szCs w:val="24"/>
        </w:rPr>
        <w:t xml:space="preserve">net abatement </w:t>
      </w:r>
      <w:r w:rsidR="000D5D1F" w:rsidRPr="33750E9F">
        <w:rPr>
          <w:rFonts w:ascii="Times New Roman" w:hAnsi="Times New Roman" w:cs="Times New Roman"/>
          <w:sz w:val="24"/>
          <w:szCs w:val="24"/>
        </w:rPr>
        <w:t xml:space="preserve">from sequestration must be calculated using either </w:t>
      </w:r>
      <w:proofErr w:type="spellStart"/>
      <w:r w:rsidR="000D5D1F" w:rsidRPr="33750E9F">
        <w:rPr>
          <w:rFonts w:ascii="Times New Roman" w:hAnsi="Times New Roman" w:cs="Times New Roman"/>
          <w:sz w:val="24"/>
          <w:szCs w:val="24"/>
        </w:rPr>
        <w:t>SavCAM</w:t>
      </w:r>
      <w:proofErr w:type="spellEnd"/>
      <w:r w:rsidR="000D5D1F" w:rsidRPr="33750E9F">
        <w:rPr>
          <w:rFonts w:ascii="Times New Roman" w:hAnsi="Times New Roman" w:cs="Times New Roman"/>
          <w:sz w:val="24"/>
          <w:szCs w:val="24"/>
        </w:rPr>
        <w:t xml:space="preserve"> or Schedule 2. </w:t>
      </w:r>
    </w:p>
    <w:p w14:paraId="605AC110" w14:textId="77777777" w:rsidR="000F4009" w:rsidRPr="00D85471" w:rsidRDefault="000F4009" w:rsidP="008103FF">
      <w:pPr>
        <w:spacing w:after="160" w:line="276" w:lineRule="auto"/>
        <w:rPr>
          <w:rFonts w:ascii="Times New Roman" w:hAnsi="Times New Roman" w:cs="Times New Roman"/>
          <w:i/>
          <w:iCs/>
          <w:sz w:val="24"/>
          <w:szCs w:val="24"/>
        </w:rPr>
      </w:pPr>
      <w:r w:rsidRPr="33750E9F">
        <w:rPr>
          <w:rFonts w:ascii="Times New Roman" w:hAnsi="Times New Roman" w:cs="Times New Roman"/>
          <w:i/>
          <w:iCs/>
          <w:sz w:val="24"/>
          <w:szCs w:val="24"/>
        </w:rPr>
        <w:t>Adjustments to calculations—multiple project areas</w:t>
      </w:r>
    </w:p>
    <w:p w14:paraId="64487927" w14:textId="5903BB31" w:rsidR="000F4009" w:rsidRPr="000F4009" w:rsidRDefault="000F4009"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Subsection 34(2) sets out how the net abatement amount is calculated for a project with more than one project area. </w:t>
      </w:r>
      <w:r w:rsidR="00585D87" w:rsidRPr="33750E9F">
        <w:rPr>
          <w:rFonts w:ascii="Times New Roman" w:hAnsi="Times New Roman" w:cs="Times New Roman"/>
          <w:sz w:val="24"/>
          <w:szCs w:val="24"/>
        </w:rPr>
        <w:t>This subsection provides</w:t>
      </w:r>
      <w:r w:rsidRPr="33750E9F">
        <w:rPr>
          <w:rFonts w:ascii="Times New Roman" w:hAnsi="Times New Roman" w:cs="Times New Roman"/>
          <w:sz w:val="24"/>
          <w:szCs w:val="24"/>
        </w:rPr>
        <w:t xml:space="preserve"> that </w:t>
      </w:r>
      <w:r w:rsidR="00AB3611" w:rsidRPr="33750E9F">
        <w:rPr>
          <w:rFonts w:ascii="Times New Roman" w:hAnsi="Times New Roman" w:cs="Times New Roman"/>
          <w:sz w:val="24"/>
          <w:szCs w:val="24"/>
        </w:rPr>
        <w:t xml:space="preserve">to determine the </w:t>
      </w:r>
      <w:r w:rsidR="0051530A" w:rsidRPr="33750E9F">
        <w:rPr>
          <w:rFonts w:ascii="Times New Roman" w:hAnsi="Times New Roman" w:cs="Times New Roman"/>
          <w:sz w:val="24"/>
          <w:szCs w:val="24"/>
        </w:rPr>
        <w:t xml:space="preserve">net abatement for the entire </w:t>
      </w:r>
      <w:proofErr w:type="gramStart"/>
      <w:r w:rsidR="0051530A" w:rsidRPr="33750E9F">
        <w:rPr>
          <w:rFonts w:ascii="Times New Roman" w:hAnsi="Times New Roman" w:cs="Times New Roman"/>
          <w:sz w:val="24"/>
          <w:szCs w:val="24"/>
        </w:rPr>
        <w:t>project,</w:t>
      </w:r>
      <w:proofErr w:type="gramEnd"/>
      <w:r w:rsidR="0051530A"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proponents must </w:t>
      </w:r>
      <w:r w:rsidR="0051530A" w:rsidRPr="33750E9F">
        <w:rPr>
          <w:rFonts w:ascii="Times New Roman" w:hAnsi="Times New Roman" w:cs="Times New Roman"/>
          <w:sz w:val="24"/>
          <w:szCs w:val="24"/>
        </w:rPr>
        <w:t xml:space="preserve">first </w:t>
      </w:r>
      <w:r w:rsidRPr="33750E9F">
        <w:rPr>
          <w:rFonts w:ascii="Times New Roman" w:hAnsi="Times New Roman" w:cs="Times New Roman"/>
          <w:sz w:val="24"/>
          <w:szCs w:val="24"/>
        </w:rPr>
        <w:t xml:space="preserve">calculate the value of </w:t>
      </w:r>
      <w:r w:rsidR="00AB3611" w:rsidRPr="33750E9F">
        <w:rPr>
          <w:rFonts w:ascii="Times New Roman" w:hAnsi="Times New Roman" w:cs="Times New Roman"/>
          <w:sz w:val="24"/>
          <w:szCs w:val="24"/>
        </w:rPr>
        <w:t>n</w:t>
      </w:r>
      <w:r w:rsidR="00E448FB" w:rsidRPr="33750E9F">
        <w:rPr>
          <w:rFonts w:ascii="Times New Roman" w:hAnsi="Times New Roman" w:cs="Times New Roman"/>
          <w:sz w:val="24"/>
          <w:szCs w:val="24"/>
        </w:rPr>
        <w:t xml:space="preserve">et abatement </w:t>
      </w:r>
      <w:r w:rsidRPr="33750E9F">
        <w:rPr>
          <w:rFonts w:ascii="Times New Roman" w:hAnsi="Times New Roman" w:cs="Times New Roman"/>
          <w:sz w:val="24"/>
          <w:szCs w:val="24"/>
        </w:rPr>
        <w:t xml:space="preserve">for each project area </w:t>
      </w:r>
      <w:r w:rsidR="00E448FB" w:rsidRPr="33750E9F">
        <w:rPr>
          <w:rFonts w:ascii="Times New Roman" w:hAnsi="Times New Roman" w:cs="Times New Roman"/>
          <w:sz w:val="24"/>
          <w:szCs w:val="24"/>
        </w:rPr>
        <w:t>(</w:t>
      </w:r>
      <w:r w:rsidR="00E448FB" w:rsidRPr="33750E9F">
        <w:rPr>
          <w:rFonts w:ascii="Times New Roman" w:hAnsi="Times New Roman" w:cs="Times New Roman"/>
          <w:i/>
          <w:iCs/>
          <w:sz w:val="24"/>
          <w:szCs w:val="24"/>
        </w:rPr>
        <w:t>A</w:t>
      </w:r>
      <w:r w:rsidR="00E448FB" w:rsidRPr="005D165B">
        <w:rPr>
          <w:rFonts w:ascii="Times New Roman" w:hAnsi="Times New Roman" w:cs="Times New Roman"/>
          <w:sz w:val="24"/>
          <w:szCs w:val="24"/>
        </w:rPr>
        <w:t>)</w:t>
      </w:r>
      <w:r w:rsidR="00E448FB" w:rsidRPr="33750E9F">
        <w:rPr>
          <w:rFonts w:ascii="Times New Roman" w:hAnsi="Times New Roman" w:cs="Times New Roman"/>
          <w:sz w:val="24"/>
          <w:szCs w:val="24"/>
        </w:rPr>
        <w:t xml:space="preserve"> </w:t>
      </w:r>
      <w:r w:rsidRPr="33750E9F">
        <w:rPr>
          <w:rFonts w:ascii="Times New Roman" w:hAnsi="Times New Roman" w:cs="Times New Roman"/>
          <w:sz w:val="24"/>
          <w:szCs w:val="24"/>
        </w:rPr>
        <w:t>and then add the</w:t>
      </w:r>
      <w:r w:rsidR="0051530A" w:rsidRPr="33750E9F">
        <w:rPr>
          <w:rFonts w:ascii="Times New Roman" w:hAnsi="Times New Roman" w:cs="Times New Roman"/>
          <w:sz w:val="24"/>
          <w:szCs w:val="24"/>
        </w:rPr>
        <w:t>se</w:t>
      </w:r>
      <w:r w:rsidRPr="33750E9F">
        <w:rPr>
          <w:rFonts w:ascii="Times New Roman" w:hAnsi="Times New Roman" w:cs="Times New Roman"/>
          <w:sz w:val="24"/>
          <w:szCs w:val="24"/>
        </w:rPr>
        <w:t xml:space="preserve"> values together</w:t>
      </w:r>
      <w:r w:rsidR="0051530A" w:rsidRPr="33750E9F">
        <w:rPr>
          <w:rFonts w:ascii="Times New Roman" w:hAnsi="Times New Roman" w:cs="Times New Roman"/>
          <w:sz w:val="24"/>
          <w:szCs w:val="24"/>
        </w:rPr>
        <w:t>.</w:t>
      </w:r>
    </w:p>
    <w:p w14:paraId="4F4B9614" w14:textId="09307FD7" w:rsidR="0076059B" w:rsidRPr="005D165B" w:rsidRDefault="0076059B" w:rsidP="008103FF">
      <w:pPr>
        <w:spacing w:after="160" w:line="276" w:lineRule="auto"/>
        <w:rPr>
          <w:rFonts w:ascii="Times New Roman" w:hAnsi="Times New Roman" w:cs="Times New Roman"/>
          <w:b/>
          <w:sz w:val="24"/>
          <w:szCs w:val="24"/>
        </w:rPr>
      </w:pPr>
      <w:r w:rsidRPr="33750E9F">
        <w:rPr>
          <w:rFonts w:ascii="Times New Roman" w:hAnsi="Times New Roman" w:cs="Times New Roman"/>
          <w:b/>
          <w:bCs/>
          <w:sz w:val="24"/>
          <w:szCs w:val="24"/>
        </w:rPr>
        <w:t xml:space="preserve">Part 5—Reporting, record-keeping, monitoring and notification requirements </w:t>
      </w:r>
    </w:p>
    <w:p w14:paraId="35285168" w14:textId="35833AEA" w:rsidR="005E7B5B" w:rsidRPr="00890C27" w:rsidRDefault="005E7B5B" w:rsidP="008103FF">
      <w:pPr>
        <w:spacing w:after="160" w:line="276" w:lineRule="auto"/>
        <w:rPr>
          <w:rFonts w:ascii="Times New Roman" w:eastAsia="Times New Roman" w:hAnsi="Times New Roman" w:cs="Times New Roman"/>
          <w:sz w:val="24"/>
          <w:szCs w:val="24"/>
          <w:lang w:eastAsia="en-AU"/>
        </w:rPr>
      </w:pPr>
      <w:r w:rsidRPr="00890C27">
        <w:rPr>
          <w:rFonts w:ascii="Times New Roman" w:eastAsia="Times New Roman" w:hAnsi="Times New Roman" w:cs="Times New Roman"/>
          <w:sz w:val="24"/>
          <w:szCs w:val="24"/>
          <w:lang w:eastAsia="en-AU"/>
        </w:rPr>
        <w:t xml:space="preserve">Subsection 106(3) of the Act provides that a methodology determination may require the project proponent of a </w:t>
      </w:r>
      <w:r w:rsidR="00FE60F4">
        <w:rPr>
          <w:rFonts w:ascii="Times New Roman" w:eastAsia="Times New Roman" w:hAnsi="Times New Roman" w:cs="Times New Roman"/>
          <w:sz w:val="24"/>
          <w:szCs w:val="24"/>
          <w:lang w:eastAsia="en-AU"/>
        </w:rPr>
        <w:t>particular type of</w:t>
      </w:r>
      <w:r w:rsidRPr="00890C27">
        <w:rPr>
          <w:rFonts w:ascii="Times New Roman" w:eastAsia="Times New Roman" w:hAnsi="Times New Roman" w:cs="Times New Roman"/>
          <w:sz w:val="24"/>
          <w:szCs w:val="24"/>
          <w:lang w:eastAsia="en-AU"/>
        </w:rPr>
        <w:t xml:space="preserve"> project that is an eligible offsets project to comply with specified reporting, record-keeping and monitoring requirements. </w:t>
      </w:r>
    </w:p>
    <w:p w14:paraId="4669417E" w14:textId="7D5458BB" w:rsidR="005E7B5B" w:rsidRPr="00890C27" w:rsidRDefault="005E7B5B" w:rsidP="008103FF">
      <w:pPr>
        <w:spacing w:after="160" w:line="276" w:lineRule="auto"/>
        <w:rPr>
          <w:rFonts w:ascii="Times New Roman" w:eastAsia="Times New Roman" w:hAnsi="Times New Roman" w:cs="Times New Roman"/>
          <w:sz w:val="24"/>
          <w:szCs w:val="24"/>
          <w:lang w:eastAsia="en-AU"/>
        </w:rPr>
      </w:pPr>
      <w:r w:rsidRPr="00890C27">
        <w:rPr>
          <w:rFonts w:ascii="Times New Roman" w:eastAsia="Times New Roman" w:hAnsi="Times New Roman" w:cs="Times New Roman"/>
          <w:sz w:val="24"/>
          <w:szCs w:val="24"/>
          <w:lang w:eastAsia="en-AU"/>
        </w:rPr>
        <w:lastRenderedPageBreak/>
        <w:t>Under Parts 17 and 21 of the Act, a failure to comply with these requirements may constitute a breach of a civil penalty provision, and a financial penalty may be payable.</w:t>
      </w:r>
    </w:p>
    <w:p w14:paraId="7F5DCB09" w14:textId="43F79884" w:rsidR="0072142D" w:rsidRPr="00890C27" w:rsidRDefault="008473D6" w:rsidP="008103FF">
      <w:pPr>
        <w:spacing w:after="16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Part 5</w:t>
      </w:r>
      <w:r w:rsidR="00656743" w:rsidRPr="00890C27">
        <w:rPr>
          <w:rFonts w:ascii="Times New Roman" w:eastAsia="Times New Roman" w:hAnsi="Times New Roman" w:cs="Times New Roman"/>
          <w:sz w:val="24"/>
          <w:szCs w:val="24"/>
          <w:lang w:eastAsia="en-AU"/>
        </w:rPr>
        <w:t xml:space="preserve"> </w:t>
      </w:r>
      <w:r w:rsidR="0072142D" w:rsidRPr="00890C27">
        <w:rPr>
          <w:rFonts w:ascii="Times New Roman" w:eastAsia="Times New Roman" w:hAnsi="Times New Roman" w:cs="Times New Roman"/>
          <w:sz w:val="24"/>
          <w:szCs w:val="24"/>
          <w:lang w:eastAsia="en-AU"/>
        </w:rPr>
        <w:t xml:space="preserve">of the </w:t>
      </w:r>
      <w:r w:rsidR="004D74F5">
        <w:rPr>
          <w:rFonts w:ascii="Times New Roman" w:eastAsia="Times New Roman" w:hAnsi="Times New Roman" w:cs="Times New Roman"/>
          <w:sz w:val="24"/>
          <w:szCs w:val="24"/>
          <w:lang w:eastAsia="en-AU"/>
        </w:rPr>
        <w:t>determination</w:t>
      </w:r>
      <w:r w:rsidR="0072142D" w:rsidRPr="00890C27">
        <w:rPr>
          <w:rFonts w:ascii="Times New Roman" w:eastAsia="Times New Roman" w:hAnsi="Times New Roman" w:cs="Times New Roman"/>
          <w:sz w:val="24"/>
          <w:szCs w:val="24"/>
          <w:lang w:eastAsia="en-AU"/>
        </w:rPr>
        <w:t xml:space="preserve"> </w:t>
      </w:r>
      <w:r w:rsidR="00656743" w:rsidRPr="00890C27">
        <w:rPr>
          <w:rFonts w:ascii="Times New Roman" w:eastAsia="Times New Roman" w:hAnsi="Times New Roman" w:cs="Times New Roman"/>
          <w:sz w:val="24"/>
          <w:szCs w:val="24"/>
          <w:lang w:eastAsia="en-AU"/>
        </w:rPr>
        <w:t xml:space="preserve">provides </w:t>
      </w:r>
      <w:r w:rsidR="0072142D" w:rsidRPr="00890C27">
        <w:rPr>
          <w:rFonts w:ascii="Times New Roman" w:eastAsia="Times New Roman" w:hAnsi="Times New Roman" w:cs="Times New Roman"/>
          <w:sz w:val="24"/>
          <w:szCs w:val="24"/>
          <w:lang w:eastAsia="en-AU"/>
        </w:rPr>
        <w:t xml:space="preserve">any additional reporting, record-keeping and monitoring requirements that </w:t>
      </w:r>
      <w:r w:rsidR="001144FC">
        <w:rPr>
          <w:rFonts w:ascii="Times New Roman" w:eastAsia="Times New Roman" w:hAnsi="Times New Roman" w:cs="Times New Roman"/>
          <w:sz w:val="24"/>
          <w:szCs w:val="24"/>
          <w:lang w:eastAsia="en-AU"/>
        </w:rPr>
        <w:t xml:space="preserve">project </w:t>
      </w:r>
      <w:r w:rsidR="0072142D" w:rsidRPr="00890C27">
        <w:rPr>
          <w:rFonts w:ascii="Times New Roman" w:eastAsia="Times New Roman" w:hAnsi="Times New Roman" w:cs="Times New Roman"/>
          <w:sz w:val="24"/>
          <w:szCs w:val="24"/>
          <w:lang w:eastAsia="en-AU"/>
        </w:rPr>
        <w:t xml:space="preserve">proponents must adhere to. These </w:t>
      </w:r>
      <w:r w:rsidR="0072142D" w:rsidRPr="00890C27">
        <w:rPr>
          <w:rFonts w:ascii="Times New Roman" w:hAnsi="Times New Roman" w:cs="Times New Roman"/>
          <w:sz w:val="24"/>
          <w:szCs w:val="24"/>
        </w:rPr>
        <w:t xml:space="preserve">are in </w:t>
      </w:r>
      <w:r w:rsidR="0072142D" w:rsidRPr="00890C27">
        <w:rPr>
          <w:rFonts w:ascii="Times New Roman" w:eastAsia="Times New Roman" w:hAnsi="Times New Roman" w:cs="Times New Roman"/>
          <w:sz w:val="24"/>
          <w:szCs w:val="24"/>
          <w:lang w:eastAsia="en-AU"/>
        </w:rPr>
        <w:t>addition</w:t>
      </w:r>
      <w:r w:rsidR="0072142D" w:rsidRPr="00890C27">
        <w:rPr>
          <w:rFonts w:ascii="Times New Roman" w:hAnsi="Times New Roman" w:cs="Times New Roman"/>
          <w:sz w:val="24"/>
          <w:szCs w:val="24"/>
        </w:rPr>
        <w:t xml:space="preserve"> to any requirements specified in the Act and the Rule.</w:t>
      </w:r>
    </w:p>
    <w:p w14:paraId="43C65C7D" w14:textId="1B5FD489" w:rsidR="0076059B" w:rsidRPr="005D165B" w:rsidRDefault="0076059B" w:rsidP="008103FF">
      <w:pPr>
        <w:spacing w:after="160" w:line="276" w:lineRule="auto"/>
        <w:rPr>
          <w:rFonts w:ascii="Times New Roman" w:hAnsi="Times New Roman" w:cs="Times New Roman"/>
          <w:b/>
          <w:sz w:val="24"/>
          <w:szCs w:val="24"/>
        </w:rPr>
      </w:pPr>
      <w:r w:rsidRPr="005D165B">
        <w:rPr>
          <w:rFonts w:ascii="Times New Roman" w:hAnsi="Times New Roman" w:cs="Times New Roman"/>
          <w:b/>
          <w:sz w:val="24"/>
          <w:szCs w:val="24"/>
        </w:rPr>
        <w:t xml:space="preserve">Division 1—Offsets report requirements </w:t>
      </w:r>
    </w:p>
    <w:p w14:paraId="742C50D7" w14:textId="3D47805F" w:rsidR="0076059B" w:rsidRPr="005D165B" w:rsidRDefault="003B753A"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35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Operation of this Division </w:t>
      </w:r>
    </w:p>
    <w:p w14:paraId="38BA05D3" w14:textId="13CCEAC2" w:rsidR="00B0579B" w:rsidRPr="00890C27" w:rsidRDefault="00990578"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Section 35 </w:t>
      </w:r>
      <w:r w:rsidR="00DC1084" w:rsidRPr="00890C27">
        <w:rPr>
          <w:rFonts w:ascii="Times New Roman" w:hAnsi="Times New Roman" w:cs="Times New Roman"/>
          <w:sz w:val="24"/>
          <w:szCs w:val="24"/>
        </w:rPr>
        <w:t>states</w:t>
      </w:r>
      <w:r w:rsidR="00B0579B" w:rsidRPr="00890C27">
        <w:rPr>
          <w:rFonts w:ascii="Times New Roman" w:hAnsi="Times New Roman" w:cs="Times New Roman"/>
          <w:sz w:val="24"/>
          <w:szCs w:val="24"/>
        </w:rPr>
        <w:t xml:space="preserve"> that for the purpose of paragraph 106(3)(a) of the Act, this Division outlines the specific information that must be included in an offsets report for a savanna sequestration project that has been declared an eligible offsets project.</w:t>
      </w:r>
      <w:r w:rsidR="00D77D7D" w:rsidRPr="00D77D7D">
        <w:rPr>
          <w:rFonts w:ascii="Times New Roman" w:hAnsi="Times New Roman" w:cs="Times New Roman"/>
          <w:sz w:val="24"/>
          <w:szCs w:val="24"/>
        </w:rPr>
        <w:t xml:space="preserve"> </w:t>
      </w:r>
      <w:r w:rsidR="00D77D7D" w:rsidRPr="00890C27">
        <w:rPr>
          <w:rFonts w:ascii="Times New Roman" w:hAnsi="Times New Roman" w:cs="Times New Roman"/>
          <w:sz w:val="24"/>
          <w:szCs w:val="24"/>
        </w:rPr>
        <w:t>Paragraph 106(3)(a) of the Act provides that a methodology determination may require project proponents to include specified information relating to the project in each offsets report about the project.</w:t>
      </w:r>
    </w:p>
    <w:p w14:paraId="2D608942" w14:textId="6A2264C8" w:rsidR="00B0579B" w:rsidRPr="00890C27" w:rsidRDefault="00B0579B"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A note to the section makes it clear that </w:t>
      </w:r>
      <w:r w:rsidR="00B77E79" w:rsidRPr="00890C27">
        <w:rPr>
          <w:rFonts w:ascii="Times New Roman" w:hAnsi="Times New Roman" w:cs="Times New Roman"/>
          <w:sz w:val="24"/>
          <w:szCs w:val="24"/>
        </w:rPr>
        <w:t xml:space="preserve">there are other reporting requirements in the Rule that proponents should </w:t>
      </w:r>
      <w:r w:rsidR="00D77D7D">
        <w:rPr>
          <w:rFonts w:ascii="Times New Roman" w:hAnsi="Times New Roman" w:cs="Times New Roman"/>
          <w:sz w:val="24"/>
          <w:szCs w:val="24"/>
        </w:rPr>
        <w:t xml:space="preserve">also </w:t>
      </w:r>
      <w:r w:rsidR="00B77E79" w:rsidRPr="00890C27">
        <w:rPr>
          <w:rFonts w:ascii="Times New Roman" w:hAnsi="Times New Roman" w:cs="Times New Roman"/>
          <w:sz w:val="24"/>
          <w:szCs w:val="24"/>
        </w:rPr>
        <w:t>be aware of.</w:t>
      </w:r>
    </w:p>
    <w:p w14:paraId="4BB152E7" w14:textId="28DA49C8" w:rsidR="0076059B" w:rsidRPr="005D165B" w:rsidRDefault="003B753A" w:rsidP="008103FF">
      <w:pPr>
        <w:keepNext/>
        <w:spacing w:after="160" w:line="276" w:lineRule="auto"/>
        <w:rPr>
          <w:rFonts w:ascii="Times New Roman" w:eastAsia="Times New Roman" w:hAnsi="Times New Roman" w:cs="Times New Roman"/>
          <w:sz w:val="24"/>
          <w:szCs w:val="24"/>
          <w:u w:val="single"/>
          <w:lang w:eastAsia="en-AU"/>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36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Information that must be included in offsets reports </w:t>
      </w:r>
    </w:p>
    <w:p w14:paraId="5957666E" w14:textId="77777777" w:rsidR="004D40F5"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Section 36</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sets out the information that must be included in each offsets report submitted to the Regulator. </w:t>
      </w:r>
    </w:p>
    <w:p w14:paraId="61EBE9A7" w14:textId="57A90499" w:rsidR="0006609B" w:rsidRDefault="00226168"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w:t>
      </w:r>
      <w:r w:rsidR="0006609B"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36(1) provides that the information in paragraphs (a) to (h) must be included for each project area. </w:t>
      </w:r>
    </w:p>
    <w:p w14:paraId="43111139" w14:textId="563EEB52"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36(1)(a)</w:t>
      </w:r>
      <w:r w:rsidR="00877F86" w:rsidRPr="33750E9F">
        <w:rPr>
          <w:rFonts w:ascii="Times New Roman" w:hAnsi="Times New Roman" w:cs="Times New Roman"/>
          <w:sz w:val="24"/>
          <w:szCs w:val="24"/>
        </w:rPr>
        <w:t xml:space="preserve"> </w:t>
      </w:r>
      <w:r w:rsidR="003C3838" w:rsidRPr="33750E9F">
        <w:rPr>
          <w:rFonts w:ascii="Times New Roman" w:hAnsi="Times New Roman" w:cs="Times New Roman"/>
          <w:sz w:val="24"/>
          <w:szCs w:val="24"/>
        </w:rPr>
        <w:t xml:space="preserve">provides that </w:t>
      </w:r>
      <w:r w:rsidR="00DF3996" w:rsidRPr="33750E9F">
        <w:rPr>
          <w:rFonts w:ascii="Times New Roman" w:hAnsi="Times New Roman" w:cs="Times New Roman"/>
          <w:sz w:val="24"/>
          <w:szCs w:val="24"/>
        </w:rPr>
        <w:t>offset reports must include</w:t>
      </w:r>
      <w:r w:rsidRPr="33750E9F">
        <w:rPr>
          <w:rFonts w:ascii="Times New Roman" w:hAnsi="Times New Roman" w:cs="Times New Roman"/>
          <w:sz w:val="24"/>
          <w:szCs w:val="24"/>
        </w:rPr>
        <w:t xml:space="preserve"> a statement that the project area was not varied during the reporting period, and did not result from a variation, except in accordance with section 16. Section 16 outlines the rules for varying project areas, including subdivision.</w:t>
      </w:r>
    </w:p>
    <w:p w14:paraId="00CE94EC" w14:textId="27E8816A"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36(1)(b)</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applies where a project area was added to the project during the reporting period </w:t>
      </w:r>
      <w:proofErr w:type="gramStart"/>
      <w:r w:rsidRPr="33750E9F">
        <w:rPr>
          <w:rFonts w:ascii="Times New Roman" w:hAnsi="Times New Roman" w:cs="Times New Roman"/>
          <w:sz w:val="24"/>
          <w:szCs w:val="24"/>
        </w:rPr>
        <w:t>as a result of</w:t>
      </w:r>
      <w:proofErr w:type="gramEnd"/>
      <w:r w:rsidRPr="33750E9F">
        <w:rPr>
          <w:rFonts w:ascii="Times New Roman" w:hAnsi="Times New Roman" w:cs="Times New Roman"/>
          <w:sz w:val="24"/>
          <w:szCs w:val="24"/>
        </w:rPr>
        <w:t xml:space="preserve"> a variation to the section 27 declaration</w:t>
      </w:r>
      <w:r w:rsidR="00FE5C05" w:rsidRPr="33750E9F">
        <w:rPr>
          <w:rFonts w:ascii="Times New Roman" w:hAnsi="Times New Roman" w:cs="Times New Roman"/>
          <w:sz w:val="24"/>
          <w:szCs w:val="24"/>
        </w:rPr>
        <w:t xml:space="preserve"> and is being reported on for the first time</w:t>
      </w:r>
      <w:r w:rsidRPr="33750E9F">
        <w:rPr>
          <w:rFonts w:ascii="Times New Roman" w:hAnsi="Times New Roman" w:cs="Times New Roman"/>
          <w:sz w:val="24"/>
          <w:szCs w:val="24"/>
        </w:rPr>
        <w:t>. In such cases,</w:t>
      </w:r>
      <w:r w:rsidR="00DA3AE5" w:rsidRPr="33750E9F">
        <w:rPr>
          <w:rFonts w:ascii="Times New Roman" w:hAnsi="Times New Roman" w:cs="Times New Roman"/>
          <w:sz w:val="24"/>
          <w:szCs w:val="24"/>
        </w:rPr>
        <w:t xml:space="preserve"> </w:t>
      </w:r>
      <w:r w:rsidRPr="33750E9F">
        <w:rPr>
          <w:rFonts w:ascii="Times New Roman" w:hAnsi="Times New Roman" w:cs="Times New Roman"/>
          <w:sz w:val="24"/>
          <w:szCs w:val="24"/>
        </w:rPr>
        <w:t>the proponent must include a statement confirming this is the first report for that area.</w:t>
      </w:r>
    </w:p>
    <w:p w14:paraId="1033D3B7" w14:textId="3A572F04"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36(1)(c)</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applies to subdivided project areas being reported on for the first </w:t>
      </w:r>
      <w:r w:rsidR="00DA3AE5" w:rsidRPr="33750E9F">
        <w:rPr>
          <w:rFonts w:ascii="Times New Roman" w:hAnsi="Times New Roman" w:cs="Times New Roman"/>
          <w:sz w:val="24"/>
          <w:szCs w:val="24"/>
        </w:rPr>
        <w:t>time and provides that t</w:t>
      </w:r>
      <w:r w:rsidRPr="33750E9F">
        <w:rPr>
          <w:rFonts w:ascii="Times New Roman" w:hAnsi="Times New Roman" w:cs="Times New Roman"/>
          <w:sz w:val="24"/>
          <w:szCs w:val="24"/>
        </w:rPr>
        <w:t>he offsets report must include:</w:t>
      </w:r>
    </w:p>
    <w:p w14:paraId="2F4DCCE1" w14:textId="10D7D558" w:rsidR="000251B4" w:rsidRPr="005A7FCC" w:rsidRDefault="000251B4"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a statement that the project area is a subdivided area</w:t>
      </w:r>
      <w:r w:rsidR="00EC6810" w:rsidRPr="33750E9F">
        <w:rPr>
          <w:rFonts w:ascii="Times New Roman" w:hAnsi="Times New Roman" w:cs="Times New Roman"/>
          <w:sz w:val="24"/>
          <w:szCs w:val="24"/>
        </w:rPr>
        <w:t xml:space="preserve"> and is being reported on for the first time</w:t>
      </w:r>
      <w:r w:rsidRPr="33750E9F">
        <w:rPr>
          <w:rFonts w:ascii="Times New Roman" w:hAnsi="Times New Roman" w:cs="Times New Roman"/>
          <w:sz w:val="24"/>
          <w:szCs w:val="24"/>
        </w:rPr>
        <w:t>; and</w:t>
      </w:r>
    </w:p>
    <w:p w14:paraId="56B997F6" w14:textId="77777777" w:rsidR="000251B4" w:rsidRPr="005A7FCC" w:rsidRDefault="000251B4"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the date on which the relevant variation to the section 27 declaration took effect.</w:t>
      </w:r>
    </w:p>
    <w:p w14:paraId="20E36D0F" w14:textId="261555A0" w:rsidR="000251B4" w:rsidRPr="004C6EF6"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36(1)(d)</w:t>
      </w:r>
      <w:r w:rsidR="00877F86" w:rsidRPr="33750E9F">
        <w:rPr>
          <w:rFonts w:ascii="Times New Roman" w:hAnsi="Times New Roman" w:cs="Times New Roman"/>
          <w:sz w:val="24"/>
          <w:szCs w:val="24"/>
        </w:rPr>
        <w:t xml:space="preserve"> </w:t>
      </w:r>
      <w:r w:rsidR="004C6EF6" w:rsidRPr="33750E9F">
        <w:rPr>
          <w:rFonts w:ascii="Times New Roman" w:hAnsi="Times New Roman" w:cs="Times New Roman"/>
          <w:sz w:val="24"/>
          <w:szCs w:val="24"/>
        </w:rPr>
        <w:t xml:space="preserve">requires inclusion of </w:t>
      </w:r>
      <w:r w:rsidRPr="33750E9F">
        <w:rPr>
          <w:rFonts w:ascii="Times New Roman" w:hAnsi="Times New Roman" w:cs="Times New Roman"/>
          <w:sz w:val="24"/>
          <w:szCs w:val="24"/>
        </w:rPr>
        <w:t xml:space="preserve">each abatement report generated by </w:t>
      </w:r>
      <w:proofErr w:type="spellStart"/>
      <w:r w:rsidRPr="33750E9F">
        <w:rPr>
          <w:rFonts w:ascii="Times New Roman" w:hAnsi="Times New Roman" w:cs="Times New Roman"/>
          <w:sz w:val="24"/>
          <w:szCs w:val="24"/>
        </w:rPr>
        <w:t>SavCAM</w:t>
      </w:r>
      <w:proofErr w:type="spellEnd"/>
      <w:r w:rsidRPr="33750E9F">
        <w:rPr>
          <w:rFonts w:ascii="Times New Roman" w:hAnsi="Times New Roman" w:cs="Times New Roman"/>
          <w:sz w:val="24"/>
          <w:szCs w:val="24"/>
        </w:rPr>
        <w:t xml:space="preserve"> for each project area; and</w:t>
      </w:r>
      <w:r w:rsidR="004C6EF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if </w:t>
      </w:r>
      <w:r w:rsidR="00AF1B0F" w:rsidRPr="33750E9F">
        <w:rPr>
          <w:rFonts w:ascii="Times New Roman" w:hAnsi="Times New Roman" w:cs="Times New Roman"/>
          <w:sz w:val="24"/>
          <w:szCs w:val="24"/>
        </w:rPr>
        <w:t>a</w:t>
      </w:r>
      <w:r w:rsidRPr="33750E9F">
        <w:rPr>
          <w:rFonts w:ascii="Times New Roman" w:hAnsi="Times New Roman" w:cs="Times New Roman"/>
          <w:sz w:val="24"/>
          <w:szCs w:val="24"/>
        </w:rPr>
        <w:t xml:space="preserve"> project area is a newly reported subdivided area, the corresponding subdivision report</w:t>
      </w:r>
      <w:r w:rsidR="008A5986" w:rsidRPr="33750E9F">
        <w:rPr>
          <w:rFonts w:ascii="Times New Roman" w:hAnsi="Times New Roman" w:cs="Times New Roman"/>
          <w:sz w:val="24"/>
          <w:szCs w:val="24"/>
        </w:rPr>
        <w:t xml:space="preserve"> generated by </w:t>
      </w:r>
      <w:proofErr w:type="spellStart"/>
      <w:r w:rsidR="008A5986" w:rsidRPr="33750E9F">
        <w:rPr>
          <w:rFonts w:ascii="Times New Roman" w:hAnsi="Times New Roman" w:cs="Times New Roman"/>
          <w:sz w:val="24"/>
          <w:szCs w:val="24"/>
        </w:rPr>
        <w:t>SavCAM</w:t>
      </w:r>
      <w:proofErr w:type="spellEnd"/>
      <w:r w:rsidRPr="33750E9F">
        <w:rPr>
          <w:rFonts w:ascii="Times New Roman" w:hAnsi="Times New Roman" w:cs="Times New Roman"/>
          <w:sz w:val="24"/>
          <w:szCs w:val="24"/>
        </w:rPr>
        <w:t>.</w:t>
      </w:r>
    </w:p>
    <w:p w14:paraId="4FDBA5A0" w14:textId="28682AA2"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Paragraph 36(1)(e)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applies where the project proponent is required to monitor the project area under section 40. In such cases, the results of the monitoring must be included in the offsets report.</w:t>
      </w:r>
    </w:p>
    <w:p w14:paraId="386DC869" w14:textId="67A18A8D"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36(1)(f)</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applies where monitoring is not required under section 40. </w:t>
      </w:r>
      <w:r w:rsidR="00B63E05" w:rsidRPr="33750E9F">
        <w:rPr>
          <w:rFonts w:ascii="Times New Roman" w:hAnsi="Times New Roman" w:cs="Times New Roman"/>
          <w:sz w:val="24"/>
          <w:szCs w:val="24"/>
        </w:rPr>
        <w:t>In such cases, t</w:t>
      </w:r>
      <w:r w:rsidRPr="33750E9F">
        <w:rPr>
          <w:rFonts w:ascii="Times New Roman" w:hAnsi="Times New Roman" w:cs="Times New Roman"/>
          <w:sz w:val="24"/>
          <w:szCs w:val="24"/>
        </w:rPr>
        <w:t>he proponent must provide a statement indicating, to the best of their knowledge, whether any relevant weed species are present in the project area.</w:t>
      </w:r>
    </w:p>
    <w:p w14:paraId="66AE4374" w14:textId="00668BF6"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36(1)(g)</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requires a declaration that livestock density in the project area has not increased </w:t>
      </w:r>
      <w:proofErr w:type="gramStart"/>
      <w:r w:rsidRPr="33750E9F">
        <w:rPr>
          <w:rFonts w:ascii="Times New Roman" w:hAnsi="Times New Roman" w:cs="Times New Roman"/>
          <w:sz w:val="24"/>
          <w:szCs w:val="24"/>
        </w:rPr>
        <w:t>as a result of</w:t>
      </w:r>
      <w:proofErr w:type="gramEnd"/>
      <w:r w:rsidRPr="33750E9F">
        <w:rPr>
          <w:rFonts w:ascii="Times New Roman" w:hAnsi="Times New Roman" w:cs="Times New Roman"/>
          <w:sz w:val="24"/>
          <w:szCs w:val="24"/>
        </w:rPr>
        <w:t xml:space="preserve"> the project. This ensures that abatement is not achieved through increased grazing pressure, which could undermine environmental outcomes.</w:t>
      </w:r>
    </w:p>
    <w:p w14:paraId="465E94C7" w14:textId="2D2D023B" w:rsidR="000251B4" w:rsidRPr="005A7FCC" w:rsidRDefault="000251B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36(1)(h)</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applies where relevant weed species have been eradicated</w:t>
      </w:r>
      <w:r w:rsidR="0004239F">
        <w:rPr>
          <w:rFonts w:ascii="Times New Roman" w:hAnsi="Times New Roman" w:cs="Times New Roman"/>
          <w:sz w:val="24"/>
          <w:szCs w:val="24"/>
        </w:rPr>
        <w:t xml:space="preserve"> and requires the</w:t>
      </w:r>
      <w:r w:rsidRPr="33750E9F">
        <w:rPr>
          <w:rFonts w:ascii="Times New Roman" w:hAnsi="Times New Roman" w:cs="Times New Roman"/>
          <w:sz w:val="24"/>
          <w:szCs w:val="24"/>
        </w:rPr>
        <w:t xml:space="preserve"> offsets report </w:t>
      </w:r>
      <w:r w:rsidR="0004239F">
        <w:rPr>
          <w:rFonts w:ascii="Times New Roman" w:hAnsi="Times New Roman" w:cs="Times New Roman"/>
          <w:sz w:val="24"/>
          <w:szCs w:val="24"/>
        </w:rPr>
        <w:t>to</w:t>
      </w:r>
      <w:r w:rsidR="0004239F" w:rsidRPr="00890C27">
        <w:rPr>
          <w:rFonts w:ascii="Times New Roman" w:hAnsi="Times New Roman" w:cs="Times New Roman"/>
          <w:sz w:val="24"/>
          <w:szCs w:val="24"/>
        </w:rPr>
        <w:t xml:space="preserve"> </w:t>
      </w:r>
      <w:r w:rsidRPr="33750E9F">
        <w:rPr>
          <w:rFonts w:ascii="Times New Roman" w:hAnsi="Times New Roman" w:cs="Times New Roman"/>
          <w:sz w:val="24"/>
          <w:szCs w:val="24"/>
        </w:rPr>
        <w:t>include a map of the affected area and evidence that the weeds were permanently removed.</w:t>
      </w:r>
    </w:p>
    <w:p w14:paraId="10DE0E50" w14:textId="77777777" w:rsidR="00FC4894" w:rsidRPr="005A7FCC" w:rsidRDefault="00FC489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36(2) provides that, for each project area and each calendar year of the reporting period, the offsets report must include detailed information about fire management activities and planning.</w:t>
      </w:r>
    </w:p>
    <w:p w14:paraId="31D7C497" w14:textId="4975FF80" w:rsidR="00FC4894" w:rsidRPr="005A7FCC" w:rsidRDefault="00FC489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36(2)(a)</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applies where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planned burning was </w:t>
      </w:r>
      <w:r w:rsidR="00B77484" w:rsidRPr="33750E9F">
        <w:rPr>
          <w:rFonts w:ascii="Times New Roman" w:hAnsi="Times New Roman" w:cs="Times New Roman"/>
          <w:sz w:val="24"/>
          <w:szCs w:val="24"/>
        </w:rPr>
        <w:t>carried out.</w:t>
      </w:r>
      <w:r w:rsidRPr="33750E9F">
        <w:rPr>
          <w:rFonts w:ascii="Times New Roman" w:hAnsi="Times New Roman" w:cs="Times New Roman"/>
          <w:sz w:val="24"/>
          <w:szCs w:val="24"/>
        </w:rPr>
        <w:t xml:space="preserve"> The offsets report must include:</w:t>
      </w:r>
    </w:p>
    <w:p w14:paraId="3D9DB12B" w14:textId="77777777" w:rsidR="00FC4894" w:rsidRPr="0061745E" w:rsidRDefault="00FC4894"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a statement confirming that planned burning </w:t>
      </w:r>
      <w:proofErr w:type="gramStart"/>
      <w:r w:rsidRPr="33750E9F">
        <w:rPr>
          <w:rFonts w:ascii="Times New Roman" w:hAnsi="Times New Roman" w:cs="Times New Roman"/>
          <w:sz w:val="24"/>
          <w:szCs w:val="24"/>
        </w:rPr>
        <w:t>occurred;</w:t>
      </w:r>
      <w:proofErr w:type="gramEnd"/>
    </w:p>
    <w:p w14:paraId="65A29011" w14:textId="1E9F4262" w:rsidR="00FC4894" w:rsidRPr="0061745E" w:rsidRDefault="00FC4894"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a description of the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location, timing, and extent</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of the </w:t>
      </w:r>
      <w:proofErr w:type="gramStart"/>
      <w:r w:rsidRPr="33750E9F">
        <w:rPr>
          <w:rFonts w:ascii="Times New Roman" w:hAnsi="Times New Roman" w:cs="Times New Roman"/>
          <w:sz w:val="24"/>
          <w:szCs w:val="24"/>
        </w:rPr>
        <w:t>burning;</w:t>
      </w:r>
      <w:proofErr w:type="gramEnd"/>
    </w:p>
    <w:p w14:paraId="287DC706" w14:textId="1A8F2495" w:rsidR="00FC4894" w:rsidRPr="0061745E" w:rsidRDefault="00FC4894" w:rsidP="165183F2">
      <w:pPr>
        <w:pStyle w:val="ListParagraph"/>
        <w:numPr>
          <w:ilvl w:val="0"/>
          <w:numId w:val="55"/>
        </w:numPr>
        <w:spacing w:after="160" w:line="276" w:lineRule="auto"/>
        <w:ind w:left="714" w:hanging="357"/>
        <w:rPr>
          <w:rFonts w:ascii="Times New Roman" w:hAnsi="Times New Roman" w:cs="Times New Roman"/>
          <w:sz w:val="24"/>
          <w:szCs w:val="24"/>
        </w:rPr>
      </w:pPr>
      <w:r w:rsidRPr="165183F2">
        <w:rPr>
          <w:rFonts w:ascii="Times New Roman" w:hAnsi="Times New Roman" w:cs="Times New Roman"/>
          <w:sz w:val="24"/>
          <w:szCs w:val="24"/>
        </w:rPr>
        <w:t>an indication of whether, and to what extent, the burning satisfied the requirements of</w:t>
      </w:r>
      <w:r w:rsidR="00877F86" w:rsidRPr="165183F2">
        <w:rPr>
          <w:rFonts w:ascii="Times New Roman" w:hAnsi="Times New Roman" w:cs="Times New Roman"/>
          <w:sz w:val="24"/>
          <w:szCs w:val="24"/>
        </w:rPr>
        <w:t xml:space="preserve"> </w:t>
      </w:r>
      <w:r w:rsidRPr="165183F2">
        <w:rPr>
          <w:rFonts w:ascii="Times New Roman" w:hAnsi="Times New Roman" w:cs="Times New Roman"/>
          <w:sz w:val="24"/>
          <w:szCs w:val="24"/>
        </w:rPr>
        <w:t xml:space="preserve">section 17. </w:t>
      </w:r>
      <w:r w:rsidR="00DA4670" w:rsidRPr="165183F2">
        <w:rPr>
          <w:rFonts w:ascii="Times New Roman" w:hAnsi="Times New Roman" w:cs="Times New Roman"/>
          <w:sz w:val="24"/>
          <w:szCs w:val="24"/>
        </w:rPr>
        <w:t>Section 17</w:t>
      </w:r>
      <w:r w:rsidR="00A34789" w:rsidRPr="165183F2">
        <w:rPr>
          <w:rFonts w:ascii="Times New Roman" w:hAnsi="Times New Roman" w:cs="Times New Roman"/>
          <w:sz w:val="24"/>
          <w:szCs w:val="24"/>
        </w:rPr>
        <w:t xml:space="preserve"> lists requirements for carrying out savanna fire management. </w:t>
      </w:r>
      <w:r w:rsidR="00014B54" w:rsidRPr="165183F2">
        <w:rPr>
          <w:rFonts w:ascii="Times New Roman" w:hAnsi="Times New Roman" w:cs="Times New Roman"/>
          <w:sz w:val="24"/>
          <w:szCs w:val="24"/>
        </w:rPr>
        <w:t>These requirements ensure</w:t>
      </w:r>
      <w:r w:rsidRPr="165183F2">
        <w:rPr>
          <w:rFonts w:ascii="Times New Roman" w:hAnsi="Times New Roman" w:cs="Times New Roman"/>
          <w:sz w:val="24"/>
          <w:szCs w:val="24"/>
        </w:rPr>
        <w:t xml:space="preserve"> that burning me</w:t>
      </w:r>
      <w:r w:rsidR="001F63A7" w:rsidRPr="165183F2">
        <w:rPr>
          <w:rFonts w:ascii="Times New Roman" w:hAnsi="Times New Roman" w:cs="Times New Roman"/>
          <w:sz w:val="24"/>
          <w:szCs w:val="24"/>
        </w:rPr>
        <w:t>e</w:t>
      </w:r>
      <w:r w:rsidRPr="165183F2">
        <w:rPr>
          <w:rFonts w:ascii="Times New Roman" w:hAnsi="Times New Roman" w:cs="Times New Roman"/>
          <w:sz w:val="24"/>
          <w:szCs w:val="24"/>
        </w:rPr>
        <w:t>t</w:t>
      </w:r>
      <w:r w:rsidR="00B3545C" w:rsidRPr="165183F2">
        <w:rPr>
          <w:rFonts w:ascii="Times New Roman" w:hAnsi="Times New Roman" w:cs="Times New Roman"/>
          <w:sz w:val="24"/>
          <w:szCs w:val="24"/>
        </w:rPr>
        <w:t>s</w:t>
      </w:r>
      <w:r w:rsidRPr="165183F2">
        <w:rPr>
          <w:rFonts w:ascii="Times New Roman" w:hAnsi="Times New Roman" w:cs="Times New Roman"/>
          <w:sz w:val="24"/>
          <w:szCs w:val="24"/>
        </w:rPr>
        <w:t xml:space="preserve"> the objectives of paragraph 11(1)(a) of the </w:t>
      </w:r>
      <w:r w:rsidR="004D74F5" w:rsidRPr="165183F2">
        <w:rPr>
          <w:rFonts w:ascii="Times New Roman" w:hAnsi="Times New Roman" w:cs="Times New Roman"/>
          <w:sz w:val="24"/>
          <w:szCs w:val="24"/>
        </w:rPr>
        <w:t>determination</w:t>
      </w:r>
      <w:r w:rsidR="007C06C4" w:rsidRPr="165183F2">
        <w:rPr>
          <w:rFonts w:ascii="Times New Roman" w:hAnsi="Times New Roman" w:cs="Times New Roman"/>
          <w:sz w:val="24"/>
          <w:szCs w:val="24"/>
        </w:rPr>
        <w:t xml:space="preserve"> to </w:t>
      </w:r>
      <w:r w:rsidR="00185EE0" w:rsidRPr="165183F2">
        <w:rPr>
          <w:rFonts w:ascii="Times New Roman" w:hAnsi="Times New Roman" w:cs="Times New Roman"/>
          <w:sz w:val="24"/>
          <w:szCs w:val="24"/>
        </w:rPr>
        <w:t xml:space="preserve">sequester carbon and </w:t>
      </w:r>
      <w:r w:rsidR="007C06C4" w:rsidRPr="165183F2">
        <w:rPr>
          <w:rFonts w:ascii="Times New Roman" w:hAnsi="Times New Roman" w:cs="Times New Roman"/>
          <w:sz w:val="24"/>
          <w:szCs w:val="24"/>
        </w:rPr>
        <w:t xml:space="preserve">avoid emissions </w:t>
      </w:r>
      <w:r w:rsidR="00185EE0" w:rsidRPr="165183F2">
        <w:rPr>
          <w:rFonts w:ascii="Times New Roman" w:hAnsi="Times New Roman" w:cs="Times New Roman"/>
          <w:sz w:val="24"/>
          <w:szCs w:val="24"/>
        </w:rPr>
        <w:t xml:space="preserve">of methane and nitrous oxide. </w:t>
      </w:r>
    </w:p>
    <w:p w14:paraId="7C490BC4" w14:textId="717215B9" w:rsidR="00FC4894" w:rsidRPr="0075327D" w:rsidRDefault="00FC489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36(2)(b)</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applies where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planned burning was not </w:t>
      </w:r>
      <w:r w:rsidR="00B77484" w:rsidRPr="33750E9F">
        <w:rPr>
          <w:rFonts w:ascii="Times New Roman" w:hAnsi="Times New Roman" w:cs="Times New Roman"/>
          <w:sz w:val="24"/>
          <w:szCs w:val="24"/>
        </w:rPr>
        <w:t>carried out.</w:t>
      </w:r>
      <w:r w:rsidRPr="33750E9F">
        <w:rPr>
          <w:rFonts w:ascii="Times New Roman" w:hAnsi="Times New Roman" w:cs="Times New Roman"/>
          <w:sz w:val="24"/>
          <w:szCs w:val="24"/>
        </w:rPr>
        <w:t xml:space="preserve"> The offsets report must include:</w:t>
      </w:r>
    </w:p>
    <w:p w14:paraId="19554F33" w14:textId="77777777" w:rsidR="00FC4894" w:rsidRPr="0061745E" w:rsidRDefault="00FC4894"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a statement confirming that no planned burning occurred; and</w:t>
      </w:r>
    </w:p>
    <w:p w14:paraId="78CC07B4" w14:textId="57A6ADB9" w:rsidR="00FC4894" w:rsidRPr="0061745E" w:rsidRDefault="00AC7571"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an explanation of </w:t>
      </w:r>
      <w:r w:rsidR="00FC4894" w:rsidRPr="33750E9F">
        <w:rPr>
          <w:rFonts w:ascii="Times New Roman" w:hAnsi="Times New Roman" w:cs="Times New Roman"/>
          <w:sz w:val="24"/>
          <w:szCs w:val="24"/>
        </w:rPr>
        <w:t>the reasons why it was not undertaken. Under subsection 17(3), if the failure to conduct planned burning was due to circumstances beyond the proponent’s control, the project does not become ineligible.</w:t>
      </w:r>
    </w:p>
    <w:p w14:paraId="277D3171" w14:textId="7D8C269F" w:rsidR="00FC4894" w:rsidRPr="0004447C" w:rsidRDefault="00FC489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36(2)(c)</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requires the inclusion of the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project management plan</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prepared in accordance with section 18</w:t>
      </w:r>
      <w:r w:rsidR="0004447C" w:rsidRPr="33750E9F">
        <w:rPr>
          <w:rFonts w:ascii="Times New Roman" w:hAnsi="Times New Roman" w:cs="Times New Roman"/>
          <w:sz w:val="24"/>
          <w:szCs w:val="24"/>
        </w:rPr>
        <w:t xml:space="preserve"> for each project area and for each calendar year of the reporting period. If </w:t>
      </w:r>
      <w:r w:rsidRPr="33750E9F">
        <w:rPr>
          <w:rFonts w:ascii="Times New Roman" w:hAnsi="Times New Roman" w:cs="Times New Roman"/>
          <w:sz w:val="24"/>
          <w:szCs w:val="24"/>
        </w:rPr>
        <w:t xml:space="preserve">the plan was revised or updated during the year, </w:t>
      </w:r>
      <w:r w:rsidR="00E16B4E" w:rsidRPr="33750E9F">
        <w:rPr>
          <w:rFonts w:ascii="Times New Roman" w:hAnsi="Times New Roman" w:cs="Times New Roman"/>
          <w:sz w:val="24"/>
          <w:szCs w:val="24"/>
        </w:rPr>
        <w:t xml:space="preserve">paragraph </w:t>
      </w:r>
      <w:r w:rsidR="000C5C54" w:rsidRPr="33750E9F">
        <w:rPr>
          <w:rFonts w:ascii="Times New Roman" w:hAnsi="Times New Roman" w:cs="Times New Roman"/>
          <w:sz w:val="24"/>
          <w:szCs w:val="24"/>
        </w:rPr>
        <w:t xml:space="preserve">36(2)(c)(ii) requires </w:t>
      </w:r>
      <w:r w:rsidR="001C4834" w:rsidRPr="33750E9F">
        <w:rPr>
          <w:rFonts w:ascii="Times New Roman" w:hAnsi="Times New Roman" w:cs="Times New Roman"/>
          <w:sz w:val="24"/>
          <w:szCs w:val="24"/>
        </w:rPr>
        <w:t>a proponent to include either the revisions or updates, or the revised or updated plan.</w:t>
      </w:r>
    </w:p>
    <w:p w14:paraId="08DE8110" w14:textId="26C9D0EC" w:rsidR="00FC4894" w:rsidRPr="0075327D" w:rsidRDefault="00FC4894"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Paragraph 36(2)(d)</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requires the inclusion of the</w:t>
      </w:r>
      <w:r w:rsidR="00877F86" w:rsidRPr="33750E9F">
        <w:rPr>
          <w:rFonts w:ascii="Times New Roman" w:hAnsi="Times New Roman" w:cs="Times New Roman"/>
          <w:sz w:val="24"/>
          <w:szCs w:val="24"/>
        </w:rPr>
        <w:t xml:space="preserve"> </w:t>
      </w:r>
      <w:r w:rsidR="00714832">
        <w:rPr>
          <w:rFonts w:ascii="Times New Roman" w:hAnsi="Times New Roman" w:cs="Times New Roman"/>
          <w:sz w:val="24"/>
          <w:szCs w:val="24"/>
        </w:rPr>
        <w:t>baseline carbon stock and carbon st</w:t>
      </w:r>
      <w:r w:rsidR="00BC20AC">
        <w:rPr>
          <w:rFonts w:ascii="Times New Roman" w:hAnsi="Times New Roman" w:cs="Times New Roman"/>
          <w:sz w:val="24"/>
          <w:szCs w:val="24"/>
        </w:rPr>
        <w:t>o</w:t>
      </w:r>
      <w:r w:rsidR="00714832">
        <w:rPr>
          <w:rFonts w:ascii="Times New Roman" w:hAnsi="Times New Roman" w:cs="Times New Roman"/>
          <w:sz w:val="24"/>
          <w:szCs w:val="24"/>
        </w:rPr>
        <w:t xml:space="preserve">ck at the end of the calendar year for each project area. </w:t>
      </w:r>
      <w:r w:rsidRPr="33750E9F">
        <w:rPr>
          <w:rFonts w:ascii="Times New Roman" w:hAnsi="Times New Roman" w:cs="Times New Roman"/>
          <w:sz w:val="24"/>
          <w:szCs w:val="24"/>
        </w:rPr>
        <w:t xml:space="preserve">This value is calculated using </w:t>
      </w:r>
      <w:proofErr w:type="spellStart"/>
      <w:r w:rsidRPr="33750E9F">
        <w:rPr>
          <w:rFonts w:ascii="Times New Roman" w:hAnsi="Times New Roman" w:cs="Times New Roman"/>
          <w:sz w:val="24"/>
          <w:szCs w:val="24"/>
        </w:rPr>
        <w:t>SavCAM</w:t>
      </w:r>
      <w:proofErr w:type="spellEnd"/>
      <w:r w:rsidR="000969F9">
        <w:rPr>
          <w:rFonts w:ascii="Times New Roman" w:hAnsi="Times New Roman" w:cs="Times New Roman"/>
          <w:sz w:val="24"/>
          <w:szCs w:val="24"/>
        </w:rPr>
        <w:t>.</w:t>
      </w:r>
    </w:p>
    <w:p w14:paraId="67AC645A" w14:textId="3C9C33B5" w:rsidR="00A039B0" w:rsidRPr="00A039B0" w:rsidRDefault="00A039B0"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 xml:space="preserve">Subsection 36(3) specifies that if a project proponent was required or elected to create or revise </w:t>
      </w:r>
      <w:r w:rsidR="007A3300" w:rsidRPr="33750E9F">
        <w:rPr>
          <w:rFonts w:ascii="Times New Roman" w:hAnsi="Times New Roman" w:cs="Times New Roman"/>
          <w:sz w:val="24"/>
          <w:szCs w:val="24"/>
        </w:rPr>
        <w:t>one or more</w:t>
      </w:r>
      <w:r w:rsidRPr="33750E9F">
        <w:rPr>
          <w:rFonts w:ascii="Times New Roman" w:hAnsi="Times New Roman" w:cs="Times New Roman"/>
          <w:sz w:val="24"/>
          <w:szCs w:val="24"/>
        </w:rPr>
        <w:t xml:space="preserve"> vegetation fuel type map</w:t>
      </w:r>
      <w:r w:rsidR="007A3300" w:rsidRPr="33750E9F">
        <w:rPr>
          <w:rFonts w:ascii="Times New Roman" w:hAnsi="Times New Roman" w:cs="Times New Roman"/>
          <w:sz w:val="24"/>
          <w:szCs w:val="24"/>
        </w:rPr>
        <w:t>s</w:t>
      </w:r>
      <w:r w:rsidRPr="33750E9F">
        <w:rPr>
          <w:rFonts w:ascii="Times New Roman" w:hAnsi="Times New Roman" w:cs="Times New Roman"/>
          <w:sz w:val="24"/>
          <w:szCs w:val="24"/>
        </w:rPr>
        <w:t xml:space="preserve"> under Division 5 of Part 3 during the reporting period, the proponent must include the following information in their offsets report:</w:t>
      </w:r>
    </w:p>
    <w:p w14:paraId="5B92B553" w14:textId="382FC928" w:rsidR="00A039B0" w:rsidRPr="00A039B0" w:rsidRDefault="00A039B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A statement </w:t>
      </w:r>
      <w:r w:rsidR="00AD5F7B" w:rsidRPr="33750E9F">
        <w:rPr>
          <w:rFonts w:ascii="Times New Roman" w:hAnsi="Times New Roman" w:cs="Times New Roman"/>
          <w:sz w:val="24"/>
          <w:szCs w:val="24"/>
        </w:rPr>
        <w:t>confirming one or more</w:t>
      </w:r>
      <w:r w:rsidRPr="33750E9F">
        <w:rPr>
          <w:rFonts w:ascii="Times New Roman" w:hAnsi="Times New Roman" w:cs="Times New Roman"/>
          <w:sz w:val="24"/>
          <w:szCs w:val="24"/>
        </w:rPr>
        <w:t xml:space="preserve"> vegetation fuel type map</w:t>
      </w:r>
      <w:r w:rsidR="00AD5F7B" w:rsidRPr="33750E9F">
        <w:rPr>
          <w:rFonts w:ascii="Times New Roman" w:hAnsi="Times New Roman" w:cs="Times New Roman"/>
          <w:sz w:val="24"/>
          <w:szCs w:val="24"/>
        </w:rPr>
        <w:t>s</w:t>
      </w:r>
      <w:r w:rsidRPr="33750E9F">
        <w:rPr>
          <w:rFonts w:ascii="Times New Roman" w:hAnsi="Times New Roman" w:cs="Times New Roman"/>
          <w:sz w:val="24"/>
          <w:szCs w:val="24"/>
        </w:rPr>
        <w:t xml:space="preserve"> </w:t>
      </w:r>
      <w:r w:rsidR="00AD5F7B" w:rsidRPr="33750E9F">
        <w:rPr>
          <w:rFonts w:ascii="Times New Roman" w:hAnsi="Times New Roman" w:cs="Times New Roman"/>
          <w:sz w:val="24"/>
          <w:szCs w:val="24"/>
        </w:rPr>
        <w:t>were created</w:t>
      </w:r>
      <w:r w:rsidRPr="33750E9F">
        <w:rPr>
          <w:rFonts w:ascii="Times New Roman" w:hAnsi="Times New Roman" w:cs="Times New Roman"/>
          <w:sz w:val="24"/>
          <w:szCs w:val="24"/>
        </w:rPr>
        <w:t xml:space="preserve"> </w:t>
      </w:r>
      <w:r w:rsidR="007A3300" w:rsidRPr="33750E9F">
        <w:rPr>
          <w:rFonts w:ascii="Times New Roman" w:hAnsi="Times New Roman" w:cs="Times New Roman"/>
          <w:sz w:val="24"/>
          <w:szCs w:val="24"/>
        </w:rPr>
        <w:t xml:space="preserve">or </w:t>
      </w:r>
      <w:r w:rsidRPr="33750E9F">
        <w:rPr>
          <w:rFonts w:ascii="Times New Roman" w:hAnsi="Times New Roman" w:cs="Times New Roman"/>
          <w:sz w:val="24"/>
          <w:szCs w:val="24"/>
        </w:rPr>
        <w:t xml:space="preserve">revised during </w:t>
      </w:r>
      <w:r w:rsidRPr="00201812">
        <w:rPr>
          <w:rFonts w:ascii="Times New Roman" w:hAnsi="Times New Roman" w:cs="Times New Roman"/>
          <w:sz w:val="24"/>
          <w:szCs w:val="24"/>
        </w:rPr>
        <w:t xml:space="preserve">the reporting period, </w:t>
      </w:r>
      <w:r w:rsidR="007A3300" w:rsidRPr="00201812">
        <w:rPr>
          <w:rFonts w:ascii="Times New Roman" w:hAnsi="Times New Roman" w:cs="Times New Roman"/>
          <w:sz w:val="24"/>
          <w:szCs w:val="24"/>
        </w:rPr>
        <w:t xml:space="preserve">and information on which vegetation fuel type maps were </w:t>
      </w:r>
      <w:r w:rsidR="00E85ECB" w:rsidRPr="00201812">
        <w:rPr>
          <w:rFonts w:ascii="Times New Roman" w:hAnsi="Times New Roman" w:cs="Times New Roman"/>
          <w:sz w:val="24"/>
          <w:szCs w:val="24"/>
        </w:rPr>
        <w:t xml:space="preserve">created and or revised </w:t>
      </w:r>
      <w:r w:rsidRPr="00BC20AC">
        <w:rPr>
          <w:rFonts w:ascii="Times New Roman" w:hAnsi="Times New Roman" w:cs="Times New Roman"/>
          <w:sz w:val="24"/>
          <w:szCs w:val="24"/>
        </w:rPr>
        <w:t>including when this occurred and for which project area or areas</w:t>
      </w:r>
      <w:r w:rsidRPr="00201812">
        <w:rPr>
          <w:rFonts w:ascii="Times New Roman" w:hAnsi="Times New Roman" w:cs="Times New Roman"/>
          <w:sz w:val="24"/>
          <w:szCs w:val="24"/>
        </w:rPr>
        <w:t xml:space="preserve"> – paragraph</w:t>
      </w:r>
      <w:r w:rsidRPr="33750E9F">
        <w:rPr>
          <w:rFonts w:ascii="Times New Roman" w:hAnsi="Times New Roman" w:cs="Times New Roman"/>
          <w:sz w:val="24"/>
          <w:szCs w:val="24"/>
        </w:rPr>
        <w:t xml:space="preserve"> 36(3)(a) and paragraph 36(3)(b).</w:t>
      </w:r>
    </w:p>
    <w:p w14:paraId="264308D2" w14:textId="56C6914C" w:rsidR="00A039B0" w:rsidRPr="00A039B0" w:rsidRDefault="00A039B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For each map that was created or revised, the proponent must include:</w:t>
      </w:r>
    </w:p>
    <w:p w14:paraId="74B627B1" w14:textId="029EAD11" w:rsidR="00A039B0" w:rsidRPr="00A039B0" w:rsidRDefault="00A039B0" w:rsidP="008103FF">
      <w:pPr>
        <w:pStyle w:val="ListParagraph"/>
        <w:numPr>
          <w:ilvl w:val="1"/>
          <w:numId w:val="55"/>
        </w:numPr>
        <w:spacing w:after="160" w:line="276" w:lineRule="auto"/>
        <w:contextualSpacing w:val="0"/>
        <w:rPr>
          <w:rFonts w:ascii="Times New Roman" w:hAnsi="Times New Roman" w:cs="Times New Roman"/>
          <w:sz w:val="24"/>
          <w:szCs w:val="24"/>
        </w:rPr>
      </w:pPr>
      <w:r w:rsidRPr="33750E9F">
        <w:rPr>
          <w:rFonts w:ascii="Times New Roman" w:hAnsi="Times New Roman" w:cs="Times New Roman"/>
          <w:sz w:val="24"/>
          <w:szCs w:val="24"/>
        </w:rPr>
        <w:t>a copy of the map that was created or revised and validated (if required) in accordance with the provisions in Division 5 of Part 3</w:t>
      </w:r>
      <w:r w:rsidR="00B64012" w:rsidRPr="33750E9F">
        <w:rPr>
          <w:rFonts w:ascii="Times New Roman" w:hAnsi="Times New Roman" w:cs="Times New Roman"/>
          <w:sz w:val="24"/>
          <w:szCs w:val="24"/>
        </w:rPr>
        <w:t xml:space="preserve"> </w:t>
      </w:r>
      <w:r w:rsidRPr="33750E9F">
        <w:rPr>
          <w:rFonts w:ascii="Times New Roman" w:hAnsi="Times New Roman" w:cs="Times New Roman"/>
          <w:sz w:val="24"/>
          <w:szCs w:val="24"/>
        </w:rPr>
        <w:t>– subparagraph 36(3)(c)(</w:t>
      </w:r>
      <w:proofErr w:type="spellStart"/>
      <w:r w:rsidRPr="33750E9F">
        <w:rPr>
          <w:rFonts w:ascii="Times New Roman" w:hAnsi="Times New Roman" w:cs="Times New Roman"/>
          <w:sz w:val="24"/>
          <w:szCs w:val="24"/>
        </w:rPr>
        <w:t>i</w:t>
      </w:r>
      <w:proofErr w:type="spellEnd"/>
      <w:proofErr w:type="gramStart"/>
      <w:r w:rsidRPr="33750E9F">
        <w:rPr>
          <w:rFonts w:ascii="Times New Roman" w:hAnsi="Times New Roman" w:cs="Times New Roman"/>
          <w:sz w:val="24"/>
          <w:szCs w:val="24"/>
        </w:rPr>
        <w:t>);</w:t>
      </w:r>
      <w:proofErr w:type="gramEnd"/>
    </w:p>
    <w:p w14:paraId="0B1DB57A" w14:textId="07AD7872" w:rsidR="00A039B0" w:rsidRPr="00A039B0" w:rsidRDefault="00A039B0" w:rsidP="008103FF">
      <w:pPr>
        <w:pStyle w:val="ListParagraph"/>
        <w:numPr>
          <w:ilvl w:val="1"/>
          <w:numId w:val="55"/>
        </w:numPr>
        <w:spacing w:after="160" w:line="276" w:lineRule="auto"/>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if the map was created, a map that shows the boundaries of the rainfall zones referred to in section </w:t>
      </w:r>
      <w:r w:rsidR="009D192A" w:rsidRPr="33750E9F">
        <w:rPr>
          <w:rFonts w:ascii="Times New Roman" w:hAnsi="Times New Roman" w:cs="Times New Roman"/>
          <w:sz w:val="24"/>
          <w:szCs w:val="24"/>
        </w:rPr>
        <w:t>5</w:t>
      </w:r>
      <w:r w:rsidRPr="33750E9F">
        <w:rPr>
          <w:rFonts w:ascii="Times New Roman" w:hAnsi="Times New Roman" w:cs="Times New Roman"/>
          <w:sz w:val="24"/>
          <w:szCs w:val="24"/>
        </w:rPr>
        <w:t xml:space="preserve"> in relation to the created vegetation map – subparagraph 36(3)(c)(ii</w:t>
      </w:r>
      <w:proofErr w:type="gramStart"/>
      <w:r w:rsidRPr="33750E9F">
        <w:rPr>
          <w:rFonts w:ascii="Times New Roman" w:hAnsi="Times New Roman" w:cs="Times New Roman"/>
          <w:sz w:val="24"/>
          <w:szCs w:val="24"/>
        </w:rPr>
        <w:t>);</w:t>
      </w:r>
      <w:proofErr w:type="gramEnd"/>
    </w:p>
    <w:p w14:paraId="0DC7CCAF" w14:textId="7BBF6FF9" w:rsidR="00A039B0" w:rsidRPr="00A039B0" w:rsidRDefault="00CB1908"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 xml:space="preserve">for any </w:t>
      </w:r>
      <w:r w:rsidR="00A039B0" w:rsidRPr="33750E9F">
        <w:rPr>
          <w:rFonts w:ascii="Times New Roman" w:hAnsi="Times New Roman" w:cs="Times New Roman"/>
          <w:sz w:val="24"/>
          <w:szCs w:val="24"/>
        </w:rPr>
        <w:t xml:space="preserve">map </w:t>
      </w:r>
      <w:r w:rsidRPr="33750E9F">
        <w:rPr>
          <w:rFonts w:ascii="Times New Roman" w:hAnsi="Times New Roman" w:cs="Times New Roman"/>
          <w:sz w:val="24"/>
          <w:szCs w:val="24"/>
        </w:rPr>
        <w:t xml:space="preserve">that </w:t>
      </w:r>
      <w:r w:rsidR="00A039B0" w:rsidRPr="33750E9F">
        <w:rPr>
          <w:rFonts w:ascii="Times New Roman" w:hAnsi="Times New Roman" w:cs="Times New Roman"/>
          <w:sz w:val="24"/>
          <w:szCs w:val="24"/>
        </w:rPr>
        <w:t>was revised, a statement explaining the reasons why the map required revision – subparagraph 36(3)(c)(iii</w:t>
      </w:r>
      <w:proofErr w:type="gramStart"/>
      <w:r w:rsidR="00A039B0" w:rsidRPr="33750E9F">
        <w:rPr>
          <w:rFonts w:ascii="Times New Roman" w:hAnsi="Times New Roman" w:cs="Times New Roman"/>
          <w:sz w:val="24"/>
          <w:szCs w:val="24"/>
        </w:rPr>
        <w:t>);</w:t>
      </w:r>
      <w:proofErr w:type="gramEnd"/>
    </w:p>
    <w:p w14:paraId="4504145D" w14:textId="1011F2BD" w:rsidR="00A039B0" w:rsidRPr="00A039B0" w:rsidRDefault="00A039B0" w:rsidP="165183F2">
      <w:pPr>
        <w:pStyle w:val="ListParagraph"/>
        <w:numPr>
          <w:ilvl w:val="0"/>
          <w:numId w:val="55"/>
        </w:numPr>
        <w:spacing w:after="160" w:line="276" w:lineRule="auto"/>
        <w:ind w:left="714" w:hanging="357"/>
        <w:rPr>
          <w:rFonts w:ascii="Times New Roman" w:hAnsi="Times New Roman" w:cs="Times New Roman"/>
          <w:i/>
          <w:iCs/>
          <w:sz w:val="24"/>
          <w:szCs w:val="24"/>
        </w:rPr>
      </w:pPr>
      <w:r w:rsidRPr="165183F2">
        <w:rPr>
          <w:rFonts w:ascii="Times New Roman" w:hAnsi="Times New Roman" w:cs="Times New Roman"/>
          <w:sz w:val="24"/>
          <w:szCs w:val="24"/>
        </w:rPr>
        <w:t>the ERF audit report, as applicable, relating to the validation of the vegetation fuel type map – subparagraph 36(3)(c)(iv).</w:t>
      </w:r>
      <w:r w:rsidR="004967A6" w:rsidRPr="165183F2">
        <w:rPr>
          <w:rFonts w:ascii="Times New Roman" w:hAnsi="Times New Roman" w:cs="Times New Roman"/>
          <w:sz w:val="24"/>
          <w:szCs w:val="24"/>
        </w:rPr>
        <w:t xml:space="preserve"> The ERF audit report is defined in </w:t>
      </w:r>
      <w:r w:rsidR="003109A2" w:rsidRPr="165183F2">
        <w:rPr>
          <w:rFonts w:ascii="Times New Roman" w:hAnsi="Times New Roman" w:cs="Times New Roman"/>
          <w:sz w:val="24"/>
          <w:szCs w:val="24"/>
        </w:rPr>
        <w:t xml:space="preserve">subsection 36(7) of </w:t>
      </w:r>
      <w:r w:rsidR="004967A6" w:rsidRPr="165183F2">
        <w:rPr>
          <w:rFonts w:ascii="Times New Roman" w:hAnsi="Times New Roman" w:cs="Times New Roman"/>
          <w:sz w:val="24"/>
          <w:szCs w:val="24"/>
        </w:rPr>
        <w:t xml:space="preserve">the </w:t>
      </w:r>
      <w:r w:rsidR="004967A6" w:rsidRPr="165183F2">
        <w:rPr>
          <w:rFonts w:ascii="Times New Roman" w:hAnsi="Times New Roman" w:cs="Times New Roman"/>
          <w:i/>
          <w:iCs/>
          <w:sz w:val="24"/>
          <w:szCs w:val="24"/>
        </w:rPr>
        <w:t>National Greenhouse an Energy Reporting Act 2007</w:t>
      </w:r>
      <w:r w:rsidR="00A56211" w:rsidRPr="165183F2">
        <w:rPr>
          <w:rFonts w:ascii="Times New Roman" w:hAnsi="Times New Roman" w:cs="Times New Roman"/>
          <w:sz w:val="24"/>
          <w:szCs w:val="24"/>
        </w:rPr>
        <w:t>.</w:t>
      </w:r>
    </w:p>
    <w:p w14:paraId="1CB31A01" w14:textId="2FA9860D" w:rsidR="00F815FA" w:rsidRPr="00E6301E" w:rsidRDefault="00F815FA"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36(4)</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 xml:space="preserve">specifies that if, during the reporting period, any project area (including a subdivided project area) was removed from the project </w:t>
      </w:r>
      <w:proofErr w:type="gramStart"/>
      <w:r w:rsidRPr="33750E9F">
        <w:rPr>
          <w:rFonts w:ascii="Times New Roman" w:hAnsi="Times New Roman" w:cs="Times New Roman"/>
          <w:sz w:val="24"/>
          <w:szCs w:val="24"/>
        </w:rPr>
        <w:t>as a result of</w:t>
      </w:r>
      <w:proofErr w:type="gramEnd"/>
      <w:r w:rsidRPr="33750E9F">
        <w:rPr>
          <w:rFonts w:ascii="Times New Roman" w:hAnsi="Times New Roman" w:cs="Times New Roman"/>
          <w:sz w:val="24"/>
          <w:szCs w:val="24"/>
        </w:rPr>
        <w:t xml:space="preserve"> section 13 or 14, the offsets report must include, for each such project area:</w:t>
      </w:r>
    </w:p>
    <w:p w14:paraId="1DF960E5" w14:textId="593D36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a statement that the project area was removed, including when the removal occurred and which area was affected – paragraph 36(4)(a)</w:t>
      </w:r>
      <w:r w:rsidR="00CB602B">
        <w:rPr>
          <w:rFonts w:ascii="Times New Roman" w:hAnsi="Times New Roman" w:cs="Times New Roman"/>
          <w:sz w:val="24"/>
          <w:szCs w:val="24"/>
        </w:rPr>
        <w:t xml:space="preserve"> and (b)</w:t>
      </w:r>
      <w:r w:rsidRPr="33750E9F">
        <w:rPr>
          <w:rFonts w:ascii="Times New Roman" w:hAnsi="Times New Roman" w:cs="Times New Roman"/>
          <w:sz w:val="24"/>
          <w:szCs w:val="24"/>
        </w:rPr>
        <w:t>; and</w:t>
      </w:r>
    </w:p>
    <w:p w14:paraId="03070471" w14:textId="777777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the portion of the cumulative net abatement amount that was attributable to sequestration in the removed project area, calculated in accordance with section 10 of Schedule 2, up to the end of the year before the area was removed – paragraph 36(4)(b).</w:t>
      </w:r>
    </w:p>
    <w:p w14:paraId="3F420EF6" w14:textId="2CA2E1C4" w:rsidR="00F815FA" w:rsidRPr="00E6301E" w:rsidRDefault="00F815FA"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Subsection 36(5)</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applies in circumstances described in paragraph 9(2)(b), where a factor or parameter is defined or calculated for a reporting period by reference to an instrument or writing as in force from time to time</w:t>
      </w:r>
      <w:r w:rsidR="00B44791" w:rsidRPr="33750E9F">
        <w:rPr>
          <w:rFonts w:ascii="Times New Roman" w:hAnsi="Times New Roman" w:cs="Times New Roman"/>
          <w:sz w:val="24"/>
          <w:szCs w:val="24"/>
        </w:rPr>
        <w:t>,</w:t>
      </w:r>
      <w:r w:rsidR="00D419A6" w:rsidRPr="33750E9F">
        <w:rPr>
          <w:rFonts w:ascii="Times New Roman" w:hAnsi="Times New Roman" w:cs="Times New Roman"/>
          <w:sz w:val="24"/>
          <w:szCs w:val="24"/>
        </w:rPr>
        <w:t xml:space="preserve"> but </w:t>
      </w:r>
      <w:r w:rsidR="00057790" w:rsidRPr="33750E9F">
        <w:rPr>
          <w:rFonts w:ascii="Times New Roman" w:hAnsi="Times New Roman" w:cs="Times New Roman"/>
          <w:sz w:val="24"/>
          <w:szCs w:val="24"/>
        </w:rPr>
        <w:t xml:space="preserve">the factor or parameter has not been calculated </w:t>
      </w:r>
      <w:r w:rsidR="00B44791" w:rsidRPr="33750E9F">
        <w:rPr>
          <w:rFonts w:ascii="Times New Roman" w:hAnsi="Times New Roman" w:cs="Times New Roman"/>
          <w:sz w:val="24"/>
          <w:szCs w:val="24"/>
        </w:rPr>
        <w:t>in accordance with</w:t>
      </w:r>
      <w:r w:rsidR="00057790" w:rsidRPr="33750E9F">
        <w:rPr>
          <w:rFonts w:ascii="Times New Roman" w:hAnsi="Times New Roman" w:cs="Times New Roman"/>
          <w:sz w:val="24"/>
          <w:szCs w:val="24"/>
        </w:rPr>
        <w:t xml:space="preserve"> the relevant instrument </w:t>
      </w:r>
      <w:r w:rsidR="00B9156B" w:rsidRPr="33750E9F">
        <w:rPr>
          <w:rFonts w:ascii="Times New Roman" w:hAnsi="Times New Roman" w:cs="Times New Roman"/>
          <w:sz w:val="24"/>
          <w:szCs w:val="24"/>
        </w:rPr>
        <w:t xml:space="preserve">as in force at the end of the </w:t>
      </w:r>
      <w:r w:rsidR="004641B0" w:rsidRPr="33750E9F">
        <w:rPr>
          <w:rFonts w:ascii="Times New Roman" w:hAnsi="Times New Roman" w:cs="Times New Roman"/>
          <w:sz w:val="24"/>
          <w:szCs w:val="24"/>
        </w:rPr>
        <w:t>reporting period</w:t>
      </w:r>
      <w:r w:rsidRPr="33750E9F">
        <w:rPr>
          <w:rFonts w:ascii="Times New Roman" w:hAnsi="Times New Roman" w:cs="Times New Roman"/>
          <w:sz w:val="24"/>
          <w:szCs w:val="24"/>
        </w:rPr>
        <w:t>. In such cases, the offsets report must include</w:t>
      </w:r>
      <w:r w:rsidR="000C02F9">
        <w:rPr>
          <w:rFonts w:ascii="Times New Roman" w:hAnsi="Times New Roman" w:cs="Times New Roman"/>
          <w:sz w:val="24"/>
          <w:szCs w:val="24"/>
        </w:rPr>
        <w:t xml:space="preserve"> the</w:t>
      </w:r>
      <w:r w:rsidRPr="33750E9F">
        <w:rPr>
          <w:rFonts w:ascii="Times New Roman" w:hAnsi="Times New Roman" w:cs="Times New Roman"/>
          <w:sz w:val="24"/>
          <w:szCs w:val="24"/>
        </w:rPr>
        <w:t>:</w:t>
      </w:r>
    </w:p>
    <w:p w14:paraId="6444B7C7" w14:textId="1CEECD66"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versions of the instrument or writing that were used – paragraph 36(5)(a</w:t>
      </w:r>
      <w:proofErr w:type="gramStart"/>
      <w:r w:rsidRPr="33750E9F">
        <w:rPr>
          <w:rFonts w:ascii="Times New Roman" w:hAnsi="Times New Roman" w:cs="Times New Roman"/>
          <w:sz w:val="24"/>
          <w:szCs w:val="24"/>
        </w:rPr>
        <w:t>);</w:t>
      </w:r>
      <w:proofErr w:type="gramEnd"/>
    </w:p>
    <w:p w14:paraId="3B4B37EB" w14:textId="4D977344"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start and end dates for each version used – paragraph 36(5)(b); and</w:t>
      </w:r>
    </w:p>
    <w:p w14:paraId="4FACF80E" w14:textId="0722BA1B"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reasons why it was not possible to define or calculate the factor or parameter using the version in force at the end of the reporting period – paragraph 36(5)(c).</w:t>
      </w:r>
    </w:p>
    <w:p w14:paraId="39B50814" w14:textId="6C0B7632" w:rsidR="00F815FA" w:rsidRPr="00E6301E" w:rsidRDefault="00F815FA"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Subsection 36(6)</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requires that if a relevant weed species is detected in any project area during the reporting period, the offsets report must include, for each such project area:</w:t>
      </w:r>
    </w:p>
    <w:p w14:paraId="7103BCAE" w14:textId="6F8A3FB9"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a statement that</w:t>
      </w:r>
      <w:r w:rsidR="002C23F2" w:rsidRPr="33750E9F">
        <w:rPr>
          <w:rFonts w:ascii="Times New Roman" w:hAnsi="Times New Roman" w:cs="Times New Roman"/>
          <w:sz w:val="24"/>
          <w:szCs w:val="24"/>
        </w:rPr>
        <w:t xml:space="preserve"> </w:t>
      </w:r>
      <w:r w:rsidR="00E70866" w:rsidRPr="33750E9F">
        <w:rPr>
          <w:rFonts w:ascii="Times New Roman" w:hAnsi="Times New Roman" w:cs="Times New Roman"/>
          <w:sz w:val="24"/>
          <w:szCs w:val="24"/>
        </w:rPr>
        <w:t xml:space="preserve">a relevant </w:t>
      </w:r>
      <w:r w:rsidRPr="33750E9F">
        <w:rPr>
          <w:rFonts w:ascii="Times New Roman" w:hAnsi="Times New Roman" w:cs="Times New Roman"/>
          <w:sz w:val="24"/>
          <w:szCs w:val="24"/>
        </w:rPr>
        <w:t>weed species was detected – paragraph 36(6)(a</w:t>
      </w:r>
      <w:proofErr w:type="gramStart"/>
      <w:r w:rsidRPr="33750E9F">
        <w:rPr>
          <w:rFonts w:ascii="Times New Roman" w:hAnsi="Times New Roman" w:cs="Times New Roman"/>
          <w:sz w:val="24"/>
          <w:szCs w:val="24"/>
        </w:rPr>
        <w:t>);</w:t>
      </w:r>
      <w:proofErr w:type="gramEnd"/>
    </w:p>
    <w:p w14:paraId="376A621D" w14:textId="777777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the location of weed-affected areas in geospatial format – paragraph 36(6)(b</w:t>
      </w:r>
      <w:proofErr w:type="gramStart"/>
      <w:r w:rsidRPr="33750E9F">
        <w:rPr>
          <w:rFonts w:ascii="Times New Roman" w:hAnsi="Times New Roman" w:cs="Times New Roman"/>
          <w:sz w:val="24"/>
          <w:szCs w:val="24"/>
        </w:rPr>
        <w:t>);</w:t>
      </w:r>
      <w:proofErr w:type="gramEnd"/>
    </w:p>
    <w:p w14:paraId="0742B29A" w14:textId="777777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evidence of when and how the weed species was first treated – paragraph 36(6)(c</w:t>
      </w:r>
      <w:proofErr w:type="gramStart"/>
      <w:r w:rsidRPr="33750E9F">
        <w:rPr>
          <w:rFonts w:ascii="Times New Roman" w:hAnsi="Times New Roman" w:cs="Times New Roman"/>
          <w:sz w:val="24"/>
          <w:szCs w:val="24"/>
        </w:rPr>
        <w:t>);</w:t>
      </w:r>
      <w:proofErr w:type="gramEnd"/>
    </w:p>
    <w:p w14:paraId="24CA7D09" w14:textId="777777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evidence of continuing treatment of the weed species – paragraph 36(6)(d</w:t>
      </w:r>
      <w:proofErr w:type="gramStart"/>
      <w:r w:rsidRPr="33750E9F">
        <w:rPr>
          <w:rFonts w:ascii="Times New Roman" w:hAnsi="Times New Roman" w:cs="Times New Roman"/>
          <w:sz w:val="24"/>
          <w:szCs w:val="24"/>
        </w:rPr>
        <w:t>);</w:t>
      </w:r>
      <w:proofErr w:type="gramEnd"/>
    </w:p>
    <w:p w14:paraId="072B99DD" w14:textId="777777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proofErr w:type="gramStart"/>
      <w:r w:rsidRPr="33750E9F">
        <w:rPr>
          <w:rFonts w:ascii="Times New Roman" w:hAnsi="Times New Roman" w:cs="Times New Roman"/>
          <w:sz w:val="24"/>
          <w:szCs w:val="24"/>
        </w:rPr>
        <w:t>if and when</w:t>
      </w:r>
      <w:proofErr w:type="gramEnd"/>
      <w:r w:rsidRPr="33750E9F">
        <w:rPr>
          <w:rFonts w:ascii="Times New Roman" w:hAnsi="Times New Roman" w:cs="Times New Roman"/>
          <w:sz w:val="24"/>
          <w:szCs w:val="24"/>
        </w:rPr>
        <w:t xml:space="preserve"> the weed species is eradicated, a statement of that fact and supporting evidence – paragraph 36(6)(e); and</w:t>
      </w:r>
    </w:p>
    <w:p w14:paraId="2EBA73BA" w14:textId="77777777" w:rsidR="00F815FA" w:rsidRPr="00E6301E" w:rsidRDefault="00F815FA"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if any area is removed from the project due to the detection of weed species, details of that removal – paragraph 36(6)(f).</w:t>
      </w:r>
    </w:p>
    <w:p w14:paraId="294C80C0" w14:textId="4034516F" w:rsidR="0076059B" w:rsidRPr="00BC20AC" w:rsidRDefault="0076059B" w:rsidP="008103FF">
      <w:pPr>
        <w:keepNext/>
        <w:spacing w:after="160" w:line="276" w:lineRule="auto"/>
        <w:rPr>
          <w:rFonts w:ascii="Times New Roman" w:hAnsi="Times New Roman" w:cs="Times New Roman"/>
          <w:b/>
          <w:sz w:val="24"/>
          <w:szCs w:val="24"/>
        </w:rPr>
      </w:pPr>
      <w:r w:rsidRPr="00BC20AC">
        <w:rPr>
          <w:rFonts w:ascii="Times New Roman" w:hAnsi="Times New Roman" w:cs="Times New Roman"/>
          <w:b/>
          <w:sz w:val="24"/>
          <w:szCs w:val="24"/>
        </w:rPr>
        <w:t xml:space="preserve">Division 2—Record keeping requirements </w:t>
      </w:r>
    </w:p>
    <w:p w14:paraId="76F401FD" w14:textId="3C01C82D" w:rsidR="0076059B" w:rsidRPr="00BC20AC" w:rsidRDefault="003B753A" w:rsidP="008103FF">
      <w:pPr>
        <w:keepNext/>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37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Operation of this Division </w:t>
      </w:r>
    </w:p>
    <w:p w14:paraId="5F06248D" w14:textId="22E16DD5" w:rsidR="004F410A" w:rsidRPr="00982930" w:rsidRDefault="00974ACF"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Paragraph 106(3)(c) of the Act provides that a methodology determination may require project proponents to </w:t>
      </w:r>
      <w:r w:rsidR="004F410A" w:rsidRPr="33750E9F">
        <w:rPr>
          <w:rFonts w:ascii="Times New Roman" w:hAnsi="Times New Roman" w:cs="Times New Roman"/>
          <w:sz w:val="24"/>
          <w:szCs w:val="24"/>
        </w:rPr>
        <w:t xml:space="preserve">adhere to </w:t>
      </w:r>
      <w:r w:rsidR="002C3B7E" w:rsidRPr="33750E9F">
        <w:rPr>
          <w:rFonts w:ascii="Times New Roman" w:hAnsi="Times New Roman" w:cs="Times New Roman"/>
          <w:sz w:val="24"/>
          <w:szCs w:val="24"/>
        </w:rPr>
        <w:t>specified</w:t>
      </w:r>
      <w:r w:rsidR="004F410A" w:rsidRPr="33750E9F">
        <w:rPr>
          <w:rFonts w:ascii="Times New Roman" w:hAnsi="Times New Roman" w:cs="Times New Roman"/>
          <w:sz w:val="24"/>
          <w:szCs w:val="24"/>
        </w:rPr>
        <w:t xml:space="preserve"> record keeping requirements </w:t>
      </w:r>
      <w:r w:rsidR="00D649F5" w:rsidRPr="33750E9F">
        <w:rPr>
          <w:rFonts w:ascii="Times New Roman" w:hAnsi="Times New Roman" w:cs="Times New Roman"/>
          <w:sz w:val="24"/>
          <w:szCs w:val="24"/>
        </w:rPr>
        <w:t>for an</w:t>
      </w:r>
      <w:r w:rsidR="004F410A" w:rsidRPr="33750E9F">
        <w:rPr>
          <w:rFonts w:ascii="Times New Roman" w:hAnsi="Times New Roman" w:cs="Times New Roman"/>
          <w:sz w:val="24"/>
          <w:szCs w:val="24"/>
        </w:rPr>
        <w:t xml:space="preserve"> eligible offsets project</w:t>
      </w:r>
      <w:r w:rsidR="00D649F5" w:rsidRPr="33750E9F">
        <w:rPr>
          <w:rFonts w:ascii="Times New Roman" w:hAnsi="Times New Roman" w:cs="Times New Roman"/>
          <w:sz w:val="24"/>
          <w:szCs w:val="24"/>
        </w:rPr>
        <w:t xml:space="preserve"> to which it </w:t>
      </w:r>
      <w:r w:rsidR="00F7164F" w:rsidRPr="33750E9F">
        <w:rPr>
          <w:rFonts w:ascii="Times New Roman" w:hAnsi="Times New Roman" w:cs="Times New Roman"/>
          <w:sz w:val="24"/>
          <w:szCs w:val="24"/>
        </w:rPr>
        <w:t>applies</w:t>
      </w:r>
      <w:r w:rsidR="004F410A" w:rsidRPr="33750E9F">
        <w:rPr>
          <w:rFonts w:ascii="Times New Roman" w:hAnsi="Times New Roman" w:cs="Times New Roman"/>
          <w:sz w:val="24"/>
          <w:szCs w:val="24"/>
        </w:rPr>
        <w:t>.</w:t>
      </w:r>
    </w:p>
    <w:p w14:paraId="5F6BDD1C" w14:textId="64D89931" w:rsidR="00974ACF" w:rsidRPr="00890C27" w:rsidRDefault="00974ACF"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Section 3</w:t>
      </w:r>
      <w:r w:rsidR="004F410A" w:rsidRPr="00890C27">
        <w:rPr>
          <w:rFonts w:ascii="Times New Roman" w:hAnsi="Times New Roman" w:cs="Times New Roman"/>
          <w:sz w:val="24"/>
          <w:szCs w:val="24"/>
        </w:rPr>
        <w:t>7</w:t>
      </w:r>
      <w:r w:rsidRPr="00890C27">
        <w:rPr>
          <w:rFonts w:ascii="Times New Roman" w:hAnsi="Times New Roman" w:cs="Times New Roman"/>
          <w:sz w:val="24"/>
          <w:szCs w:val="24"/>
        </w:rPr>
        <w:t xml:space="preserve"> </w:t>
      </w:r>
      <w:r w:rsidR="00DC1084" w:rsidRPr="00890C27">
        <w:rPr>
          <w:rFonts w:ascii="Times New Roman" w:hAnsi="Times New Roman" w:cs="Times New Roman"/>
          <w:sz w:val="24"/>
          <w:szCs w:val="24"/>
        </w:rPr>
        <w:t>states</w:t>
      </w:r>
      <w:r w:rsidRPr="00890C27">
        <w:rPr>
          <w:rFonts w:ascii="Times New Roman" w:hAnsi="Times New Roman" w:cs="Times New Roman"/>
          <w:sz w:val="24"/>
          <w:szCs w:val="24"/>
        </w:rPr>
        <w:t xml:space="preserve"> that for the purpose of paragraph 106(3)(</w:t>
      </w:r>
      <w:r w:rsidR="004F410A" w:rsidRPr="00890C27">
        <w:rPr>
          <w:rFonts w:ascii="Times New Roman" w:hAnsi="Times New Roman" w:cs="Times New Roman"/>
          <w:sz w:val="24"/>
          <w:szCs w:val="24"/>
        </w:rPr>
        <w:t>c</w:t>
      </w:r>
      <w:r w:rsidRPr="00890C27">
        <w:rPr>
          <w:rFonts w:ascii="Times New Roman" w:hAnsi="Times New Roman" w:cs="Times New Roman"/>
          <w:sz w:val="24"/>
          <w:szCs w:val="24"/>
        </w:rPr>
        <w:t xml:space="preserve">) of the Act, </w:t>
      </w:r>
      <w:r w:rsidR="00072B86" w:rsidRPr="00890C27">
        <w:rPr>
          <w:rFonts w:ascii="Times New Roman" w:hAnsi="Times New Roman" w:cs="Times New Roman"/>
          <w:sz w:val="24"/>
          <w:szCs w:val="24"/>
        </w:rPr>
        <w:t xml:space="preserve">Division 2 of </w:t>
      </w:r>
      <w:r w:rsidR="00514F38" w:rsidRPr="00890C27">
        <w:rPr>
          <w:rFonts w:ascii="Times New Roman" w:hAnsi="Times New Roman" w:cs="Times New Roman"/>
          <w:sz w:val="24"/>
          <w:szCs w:val="24"/>
        </w:rPr>
        <w:t>Part 5</w:t>
      </w:r>
      <w:r w:rsidRPr="00890C27">
        <w:rPr>
          <w:rFonts w:ascii="Times New Roman" w:hAnsi="Times New Roman" w:cs="Times New Roman"/>
          <w:sz w:val="24"/>
          <w:szCs w:val="24"/>
        </w:rPr>
        <w:t xml:space="preserve"> </w:t>
      </w:r>
      <w:r w:rsidR="004F410A" w:rsidRPr="00890C27">
        <w:rPr>
          <w:rFonts w:ascii="Times New Roman" w:hAnsi="Times New Roman" w:cs="Times New Roman"/>
          <w:sz w:val="24"/>
          <w:szCs w:val="24"/>
        </w:rPr>
        <w:t>sets out the record-keeping requirements for a savanna sequestration project that is an eligible offsets project.</w:t>
      </w:r>
    </w:p>
    <w:p w14:paraId="73F415E2" w14:textId="421EE98F" w:rsidR="00EE5949" w:rsidRPr="00890C27" w:rsidRDefault="00D3426C"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A note </w:t>
      </w:r>
      <w:r w:rsidR="00602FD6">
        <w:rPr>
          <w:rFonts w:ascii="Times New Roman" w:hAnsi="Times New Roman" w:cs="Times New Roman"/>
          <w:sz w:val="24"/>
          <w:szCs w:val="24"/>
        </w:rPr>
        <w:t xml:space="preserve">to section 37 </w:t>
      </w:r>
      <w:r w:rsidR="00DF737C">
        <w:rPr>
          <w:rFonts w:ascii="Times New Roman" w:hAnsi="Times New Roman" w:cs="Times New Roman"/>
          <w:sz w:val="24"/>
          <w:szCs w:val="24"/>
        </w:rPr>
        <w:t>states</w:t>
      </w:r>
      <w:r>
        <w:rPr>
          <w:rFonts w:ascii="Times New Roman" w:hAnsi="Times New Roman" w:cs="Times New Roman"/>
          <w:sz w:val="24"/>
          <w:szCs w:val="24"/>
        </w:rPr>
        <w:t xml:space="preserve"> </w:t>
      </w:r>
      <w:r w:rsidRPr="00890C27">
        <w:rPr>
          <w:rFonts w:ascii="Times New Roman" w:hAnsi="Times New Roman" w:cs="Times New Roman"/>
          <w:sz w:val="24"/>
          <w:szCs w:val="24"/>
        </w:rPr>
        <w:t>that other record-keeping requirements are set out in the Rule.</w:t>
      </w:r>
    </w:p>
    <w:p w14:paraId="54D772B2" w14:textId="00AC41D6" w:rsidR="0076059B" w:rsidRPr="00BC20AC" w:rsidRDefault="003B753A"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38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Record keeping requirements </w:t>
      </w:r>
    </w:p>
    <w:p w14:paraId="01E0DEB7" w14:textId="1370FDD6" w:rsidR="00B0696F" w:rsidRPr="00B0696F" w:rsidRDefault="00F64192"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38</w:t>
      </w:r>
      <w:r w:rsidR="007D1DD6" w:rsidRPr="33750E9F">
        <w:rPr>
          <w:rFonts w:ascii="Times New Roman" w:hAnsi="Times New Roman" w:cs="Times New Roman"/>
          <w:sz w:val="24"/>
          <w:szCs w:val="24"/>
        </w:rPr>
        <w:t xml:space="preserve"> </w:t>
      </w:r>
      <w:r w:rsidR="00B0696F" w:rsidRPr="33750E9F">
        <w:rPr>
          <w:rFonts w:ascii="Times New Roman" w:hAnsi="Times New Roman" w:cs="Times New Roman"/>
          <w:sz w:val="24"/>
          <w:szCs w:val="24"/>
        </w:rPr>
        <w:t>sets out the record-keeping requirements for project proponents in relation to the calculation of the net abatement amount.</w:t>
      </w:r>
    </w:p>
    <w:p w14:paraId="6857F153" w14:textId="69201996" w:rsidR="0076059B" w:rsidRPr="00982930" w:rsidRDefault="00C00B0F"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Section 38</w:t>
      </w:r>
      <w:r w:rsidR="00B0696F" w:rsidRPr="33750E9F">
        <w:rPr>
          <w:rFonts w:ascii="Times New Roman" w:hAnsi="Times New Roman" w:cs="Times New Roman"/>
          <w:sz w:val="24"/>
          <w:szCs w:val="24"/>
        </w:rPr>
        <w:t xml:space="preserve"> specifies that the project proponent must retain records of each</w:t>
      </w:r>
      <w:r w:rsidR="00877F86" w:rsidRPr="33750E9F">
        <w:rPr>
          <w:rFonts w:ascii="Times New Roman" w:hAnsi="Times New Roman" w:cs="Times New Roman"/>
          <w:sz w:val="24"/>
          <w:szCs w:val="24"/>
        </w:rPr>
        <w:t xml:space="preserve"> </w:t>
      </w:r>
      <w:proofErr w:type="spellStart"/>
      <w:r w:rsidR="00B0696F" w:rsidRPr="33750E9F">
        <w:rPr>
          <w:rFonts w:ascii="Times New Roman" w:hAnsi="Times New Roman" w:cs="Times New Roman"/>
          <w:sz w:val="24"/>
          <w:szCs w:val="24"/>
        </w:rPr>
        <w:t>SavCAM</w:t>
      </w:r>
      <w:proofErr w:type="spellEnd"/>
      <w:r w:rsidR="00B0696F" w:rsidRPr="33750E9F">
        <w:rPr>
          <w:rFonts w:ascii="Times New Roman" w:hAnsi="Times New Roman" w:cs="Times New Roman"/>
          <w:sz w:val="24"/>
          <w:szCs w:val="24"/>
        </w:rPr>
        <w:t xml:space="preserve"> record-keeping report. These reports are generated by</w:t>
      </w:r>
      <w:r w:rsidR="00B0696F" w:rsidRPr="33750E9F" w:rsidDel="004561F9">
        <w:rPr>
          <w:rFonts w:ascii="Times New Roman" w:hAnsi="Times New Roman" w:cs="Times New Roman"/>
          <w:sz w:val="24"/>
          <w:szCs w:val="24"/>
        </w:rPr>
        <w:t xml:space="preserve"> </w:t>
      </w:r>
      <w:proofErr w:type="spellStart"/>
      <w:r w:rsidR="00B0696F" w:rsidRPr="33750E9F">
        <w:rPr>
          <w:rFonts w:ascii="Times New Roman" w:hAnsi="Times New Roman" w:cs="Times New Roman"/>
          <w:sz w:val="24"/>
          <w:szCs w:val="24"/>
        </w:rPr>
        <w:t>SavCAM</w:t>
      </w:r>
      <w:proofErr w:type="spellEnd"/>
      <w:r w:rsidR="00B0696F" w:rsidRPr="33750E9F" w:rsidDel="004561F9">
        <w:rPr>
          <w:rFonts w:ascii="Times New Roman" w:hAnsi="Times New Roman" w:cs="Times New Roman"/>
          <w:sz w:val="24"/>
          <w:szCs w:val="24"/>
        </w:rPr>
        <w:t xml:space="preserve"> </w:t>
      </w:r>
      <w:r w:rsidR="00B0696F" w:rsidRPr="33750E9F">
        <w:rPr>
          <w:rFonts w:ascii="Times New Roman" w:hAnsi="Times New Roman" w:cs="Times New Roman"/>
          <w:sz w:val="24"/>
          <w:szCs w:val="24"/>
        </w:rPr>
        <w:t>and provide a record of the data inputs and assumptions used in the calculation of net abatement.</w:t>
      </w:r>
      <w:r>
        <w:rPr>
          <w:rFonts w:ascii="Times New Roman" w:hAnsi="Times New Roman" w:cs="Times New Roman"/>
          <w:sz w:val="24"/>
          <w:szCs w:val="24"/>
        </w:rPr>
        <w:t xml:space="preserve"> Additionally, section 38 r</w:t>
      </w:r>
      <w:r w:rsidR="00B0696F" w:rsidRPr="00890C27">
        <w:rPr>
          <w:rFonts w:ascii="Times New Roman" w:hAnsi="Times New Roman" w:cs="Times New Roman"/>
          <w:sz w:val="24"/>
          <w:szCs w:val="24"/>
        </w:rPr>
        <w:t>equires</w:t>
      </w:r>
      <w:r w:rsidR="00B0696F" w:rsidRPr="33750E9F">
        <w:rPr>
          <w:rFonts w:ascii="Times New Roman" w:hAnsi="Times New Roman" w:cs="Times New Roman"/>
          <w:sz w:val="24"/>
          <w:szCs w:val="24"/>
        </w:rPr>
        <w:t xml:space="preserve"> the project proponent to retain</w:t>
      </w:r>
      <w:r w:rsidR="00877F86" w:rsidRPr="33750E9F">
        <w:rPr>
          <w:rFonts w:ascii="Times New Roman" w:hAnsi="Times New Roman" w:cs="Times New Roman"/>
          <w:sz w:val="24"/>
          <w:szCs w:val="24"/>
        </w:rPr>
        <w:t xml:space="preserve"> </w:t>
      </w:r>
      <w:r w:rsidR="00B0696F" w:rsidRPr="33750E9F">
        <w:rPr>
          <w:rFonts w:ascii="Times New Roman" w:hAnsi="Times New Roman" w:cs="Times New Roman"/>
          <w:sz w:val="24"/>
          <w:szCs w:val="24"/>
        </w:rPr>
        <w:t>all data files</w:t>
      </w:r>
      <w:r w:rsidR="00877F86" w:rsidRPr="33750E9F">
        <w:rPr>
          <w:rFonts w:ascii="Times New Roman" w:hAnsi="Times New Roman" w:cs="Times New Roman"/>
          <w:sz w:val="24"/>
          <w:szCs w:val="24"/>
        </w:rPr>
        <w:t xml:space="preserve"> </w:t>
      </w:r>
      <w:r w:rsidR="00B0696F" w:rsidRPr="33750E9F">
        <w:rPr>
          <w:rFonts w:ascii="Times New Roman" w:hAnsi="Times New Roman" w:cs="Times New Roman"/>
          <w:sz w:val="24"/>
          <w:szCs w:val="24"/>
        </w:rPr>
        <w:t>used when calculating the net abatement amount.</w:t>
      </w:r>
      <w:r w:rsidR="00877F86" w:rsidRPr="33750E9F">
        <w:rPr>
          <w:rFonts w:ascii="Times New Roman" w:hAnsi="Times New Roman" w:cs="Times New Roman"/>
          <w:sz w:val="24"/>
          <w:szCs w:val="24"/>
        </w:rPr>
        <w:t xml:space="preserve"> </w:t>
      </w:r>
    </w:p>
    <w:p w14:paraId="61B52BF4" w14:textId="008E648A" w:rsidR="0076059B" w:rsidRPr="00BC20AC" w:rsidRDefault="0076059B" w:rsidP="008103FF">
      <w:pPr>
        <w:spacing w:after="160" w:line="276" w:lineRule="auto"/>
        <w:rPr>
          <w:rFonts w:ascii="Times New Roman" w:hAnsi="Times New Roman" w:cs="Times New Roman"/>
          <w:b/>
          <w:sz w:val="24"/>
          <w:szCs w:val="24"/>
        </w:rPr>
      </w:pPr>
      <w:r w:rsidRPr="00BC20AC">
        <w:rPr>
          <w:rFonts w:ascii="Times New Roman" w:hAnsi="Times New Roman" w:cs="Times New Roman"/>
          <w:b/>
          <w:sz w:val="24"/>
          <w:szCs w:val="24"/>
        </w:rPr>
        <w:t xml:space="preserve">Division 3— Monitoring requirements </w:t>
      </w:r>
    </w:p>
    <w:p w14:paraId="7E642859" w14:textId="06BF3B5C" w:rsidR="0076059B" w:rsidRPr="00BC20AC" w:rsidRDefault="00866699"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39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Operation of this Division </w:t>
      </w:r>
    </w:p>
    <w:p w14:paraId="2781600A" w14:textId="6029B35D" w:rsidR="00B2530D" w:rsidRPr="00890C27" w:rsidRDefault="00B2530D"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Paragraph 106(3)(</w:t>
      </w:r>
      <w:r w:rsidR="009A0526">
        <w:rPr>
          <w:rFonts w:ascii="Times New Roman" w:hAnsi="Times New Roman" w:cs="Times New Roman"/>
          <w:sz w:val="24"/>
          <w:szCs w:val="24"/>
        </w:rPr>
        <w:t>d</w:t>
      </w:r>
      <w:r w:rsidRPr="00890C27">
        <w:rPr>
          <w:rFonts w:ascii="Times New Roman" w:hAnsi="Times New Roman" w:cs="Times New Roman"/>
          <w:sz w:val="24"/>
          <w:szCs w:val="24"/>
        </w:rPr>
        <w:t xml:space="preserve">) of the Act provides that a methodology determination may require project proponents to </w:t>
      </w:r>
      <w:r w:rsidRPr="33750E9F">
        <w:rPr>
          <w:rFonts w:ascii="Times New Roman" w:hAnsi="Times New Roman" w:cs="Times New Roman"/>
          <w:sz w:val="24"/>
          <w:szCs w:val="24"/>
        </w:rPr>
        <w:t xml:space="preserve">adhere to </w:t>
      </w:r>
      <w:r w:rsidR="002C3B7E" w:rsidRPr="33750E9F">
        <w:rPr>
          <w:rFonts w:ascii="Times New Roman" w:hAnsi="Times New Roman" w:cs="Times New Roman"/>
          <w:sz w:val="24"/>
          <w:szCs w:val="24"/>
        </w:rPr>
        <w:t xml:space="preserve">specified requirements to monitor </w:t>
      </w:r>
      <w:r w:rsidR="00D649F5" w:rsidRPr="33750E9F">
        <w:rPr>
          <w:rFonts w:ascii="Times New Roman" w:hAnsi="Times New Roman" w:cs="Times New Roman"/>
          <w:sz w:val="24"/>
          <w:szCs w:val="24"/>
        </w:rPr>
        <w:t>an</w:t>
      </w:r>
      <w:r w:rsidR="002C3B7E" w:rsidRPr="33750E9F">
        <w:rPr>
          <w:rFonts w:ascii="Times New Roman" w:hAnsi="Times New Roman" w:cs="Times New Roman"/>
          <w:sz w:val="24"/>
          <w:szCs w:val="24"/>
        </w:rPr>
        <w:t xml:space="preserve"> </w:t>
      </w:r>
      <w:r w:rsidR="00D649F5" w:rsidRPr="33750E9F">
        <w:rPr>
          <w:rFonts w:ascii="Times New Roman" w:hAnsi="Times New Roman" w:cs="Times New Roman"/>
          <w:sz w:val="24"/>
          <w:szCs w:val="24"/>
        </w:rPr>
        <w:t xml:space="preserve">eligible offsets </w:t>
      </w:r>
      <w:r w:rsidR="002C3B7E" w:rsidRPr="33750E9F">
        <w:rPr>
          <w:rFonts w:ascii="Times New Roman" w:hAnsi="Times New Roman" w:cs="Times New Roman"/>
          <w:sz w:val="24"/>
          <w:szCs w:val="24"/>
        </w:rPr>
        <w:t>project</w:t>
      </w:r>
      <w:r w:rsidR="00D649F5" w:rsidRPr="33750E9F">
        <w:rPr>
          <w:rFonts w:ascii="Times New Roman" w:hAnsi="Times New Roman" w:cs="Times New Roman"/>
          <w:sz w:val="24"/>
          <w:szCs w:val="24"/>
        </w:rPr>
        <w:t xml:space="preserve"> to which it</w:t>
      </w:r>
      <w:r w:rsidR="00F7164F" w:rsidRPr="33750E9F">
        <w:rPr>
          <w:rFonts w:ascii="Times New Roman" w:hAnsi="Times New Roman" w:cs="Times New Roman"/>
          <w:sz w:val="24"/>
          <w:szCs w:val="24"/>
        </w:rPr>
        <w:t xml:space="preserve"> applies</w:t>
      </w:r>
      <w:r w:rsidR="002C3B7E" w:rsidRPr="33750E9F">
        <w:rPr>
          <w:rFonts w:ascii="Times New Roman" w:hAnsi="Times New Roman" w:cs="Times New Roman"/>
          <w:sz w:val="24"/>
          <w:szCs w:val="24"/>
        </w:rPr>
        <w:t xml:space="preserve">. </w:t>
      </w:r>
    </w:p>
    <w:p w14:paraId="6EC9C698" w14:textId="77777777" w:rsidR="00B24439" w:rsidRDefault="00414EC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lastRenderedPageBreak/>
        <w:t xml:space="preserve">Section 39 </w:t>
      </w:r>
      <w:r w:rsidR="00DC1084" w:rsidRPr="00890C27">
        <w:rPr>
          <w:rFonts w:ascii="Times New Roman" w:hAnsi="Times New Roman" w:cs="Times New Roman"/>
          <w:sz w:val="24"/>
          <w:szCs w:val="24"/>
        </w:rPr>
        <w:t>states</w:t>
      </w:r>
      <w:r w:rsidR="00F7164F" w:rsidRPr="00890C27">
        <w:rPr>
          <w:rFonts w:ascii="Times New Roman" w:hAnsi="Times New Roman" w:cs="Times New Roman"/>
          <w:sz w:val="24"/>
          <w:szCs w:val="24"/>
        </w:rPr>
        <w:t xml:space="preserve"> that for the purposes of paragraph 106(3)(d) of the Act, Division 3 of Part 5 </w:t>
      </w:r>
      <w:r w:rsidRPr="00890C27">
        <w:rPr>
          <w:rFonts w:ascii="Times New Roman" w:hAnsi="Times New Roman" w:cs="Times New Roman"/>
          <w:sz w:val="24"/>
          <w:szCs w:val="24"/>
        </w:rPr>
        <w:t xml:space="preserve">sets out monitoring requirements for </w:t>
      </w:r>
      <w:r w:rsidR="006A6425" w:rsidRPr="00890C27">
        <w:rPr>
          <w:rFonts w:ascii="Times New Roman" w:hAnsi="Times New Roman" w:cs="Times New Roman"/>
          <w:sz w:val="24"/>
          <w:szCs w:val="24"/>
        </w:rPr>
        <w:t xml:space="preserve">savanna sequestration projects that are eligible offsets projects. </w:t>
      </w:r>
    </w:p>
    <w:p w14:paraId="636CD012" w14:textId="400E375D" w:rsidR="0076059B" w:rsidRPr="00890C27" w:rsidRDefault="00414EC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A note </w:t>
      </w:r>
      <w:r w:rsidR="00B24439">
        <w:rPr>
          <w:rFonts w:ascii="Times New Roman" w:hAnsi="Times New Roman" w:cs="Times New Roman"/>
          <w:sz w:val="24"/>
          <w:szCs w:val="24"/>
        </w:rPr>
        <w:t xml:space="preserve">to section 39 states </w:t>
      </w:r>
      <w:r w:rsidRPr="00890C27">
        <w:rPr>
          <w:rFonts w:ascii="Times New Roman" w:hAnsi="Times New Roman" w:cs="Times New Roman"/>
          <w:sz w:val="24"/>
          <w:szCs w:val="24"/>
        </w:rPr>
        <w:t>that other monitoring requirements are set out in the Rule.</w:t>
      </w:r>
    </w:p>
    <w:p w14:paraId="6077388D" w14:textId="53EE191C" w:rsidR="0076059B" w:rsidRPr="00BC20AC" w:rsidRDefault="00866699"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40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Monitoring requirements </w:t>
      </w:r>
    </w:p>
    <w:p w14:paraId="6F28600B" w14:textId="5654CDA9" w:rsidR="00D2595A" w:rsidRPr="00890C27" w:rsidRDefault="002C1000"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Section 40 specifies</w:t>
      </w:r>
      <w:r w:rsidR="0017325A" w:rsidRPr="00890C27">
        <w:rPr>
          <w:rFonts w:ascii="Times New Roman" w:hAnsi="Times New Roman" w:cs="Times New Roman"/>
          <w:color w:val="000000" w:themeColor="text1"/>
          <w:sz w:val="24"/>
          <w:szCs w:val="24"/>
        </w:rPr>
        <w:t xml:space="preserve"> that a </w:t>
      </w:r>
      <w:r w:rsidR="002B695E" w:rsidRPr="00890C27">
        <w:rPr>
          <w:rFonts w:ascii="Times New Roman" w:hAnsi="Times New Roman" w:cs="Times New Roman"/>
          <w:color w:val="000000" w:themeColor="text1"/>
          <w:sz w:val="24"/>
          <w:szCs w:val="24"/>
        </w:rPr>
        <w:t xml:space="preserve">project </w:t>
      </w:r>
      <w:r w:rsidR="0017325A" w:rsidRPr="00890C27">
        <w:rPr>
          <w:rFonts w:ascii="Times New Roman" w:hAnsi="Times New Roman" w:cs="Times New Roman"/>
          <w:color w:val="000000" w:themeColor="text1"/>
          <w:sz w:val="24"/>
          <w:szCs w:val="24"/>
        </w:rPr>
        <w:t xml:space="preserve">proponent </w:t>
      </w:r>
      <w:r w:rsidR="002B695E" w:rsidRPr="00890C27">
        <w:rPr>
          <w:rFonts w:ascii="Times New Roman" w:hAnsi="Times New Roman" w:cs="Times New Roman"/>
          <w:color w:val="000000" w:themeColor="text1"/>
          <w:sz w:val="24"/>
          <w:szCs w:val="24"/>
        </w:rPr>
        <w:t xml:space="preserve">for a savanna sequestration project </w:t>
      </w:r>
      <w:r w:rsidR="0017325A" w:rsidRPr="00890C27">
        <w:rPr>
          <w:rFonts w:ascii="Times New Roman" w:hAnsi="Times New Roman" w:cs="Times New Roman"/>
          <w:color w:val="000000" w:themeColor="text1"/>
          <w:sz w:val="24"/>
          <w:szCs w:val="24"/>
        </w:rPr>
        <w:t xml:space="preserve">must comply with the </w:t>
      </w:r>
      <w:r w:rsidR="00B01E34" w:rsidRPr="00890C27">
        <w:rPr>
          <w:rFonts w:ascii="Times New Roman" w:hAnsi="Times New Roman" w:cs="Times New Roman"/>
          <w:color w:val="000000" w:themeColor="text1"/>
          <w:sz w:val="24"/>
          <w:szCs w:val="24"/>
        </w:rPr>
        <w:t xml:space="preserve">monitoring requirement instructions listed in the </w:t>
      </w:r>
      <w:r w:rsidR="00D2595A" w:rsidRPr="00890C27">
        <w:rPr>
          <w:rFonts w:ascii="Times New Roman" w:hAnsi="Times New Roman" w:cs="Times New Roman"/>
          <w:color w:val="000000" w:themeColor="text1"/>
          <w:sz w:val="24"/>
          <w:szCs w:val="24"/>
        </w:rPr>
        <w:t xml:space="preserve">that section as part of a table. </w:t>
      </w:r>
    </w:p>
    <w:p w14:paraId="15C3331F" w14:textId="342CB294" w:rsidR="00014812" w:rsidRPr="00890C27" w:rsidRDefault="002C1000"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A table sets out instructions for the monitoring requirements with which a project proponent must comply when carrying out a project under </w:t>
      </w:r>
      <w:r w:rsidR="005D56BA" w:rsidRPr="00890C27">
        <w:rPr>
          <w:rFonts w:ascii="Times New Roman" w:hAnsi="Times New Roman" w:cs="Times New Roman"/>
          <w:color w:val="000000" w:themeColor="text1"/>
          <w:sz w:val="24"/>
          <w:szCs w:val="24"/>
        </w:rPr>
        <w:t xml:space="preserve">the </w:t>
      </w:r>
      <w:r w:rsidR="004D74F5">
        <w:rPr>
          <w:rFonts w:ascii="Times New Roman" w:hAnsi="Times New Roman" w:cs="Times New Roman"/>
          <w:color w:val="000000" w:themeColor="text1"/>
          <w:sz w:val="24"/>
          <w:szCs w:val="24"/>
        </w:rPr>
        <w:t>determination</w:t>
      </w:r>
      <w:r w:rsidRPr="00890C27">
        <w:rPr>
          <w:rFonts w:ascii="Times New Roman" w:hAnsi="Times New Roman" w:cs="Times New Roman"/>
          <w:color w:val="000000" w:themeColor="text1"/>
          <w:sz w:val="24"/>
          <w:szCs w:val="24"/>
        </w:rPr>
        <w:t xml:space="preserve">. There is a requirement that project proponents must monitor for </w:t>
      </w:r>
      <w:r w:rsidR="00014812" w:rsidRPr="00890C27">
        <w:rPr>
          <w:rFonts w:ascii="Times New Roman" w:hAnsi="Times New Roman" w:cs="Times New Roman"/>
          <w:color w:val="000000" w:themeColor="text1"/>
          <w:sz w:val="24"/>
          <w:szCs w:val="24"/>
        </w:rPr>
        <w:t xml:space="preserve">the presence of </w:t>
      </w:r>
      <w:r w:rsidRPr="00890C27">
        <w:rPr>
          <w:rFonts w:ascii="Times New Roman" w:hAnsi="Times New Roman" w:cs="Times New Roman"/>
          <w:color w:val="000000" w:themeColor="text1"/>
          <w:sz w:val="24"/>
          <w:szCs w:val="24"/>
        </w:rPr>
        <w:t>relevant weed species</w:t>
      </w:r>
      <w:r w:rsidR="00014812" w:rsidRPr="00890C27">
        <w:rPr>
          <w:rFonts w:ascii="Times New Roman" w:hAnsi="Times New Roman" w:cs="Times New Roman"/>
          <w:color w:val="000000" w:themeColor="text1"/>
          <w:sz w:val="24"/>
          <w:szCs w:val="24"/>
        </w:rPr>
        <w:t xml:space="preserve">. </w:t>
      </w:r>
    </w:p>
    <w:p w14:paraId="73997616" w14:textId="5EA52106" w:rsidR="00E874E3" w:rsidRPr="00890C27" w:rsidRDefault="00E874E3"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Relevant weed species are weeds which, where present, are known to result in more severe fire behaviour compared to the fire behaviour in any of the vegetation fuel types for which abatement calculations are made in </w:t>
      </w:r>
      <w:r w:rsidR="005D56BA" w:rsidRPr="00890C27">
        <w:rPr>
          <w:rFonts w:ascii="Times New Roman" w:hAnsi="Times New Roman" w:cs="Times New Roman"/>
          <w:color w:val="000000" w:themeColor="text1"/>
          <w:sz w:val="24"/>
          <w:szCs w:val="24"/>
        </w:rPr>
        <w:t xml:space="preserve">the </w:t>
      </w:r>
      <w:r w:rsidR="004D74F5">
        <w:rPr>
          <w:rFonts w:ascii="Times New Roman" w:hAnsi="Times New Roman" w:cs="Times New Roman"/>
          <w:color w:val="000000" w:themeColor="text1"/>
          <w:sz w:val="24"/>
          <w:szCs w:val="24"/>
        </w:rPr>
        <w:t>determination</w:t>
      </w:r>
      <w:r w:rsidRPr="00890C27">
        <w:rPr>
          <w:rFonts w:ascii="Times New Roman" w:hAnsi="Times New Roman" w:cs="Times New Roman"/>
          <w:color w:val="000000" w:themeColor="text1"/>
          <w:sz w:val="24"/>
          <w:szCs w:val="24"/>
        </w:rPr>
        <w:t xml:space="preserve">. For example, where relevant weed species are present, fires are likely to burn at greater intensities than in areas where there is an absence of relevant weed species. This results in more greenhouse gases being emitted to the atmosphere and less carbon being sequestered in dead organic matter for fires in areas where relevant weed species are present compared to from fires in areas where relevant weed species are absent. </w:t>
      </w:r>
    </w:p>
    <w:p w14:paraId="61542E9D" w14:textId="40F5D636" w:rsidR="00E874E3" w:rsidRPr="00890C27" w:rsidRDefault="0000075E" w:rsidP="008103FF">
      <w:pPr>
        <w:spacing w:after="16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Section</w:t>
      </w:r>
      <w:r w:rsidRPr="00890C27">
        <w:rPr>
          <w:rFonts w:ascii="Times New Roman" w:hAnsi="Times New Roman" w:cs="Times New Roman"/>
          <w:color w:val="000000" w:themeColor="text1"/>
          <w:sz w:val="24"/>
          <w:szCs w:val="24"/>
        </w:rPr>
        <w:t xml:space="preserve"> </w:t>
      </w:r>
      <w:r w:rsidR="00E874E3" w:rsidRPr="00890C27">
        <w:rPr>
          <w:rFonts w:ascii="Times New Roman" w:hAnsi="Times New Roman" w:cs="Times New Roman"/>
          <w:color w:val="000000" w:themeColor="text1"/>
          <w:sz w:val="24"/>
          <w:szCs w:val="24"/>
        </w:rPr>
        <w:t xml:space="preserve">14 specifies requirements to manage relevant weed species. Section 16 specifies how project areas can be subdivided, and how this process can be used to remove areas containing relevant weed species from the project; to ensure the project remains an eligible offset project under </w:t>
      </w:r>
      <w:r w:rsidR="005D56BA" w:rsidRPr="00890C27">
        <w:rPr>
          <w:rFonts w:ascii="Times New Roman" w:hAnsi="Times New Roman" w:cs="Times New Roman"/>
          <w:color w:val="000000" w:themeColor="text1"/>
          <w:sz w:val="24"/>
          <w:szCs w:val="24"/>
        </w:rPr>
        <w:t xml:space="preserve">the </w:t>
      </w:r>
      <w:r w:rsidR="004D74F5">
        <w:rPr>
          <w:rFonts w:ascii="Times New Roman" w:hAnsi="Times New Roman" w:cs="Times New Roman"/>
          <w:color w:val="000000" w:themeColor="text1"/>
          <w:sz w:val="24"/>
          <w:szCs w:val="24"/>
        </w:rPr>
        <w:t>determination</w:t>
      </w:r>
      <w:r w:rsidR="00E874E3" w:rsidRPr="00890C27">
        <w:rPr>
          <w:rFonts w:ascii="Times New Roman" w:hAnsi="Times New Roman" w:cs="Times New Roman"/>
          <w:color w:val="000000" w:themeColor="text1"/>
          <w:sz w:val="24"/>
          <w:szCs w:val="24"/>
        </w:rPr>
        <w:t>.</w:t>
      </w:r>
    </w:p>
    <w:p w14:paraId="0B849FBB" w14:textId="0D773416" w:rsidR="00EA54B2" w:rsidRPr="00890C27" w:rsidRDefault="00E874E3"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table in section 40 provides that m</w:t>
      </w:r>
      <w:r w:rsidR="007B1249" w:rsidRPr="00890C27">
        <w:rPr>
          <w:rFonts w:ascii="Times New Roman" w:hAnsi="Times New Roman" w:cs="Times New Roman"/>
          <w:color w:val="000000" w:themeColor="text1"/>
          <w:sz w:val="24"/>
          <w:szCs w:val="24"/>
        </w:rPr>
        <w:t xml:space="preserve">onitoring for relevant weed species must occur as detailed in the </w:t>
      </w:r>
      <w:r w:rsidR="007B1249" w:rsidRPr="00BC20AC">
        <w:rPr>
          <w:rFonts w:ascii="Times New Roman" w:hAnsi="Times New Roman" w:cs="Times New Roman"/>
          <w:i/>
          <w:color w:val="000000" w:themeColor="text1"/>
          <w:sz w:val="24"/>
          <w:szCs w:val="24"/>
        </w:rPr>
        <w:t>Savanna Fire Management Methods (2025) Technical Guidance Document</w:t>
      </w:r>
      <w:r w:rsidR="007B1249" w:rsidRPr="00890C27">
        <w:rPr>
          <w:rFonts w:ascii="Times New Roman" w:hAnsi="Times New Roman" w:cs="Times New Roman"/>
          <w:color w:val="000000" w:themeColor="text1"/>
          <w:sz w:val="24"/>
          <w:szCs w:val="24"/>
        </w:rPr>
        <w:t xml:space="preserve">. The frequency of monitoring must be consistent with the requirements in the </w:t>
      </w:r>
      <w:r w:rsidR="00F06888" w:rsidRPr="00890C27">
        <w:rPr>
          <w:rFonts w:ascii="Times New Roman" w:hAnsi="Times New Roman" w:cs="Times New Roman"/>
          <w:b/>
          <w:i/>
          <w:color w:val="000000" w:themeColor="text1"/>
          <w:sz w:val="24"/>
          <w:szCs w:val="24"/>
        </w:rPr>
        <w:t xml:space="preserve">Relevant </w:t>
      </w:r>
      <w:r w:rsidR="00F06888" w:rsidRPr="00890C27">
        <w:rPr>
          <w:rFonts w:ascii="Times New Roman" w:hAnsi="Times New Roman" w:cs="Times New Roman"/>
          <w:b/>
          <w:i/>
          <w:sz w:val="24"/>
          <w:szCs w:val="24"/>
        </w:rPr>
        <w:t>Weeds Risk spatial data layer</w:t>
      </w:r>
      <w:r w:rsidR="00F06888" w:rsidRPr="00890C27">
        <w:rPr>
          <w:rFonts w:ascii="Times New Roman" w:hAnsi="Times New Roman" w:cs="Times New Roman"/>
          <w:b/>
          <w:sz w:val="24"/>
          <w:szCs w:val="24"/>
        </w:rPr>
        <w:t xml:space="preserve">, </w:t>
      </w:r>
      <w:r w:rsidR="00F06888" w:rsidRPr="00890C27">
        <w:rPr>
          <w:rFonts w:ascii="Times New Roman" w:hAnsi="Times New Roman" w:cs="Times New Roman"/>
          <w:sz w:val="24"/>
          <w:szCs w:val="24"/>
        </w:rPr>
        <w:t xml:space="preserve">if available, or otherwise the </w:t>
      </w:r>
      <w:r w:rsidR="0037547F" w:rsidRPr="00AF3315">
        <w:rPr>
          <w:rFonts w:ascii="Times New Roman" w:hAnsi="Times New Roman" w:cs="Times New Roman"/>
          <w:i/>
          <w:iCs/>
          <w:color w:val="000000" w:themeColor="text1"/>
          <w:sz w:val="24"/>
          <w:szCs w:val="24"/>
        </w:rPr>
        <w:t>Savanna Fire Management Methods (2025) Technical Guidance Document</w:t>
      </w:r>
      <w:r w:rsidR="007B1249" w:rsidRPr="00890C27" w:rsidDel="00A36A56">
        <w:rPr>
          <w:rFonts w:ascii="Times New Roman" w:hAnsi="Times New Roman" w:cs="Times New Roman"/>
          <w:color w:val="000000" w:themeColor="text1"/>
          <w:sz w:val="24"/>
          <w:szCs w:val="24"/>
        </w:rPr>
        <w:t>.</w:t>
      </w:r>
      <w:r w:rsidR="007B1249" w:rsidRPr="00890C27">
        <w:rPr>
          <w:rFonts w:ascii="Times New Roman" w:hAnsi="Times New Roman" w:cs="Times New Roman"/>
          <w:color w:val="000000" w:themeColor="text1"/>
          <w:sz w:val="24"/>
          <w:szCs w:val="24"/>
        </w:rPr>
        <w:t xml:space="preserve"> </w:t>
      </w:r>
    </w:p>
    <w:p w14:paraId="3DBBDCA1" w14:textId="6C83AC5E" w:rsidR="00E874E3" w:rsidRPr="00890C27" w:rsidRDefault="00EA54B2"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However, the table in section 40 also specifies that t</w:t>
      </w:r>
      <w:r w:rsidR="00CD677B" w:rsidRPr="00890C27">
        <w:rPr>
          <w:rFonts w:ascii="Times New Roman" w:hAnsi="Times New Roman" w:cs="Times New Roman"/>
          <w:color w:val="000000" w:themeColor="text1"/>
          <w:sz w:val="24"/>
          <w:szCs w:val="24"/>
        </w:rPr>
        <w:t xml:space="preserve">hese monitoring requirements are only applicable if the </w:t>
      </w:r>
      <w:r w:rsidR="00CD677B" w:rsidRPr="00BC20AC">
        <w:rPr>
          <w:rFonts w:ascii="Times New Roman" w:hAnsi="Times New Roman" w:cs="Times New Roman"/>
          <w:i/>
          <w:color w:val="000000" w:themeColor="text1"/>
          <w:sz w:val="24"/>
          <w:szCs w:val="24"/>
        </w:rPr>
        <w:t>Savanna Fire Management Methods (2025) Technical Guidance Document</w:t>
      </w:r>
      <w:r w:rsidR="00CD677B" w:rsidRPr="00890C27">
        <w:rPr>
          <w:rFonts w:ascii="Times New Roman" w:hAnsi="Times New Roman" w:cs="Times New Roman"/>
          <w:color w:val="000000" w:themeColor="text1"/>
          <w:sz w:val="24"/>
          <w:szCs w:val="24"/>
        </w:rPr>
        <w:t xml:space="preserve"> provides the relevant instructions on how to monitor for relevant weed species.</w:t>
      </w:r>
    </w:p>
    <w:p w14:paraId="0EB55DBD" w14:textId="3AFD53AF" w:rsidR="0076059B" w:rsidRPr="00BC20AC" w:rsidRDefault="0076059B" w:rsidP="008103FF">
      <w:pPr>
        <w:spacing w:after="160" w:line="276" w:lineRule="auto"/>
        <w:rPr>
          <w:rFonts w:ascii="Times New Roman" w:hAnsi="Times New Roman" w:cs="Times New Roman"/>
          <w:b/>
          <w:color w:val="000000" w:themeColor="text1"/>
          <w:sz w:val="24"/>
          <w:szCs w:val="24"/>
        </w:rPr>
      </w:pPr>
      <w:r w:rsidRPr="00BC20AC">
        <w:rPr>
          <w:rFonts w:ascii="Times New Roman" w:hAnsi="Times New Roman" w:cs="Times New Roman"/>
          <w:b/>
          <w:sz w:val="24"/>
          <w:szCs w:val="24"/>
        </w:rPr>
        <w:t xml:space="preserve">Division 4— Notification requirements </w:t>
      </w:r>
    </w:p>
    <w:p w14:paraId="5ED9D3A1" w14:textId="25ECFBD1" w:rsidR="0076059B" w:rsidRPr="00BC20AC" w:rsidRDefault="00866699"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41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Operation of this Division</w:t>
      </w:r>
    </w:p>
    <w:p w14:paraId="6598BBA0" w14:textId="63381A26" w:rsidR="0076059B" w:rsidRPr="00982930" w:rsidRDefault="009A5E02"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Section 41</w:t>
      </w:r>
      <w:r w:rsidR="00877F86" w:rsidRPr="33750E9F">
        <w:rPr>
          <w:rFonts w:ascii="Times New Roman" w:hAnsi="Times New Roman" w:cs="Times New Roman"/>
          <w:sz w:val="24"/>
          <w:szCs w:val="24"/>
        </w:rPr>
        <w:t xml:space="preserve"> </w:t>
      </w:r>
      <w:r w:rsidR="00DC1084" w:rsidRPr="33750E9F">
        <w:rPr>
          <w:rFonts w:ascii="Times New Roman" w:hAnsi="Times New Roman" w:cs="Times New Roman"/>
          <w:sz w:val="24"/>
          <w:szCs w:val="24"/>
        </w:rPr>
        <w:t>states that</w:t>
      </w:r>
      <w:r w:rsidRPr="33750E9F">
        <w:rPr>
          <w:rFonts w:ascii="Times New Roman" w:hAnsi="Times New Roman" w:cs="Times New Roman"/>
          <w:sz w:val="24"/>
          <w:szCs w:val="24"/>
        </w:rPr>
        <w:t xml:space="preserve"> operation of </w:t>
      </w:r>
      <w:r w:rsidR="006A14A2" w:rsidRPr="33750E9F">
        <w:rPr>
          <w:rFonts w:ascii="Times New Roman" w:hAnsi="Times New Roman" w:cs="Times New Roman"/>
          <w:sz w:val="24"/>
          <w:szCs w:val="24"/>
        </w:rPr>
        <w:t xml:space="preserve">Division 4 of Part 5 of 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w:t>
      </w:r>
      <w:r w:rsidRPr="33750E9F">
        <w:rPr>
          <w:rFonts w:ascii="Times New Roman" w:hAnsi="Times New Roman" w:cs="Times New Roman"/>
          <w:sz w:val="24"/>
          <w:szCs w:val="24"/>
        </w:rPr>
        <w:t xml:space="preserve"> For the purposes of paragraph 80(1)(b) of the</w:t>
      </w:r>
      <w:r w:rsidR="00877F86" w:rsidRPr="33750E9F">
        <w:rPr>
          <w:rFonts w:ascii="Times New Roman" w:hAnsi="Times New Roman" w:cs="Times New Roman"/>
          <w:sz w:val="24"/>
          <w:szCs w:val="24"/>
        </w:rPr>
        <w:t xml:space="preserve"> </w:t>
      </w:r>
      <w:r w:rsidR="0064240C" w:rsidRPr="00191689">
        <w:rPr>
          <w:rFonts w:ascii="Times New Roman" w:hAnsi="Times New Roman" w:cs="Times New Roman"/>
          <w:sz w:val="24"/>
          <w:szCs w:val="24"/>
        </w:rPr>
        <w:t>Act</w:t>
      </w:r>
      <w:r w:rsidRPr="33750E9F">
        <w:rPr>
          <w:rFonts w:ascii="Times New Roman" w:hAnsi="Times New Roman" w:cs="Times New Roman"/>
          <w:sz w:val="24"/>
          <w:szCs w:val="24"/>
        </w:rPr>
        <w:t xml:space="preserve">, Division </w:t>
      </w:r>
      <w:r w:rsidR="0064240C">
        <w:rPr>
          <w:rFonts w:ascii="Times New Roman" w:hAnsi="Times New Roman" w:cs="Times New Roman"/>
          <w:sz w:val="24"/>
          <w:szCs w:val="24"/>
        </w:rPr>
        <w:t>4</w:t>
      </w:r>
      <w:r w:rsidRPr="00890C27">
        <w:rPr>
          <w:rFonts w:ascii="Times New Roman" w:hAnsi="Times New Roman" w:cs="Times New Roman"/>
          <w:sz w:val="24"/>
          <w:szCs w:val="24"/>
        </w:rPr>
        <w:t xml:space="preserve"> </w:t>
      </w:r>
      <w:r w:rsidRPr="33750E9F">
        <w:rPr>
          <w:rFonts w:ascii="Times New Roman" w:hAnsi="Times New Roman" w:cs="Times New Roman"/>
          <w:sz w:val="24"/>
          <w:szCs w:val="24"/>
        </w:rPr>
        <w:t>sets out the notification requirements that apply to a savanna sequestration project that is an eligible offsets project.</w:t>
      </w:r>
    </w:p>
    <w:p w14:paraId="2F62D7CC" w14:textId="0472A705" w:rsidR="0076059B" w:rsidRPr="00BC20AC" w:rsidRDefault="00866699"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76059B" w:rsidRPr="33750E9F">
        <w:rPr>
          <w:rFonts w:ascii="Times New Roman" w:hAnsi="Times New Roman" w:cs="Times New Roman"/>
          <w:sz w:val="24"/>
          <w:szCs w:val="24"/>
          <w:u w:val="single"/>
        </w:rPr>
        <w:t xml:space="preserve">42 </w:t>
      </w:r>
      <w:r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Notification requirements </w:t>
      </w:r>
    </w:p>
    <w:p w14:paraId="36C75C27" w14:textId="0DC094EF" w:rsidR="00785906" w:rsidRPr="00785906" w:rsidRDefault="00785906"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lastRenderedPageBreak/>
        <w:t>Section 42</w:t>
      </w:r>
      <w:r w:rsidR="00877F86" w:rsidRPr="33750E9F">
        <w:rPr>
          <w:rFonts w:ascii="Times New Roman" w:hAnsi="Times New Roman" w:cs="Times New Roman"/>
          <w:sz w:val="24"/>
          <w:szCs w:val="24"/>
        </w:rPr>
        <w:t xml:space="preserve"> </w:t>
      </w:r>
      <w:r w:rsidR="009B5EE6" w:rsidRPr="33750E9F">
        <w:rPr>
          <w:rFonts w:ascii="Times New Roman" w:hAnsi="Times New Roman" w:cs="Times New Roman"/>
          <w:sz w:val="24"/>
          <w:szCs w:val="24"/>
        </w:rPr>
        <w:t>provides</w:t>
      </w:r>
      <w:r w:rsidRPr="33750E9F">
        <w:rPr>
          <w:rFonts w:ascii="Times New Roman" w:hAnsi="Times New Roman" w:cs="Times New Roman"/>
          <w:sz w:val="24"/>
          <w:szCs w:val="24"/>
        </w:rPr>
        <w:t xml:space="preserve"> that if a relevant weed species is detected in a project area for the first time, the project proponent must notify the Regulator within 60 days of becoming aware of the detection. The notification must include</w:t>
      </w:r>
      <w:r w:rsidR="0064240C">
        <w:rPr>
          <w:rFonts w:ascii="Times New Roman" w:hAnsi="Times New Roman" w:cs="Times New Roman"/>
          <w:sz w:val="24"/>
          <w:szCs w:val="24"/>
        </w:rPr>
        <w:t xml:space="preserve"> the</w:t>
      </w:r>
      <w:r w:rsidRPr="33750E9F">
        <w:rPr>
          <w:rFonts w:ascii="Times New Roman" w:hAnsi="Times New Roman" w:cs="Times New Roman"/>
          <w:sz w:val="24"/>
          <w:szCs w:val="24"/>
        </w:rPr>
        <w:t>:</w:t>
      </w:r>
    </w:p>
    <w:p w14:paraId="19271BB0" w14:textId="03A23A09" w:rsidR="00785906" w:rsidRPr="00785906" w:rsidRDefault="00785906"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date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on which the weed species was detected; and</w:t>
      </w:r>
    </w:p>
    <w:p w14:paraId="7DFD6B72" w14:textId="000328D7" w:rsidR="0076059B" w:rsidRPr="00D352C2" w:rsidRDefault="00785906"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33750E9F">
        <w:rPr>
          <w:rFonts w:ascii="Times New Roman" w:hAnsi="Times New Roman" w:cs="Times New Roman"/>
          <w:sz w:val="24"/>
          <w:szCs w:val="24"/>
        </w:rPr>
        <w:t>name</w:t>
      </w:r>
      <w:r w:rsidR="00877F86" w:rsidRPr="33750E9F">
        <w:rPr>
          <w:rFonts w:ascii="Times New Roman" w:hAnsi="Times New Roman" w:cs="Times New Roman"/>
          <w:sz w:val="24"/>
          <w:szCs w:val="24"/>
        </w:rPr>
        <w:t xml:space="preserve"> </w:t>
      </w:r>
      <w:r w:rsidRPr="33750E9F">
        <w:rPr>
          <w:rFonts w:ascii="Times New Roman" w:hAnsi="Times New Roman" w:cs="Times New Roman"/>
          <w:sz w:val="24"/>
          <w:szCs w:val="24"/>
        </w:rPr>
        <w:t>of the weed species detected.</w:t>
      </w:r>
    </w:p>
    <w:p w14:paraId="7E0FF969" w14:textId="77777777" w:rsidR="0076059B" w:rsidRPr="00BC20AC" w:rsidRDefault="0076059B" w:rsidP="008103FF">
      <w:pPr>
        <w:spacing w:after="160" w:line="276" w:lineRule="auto"/>
        <w:rPr>
          <w:rFonts w:ascii="Times New Roman" w:hAnsi="Times New Roman" w:cs="Times New Roman"/>
          <w:b/>
          <w:sz w:val="24"/>
          <w:szCs w:val="24"/>
        </w:rPr>
      </w:pPr>
      <w:r w:rsidRPr="33750E9F">
        <w:rPr>
          <w:rFonts w:ascii="Times New Roman" w:hAnsi="Times New Roman" w:cs="Times New Roman"/>
          <w:b/>
          <w:bCs/>
          <w:sz w:val="24"/>
          <w:szCs w:val="24"/>
        </w:rPr>
        <w:t xml:space="preserve">Part 6—Partial reporting </w:t>
      </w:r>
    </w:p>
    <w:p w14:paraId="449C8B4C" w14:textId="3A2BE02B" w:rsidR="00D448E6" w:rsidRPr="00BC20AC" w:rsidRDefault="00866699"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 xml:space="preserve">Section </w:t>
      </w:r>
      <w:r w:rsidR="00592CED" w:rsidRPr="33750E9F">
        <w:rPr>
          <w:rFonts w:ascii="Times New Roman" w:hAnsi="Times New Roman" w:cs="Times New Roman"/>
          <w:sz w:val="24"/>
          <w:szCs w:val="24"/>
          <w:u w:val="single"/>
        </w:rPr>
        <w:t>4</w:t>
      </w:r>
      <w:r w:rsidR="00743042" w:rsidRPr="33750E9F">
        <w:rPr>
          <w:rFonts w:ascii="Times New Roman" w:hAnsi="Times New Roman" w:cs="Times New Roman"/>
          <w:sz w:val="24"/>
          <w:szCs w:val="24"/>
          <w:u w:val="single"/>
        </w:rPr>
        <w:t>3</w:t>
      </w:r>
      <w:r w:rsidR="00592CED" w:rsidRPr="33750E9F">
        <w:rPr>
          <w:rFonts w:ascii="Times New Roman" w:hAnsi="Times New Roman" w:cs="Times New Roman"/>
          <w:sz w:val="24"/>
          <w:szCs w:val="24"/>
          <w:u w:val="single"/>
        </w:rPr>
        <w:t xml:space="preserve"> </w:t>
      </w:r>
      <w:r w:rsidRPr="33750E9F">
        <w:rPr>
          <w:rFonts w:ascii="Times New Roman" w:hAnsi="Times New Roman" w:cs="Times New Roman"/>
          <w:sz w:val="24"/>
          <w:szCs w:val="24"/>
          <w:u w:val="single"/>
        </w:rPr>
        <w:t xml:space="preserve">– </w:t>
      </w:r>
      <w:r w:rsidR="00592CED" w:rsidRPr="33750E9F">
        <w:rPr>
          <w:rFonts w:ascii="Times New Roman" w:hAnsi="Times New Roman" w:cs="Times New Roman"/>
          <w:sz w:val="24"/>
          <w:szCs w:val="24"/>
          <w:u w:val="single"/>
        </w:rPr>
        <w:t xml:space="preserve">Partial </w:t>
      </w:r>
      <w:r w:rsidR="005B71A2" w:rsidRPr="33750E9F">
        <w:rPr>
          <w:rFonts w:ascii="Times New Roman" w:hAnsi="Times New Roman" w:cs="Times New Roman"/>
          <w:sz w:val="24"/>
          <w:szCs w:val="24"/>
          <w:u w:val="single"/>
        </w:rPr>
        <w:t>reporting</w:t>
      </w:r>
    </w:p>
    <w:p w14:paraId="10D1ED6E" w14:textId="4B9BD7C7" w:rsidR="00E74CDD" w:rsidRPr="00890C27" w:rsidRDefault="00E74CDD"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Section 43 provides that for </w:t>
      </w:r>
      <w:r w:rsidR="0070433F" w:rsidRPr="00890C27">
        <w:rPr>
          <w:rFonts w:ascii="Times New Roman" w:hAnsi="Times New Roman" w:cs="Times New Roman"/>
          <w:color w:val="000000" w:themeColor="text1"/>
          <w:sz w:val="24"/>
          <w:szCs w:val="24"/>
        </w:rPr>
        <w:t xml:space="preserve">the purposes of section 77A of the Act, an overall project may only be divided into parts that consist of one or more whole project </w:t>
      </w:r>
      <w:r w:rsidR="00017461" w:rsidRPr="00890C27">
        <w:rPr>
          <w:rFonts w:ascii="Times New Roman" w:hAnsi="Times New Roman" w:cs="Times New Roman"/>
          <w:color w:val="000000" w:themeColor="text1"/>
          <w:sz w:val="24"/>
          <w:szCs w:val="24"/>
        </w:rPr>
        <w:t>areas.</w:t>
      </w:r>
    </w:p>
    <w:p w14:paraId="699A0F64" w14:textId="4F75AFA8" w:rsidR="00802059" w:rsidRPr="00890C27" w:rsidRDefault="00802059" w:rsidP="008103FF">
      <w:pPr>
        <w:spacing w:after="160" w:line="276" w:lineRule="auto"/>
        <w:rPr>
          <w:rFonts w:ascii="Times New Roman" w:hAnsi="Times New Roman" w:cs="Times New Roman"/>
          <w:sz w:val="24"/>
          <w:szCs w:val="24"/>
        </w:rPr>
      </w:pPr>
      <w:r w:rsidRPr="00890C27">
        <w:rPr>
          <w:rFonts w:ascii="Times New Roman" w:hAnsi="Times New Roman" w:cs="Times New Roman"/>
          <w:color w:val="000000" w:themeColor="text1"/>
          <w:sz w:val="24"/>
          <w:szCs w:val="24"/>
        </w:rPr>
        <w:t>The effect of subsection 77</w:t>
      </w:r>
      <w:proofErr w:type="gramStart"/>
      <w:r w:rsidRPr="00890C27">
        <w:rPr>
          <w:rFonts w:ascii="Times New Roman" w:hAnsi="Times New Roman" w:cs="Times New Roman"/>
          <w:color w:val="000000" w:themeColor="text1"/>
          <w:sz w:val="24"/>
          <w:szCs w:val="24"/>
        </w:rPr>
        <w:t>A(</w:t>
      </w:r>
      <w:proofErr w:type="gramEnd"/>
      <w:r w:rsidRPr="00890C27">
        <w:rPr>
          <w:rFonts w:ascii="Times New Roman" w:hAnsi="Times New Roman" w:cs="Times New Roman"/>
          <w:color w:val="000000" w:themeColor="text1"/>
          <w:sz w:val="24"/>
          <w:szCs w:val="24"/>
        </w:rPr>
        <w:t xml:space="preserve">1) of the Act is that project proponents may divide a project into two or more parts and report on those parts as if they were </w:t>
      </w:r>
      <w:proofErr w:type="gramStart"/>
      <w:r w:rsidRPr="00890C27">
        <w:rPr>
          <w:rFonts w:ascii="Times New Roman" w:hAnsi="Times New Roman" w:cs="Times New Roman"/>
          <w:color w:val="000000" w:themeColor="text1"/>
          <w:sz w:val="24"/>
          <w:szCs w:val="24"/>
        </w:rPr>
        <w:t>projects in their own right</w:t>
      </w:r>
      <w:proofErr w:type="gramEnd"/>
      <w:r w:rsidRPr="00890C27">
        <w:rPr>
          <w:rFonts w:ascii="Times New Roman" w:hAnsi="Times New Roman" w:cs="Times New Roman"/>
          <w:color w:val="000000" w:themeColor="text1"/>
          <w:sz w:val="24"/>
          <w:szCs w:val="24"/>
        </w:rPr>
        <w:t xml:space="preserve">. Each of these parts can be reported on separately. For example, a proponent of a </w:t>
      </w:r>
      <w:r w:rsidRPr="00890C27">
        <w:rPr>
          <w:rFonts w:ascii="Times New Roman" w:hAnsi="Times New Roman" w:cs="Times New Roman"/>
          <w:sz w:val="24"/>
          <w:szCs w:val="24"/>
        </w:rPr>
        <w:t xml:space="preserve">project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 xml:space="preserve"> may choose to divide the project </w:t>
      </w:r>
      <w:r w:rsidR="00B379D8" w:rsidRPr="00890C27">
        <w:rPr>
          <w:rFonts w:ascii="Times New Roman" w:hAnsi="Times New Roman" w:cs="Times New Roman"/>
          <w:sz w:val="24"/>
          <w:szCs w:val="24"/>
        </w:rPr>
        <w:t>so it can combine multiple smaller projects or land areas into a single, larger project</w:t>
      </w:r>
      <w:r w:rsidRPr="00890C27">
        <w:rPr>
          <w:rFonts w:ascii="Times New Roman" w:hAnsi="Times New Roman" w:cs="Times New Roman"/>
          <w:sz w:val="24"/>
          <w:szCs w:val="24"/>
        </w:rPr>
        <w:t xml:space="preserve">, </w:t>
      </w:r>
      <w:r w:rsidR="00B379D8" w:rsidRPr="00890C27">
        <w:rPr>
          <w:rFonts w:ascii="Times New Roman" w:hAnsi="Times New Roman" w:cs="Times New Roman"/>
          <w:sz w:val="24"/>
          <w:szCs w:val="24"/>
        </w:rPr>
        <w:t xml:space="preserve">or for </w:t>
      </w:r>
      <w:r w:rsidRPr="00890C27">
        <w:rPr>
          <w:rFonts w:ascii="Times New Roman" w:hAnsi="Times New Roman" w:cs="Times New Roman"/>
          <w:sz w:val="24"/>
          <w:szCs w:val="24"/>
        </w:rPr>
        <w:t>partial reporting or other reasons.</w:t>
      </w:r>
    </w:p>
    <w:p w14:paraId="564D52D5" w14:textId="51060CC4" w:rsidR="00253870" w:rsidRDefault="00802059"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Subsection 77</w:t>
      </w:r>
      <w:proofErr w:type="gramStart"/>
      <w:r w:rsidRPr="00890C27">
        <w:rPr>
          <w:rFonts w:ascii="Times New Roman" w:hAnsi="Times New Roman" w:cs="Times New Roman"/>
          <w:color w:val="000000" w:themeColor="text1"/>
          <w:sz w:val="24"/>
          <w:szCs w:val="24"/>
        </w:rPr>
        <w:t>A(</w:t>
      </w:r>
      <w:proofErr w:type="gramEnd"/>
      <w:r w:rsidRPr="00890C27">
        <w:rPr>
          <w:rFonts w:ascii="Times New Roman" w:hAnsi="Times New Roman" w:cs="Times New Roman"/>
          <w:color w:val="000000" w:themeColor="text1"/>
          <w:sz w:val="24"/>
          <w:szCs w:val="24"/>
        </w:rPr>
        <w:t>2) of the Act provides that the division of the overall project must comply with such requirements (if any) as are set out in the applicable methodology determination for the overall project. The effect of section</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 xml:space="preserve">77A of the Act is that, if an overall project is divided in this manner, the project proponent </w:t>
      </w:r>
      <w:r w:rsidR="001E2931" w:rsidRPr="00890C27">
        <w:rPr>
          <w:rFonts w:ascii="Times New Roman" w:hAnsi="Times New Roman" w:cs="Times New Roman"/>
          <w:color w:val="000000" w:themeColor="text1"/>
          <w:sz w:val="24"/>
          <w:szCs w:val="24"/>
        </w:rPr>
        <w:t>must</w:t>
      </w:r>
      <w:r w:rsidRPr="00890C27">
        <w:rPr>
          <w:rFonts w:ascii="Times New Roman" w:hAnsi="Times New Roman" w:cs="Times New Roman"/>
          <w:color w:val="000000" w:themeColor="text1"/>
          <w:sz w:val="24"/>
          <w:szCs w:val="24"/>
        </w:rPr>
        <w:t xml:space="preserve"> </w:t>
      </w:r>
      <w:r w:rsidR="004644F2" w:rsidRPr="00890C27">
        <w:rPr>
          <w:rFonts w:ascii="Times New Roman" w:hAnsi="Times New Roman" w:cs="Times New Roman"/>
          <w:color w:val="000000" w:themeColor="text1"/>
          <w:sz w:val="24"/>
          <w:szCs w:val="24"/>
        </w:rPr>
        <w:t>provide</w:t>
      </w:r>
      <w:r w:rsidRPr="00890C27">
        <w:rPr>
          <w:rFonts w:ascii="Times New Roman" w:hAnsi="Times New Roman" w:cs="Times New Roman"/>
          <w:color w:val="000000" w:themeColor="text1"/>
          <w:sz w:val="24"/>
          <w:szCs w:val="24"/>
        </w:rPr>
        <w:t xml:space="preserve"> the Regulator</w:t>
      </w:r>
      <w:r w:rsidR="00B379D8" w:rsidRPr="00890C27">
        <w:rPr>
          <w:rFonts w:ascii="Times New Roman" w:hAnsi="Times New Roman" w:cs="Times New Roman"/>
          <w:color w:val="000000" w:themeColor="text1"/>
          <w:sz w:val="24"/>
          <w:szCs w:val="24"/>
        </w:rPr>
        <w:t xml:space="preserve"> an</w:t>
      </w:r>
      <w:r w:rsidRPr="00890C27">
        <w:rPr>
          <w:rFonts w:ascii="Times New Roman" w:hAnsi="Times New Roman" w:cs="Times New Roman"/>
          <w:color w:val="000000" w:themeColor="text1"/>
          <w:sz w:val="24"/>
          <w:szCs w:val="24"/>
        </w:rPr>
        <w:t xml:space="preserve"> </w:t>
      </w:r>
      <w:proofErr w:type="gramStart"/>
      <w:r w:rsidRPr="00890C27">
        <w:rPr>
          <w:rFonts w:ascii="Times New Roman" w:hAnsi="Times New Roman" w:cs="Times New Roman"/>
          <w:color w:val="000000" w:themeColor="text1"/>
          <w:sz w:val="24"/>
          <w:szCs w:val="24"/>
        </w:rPr>
        <w:t>offsets</w:t>
      </w:r>
      <w:proofErr w:type="gramEnd"/>
      <w:r w:rsidRPr="00890C27">
        <w:rPr>
          <w:rFonts w:ascii="Times New Roman" w:hAnsi="Times New Roman" w:cs="Times New Roman"/>
          <w:color w:val="000000" w:themeColor="text1"/>
          <w:sz w:val="24"/>
          <w:szCs w:val="24"/>
        </w:rPr>
        <w:t xml:space="preserve"> reports for the period for which the project is divided, as if each part into which the project has been divided were an eligible offsets </w:t>
      </w:r>
      <w:proofErr w:type="gramStart"/>
      <w:r w:rsidRPr="00890C27">
        <w:rPr>
          <w:rFonts w:ascii="Times New Roman" w:hAnsi="Times New Roman" w:cs="Times New Roman"/>
          <w:color w:val="000000" w:themeColor="text1"/>
          <w:sz w:val="24"/>
          <w:szCs w:val="24"/>
        </w:rPr>
        <w:t>project in its own right</w:t>
      </w:r>
      <w:proofErr w:type="gramEnd"/>
      <w:r w:rsidRPr="00890C27">
        <w:rPr>
          <w:rFonts w:ascii="Times New Roman" w:hAnsi="Times New Roman" w:cs="Times New Roman"/>
          <w:color w:val="000000" w:themeColor="text1"/>
          <w:sz w:val="24"/>
          <w:szCs w:val="24"/>
        </w:rPr>
        <w:t>. An offsets report is not required for the entire, undivided project. Section</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77A of the Act does not otherwise impact on when offsets reports are required</w:t>
      </w:r>
      <w:r w:rsidR="00866699" w:rsidRPr="00890C27">
        <w:rPr>
          <w:rFonts w:ascii="Times New Roman" w:hAnsi="Times New Roman" w:cs="Times New Roman"/>
          <w:color w:val="000000" w:themeColor="text1"/>
          <w:sz w:val="24"/>
          <w:szCs w:val="24"/>
        </w:rPr>
        <w:t>.</w:t>
      </w:r>
    </w:p>
    <w:p w14:paraId="41739BE0" w14:textId="5818B534" w:rsidR="0076059B" w:rsidRPr="00536821" w:rsidRDefault="00253870" w:rsidP="008103FF">
      <w:pPr>
        <w:spacing w:after="160" w:line="276" w:lineRule="auto"/>
        <w:rPr>
          <w:rFonts w:ascii="Times New Roman" w:hAnsi="Times New Roman" w:cs="Times New Roman"/>
          <w:b/>
          <w:bCs/>
          <w:sz w:val="24"/>
          <w:szCs w:val="24"/>
        </w:rPr>
      </w:pPr>
      <w:r>
        <w:rPr>
          <w:rFonts w:ascii="Times New Roman" w:hAnsi="Times New Roman" w:cs="Times New Roman"/>
          <w:color w:val="000000" w:themeColor="text1"/>
          <w:sz w:val="24"/>
          <w:szCs w:val="24"/>
        </w:rPr>
        <w:br w:type="page"/>
      </w:r>
      <w:r w:rsidR="00FC50E8" w:rsidRPr="00890C27">
        <w:rPr>
          <w:rFonts w:ascii="Times New Roman" w:hAnsi="Times New Roman" w:cs="Times New Roman"/>
          <w:b/>
          <w:bCs/>
          <w:sz w:val="24"/>
          <w:szCs w:val="24"/>
        </w:rPr>
        <w:lastRenderedPageBreak/>
        <w:t xml:space="preserve">Schedule 1—Emissions </w:t>
      </w:r>
      <w:r w:rsidR="00F55F37">
        <w:rPr>
          <w:rFonts w:ascii="Times New Roman" w:hAnsi="Times New Roman" w:cs="Times New Roman"/>
          <w:b/>
          <w:bCs/>
          <w:sz w:val="24"/>
          <w:szCs w:val="24"/>
        </w:rPr>
        <w:t>a</w:t>
      </w:r>
      <w:r w:rsidR="00F55F37" w:rsidRPr="00890C27">
        <w:rPr>
          <w:rFonts w:ascii="Times New Roman" w:hAnsi="Times New Roman" w:cs="Times New Roman"/>
          <w:b/>
          <w:bCs/>
          <w:sz w:val="24"/>
          <w:szCs w:val="24"/>
        </w:rPr>
        <w:t>voidance</w:t>
      </w:r>
      <w:r w:rsidR="00FC50E8" w:rsidRPr="00890C27">
        <w:rPr>
          <w:rFonts w:ascii="Times New Roman" w:hAnsi="Times New Roman" w:cs="Times New Roman"/>
          <w:b/>
          <w:bCs/>
          <w:sz w:val="24"/>
          <w:szCs w:val="24"/>
        </w:rPr>
        <w:t>—</w:t>
      </w:r>
      <w:r w:rsidR="00F55F37" w:rsidRPr="00890C27">
        <w:rPr>
          <w:rFonts w:ascii="Times New Roman" w:hAnsi="Times New Roman" w:cs="Times New Roman"/>
          <w:b/>
          <w:bCs/>
          <w:sz w:val="24"/>
          <w:szCs w:val="24"/>
        </w:rPr>
        <w:t xml:space="preserve">calculation </w:t>
      </w:r>
      <w:r w:rsidR="00F55F37">
        <w:rPr>
          <w:rFonts w:ascii="Times New Roman" w:hAnsi="Times New Roman" w:cs="Times New Roman"/>
          <w:b/>
          <w:bCs/>
          <w:sz w:val="24"/>
          <w:szCs w:val="24"/>
        </w:rPr>
        <w:t>o</w:t>
      </w:r>
      <w:r w:rsidR="00F55F37" w:rsidRPr="00890C27">
        <w:rPr>
          <w:rFonts w:ascii="Times New Roman" w:hAnsi="Times New Roman" w:cs="Times New Roman"/>
          <w:b/>
          <w:bCs/>
          <w:sz w:val="24"/>
          <w:szCs w:val="24"/>
        </w:rPr>
        <w:t xml:space="preserve">f adjusted contribution </w:t>
      </w:r>
      <w:r w:rsidR="00F55F37">
        <w:rPr>
          <w:rFonts w:ascii="Times New Roman" w:hAnsi="Times New Roman" w:cs="Times New Roman"/>
          <w:b/>
          <w:bCs/>
          <w:sz w:val="24"/>
          <w:szCs w:val="24"/>
        </w:rPr>
        <w:t>t</w:t>
      </w:r>
      <w:r w:rsidR="00F55F37" w:rsidRPr="00890C27">
        <w:rPr>
          <w:rFonts w:ascii="Times New Roman" w:hAnsi="Times New Roman" w:cs="Times New Roman"/>
          <w:b/>
          <w:bCs/>
          <w:sz w:val="24"/>
          <w:szCs w:val="24"/>
        </w:rPr>
        <w:t xml:space="preserve">o net abatement amount </w:t>
      </w:r>
      <w:r w:rsidR="00F55F37">
        <w:rPr>
          <w:rFonts w:ascii="Times New Roman" w:hAnsi="Times New Roman" w:cs="Times New Roman"/>
          <w:b/>
          <w:bCs/>
          <w:sz w:val="24"/>
          <w:szCs w:val="24"/>
        </w:rPr>
        <w:t>f</w:t>
      </w:r>
      <w:r w:rsidR="00F55F37" w:rsidRPr="00890C27">
        <w:rPr>
          <w:rFonts w:ascii="Times New Roman" w:hAnsi="Times New Roman" w:cs="Times New Roman"/>
          <w:b/>
          <w:bCs/>
          <w:sz w:val="24"/>
          <w:szCs w:val="24"/>
        </w:rPr>
        <w:t xml:space="preserve">or </w:t>
      </w:r>
      <w:r w:rsidR="00F55F37">
        <w:rPr>
          <w:rFonts w:ascii="Times New Roman" w:hAnsi="Times New Roman" w:cs="Times New Roman"/>
          <w:b/>
          <w:bCs/>
          <w:sz w:val="24"/>
          <w:szCs w:val="24"/>
        </w:rPr>
        <w:t>a</w:t>
      </w:r>
      <w:r w:rsidR="00F55F37" w:rsidRPr="00890C27">
        <w:rPr>
          <w:rFonts w:ascii="Times New Roman" w:hAnsi="Times New Roman" w:cs="Times New Roman"/>
          <w:b/>
          <w:bCs/>
          <w:sz w:val="24"/>
          <w:szCs w:val="24"/>
        </w:rPr>
        <w:t xml:space="preserve"> calendar ye</w:t>
      </w:r>
      <w:r w:rsidR="00FC50E8" w:rsidRPr="00890C27">
        <w:rPr>
          <w:rFonts w:ascii="Times New Roman" w:hAnsi="Times New Roman" w:cs="Times New Roman"/>
          <w:b/>
          <w:bCs/>
          <w:sz w:val="24"/>
          <w:szCs w:val="24"/>
        </w:rPr>
        <w:t xml:space="preserve">ar </w:t>
      </w:r>
    </w:p>
    <w:p w14:paraId="434F2766" w14:textId="77777777" w:rsidR="0076059B" w:rsidRPr="00BC20AC" w:rsidRDefault="0076059B" w:rsidP="008103FF">
      <w:pPr>
        <w:spacing w:after="160" w:line="276" w:lineRule="auto"/>
        <w:rPr>
          <w:rFonts w:ascii="Times New Roman" w:hAnsi="Times New Roman" w:cs="Times New Roman"/>
          <w:b/>
          <w:sz w:val="24"/>
          <w:szCs w:val="24"/>
        </w:rPr>
      </w:pPr>
      <w:r w:rsidRPr="00BC20AC">
        <w:rPr>
          <w:rFonts w:ascii="Times New Roman" w:hAnsi="Times New Roman" w:cs="Times New Roman"/>
          <w:b/>
          <w:sz w:val="24"/>
          <w:szCs w:val="24"/>
        </w:rPr>
        <w:t xml:space="preserve">Division 1—Preliminary </w:t>
      </w:r>
    </w:p>
    <w:p w14:paraId="046F6FD7" w14:textId="5E95F244" w:rsidR="0076059B" w:rsidRPr="00BC20AC"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1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Simplified outline of this Schedule </w:t>
      </w:r>
    </w:p>
    <w:p w14:paraId="0B50C82E" w14:textId="1C3123C1" w:rsidR="00E965F2" w:rsidRPr="00890C27" w:rsidRDefault="009258CF"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 1</w:t>
      </w:r>
      <w:r w:rsidR="00E965F2" w:rsidRPr="00890C27">
        <w:rPr>
          <w:rFonts w:ascii="Times New Roman" w:hAnsi="Times New Roman" w:cs="Times New Roman"/>
          <w:sz w:val="24"/>
          <w:szCs w:val="24"/>
        </w:rPr>
        <w:t xml:space="preserve"> provides a simplified outline of Schedule</w:t>
      </w:r>
      <w:r>
        <w:rPr>
          <w:rFonts w:ascii="Times New Roman" w:hAnsi="Times New Roman" w:cs="Times New Roman"/>
          <w:sz w:val="24"/>
          <w:szCs w:val="24"/>
        </w:rPr>
        <w:t xml:space="preserve"> 1</w:t>
      </w:r>
      <w:r w:rsidR="00E965F2" w:rsidRPr="00890C27">
        <w:rPr>
          <w:rFonts w:ascii="Times New Roman" w:hAnsi="Times New Roman" w:cs="Times New Roman"/>
          <w:sz w:val="24"/>
          <w:szCs w:val="24"/>
        </w:rPr>
        <w:t>. While simplified outlines are included to assist readers to understand the substantive provisions, the outlines are not intended to be comprehensive. It is intended that readers should rely on the substantive provisions.</w:t>
      </w:r>
    </w:p>
    <w:p w14:paraId="3C264015" w14:textId="34BAC1B0" w:rsidR="00E05EB9" w:rsidRPr="00890C27" w:rsidRDefault="00E05EB9"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To calculate the net abatement amount for a project area, the first step is to determine the emissions avoided during the calendar year (</w:t>
      </w:r>
      <w:r w:rsidRPr="00890C27">
        <w:rPr>
          <w:rFonts w:ascii="Times New Roman" w:hAnsi="Times New Roman" w:cs="Times New Roman"/>
          <w:i/>
          <w:color w:val="000000" w:themeColor="text1"/>
          <w:sz w:val="24"/>
          <w:szCs w:val="24"/>
        </w:rPr>
        <w:t>A</w:t>
      </w:r>
      <w:r w:rsidRPr="00890C27">
        <w:rPr>
          <w:rFonts w:ascii="Times New Roman" w:hAnsi="Times New Roman" w:cs="Times New Roman"/>
          <w:i/>
          <w:color w:val="000000" w:themeColor="text1"/>
          <w:sz w:val="24"/>
          <w:szCs w:val="24"/>
          <w:vertAlign w:val="subscript"/>
        </w:rPr>
        <w:t>EA</w:t>
      </w:r>
      <w:r w:rsidRPr="00890C27">
        <w:rPr>
          <w:rFonts w:ascii="Times New Roman" w:hAnsi="Times New Roman" w:cs="Times New Roman"/>
          <w:sz w:val="24"/>
          <w:szCs w:val="24"/>
        </w:rPr>
        <w:t>). This is done by subtracting the actual emissions from savanna burning in that year from the mean annual emissions over the baseline period.</w:t>
      </w:r>
    </w:p>
    <w:p w14:paraId="22753EF2" w14:textId="360A2412" w:rsidR="00E05EB9" w:rsidRPr="00890C27" w:rsidRDefault="00E05EB9"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Next, the adjusted contribution to net abatement (</w:t>
      </w:r>
      <w:proofErr w:type="spellStart"/>
      <w:proofErr w:type="gramStart"/>
      <w:r w:rsidRPr="165183F2">
        <w:rPr>
          <w:rFonts w:ascii="Times New Roman" w:hAnsi="Times New Roman" w:cs="Times New Roman"/>
          <w:i/>
          <w:iCs/>
          <w:color w:val="000000" w:themeColor="text1"/>
          <w:sz w:val="24"/>
          <w:szCs w:val="24"/>
        </w:rPr>
        <w:t>A</w:t>
      </w:r>
      <w:r w:rsidRPr="165183F2">
        <w:rPr>
          <w:rFonts w:ascii="Times New Roman" w:hAnsi="Times New Roman" w:cs="Times New Roman"/>
          <w:i/>
          <w:iCs/>
          <w:color w:val="000000" w:themeColor="text1"/>
          <w:sz w:val="24"/>
          <w:szCs w:val="24"/>
          <w:vertAlign w:val="subscript"/>
        </w:rPr>
        <w:t>EA,adj</w:t>
      </w:r>
      <w:proofErr w:type="spellEnd"/>
      <w:proofErr w:type="gramEnd"/>
      <w:r w:rsidRPr="165183F2">
        <w:rPr>
          <w:rFonts w:ascii="Times New Roman" w:hAnsi="Times New Roman" w:cs="Times New Roman"/>
          <w:sz w:val="24"/>
          <w:szCs w:val="24"/>
        </w:rPr>
        <w:t xml:space="preserve">) is calculated by allocating part of </w:t>
      </w:r>
      <w:r w:rsidR="00AB7BC6" w:rsidRPr="165183F2">
        <w:rPr>
          <w:rFonts w:ascii="Times New Roman" w:hAnsi="Times New Roman" w:cs="Times New Roman"/>
          <w:i/>
          <w:iCs/>
          <w:color w:val="000000" w:themeColor="text1"/>
          <w:sz w:val="24"/>
          <w:szCs w:val="24"/>
        </w:rPr>
        <w:t>A</w:t>
      </w:r>
      <w:r w:rsidR="00AB7BC6" w:rsidRPr="165183F2">
        <w:rPr>
          <w:rFonts w:ascii="Times New Roman" w:hAnsi="Times New Roman" w:cs="Times New Roman"/>
          <w:i/>
          <w:iCs/>
          <w:color w:val="000000" w:themeColor="text1"/>
          <w:sz w:val="24"/>
          <w:szCs w:val="24"/>
          <w:vertAlign w:val="subscript"/>
        </w:rPr>
        <w:t>EA</w:t>
      </w:r>
      <w:r w:rsidRPr="165183F2">
        <w:rPr>
          <w:rFonts w:ascii="Times New Roman" w:hAnsi="Times New Roman" w:cs="Times New Roman"/>
          <w:sz w:val="24"/>
          <w:szCs w:val="24"/>
        </w:rPr>
        <w:t xml:space="preserve"> to an uncertainty buffer. This buffer accounts for the risk that emissions in some years may exceed the baseline average. The buffer generally starts at zero—unless the area is a transferring project area—and is capped at 5 per cent of the mean annual baseline emissions (</w:t>
      </w:r>
      <w:proofErr w:type="spellStart"/>
      <w:proofErr w:type="gramStart"/>
      <w:r w:rsidRPr="165183F2">
        <w:rPr>
          <w:rFonts w:ascii="Times New Roman" w:hAnsi="Times New Roman" w:cs="Times New Roman"/>
          <w:i/>
          <w:iCs/>
          <w:sz w:val="24"/>
          <w:szCs w:val="24"/>
        </w:rPr>
        <w:t>B</w:t>
      </w:r>
      <w:r w:rsidRPr="165183F2">
        <w:rPr>
          <w:rFonts w:ascii="Times New Roman" w:hAnsi="Times New Roman" w:cs="Times New Roman"/>
          <w:i/>
          <w:iCs/>
          <w:sz w:val="24"/>
          <w:szCs w:val="24"/>
          <w:vertAlign w:val="subscript"/>
        </w:rPr>
        <w:t>U,Cap</w:t>
      </w:r>
      <w:proofErr w:type="spellEnd"/>
      <w:proofErr w:type="gramEnd"/>
      <w:r w:rsidRPr="165183F2">
        <w:rPr>
          <w:rFonts w:ascii="Times New Roman" w:hAnsi="Times New Roman" w:cs="Times New Roman"/>
          <w:sz w:val="24"/>
          <w:szCs w:val="24"/>
        </w:rPr>
        <w:t xml:space="preserve">). When </w:t>
      </w:r>
      <w:r w:rsidR="003F19FE" w:rsidRPr="165183F2">
        <w:rPr>
          <w:rFonts w:ascii="Times New Roman" w:hAnsi="Times New Roman" w:cs="Times New Roman"/>
          <w:i/>
          <w:iCs/>
          <w:color w:val="000000" w:themeColor="text1"/>
          <w:sz w:val="24"/>
          <w:szCs w:val="24"/>
        </w:rPr>
        <w:t>A</w:t>
      </w:r>
      <w:r w:rsidR="003F19FE" w:rsidRPr="165183F2">
        <w:rPr>
          <w:rFonts w:ascii="Times New Roman" w:hAnsi="Times New Roman" w:cs="Times New Roman"/>
          <w:i/>
          <w:iCs/>
          <w:color w:val="000000" w:themeColor="text1"/>
          <w:sz w:val="24"/>
          <w:szCs w:val="24"/>
          <w:vertAlign w:val="subscript"/>
        </w:rPr>
        <w:t>EA</w:t>
      </w:r>
      <w:r w:rsidRPr="165183F2">
        <w:rPr>
          <w:rFonts w:ascii="Times New Roman" w:hAnsi="Times New Roman" w:cs="Times New Roman"/>
          <w:sz w:val="24"/>
          <w:szCs w:val="24"/>
        </w:rPr>
        <w:t xml:space="preserve"> is negative, the buffer is reduced; when </w:t>
      </w:r>
      <w:r w:rsidRPr="165183F2">
        <w:rPr>
          <w:rFonts w:ascii="Times New Roman" w:hAnsi="Times New Roman" w:cs="Times New Roman"/>
          <w:i/>
          <w:iCs/>
          <w:sz w:val="24"/>
          <w:szCs w:val="24"/>
        </w:rPr>
        <w:t>A</w:t>
      </w:r>
      <w:r w:rsidRPr="165183F2">
        <w:rPr>
          <w:rFonts w:ascii="Times New Roman" w:hAnsi="Times New Roman" w:cs="Times New Roman"/>
          <w:i/>
          <w:iCs/>
          <w:sz w:val="24"/>
          <w:szCs w:val="24"/>
          <w:vertAlign w:val="subscript"/>
        </w:rPr>
        <w:t>EA</w:t>
      </w:r>
      <w:r w:rsidRPr="165183F2">
        <w:rPr>
          <w:rFonts w:ascii="Times New Roman" w:hAnsi="Times New Roman" w:cs="Times New Roman"/>
          <w:sz w:val="24"/>
          <w:szCs w:val="24"/>
        </w:rPr>
        <w:t xml:space="preserve"> is positive, the buffer is increased, up to the cap.</w:t>
      </w:r>
      <w:r w:rsidR="002A4AE5" w:rsidRPr="165183F2">
        <w:rPr>
          <w:rFonts w:ascii="Times New Roman" w:hAnsi="Times New Roman" w:cs="Times New Roman"/>
          <w:sz w:val="24"/>
          <w:szCs w:val="24"/>
        </w:rPr>
        <w:t xml:space="preserve"> Projects which continuously perform well </w:t>
      </w:r>
      <w:r w:rsidR="00F14821" w:rsidRPr="165183F2">
        <w:rPr>
          <w:rFonts w:ascii="Times New Roman" w:hAnsi="Times New Roman" w:cs="Times New Roman"/>
          <w:sz w:val="24"/>
          <w:szCs w:val="24"/>
        </w:rPr>
        <w:t xml:space="preserve">would </w:t>
      </w:r>
      <w:r w:rsidR="002A4AE5" w:rsidRPr="165183F2">
        <w:rPr>
          <w:rFonts w:ascii="Times New Roman" w:hAnsi="Times New Roman" w:cs="Times New Roman"/>
          <w:sz w:val="24"/>
          <w:szCs w:val="24"/>
        </w:rPr>
        <w:t>meet the threshold for the uncertainty buffer cap within the first few project years</w:t>
      </w:r>
      <w:r w:rsidR="001A50E6" w:rsidRPr="165183F2">
        <w:rPr>
          <w:rFonts w:ascii="Times New Roman" w:hAnsi="Times New Roman" w:cs="Times New Roman"/>
          <w:sz w:val="24"/>
          <w:szCs w:val="24"/>
        </w:rPr>
        <w:t xml:space="preserve"> and not need to </w:t>
      </w:r>
      <w:r w:rsidR="0011545F" w:rsidRPr="165183F2">
        <w:rPr>
          <w:rFonts w:ascii="Times New Roman" w:hAnsi="Times New Roman" w:cs="Times New Roman"/>
          <w:sz w:val="24"/>
          <w:szCs w:val="24"/>
        </w:rPr>
        <w:t>continue to contribute to the buffer</w:t>
      </w:r>
      <w:r w:rsidR="002A4AE5" w:rsidRPr="165183F2">
        <w:rPr>
          <w:rFonts w:ascii="Times New Roman" w:hAnsi="Times New Roman" w:cs="Times New Roman"/>
          <w:sz w:val="24"/>
          <w:szCs w:val="24"/>
        </w:rPr>
        <w:t>.</w:t>
      </w:r>
      <w:r w:rsidR="00E303E9" w:rsidRPr="165183F2">
        <w:rPr>
          <w:rFonts w:ascii="Times New Roman" w:hAnsi="Times New Roman" w:cs="Times New Roman"/>
          <w:sz w:val="24"/>
          <w:szCs w:val="24"/>
        </w:rPr>
        <w:t xml:space="preserve"> In total, the uncertainty buffer for most projects will be 5% by the end of the project’s crediting period, therefore acting as an overall discount to ensure the method is conservative. </w:t>
      </w:r>
    </w:p>
    <w:p w14:paraId="6FAC7651" w14:textId="77777777" w:rsidR="00F8702D" w:rsidRPr="00890C27" w:rsidRDefault="00E05EB9"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cap and other values linked to the baseline period are recalculated annually and may change due to updates to referenced documents, revisions to the vegetation fuel type map, or changes to project area boundaries.</w:t>
      </w:r>
    </w:p>
    <w:p w14:paraId="4BD0946F" w14:textId="77777777" w:rsidR="00F8702D" w:rsidRPr="00253870" w:rsidRDefault="00E965F2"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A951AF">
        <w:rPr>
          <w:rFonts w:ascii="Times New Roman" w:hAnsi="Times New Roman" w:cs="Times New Roman"/>
          <w:sz w:val="24"/>
          <w:szCs w:val="24"/>
        </w:rPr>
        <w:t>Figure</w:t>
      </w:r>
      <w:r w:rsidRPr="00253870">
        <w:rPr>
          <w:rFonts w:ascii="Times New Roman" w:hAnsi="Times New Roman" w:cs="Times New Roman"/>
          <w:color w:val="000000" w:themeColor="text1"/>
          <w:sz w:val="24"/>
          <w:szCs w:val="24"/>
        </w:rPr>
        <w:t xml:space="preserve"> 2 provides a flow chart of the calculations for calculating the adjusted contribution to net abatement amount. </w:t>
      </w:r>
      <w:proofErr w:type="spellStart"/>
      <w:r w:rsidR="00B962F0" w:rsidRPr="00253870">
        <w:rPr>
          <w:rFonts w:ascii="Times New Roman" w:hAnsi="Times New Roman" w:cs="Times New Roman"/>
          <w:color w:val="000000" w:themeColor="text1"/>
          <w:sz w:val="24"/>
          <w:szCs w:val="24"/>
        </w:rPr>
        <w:t>SavCAM</w:t>
      </w:r>
      <w:proofErr w:type="spellEnd"/>
      <w:r w:rsidR="00F8702D" w:rsidRPr="00253870">
        <w:rPr>
          <w:rFonts w:ascii="Times New Roman" w:hAnsi="Times New Roman" w:cs="Times New Roman"/>
          <w:color w:val="000000" w:themeColor="text1"/>
          <w:sz w:val="24"/>
          <w:szCs w:val="24"/>
        </w:rPr>
        <w:t xml:space="preserve"> processes these steps automatically. </w:t>
      </w:r>
    </w:p>
    <w:p w14:paraId="2529903B" w14:textId="7D128DA3" w:rsidR="00C13466" w:rsidRPr="00253870" w:rsidRDefault="008D1DF3" w:rsidP="008103FF">
      <w:pPr>
        <w:keepNext/>
        <w:spacing w:after="160" w:line="276" w:lineRule="auto"/>
        <w:rPr>
          <w:rFonts w:ascii="Times New Roman" w:hAnsi="Times New Roman" w:cs="Times New Roman"/>
          <w:sz w:val="24"/>
          <w:szCs w:val="24"/>
        </w:rPr>
      </w:pPr>
      <w:r w:rsidRPr="165183F2">
        <w:rPr>
          <w:rFonts w:ascii="Times New Roman" w:hAnsi="Times New Roman" w:cs="Times New Roman"/>
          <w:b/>
          <w:bCs/>
          <w:color w:val="000000" w:themeColor="text1"/>
          <w:sz w:val="24"/>
          <w:szCs w:val="24"/>
        </w:rPr>
        <w:lastRenderedPageBreak/>
        <w:t xml:space="preserve">Figure 2 </w:t>
      </w:r>
      <w:r w:rsidR="008A478F" w:rsidRPr="165183F2">
        <w:rPr>
          <w:rFonts w:ascii="Times New Roman" w:hAnsi="Times New Roman" w:cs="Times New Roman"/>
          <w:b/>
          <w:bCs/>
          <w:color w:val="000000" w:themeColor="text1"/>
          <w:sz w:val="24"/>
          <w:szCs w:val="24"/>
        </w:rPr>
        <w:t xml:space="preserve">Net abatement amount </w:t>
      </w:r>
      <w:r w:rsidR="00C47576" w:rsidRPr="165183F2">
        <w:rPr>
          <w:rFonts w:ascii="Times New Roman" w:hAnsi="Times New Roman" w:cs="Times New Roman"/>
          <w:b/>
          <w:bCs/>
          <w:color w:val="000000" w:themeColor="text1"/>
          <w:sz w:val="24"/>
          <w:szCs w:val="24"/>
        </w:rPr>
        <w:t>calculations</w:t>
      </w:r>
      <w:r w:rsidRPr="165183F2">
        <w:rPr>
          <w:rFonts w:ascii="Times New Roman" w:hAnsi="Times New Roman" w:cs="Times New Roman"/>
          <w:b/>
          <w:bCs/>
          <w:color w:val="000000" w:themeColor="text1"/>
          <w:sz w:val="24"/>
          <w:szCs w:val="24"/>
        </w:rPr>
        <w:t xml:space="preserve"> </w:t>
      </w:r>
      <w:r w:rsidR="00611D71" w:rsidRPr="165183F2">
        <w:rPr>
          <w:rFonts w:ascii="Times New Roman" w:hAnsi="Times New Roman" w:cs="Times New Roman"/>
          <w:b/>
          <w:bCs/>
          <w:color w:val="000000" w:themeColor="text1"/>
          <w:sz w:val="24"/>
          <w:szCs w:val="24"/>
        </w:rPr>
        <w:t>flow chart</w:t>
      </w:r>
    </w:p>
    <w:p w14:paraId="36D046F9" w14:textId="79A52D0F" w:rsidR="0076059B" w:rsidRPr="00D5741D" w:rsidRDefault="00CB3256" w:rsidP="008103FF">
      <w:pPr>
        <w:spacing w:after="160" w:line="276" w:lineRule="auto"/>
        <w:rPr>
          <w:rFonts w:ascii="Times New Roman" w:hAnsi="Times New Roman" w:cs="Times New Roman"/>
          <w:sz w:val="24"/>
          <w:szCs w:val="24"/>
          <w:u w:val="single"/>
        </w:rPr>
      </w:pPr>
      <w:r w:rsidRPr="00890C27">
        <w:rPr>
          <w:rFonts w:ascii="Times New Roman" w:hAnsi="Times New Roman" w:cs="Times New Roman"/>
          <w:noProof/>
          <w:color w:val="000000" w:themeColor="text1"/>
          <w:sz w:val="24"/>
          <w:szCs w:val="24"/>
        </w:rPr>
        <w:drawing>
          <wp:inline distT="0" distB="0" distL="0" distR="0" wp14:anchorId="472425C9" wp14:editId="6354AEB9">
            <wp:extent cx="5760085" cy="6206591"/>
            <wp:effectExtent l="0" t="0" r="0" b="3810"/>
            <wp:docPr id="662432637"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rotWithShape="1">
                    <a:blip r:embed="rId11">
                      <a:extLst>
                        <a:ext uri="{28A0092B-C50C-407E-A947-70E740481C1C}">
                          <a14:useLocalDpi xmlns:a14="http://schemas.microsoft.com/office/drawing/2010/main" val="0"/>
                        </a:ext>
                      </a:extLst>
                    </a:blip>
                    <a:srcRect b="4240"/>
                    <a:stretch/>
                  </pic:blipFill>
                  <pic:spPr bwMode="auto">
                    <a:xfrm>
                      <a:off x="0" y="0"/>
                      <a:ext cx="5760085" cy="6206591"/>
                    </a:xfrm>
                    <a:prstGeom prst="rect">
                      <a:avLst/>
                    </a:prstGeom>
                    <a:noFill/>
                    <a:ln>
                      <a:noFill/>
                    </a:ln>
                    <a:extLst>
                      <a:ext uri="{53640926-AAD7-44D8-BBD7-CCE9431645EC}">
                        <a14:shadowObscured xmlns:a14="http://schemas.microsoft.com/office/drawing/2010/main"/>
                      </a:ext>
                    </a:extLst>
                  </pic:spPr>
                </pic:pic>
              </a:graphicData>
            </a:graphic>
          </wp:inline>
        </w:drawing>
      </w:r>
      <w:r w:rsidRPr="00890C27">
        <w:rPr>
          <w:rFonts w:ascii="Times New Roman" w:hAnsi="Times New Roman" w:cs="Times New Roman"/>
          <w:color w:val="000000" w:themeColor="text1"/>
          <w:sz w:val="24"/>
          <w:szCs w:val="24"/>
        </w:rPr>
        <w:br/>
      </w:r>
      <w:r w:rsidR="0076059B" w:rsidRPr="00A951AF">
        <w:rPr>
          <w:rFonts w:ascii="Times New Roman" w:hAnsi="Times New Roman" w:cs="Times New Roman"/>
          <w:b/>
          <w:sz w:val="24"/>
          <w:szCs w:val="24"/>
        </w:rPr>
        <w:t>Division 2— Calculations</w:t>
      </w:r>
      <w:r w:rsidR="0076059B" w:rsidRPr="00D5741D">
        <w:rPr>
          <w:rFonts w:ascii="Times New Roman" w:hAnsi="Times New Roman" w:cs="Times New Roman"/>
          <w:sz w:val="24"/>
          <w:szCs w:val="24"/>
          <w:u w:val="single"/>
        </w:rPr>
        <w:t xml:space="preserve"> </w:t>
      </w:r>
    </w:p>
    <w:p w14:paraId="6F3F8C4E" w14:textId="48137829" w:rsidR="0076059B" w:rsidRPr="00A951AF"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2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Calculation of adjusted contribution to net abatement amount from emissions avoidance for a calendar year, </w:t>
      </w:r>
      <w:proofErr w:type="spellStart"/>
      <w:proofErr w:type="gramStart"/>
      <w:r w:rsidR="0076059B" w:rsidRPr="33750E9F">
        <w:rPr>
          <w:rFonts w:ascii="Times New Roman" w:hAnsi="Times New Roman" w:cs="Times New Roman"/>
          <w:sz w:val="24"/>
          <w:szCs w:val="24"/>
          <w:u w:val="single"/>
        </w:rPr>
        <w:t>A</w:t>
      </w:r>
      <w:r w:rsidR="0076059B" w:rsidRPr="33750E9F">
        <w:rPr>
          <w:rFonts w:ascii="Times New Roman" w:hAnsi="Times New Roman" w:cs="Times New Roman"/>
          <w:sz w:val="24"/>
          <w:szCs w:val="24"/>
          <w:u w:val="single"/>
          <w:vertAlign w:val="subscript"/>
        </w:rPr>
        <w:t>EA,adj</w:t>
      </w:r>
      <w:proofErr w:type="spellEnd"/>
      <w:proofErr w:type="gramEnd"/>
      <w:r w:rsidR="0076059B" w:rsidRPr="33750E9F">
        <w:rPr>
          <w:rFonts w:ascii="Times New Roman" w:hAnsi="Times New Roman" w:cs="Times New Roman"/>
          <w:sz w:val="24"/>
          <w:szCs w:val="24"/>
          <w:u w:val="single"/>
          <w:vertAlign w:val="subscript"/>
        </w:rPr>
        <w:t xml:space="preserve"> </w:t>
      </w:r>
    </w:p>
    <w:p w14:paraId="6C019B9C" w14:textId="0B3BC8E6" w:rsidR="00E27C5F" w:rsidRPr="00890C27" w:rsidRDefault="00854990"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Paragraph </w:t>
      </w:r>
      <w:r w:rsidR="00E27C5F" w:rsidRPr="00890C27">
        <w:rPr>
          <w:rFonts w:ascii="Times New Roman" w:hAnsi="Times New Roman" w:cs="Times New Roman"/>
          <w:color w:val="000000" w:themeColor="text1"/>
          <w:sz w:val="24"/>
          <w:szCs w:val="24"/>
        </w:rPr>
        <w:t>34(1)</w:t>
      </w:r>
      <w:r w:rsidRPr="00890C27">
        <w:rPr>
          <w:rFonts w:ascii="Times New Roman" w:hAnsi="Times New Roman" w:cs="Times New Roman"/>
          <w:color w:val="000000" w:themeColor="text1"/>
          <w:sz w:val="24"/>
          <w:szCs w:val="24"/>
        </w:rPr>
        <w:t>(b)</w:t>
      </w:r>
      <w:r w:rsidR="00E27C5F" w:rsidRPr="00890C27">
        <w:rPr>
          <w:rFonts w:ascii="Times New Roman" w:hAnsi="Times New Roman" w:cs="Times New Roman"/>
          <w:color w:val="000000" w:themeColor="text1"/>
          <w:sz w:val="24"/>
          <w:szCs w:val="24"/>
        </w:rPr>
        <w:t xml:space="preserve"> provides that </w:t>
      </w:r>
      <w:r w:rsidR="004B48F5" w:rsidRPr="00890C27">
        <w:rPr>
          <w:rFonts w:ascii="Times New Roman" w:hAnsi="Times New Roman" w:cs="Times New Roman"/>
          <w:color w:val="000000" w:themeColor="text1"/>
          <w:sz w:val="24"/>
          <w:szCs w:val="24"/>
        </w:rPr>
        <w:t>the adjusted contribution to the net abatement amount fr</w:t>
      </w:r>
      <w:r w:rsidR="00617D77" w:rsidRPr="00890C27">
        <w:rPr>
          <w:rFonts w:ascii="Times New Roman" w:hAnsi="Times New Roman" w:cs="Times New Roman"/>
          <w:color w:val="000000" w:themeColor="text1"/>
          <w:sz w:val="24"/>
          <w:szCs w:val="24"/>
        </w:rPr>
        <w:t>o</w:t>
      </w:r>
      <w:r w:rsidR="004B48F5" w:rsidRPr="00890C27">
        <w:rPr>
          <w:rFonts w:ascii="Times New Roman" w:hAnsi="Times New Roman" w:cs="Times New Roman"/>
          <w:color w:val="000000" w:themeColor="text1"/>
          <w:sz w:val="24"/>
          <w:szCs w:val="24"/>
        </w:rPr>
        <w:t xml:space="preserve">m emissions avoidance for each calendar year </w:t>
      </w:r>
      <w:r w:rsidR="004B48F5" w:rsidRPr="00A951AF">
        <w:rPr>
          <w:rFonts w:ascii="Times New Roman" w:hAnsi="Times New Roman" w:cs="Times New Roman"/>
          <w:i/>
          <w:color w:val="000000" w:themeColor="text1"/>
          <w:sz w:val="24"/>
          <w:szCs w:val="24"/>
        </w:rPr>
        <w:t>y</w:t>
      </w:r>
      <w:r w:rsidR="004B48F5" w:rsidRPr="00890C27">
        <w:rPr>
          <w:rFonts w:ascii="Times New Roman" w:hAnsi="Times New Roman" w:cs="Times New Roman"/>
          <w:color w:val="000000" w:themeColor="text1"/>
          <w:sz w:val="24"/>
          <w:szCs w:val="24"/>
        </w:rPr>
        <w:t xml:space="preserve">, is determined </w:t>
      </w:r>
      <w:r w:rsidRPr="00890C27">
        <w:rPr>
          <w:rFonts w:ascii="Times New Roman" w:hAnsi="Times New Roman" w:cs="Times New Roman"/>
          <w:color w:val="000000" w:themeColor="text1"/>
          <w:sz w:val="24"/>
          <w:szCs w:val="24"/>
        </w:rPr>
        <w:t xml:space="preserve">in Schedule 1. </w:t>
      </w:r>
    </w:p>
    <w:p w14:paraId="3ABBD10F" w14:textId="77777777" w:rsidR="0048674B" w:rsidRPr="00890C27" w:rsidRDefault="0048674B"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Net annual abatement is adjusted to manage inter-annual variability in avoided emissions and the risk of the project containing some year(s) with emissions that are higher than the baseline </w:t>
      </w:r>
      <w:proofErr w:type="gramStart"/>
      <w:r w:rsidRPr="00890C27">
        <w:rPr>
          <w:rFonts w:ascii="Times New Roman" w:hAnsi="Times New Roman" w:cs="Times New Roman"/>
          <w:color w:val="000000" w:themeColor="text1"/>
          <w:sz w:val="24"/>
          <w:szCs w:val="24"/>
        </w:rPr>
        <w:t>mean</w:t>
      </w:r>
      <w:proofErr w:type="gramEnd"/>
      <w:r w:rsidRPr="00890C27">
        <w:rPr>
          <w:rFonts w:ascii="Times New Roman" w:hAnsi="Times New Roman" w:cs="Times New Roman"/>
          <w:color w:val="000000" w:themeColor="text1"/>
          <w:sz w:val="24"/>
          <w:szCs w:val="24"/>
        </w:rPr>
        <w:t xml:space="preserve"> annual emissions. Adjusting the net annual abatement in each project area reduces the risk of over-crediting of projects.</w:t>
      </w:r>
    </w:p>
    <w:p w14:paraId="7BDB4D61" w14:textId="44A56E01" w:rsidR="00135689" w:rsidRPr="00890C27" w:rsidRDefault="00431D83" w:rsidP="008103FF">
      <w:pPr>
        <w:spacing w:after="16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Clause</w:t>
      </w:r>
      <w:r w:rsidR="00A41B11" w:rsidRPr="00890C27">
        <w:rPr>
          <w:rFonts w:ascii="Times New Roman" w:hAnsi="Times New Roman" w:cs="Times New Roman"/>
          <w:color w:val="000000" w:themeColor="text1"/>
          <w:sz w:val="24"/>
          <w:szCs w:val="24"/>
        </w:rPr>
        <w:t xml:space="preserve"> 2</w:t>
      </w:r>
      <w:r w:rsidR="00854990" w:rsidRPr="00890C27">
        <w:rPr>
          <w:rFonts w:ascii="Times New Roman" w:hAnsi="Times New Roman" w:cs="Times New Roman"/>
          <w:color w:val="000000" w:themeColor="text1"/>
          <w:sz w:val="24"/>
          <w:szCs w:val="24"/>
        </w:rPr>
        <w:t xml:space="preserve"> </w:t>
      </w:r>
      <w:r w:rsidR="00A41B11" w:rsidRPr="00890C27">
        <w:rPr>
          <w:rFonts w:ascii="Times New Roman" w:hAnsi="Times New Roman" w:cs="Times New Roman"/>
          <w:color w:val="000000" w:themeColor="text1"/>
          <w:sz w:val="24"/>
          <w:szCs w:val="24"/>
        </w:rPr>
        <w:t xml:space="preserve">provides that </w:t>
      </w:r>
      <w:proofErr w:type="gramStart"/>
      <w:r w:rsidR="00617D77" w:rsidRPr="00890C27">
        <w:rPr>
          <w:rFonts w:ascii="Times New Roman" w:hAnsi="Times New Roman" w:cs="Times New Roman"/>
          <w:color w:val="000000" w:themeColor="text1"/>
          <w:sz w:val="24"/>
          <w:szCs w:val="24"/>
        </w:rPr>
        <w:t>in order to</w:t>
      </w:r>
      <w:proofErr w:type="gramEnd"/>
      <w:r w:rsidR="00617D77" w:rsidRPr="00890C27">
        <w:rPr>
          <w:rFonts w:ascii="Times New Roman" w:hAnsi="Times New Roman" w:cs="Times New Roman"/>
          <w:color w:val="000000" w:themeColor="text1"/>
          <w:sz w:val="24"/>
          <w:szCs w:val="24"/>
        </w:rPr>
        <w:t xml:space="preserve"> calculate this adjusted contribution from emissions avoidance for </w:t>
      </w:r>
      <w:r w:rsidR="00135689" w:rsidRPr="00890C27">
        <w:rPr>
          <w:rFonts w:ascii="Times New Roman" w:hAnsi="Times New Roman" w:cs="Times New Roman"/>
          <w:color w:val="000000" w:themeColor="text1"/>
          <w:sz w:val="24"/>
          <w:szCs w:val="24"/>
        </w:rPr>
        <w:t xml:space="preserve">a particular calendar year y, it is necessary to: </w:t>
      </w:r>
    </w:p>
    <w:p w14:paraId="6C6E534B" w14:textId="23AD50D3" w:rsidR="00013156" w:rsidRPr="00890C27" w:rsidRDefault="0001315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Calculate the previous year’s uncertainty buffer (</w:t>
      </w:r>
      <w:proofErr w:type="spellStart"/>
      <w:proofErr w:type="gramStart"/>
      <w:r w:rsidRPr="00890C27">
        <w:rPr>
          <w:rFonts w:ascii="Times New Roman" w:hAnsi="Times New Roman" w:cs="Times New Roman"/>
          <w:i/>
          <w:color w:val="000000" w:themeColor="text1"/>
          <w:sz w:val="24"/>
          <w:szCs w:val="24"/>
        </w:rPr>
        <w:t>B</w:t>
      </w:r>
      <w:r w:rsidRPr="00890C27">
        <w:rPr>
          <w:rFonts w:ascii="Times New Roman" w:hAnsi="Times New Roman" w:cs="Times New Roman"/>
          <w:i/>
          <w:color w:val="000000" w:themeColor="text1"/>
          <w:sz w:val="24"/>
          <w:szCs w:val="24"/>
          <w:vertAlign w:val="subscript"/>
        </w:rPr>
        <w:t>U,Prev</w:t>
      </w:r>
      <w:proofErr w:type="spellEnd"/>
      <w:proofErr w:type="gramEnd"/>
      <w:r w:rsidRPr="00890C27">
        <w:rPr>
          <w:rFonts w:ascii="Times New Roman" w:hAnsi="Times New Roman" w:cs="Times New Roman"/>
          <w:color w:val="000000" w:themeColor="text1"/>
          <w:sz w:val="24"/>
          <w:szCs w:val="24"/>
        </w:rPr>
        <w:t>) in tonnes CO</w:t>
      </w:r>
      <w:r w:rsidRPr="00890C27">
        <w:rPr>
          <w:rFonts w:ascii="Times New Roman" w:hAnsi="Times New Roman" w:cs="Times New Roman"/>
          <w:color w:val="000000" w:themeColor="text1"/>
          <w:sz w:val="24"/>
          <w:szCs w:val="24"/>
          <w:vertAlign w:val="subscript"/>
        </w:rPr>
        <w:t>₂</w:t>
      </w:r>
      <w:r w:rsidRPr="00890C27">
        <w:rPr>
          <w:rFonts w:ascii="Times New Roman" w:hAnsi="Times New Roman" w:cs="Times New Roman"/>
          <w:color w:val="000000" w:themeColor="text1"/>
          <w:sz w:val="24"/>
          <w:szCs w:val="24"/>
        </w:rPr>
        <w:t xml:space="preserve">-e, in </w:t>
      </w:r>
      <w:r w:rsidRPr="00A951AF">
        <w:rPr>
          <w:rFonts w:ascii="Times New Roman" w:hAnsi="Times New Roman" w:cs="Times New Roman"/>
          <w:sz w:val="24"/>
          <w:szCs w:val="24"/>
        </w:rPr>
        <w:t>accordance</w:t>
      </w:r>
      <w:r w:rsidRPr="00890C27">
        <w:rPr>
          <w:rFonts w:ascii="Times New Roman" w:hAnsi="Times New Roman" w:cs="Times New Roman"/>
          <w:color w:val="000000" w:themeColor="text1"/>
          <w:sz w:val="24"/>
          <w:szCs w:val="24"/>
        </w:rPr>
        <w:t xml:space="preserve"> with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3 </w:t>
      </w:r>
      <w:r w:rsidR="008F1807" w:rsidRPr="00890C27">
        <w:rPr>
          <w:rFonts w:ascii="Times New Roman" w:hAnsi="Times New Roman" w:cs="Times New Roman"/>
          <w:color w:val="000000" w:themeColor="text1"/>
          <w:sz w:val="24"/>
          <w:szCs w:val="24"/>
        </w:rPr>
        <w:t>(</w:t>
      </w:r>
      <w:r w:rsidR="005E69DC">
        <w:rPr>
          <w:rFonts w:ascii="Times New Roman" w:hAnsi="Times New Roman" w:cs="Times New Roman"/>
          <w:color w:val="000000" w:themeColor="text1"/>
          <w:sz w:val="24"/>
          <w:szCs w:val="24"/>
        </w:rPr>
        <w:t>p</w:t>
      </w:r>
      <w:r w:rsidR="005E69DC" w:rsidRPr="00890C27">
        <w:rPr>
          <w:rFonts w:ascii="Times New Roman" w:hAnsi="Times New Roman" w:cs="Times New Roman"/>
          <w:color w:val="000000" w:themeColor="text1"/>
          <w:sz w:val="24"/>
          <w:szCs w:val="24"/>
        </w:rPr>
        <w:t xml:space="preserve">aragraph </w:t>
      </w:r>
      <w:r w:rsidR="007A4229" w:rsidRPr="00890C27">
        <w:rPr>
          <w:rFonts w:ascii="Times New Roman" w:hAnsi="Times New Roman" w:cs="Times New Roman"/>
          <w:color w:val="000000" w:themeColor="text1"/>
          <w:sz w:val="24"/>
          <w:szCs w:val="24"/>
        </w:rPr>
        <w:t>2(a)</w:t>
      </w:r>
      <w:r w:rsidR="008F1807" w:rsidRPr="00890C27">
        <w:rPr>
          <w:rFonts w:ascii="Times New Roman" w:hAnsi="Times New Roman" w:cs="Times New Roman"/>
          <w:color w:val="000000" w:themeColor="text1"/>
          <w:sz w:val="24"/>
          <w:szCs w:val="24"/>
        </w:rPr>
        <w:t>)</w:t>
      </w:r>
    </w:p>
    <w:p w14:paraId="5F7E44C1" w14:textId="10287311" w:rsidR="00013156" w:rsidRPr="00890C27" w:rsidRDefault="0001315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Calculate the contribution to the net abatement amount from emissions avoidance (</w:t>
      </w:r>
      <w:r w:rsidRPr="00890C27">
        <w:rPr>
          <w:rFonts w:ascii="Times New Roman" w:hAnsi="Times New Roman" w:cs="Times New Roman"/>
          <w:i/>
          <w:color w:val="000000" w:themeColor="text1"/>
          <w:sz w:val="24"/>
          <w:szCs w:val="24"/>
        </w:rPr>
        <w:t>A</w:t>
      </w:r>
      <w:r w:rsidRPr="00890C27">
        <w:rPr>
          <w:rFonts w:ascii="Times New Roman" w:hAnsi="Times New Roman" w:cs="Times New Roman"/>
          <w:i/>
          <w:color w:val="000000" w:themeColor="text1"/>
          <w:sz w:val="24"/>
          <w:szCs w:val="24"/>
          <w:vertAlign w:val="subscript"/>
        </w:rPr>
        <w:t>EA</w:t>
      </w:r>
      <w:r w:rsidRPr="00890C27">
        <w:rPr>
          <w:rFonts w:ascii="Times New Roman" w:hAnsi="Times New Roman" w:cs="Times New Roman"/>
          <w:color w:val="000000" w:themeColor="text1"/>
          <w:sz w:val="24"/>
          <w:szCs w:val="24"/>
        </w:rPr>
        <w:t xml:space="preserve">) for the calendar year, in tonnes CO₂-e, in accordance with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4 </w:t>
      </w:r>
      <w:r w:rsidR="008F1807" w:rsidRPr="00890C27">
        <w:rPr>
          <w:rFonts w:ascii="Times New Roman" w:hAnsi="Times New Roman" w:cs="Times New Roman"/>
          <w:color w:val="000000" w:themeColor="text1"/>
          <w:sz w:val="24"/>
          <w:szCs w:val="24"/>
        </w:rPr>
        <w:t>(</w:t>
      </w:r>
      <w:r w:rsidR="005E69DC">
        <w:rPr>
          <w:rFonts w:ascii="Times New Roman" w:hAnsi="Times New Roman" w:cs="Times New Roman"/>
          <w:color w:val="000000" w:themeColor="text1"/>
          <w:sz w:val="24"/>
          <w:szCs w:val="24"/>
        </w:rPr>
        <w:t>p</w:t>
      </w:r>
      <w:r w:rsidR="005E69DC" w:rsidRPr="00890C27">
        <w:rPr>
          <w:rFonts w:ascii="Times New Roman" w:hAnsi="Times New Roman" w:cs="Times New Roman"/>
          <w:color w:val="000000" w:themeColor="text1"/>
          <w:sz w:val="24"/>
          <w:szCs w:val="24"/>
        </w:rPr>
        <w:t xml:space="preserve">aragraph </w:t>
      </w:r>
      <w:r w:rsidR="008F1807" w:rsidRPr="00890C27">
        <w:rPr>
          <w:rFonts w:ascii="Times New Roman" w:hAnsi="Times New Roman" w:cs="Times New Roman"/>
          <w:color w:val="000000" w:themeColor="text1"/>
          <w:sz w:val="24"/>
          <w:szCs w:val="24"/>
        </w:rPr>
        <w:t>2(b))</w:t>
      </w:r>
    </w:p>
    <w:p w14:paraId="0A207828" w14:textId="549D64CE" w:rsidR="00013156" w:rsidRPr="00890C27" w:rsidRDefault="0001315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Calculate the uncertainty buffer cap (</w:t>
      </w:r>
      <w:proofErr w:type="spellStart"/>
      <w:proofErr w:type="gramStart"/>
      <w:r w:rsidRPr="00890C27">
        <w:rPr>
          <w:rFonts w:ascii="Times New Roman" w:hAnsi="Times New Roman" w:cs="Times New Roman"/>
          <w:color w:val="000000" w:themeColor="text1"/>
          <w:sz w:val="24"/>
          <w:szCs w:val="24"/>
        </w:rPr>
        <w:t>B</w:t>
      </w:r>
      <w:r w:rsidRPr="00890C27">
        <w:rPr>
          <w:rFonts w:ascii="Times New Roman" w:hAnsi="Times New Roman" w:cs="Times New Roman"/>
          <w:i/>
          <w:color w:val="000000" w:themeColor="text1"/>
          <w:sz w:val="24"/>
          <w:szCs w:val="24"/>
          <w:vertAlign w:val="subscript"/>
        </w:rPr>
        <w:t>U,Cap</w:t>
      </w:r>
      <w:proofErr w:type="spellEnd"/>
      <w:proofErr w:type="gramEnd"/>
      <w:r w:rsidRPr="00890C27">
        <w:rPr>
          <w:rFonts w:ascii="Times New Roman" w:hAnsi="Times New Roman" w:cs="Times New Roman"/>
          <w:color w:val="000000" w:themeColor="text1"/>
          <w:sz w:val="24"/>
          <w:szCs w:val="24"/>
        </w:rPr>
        <w:t xml:space="preserve">) for the project area for the calendar year, in tonnes CO₂-e, in accordance with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5 </w:t>
      </w:r>
      <w:r w:rsidR="008F1807" w:rsidRPr="00890C27">
        <w:rPr>
          <w:rFonts w:ascii="Times New Roman" w:hAnsi="Times New Roman" w:cs="Times New Roman"/>
          <w:color w:val="000000" w:themeColor="text1"/>
          <w:sz w:val="24"/>
          <w:szCs w:val="24"/>
        </w:rPr>
        <w:t>(</w:t>
      </w:r>
      <w:r w:rsidR="005E69DC">
        <w:rPr>
          <w:rFonts w:ascii="Times New Roman" w:hAnsi="Times New Roman" w:cs="Times New Roman"/>
          <w:color w:val="000000" w:themeColor="text1"/>
          <w:sz w:val="24"/>
          <w:szCs w:val="24"/>
        </w:rPr>
        <w:t>p</w:t>
      </w:r>
      <w:r w:rsidR="005E69DC" w:rsidRPr="00890C27">
        <w:rPr>
          <w:rFonts w:ascii="Times New Roman" w:hAnsi="Times New Roman" w:cs="Times New Roman"/>
          <w:color w:val="000000" w:themeColor="text1"/>
          <w:sz w:val="24"/>
          <w:szCs w:val="24"/>
        </w:rPr>
        <w:t xml:space="preserve">aragraph </w:t>
      </w:r>
      <w:r w:rsidR="008F1807" w:rsidRPr="00890C27">
        <w:rPr>
          <w:rFonts w:ascii="Times New Roman" w:hAnsi="Times New Roman" w:cs="Times New Roman"/>
          <w:color w:val="000000" w:themeColor="text1"/>
          <w:sz w:val="24"/>
          <w:szCs w:val="24"/>
        </w:rPr>
        <w:t>2(c))</w:t>
      </w:r>
    </w:p>
    <w:p w14:paraId="1AAE5A6B" w14:textId="44844174" w:rsidR="00013156" w:rsidRPr="00890C27" w:rsidRDefault="00013156" w:rsidP="165183F2">
      <w:pPr>
        <w:pStyle w:val="ListParagraph"/>
        <w:numPr>
          <w:ilvl w:val="0"/>
          <w:numId w:val="55"/>
        </w:numPr>
        <w:spacing w:after="160" w:line="276" w:lineRule="auto"/>
        <w:ind w:left="714" w:hanging="357"/>
        <w:rPr>
          <w:rFonts w:ascii="Times New Roman" w:hAnsi="Times New Roman" w:cs="Times New Roman"/>
          <w:color w:val="000000" w:themeColor="text1"/>
          <w:sz w:val="24"/>
          <w:szCs w:val="24"/>
        </w:rPr>
      </w:pPr>
      <w:r w:rsidRPr="165183F2">
        <w:rPr>
          <w:rFonts w:ascii="Times New Roman" w:hAnsi="Times New Roman" w:cs="Times New Roman"/>
          <w:color w:val="000000" w:themeColor="text1"/>
          <w:sz w:val="24"/>
          <w:szCs w:val="24"/>
        </w:rPr>
        <w:t xml:space="preserve">Determine which set of conditions in the </w:t>
      </w:r>
      <w:r w:rsidR="008F1807" w:rsidRPr="165183F2">
        <w:rPr>
          <w:rFonts w:ascii="Times New Roman" w:hAnsi="Times New Roman" w:cs="Times New Roman"/>
          <w:color w:val="000000" w:themeColor="text1"/>
          <w:sz w:val="24"/>
          <w:szCs w:val="24"/>
        </w:rPr>
        <w:t xml:space="preserve">table set out within the </w:t>
      </w:r>
      <w:r w:rsidR="00431D83" w:rsidRPr="165183F2">
        <w:rPr>
          <w:rFonts w:ascii="Times New Roman" w:hAnsi="Times New Roman" w:cs="Times New Roman"/>
          <w:color w:val="000000" w:themeColor="text1"/>
          <w:sz w:val="24"/>
          <w:szCs w:val="24"/>
        </w:rPr>
        <w:t>clause</w:t>
      </w:r>
      <w:r w:rsidRPr="165183F2">
        <w:rPr>
          <w:rFonts w:ascii="Times New Roman" w:hAnsi="Times New Roman" w:cs="Times New Roman"/>
          <w:color w:val="000000" w:themeColor="text1"/>
          <w:sz w:val="24"/>
          <w:szCs w:val="24"/>
        </w:rPr>
        <w:t xml:space="preserve"> applies to the project area for the calendar year</w:t>
      </w:r>
      <w:r w:rsidR="008F1807" w:rsidRPr="165183F2">
        <w:rPr>
          <w:rFonts w:ascii="Times New Roman" w:hAnsi="Times New Roman" w:cs="Times New Roman"/>
          <w:color w:val="000000" w:themeColor="text1"/>
          <w:sz w:val="24"/>
          <w:szCs w:val="24"/>
        </w:rPr>
        <w:t xml:space="preserve"> (</w:t>
      </w:r>
      <w:r w:rsidR="63A86489" w:rsidRPr="165183F2">
        <w:rPr>
          <w:rFonts w:ascii="Times New Roman" w:hAnsi="Times New Roman" w:cs="Times New Roman"/>
          <w:color w:val="000000" w:themeColor="text1"/>
          <w:sz w:val="24"/>
          <w:szCs w:val="24"/>
        </w:rPr>
        <w:t>paragraph</w:t>
      </w:r>
      <w:r w:rsidR="005E69DC" w:rsidRPr="165183F2">
        <w:rPr>
          <w:rFonts w:ascii="Times New Roman" w:hAnsi="Times New Roman" w:cs="Times New Roman"/>
          <w:color w:val="000000" w:themeColor="text1"/>
          <w:sz w:val="24"/>
          <w:szCs w:val="24"/>
        </w:rPr>
        <w:t xml:space="preserve"> </w:t>
      </w:r>
      <w:r w:rsidR="008F1807" w:rsidRPr="165183F2">
        <w:rPr>
          <w:rFonts w:ascii="Times New Roman" w:hAnsi="Times New Roman" w:cs="Times New Roman"/>
          <w:color w:val="000000" w:themeColor="text1"/>
          <w:sz w:val="24"/>
          <w:szCs w:val="24"/>
        </w:rPr>
        <w:t>2(d))</w:t>
      </w:r>
    </w:p>
    <w:p w14:paraId="2354E80C" w14:textId="79549336" w:rsidR="00135689" w:rsidRPr="00890C27" w:rsidRDefault="0001315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Based on the applicable row of the table, calculate</w:t>
      </w:r>
      <w:r w:rsidR="008F1807" w:rsidRPr="00890C27">
        <w:rPr>
          <w:rFonts w:ascii="Times New Roman" w:hAnsi="Times New Roman" w:cs="Times New Roman"/>
          <w:color w:val="000000" w:themeColor="text1"/>
          <w:sz w:val="24"/>
          <w:szCs w:val="24"/>
        </w:rPr>
        <w:t xml:space="preserve"> both </w:t>
      </w:r>
      <w:r w:rsidRPr="00890C27">
        <w:rPr>
          <w:rFonts w:ascii="Times New Roman" w:hAnsi="Times New Roman" w:cs="Times New Roman"/>
          <w:color w:val="000000" w:themeColor="text1"/>
          <w:sz w:val="24"/>
          <w:szCs w:val="24"/>
        </w:rPr>
        <w:t>the adjusted contribution to net abatement (</w:t>
      </w:r>
      <w:proofErr w:type="spellStart"/>
      <w:proofErr w:type="gramStart"/>
      <w:r w:rsidRPr="00890C27">
        <w:rPr>
          <w:rFonts w:ascii="Times New Roman" w:hAnsi="Times New Roman" w:cs="Times New Roman"/>
          <w:color w:val="000000" w:themeColor="text1"/>
          <w:sz w:val="24"/>
          <w:szCs w:val="24"/>
        </w:rPr>
        <w:t>AEA,adj</w:t>
      </w:r>
      <w:proofErr w:type="spellEnd"/>
      <w:proofErr w:type="gramEnd"/>
      <w:r w:rsidRPr="00890C27">
        <w:rPr>
          <w:rFonts w:ascii="Times New Roman" w:hAnsi="Times New Roman" w:cs="Times New Roman"/>
          <w:color w:val="000000" w:themeColor="text1"/>
          <w:sz w:val="24"/>
          <w:szCs w:val="24"/>
        </w:rPr>
        <w:t>) for the calendar year, in tonnes CO</w:t>
      </w:r>
      <w:r w:rsidRPr="00890C27">
        <w:rPr>
          <w:rFonts w:ascii="Times New Roman" w:hAnsi="Times New Roman" w:cs="Times New Roman"/>
          <w:color w:val="000000" w:themeColor="text1"/>
          <w:sz w:val="24"/>
          <w:szCs w:val="24"/>
          <w:vertAlign w:val="subscript"/>
        </w:rPr>
        <w:t>₂</w:t>
      </w:r>
      <w:r w:rsidRPr="00890C27">
        <w:rPr>
          <w:rFonts w:ascii="Times New Roman" w:hAnsi="Times New Roman" w:cs="Times New Roman"/>
          <w:color w:val="000000" w:themeColor="text1"/>
          <w:sz w:val="24"/>
          <w:szCs w:val="24"/>
        </w:rPr>
        <w:t>-e; and</w:t>
      </w:r>
      <w:r w:rsidR="008F1807"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the current year’s uncertainty buffer (</w:t>
      </w:r>
      <w:proofErr w:type="spellStart"/>
      <w:proofErr w:type="gramStart"/>
      <w:r w:rsidRPr="00890C27">
        <w:rPr>
          <w:rFonts w:ascii="Times New Roman" w:hAnsi="Times New Roman" w:cs="Times New Roman"/>
          <w:color w:val="000000" w:themeColor="text1"/>
          <w:sz w:val="24"/>
          <w:szCs w:val="24"/>
        </w:rPr>
        <w:t>BU,Curr</w:t>
      </w:r>
      <w:proofErr w:type="spellEnd"/>
      <w:proofErr w:type="gramEnd"/>
      <w:r w:rsidRPr="00890C27">
        <w:rPr>
          <w:rFonts w:ascii="Times New Roman" w:hAnsi="Times New Roman" w:cs="Times New Roman"/>
          <w:color w:val="000000" w:themeColor="text1"/>
          <w:sz w:val="24"/>
          <w:szCs w:val="24"/>
        </w:rPr>
        <w:t>) for the project area, in tonnes CO</w:t>
      </w:r>
      <w:r w:rsidRPr="00890C27">
        <w:rPr>
          <w:rFonts w:ascii="Times New Roman" w:hAnsi="Times New Roman" w:cs="Times New Roman"/>
          <w:color w:val="000000" w:themeColor="text1"/>
          <w:sz w:val="24"/>
          <w:szCs w:val="24"/>
          <w:vertAlign w:val="subscript"/>
        </w:rPr>
        <w:t>₂</w:t>
      </w:r>
      <w:r w:rsidRPr="00890C27">
        <w:rPr>
          <w:rFonts w:ascii="Times New Roman" w:hAnsi="Times New Roman" w:cs="Times New Roman"/>
          <w:color w:val="000000" w:themeColor="text1"/>
          <w:sz w:val="24"/>
          <w:szCs w:val="24"/>
        </w:rPr>
        <w:t>-e</w:t>
      </w:r>
      <w:r w:rsidR="008F1807" w:rsidRPr="00890C27">
        <w:rPr>
          <w:rFonts w:ascii="Times New Roman" w:hAnsi="Times New Roman" w:cs="Times New Roman"/>
          <w:color w:val="000000" w:themeColor="text1"/>
          <w:sz w:val="24"/>
          <w:szCs w:val="24"/>
        </w:rPr>
        <w:t xml:space="preserve"> (</w:t>
      </w:r>
      <w:r w:rsidR="005E69DC">
        <w:rPr>
          <w:rFonts w:ascii="Times New Roman" w:hAnsi="Times New Roman" w:cs="Times New Roman"/>
          <w:color w:val="000000" w:themeColor="text1"/>
          <w:sz w:val="24"/>
          <w:szCs w:val="24"/>
        </w:rPr>
        <w:t>p</w:t>
      </w:r>
      <w:r w:rsidR="005E69DC" w:rsidRPr="00890C27">
        <w:rPr>
          <w:rFonts w:ascii="Times New Roman" w:hAnsi="Times New Roman" w:cs="Times New Roman"/>
          <w:color w:val="000000" w:themeColor="text1"/>
          <w:sz w:val="24"/>
          <w:szCs w:val="24"/>
        </w:rPr>
        <w:t xml:space="preserve">aragraph </w:t>
      </w:r>
      <w:r w:rsidR="008F1807" w:rsidRPr="00890C27">
        <w:rPr>
          <w:rFonts w:ascii="Times New Roman" w:hAnsi="Times New Roman" w:cs="Times New Roman"/>
          <w:color w:val="000000" w:themeColor="text1"/>
          <w:sz w:val="24"/>
          <w:szCs w:val="24"/>
        </w:rPr>
        <w:t>2(e))</w:t>
      </w:r>
    </w:p>
    <w:p w14:paraId="49075C81" w14:textId="0368335F" w:rsidR="008675C3" w:rsidRPr="00890C27" w:rsidRDefault="005257B9"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There are two notes</w:t>
      </w:r>
      <w:r w:rsidR="008675C3" w:rsidRPr="00890C27">
        <w:rPr>
          <w:rFonts w:ascii="Times New Roman" w:hAnsi="Times New Roman" w:cs="Times New Roman"/>
          <w:color w:val="000000" w:themeColor="text1"/>
          <w:sz w:val="24"/>
          <w:szCs w:val="24"/>
        </w:rPr>
        <w:t>. Note 1 explains that Division 3 provides adjustments to the calculation methods where</w:t>
      </w:r>
      <w:r w:rsidR="005E69DC">
        <w:rPr>
          <w:rFonts w:ascii="Times New Roman" w:hAnsi="Times New Roman" w:cs="Times New Roman"/>
          <w:color w:val="000000" w:themeColor="text1"/>
          <w:sz w:val="24"/>
          <w:szCs w:val="24"/>
        </w:rPr>
        <w:t xml:space="preserve"> a project area</w:t>
      </w:r>
      <w:r w:rsidR="008675C3" w:rsidRPr="00890C27">
        <w:rPr>
          <w:rFonts w:ascii="Times New Roman" w:hAnsi="Times New Roman" w:cs="Times New Roman"/>
          <w:color w:val="000000" w:themeColor="text1"/>
          <w:sz w:val="24"/>
          <w:szCs w:val="24"/>
        </w:rPr>
        <w:t>:</w:t>
      </w:r>
    </w:p>
    <w:p w14:paraId="3A74977B" w14:textId="022C40E5" w:rsidR="008675C3" w:rsidRPr="00890C27" w:rsidRDefault="008675C3"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spans both high and low rainfall zones (see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10)</w:t>
      </w:r>
      <w:r w:rsidR="005E69DC">
        <w:rPr>
          <w:rFonts w:ascii="Times New Roman" w:hAnsi="Times New Roman" w:cs="Times New Roman"/>
          <w:color w:val="000000" w:themeColor="text1"/>
          <w:sz w:val="24"/>
          <w:szCs w:val="24"/>
        </w:rPr>
        <w:t>;</w:t>
      </w:r>
      <w:r w:rsidRPr="00890C27">
        <w:rPr>
          <w:rFonts w:ascii="Times New Roman" w:hAnsi="Times New Roman" w:cs="Times New Roman"/>
          <w:color w:val="000000" w:themeColor="text1"/>
          <w:sz w:val="24"/>
          <w:szCs w:val="24"/>
        </w:rPr>
        <w:t xml:space="preserve"> or</w:t>
      </w:r>
    </w:p>
    <w:p w14:paraId="25E422A0" w14:textId="14FA5188" w:rsidR="008675C3" w:rsidRPr="00890C27" w:rsidRDefault="008675C3"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has been divided into two or more subdivided project areas (see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12).</w:t>
      </w:r>
    </w:p>
    <w:p w14:paraId="28542374" w14:textId="61F6ADD6" w:rsidR="00DE1485" w:rsidRPr="00890C27" w:rsidRDefault="008675C3"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Note 2 </w:t>
      </w:r>
      <w:r w:rsidR="00DC1084" w:rsidRPr="00890C27">
        <w:rPr>
          <w:rFonts w:ascii="Times New Roman" w:hAnsi="Times New Roman" w:cs="Times New Roman"/>
          <w:color w:val="000000" w:themeColor="text1"/>
          <w:sz w:val="24"/>
          <w:szCs w:val="24"/>
        </w:rPr>
        <w:t>states</w:t>
      </w:r>
      <w:r w:rsidRPr="00890C27">
        <w:rPr>
          <w:rFonts w:ascii="Times New Roman" w:hAnsi="Times New Roman" w:cs="Times New Roman"/>
          <w:color w:val="000000" w:themeColor="text1"/>
          <w:sz w:val="24"/>
          <w:szCs w:val="24"/>
        </w:rPr>
        <w:t xml:space="preserve"> that if the vegetation fuel type map is revised during a reporting period under section </w:t>
      </w:r>
      <w:r w:rsidR="60D9726F" w:rsidRPr="21C95B52">
        <w:rPr>
          <w:rFonts w:ascii="Times New Roman" w:hAnsi="Times New Roman" w:cs="Times New Roman"/>
          <w:color w:val="000000" w:themeColor="text1"/>
          <w:sz w:val="24"/>
          <w:szCs w:val="24"/>
        </w:rPr>
        <w:t>21</w:t>
      </w:r>
      <w:r w:rsidRPr="00890C27">
        <w:rPr>
          <w:rFonts w:ascii="Times New Roman" w:hAnsi="Times New Roman" w:cs="Times New Roman"/>
          <w:color w:val="000000" w:themeColor="text1"/>
          <w:sz w:val="24"/>
          <w:szCs w:val="24"/>
        </w:rPr>
        <w:t xml:space="preserve"> of the </w:t>
      </w:r>
      <w:r w:rsidR="004D74F5">
        <w:rPr>
          <w:rFonts w:ascii="Times New Roman" w:hAnsi="Times New Roman" w:cs="Times New Roman"/>
          <w:color w:val="000000" w:themeColor="text1"/>
          <w:sz w:val="24"/>
          <w:szCs w:val="24"/>
        </w:rPr>
        <w:t>d</w:t>
      </w:r>
      <w:r w:rsidRPr="00890C27">
        <w:rPr>
          <w:rFonts w:ascii="Times New Roman" w:hAnsi="Times New Roman" w:cs="Times New Roman"/>
          <w:color w:val="000000" w:themeColor="text1"/>
          <w:sz w:val="24"/>
          <w:szCs w:val="24"/>
        </w:rPr>
        <w:t>etermination, the version of the map in force at the end of the reporting period must be used for all calculations relating to that period—including the current year’s uncertainty buffer, the uncertainty buffer cap, and baseline-related amounts. However, any uncertainty buffer calculated for a previous year using an earlier version of the map is not recalculated using the revised version.</w:t>
      </w:r>
    </w:p>
    <w:p w14:paraId="53A31DB6" w14:textId="5D805747" w:rsidR="00DE1485" w:rsidRPr="00890C27" w:rsidRDefault="00DE1485" w:rsidP="008103FF">
      <w:pPr>
        <w:pStyle w:val="CommentText"/>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examples and flow diagrams</w:t>
      </w:r>
      <w:r w:rsidR="00C06A38">
        <w:rPr>
          <w:rFonts w:ascii="Times New Roman" w:hAnsi="Times New Roman" w:cs="Times New Roman"/>
          <w:color w:val="000000" w:themeColor="text1"/>
          <w:sz w:val="24"/>
          <w:szCs w:val="24"/>
        </w:rPr>
        <w:t>,</w:t>
      </w:r>
      <w:r w:rsidR="005D3093" w:rsidRPr="00890C27">
        <w:rPr>
          <w:rFonts w:ascii="Times New Roman" w:hAnsi="Times New Roman" w:cs="Times New Roman"/>
          <w:color w:val="000000" w:themeColor="text1"/>
          <w:sz w:val="24"/>
          <w:szCs w:val="24"/>
        </w:rPr>
        <w:t xml:space="preserve"> below</w:t>
      </w:r>
      <w:r w:rsidR="00C06A38">
        <w:rPr>
          <w:rFonts w:ascii="Times New Roman" w:hAnsi="Times New Roman" w:cs="Times New Roman"/>
          <w:color w:val="000000" w:themeColor="text1"/>
          <w:sz w:val="24"/>
          <w:szCs w:val="24"/>
        </w:rPr>
        <w:t>,</w:t>
      </w:r>
      <w:r w:rsidRPr="00890C27">
        <w:rPr>
          <w:rFonts w:ascii="Times New Roman" w:hAnsi="Times New Roman" w:cs="Times New Roman"/>
          <w:color w:val="000000" w:themeColor="text1"/>
          <w:sz w:val="24"/>
          <w:szCs w:val="24"/>
        </w:rPr>
        <w:t xml:space="preserve"> describe how the table in </w:t>
      </w:r>
      <w:r w:rsidR="00C06A38">
        <w:rPr>
          <w:rFonts w:ascii="Times New Roman" w:hAnsi="Times New Roman" w:cs="Times New Roman"/>
          <w:color w:val="000000" w:themeColor="text1"/>
          <w:sz w:val="24"/>
          <w:szCs w:val="24"/>
        </w:rPr>
        <w:t>c</w:t>
      </w:r>
      <w:r w:rsidR="00431D83">
        <w:rPr>
          <w:rFonts w:ascii="Times New Roman" w:hAnsi="Times New Roman" w:cs="Times New Roman"/>
          <w:color w:val="000000" w:themeColor="text1"/>
          <w:sz w:val="24"/>
          <w:szCs w:val="24"/>
        </w:rPr>
        <w:t>lause</w:t>
      </w:r>
      <w:r w:rsidRPr="00890C27">
        <w:rPr>
          <w:rFonts w:ascii="Times New Roman" w:hAnsi="Times New Roman" w:cs="Times New Roman"/>
          <w:color w:val="000000" w:themeColor="text1"/>
          <w:sz w:val="24"/>
          <w:szCs w:val="24"/>
        </w:rPr>
        <w:t xml:space="preserve"> 2 calculates the adjusted contribution to net abatement and the value of the current year’s uncertainty buffer. All possible scenarios are summarised in the decision tree and the examples</w:t>
      </w:r>
      <w:r w:rsidR="00C06A38">
        <w:rPr>
          <w:rFonts w:ascii="Times New Roman" w:hAnsi="Times New Roman" w:cs="Times New Roman"/>
          <w:color w:val="000000" w:themeColor="text1"/>
          <w:sz w:val="24"/>
          <w:szCs w:val="24"/>
        </w:rPr>
        <w:t>,</w:t>
      </w:r>
      <w:r w:rsidRPr="00890C27">
        <w:rPr>
          <w:rFonts w:ascii="Times New Roman" w:hAnsi="Times New Roman" w:cs="Times New Roman"/>
          <w:color w:val="000000" w:themeColor="text1"/>
          <w:sz w:val="24"/>
          <w:szCs w:val="24"/>
        </w:rPr>
        <w:t xml:space="preserve"> below, and adhere to the rules</w:t>
      </w:r>
      <w:r w:rsidRPr="00890C27" w:rsidDel="00A44874">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 xml:space="preserve">in the table in </w:t>
      </w:r>
      <w:r w:rsidR="00431D83">
        <w:rPr>
          <w:rFonts w:ascii="Times New Roman" w:hAnsi="Times New Roman" w:cs="Times New Roman"/>
          <w:color w:val="000000" w:themeColor="text1"/>
          <w:sz w:val="24"/>
          <w:szCs w:val="24"/>
        </w:rPr>
        <w:t>clause</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2.</w:t>
      </w:r>
    </w:p>
    <w:p w14:paraId="3B00D83E" w14:textId="23B0C511" w:rsidR="001D52CB" w:rsidRDefault="008826CB"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adjustment applied to net annual project abatement in the table in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2 considers</w:t>
      </w:r>
      <w:r w:rsidR="001D52CB">
        <w:rPr>
          <w:rFonts w:ascii="Times New Roman" w:hAnsi="Times New Roman" w:cs="Times New Roman"/>
          <w:color w:val="000000" w:themeColor="text1"/>
          <w:sz w:val="24"/>
          <w:szCs w:val="24"/>
        </w:rPr>
        <w:t xml:space="preserve"> whether</w:t>
      </w:r>
      <w:r w:rsidR="00816726">
        <w:rPr>
          <w:rFonts w:ascii="Times New Roman" w:hAnsi="Times New Roman" w:cs="Times New Roman"/>
          <w:color w:val="000000" w:themeColor="text1"/>
          <w:sz w:val="24"/>
          <w:szCs w:val="24"/>
        </w:rPr>
        <w:t xml:space="preserve"> the</w:t>
      </w:r>
      <w:r w:rsidRPr="00890C27">
        <w:rPr>
          <w:rFonts w:ascii="Times New Roman" w:hAnsi="Times New Roman" w:cs="Times New Roman"/>
          <w:color w:val="000000" w:themeColor="text1"/>
          <w:sz w:val="24"/>
          <w:szCs w:val="24"/>
        </w:rPr>
        <w:t>:</w:t>
      </w:r>
    </w:p>
    <w:p w14:paraId="1B608E7C" w14:textId="1675555C" w:rsidR="001D52CB" w:rsidRDefault="008826CB"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value in the uncertainty buffer at the end of the previous calendar year (</w:t>
      </w:r>
      <w:proofErr w:type="spellStart"/>
      <w:proofErr w:type="gramStart"/>
      <w:r w:rsidRPr="00890C27">
        <w:rPr>
          <w:rFonts w:ascii="Times New Roman" w:hAnsi="Times New Roman" w:cs="Times New Roman"/>
          <w:i/>
          <w:sz w:val="24"/>
          <w:szCs w:val="24"/>
        </w:rPr>
        <w:t>B</w:t>
      </w:r>
      <w:r w:rsidRPr="00890C27">
        <w:rPr>
          <w:rFonts w:ascii="Times New Roman" w:hAnsi="Times New Roman" w:cs="Times New Roman"/>
          <w:i/>
          <w:sz w:val="24"/>
          <w:szCs w:val="24"/>
          <w:vertAlign w:val="subscript"/>
        </w:rPr>
        <w:t>U,Prev</w:t>
      </w:r>
      <w:proofErr w:type="spellEnd"/>
      <w:proofErr w:type="gramEnd"/>
      <w:r w:rsidRPr="00890C27">
        <w:rPr>
          <w:rFonts w:ascii="Times New Roman" w:hAnsi="Times New Roman" w:cs="Times New Roman"/>
          <w:color w:val="000000" w:themeColor="text1"/>
          <w:sz w:val="24"/>
          <w:szCs w:val="24"/>
        </w:rPr>
        <w:t>) was more or less than zero</w:t>
      </w:r>
      <w:r w:rsidR="00816726">
        <w:rPr>
          <w:rFonts w:ascii="Times New Roman" w:hAnsi="Times New Roman" w:cs="Times New Roman"/>
          <w:color w:val="000000" w:themeColor="text1"/>
          <w:sz w:val="24"/>
          <w:szCs w:val="24"/>
        </w:rPr>
        <w:t xml:space="preserve"> or </w:t>
      </w:r>
      <w:proofErr w:type="gramStart"/>
      <w:r w:rsidR="00816726">
        <w:rPr>
          <w:rFonts w:ascii="Times New Roman" w:hAnsi="Times New Roman" w:cs="Times New Roman"/>
          <w:color w:val="000000" w:themeColor="text1"/>
          <w:sz w:val="24"/>
          <w:szCs w:val="24"/>
        </w:rPr>
        <w:t>not</w:t>
      </w:r>
      <w:r w:rsidRPr="00890C27">
        <w:rPr>
          <w:rFonts w:ascii="Times New Roman" w:hAnsi="Times New Roman" w:cs="Times New Roman"/>
          <w:color w:val="000000" w:themeColor="text1"/>
          <w:sz w:val="24"/>
          <w:szCs w:val="24"/>
        </w:rPr>
        <w:t>;</w:t>
      </w:r>
      <w:proofErr w:type="gramEnd"/>
      <w:r w:rsidRPr="00890C27">
        <w:rPr>
          <w:rFonts w:ascii="Times New Roman" w:hAnsi="Times New Roman" w:cs="Times New Roman"/>
          <w:color w:val="000000" w:themeColor="text1"/>
          <w:sz w:val="24"/>
          <w:szCs w:val="24"/>
        </w:rPr>
        <w:t xml:space="preserve"> </w:t>
      </w:r>
    </w:p>
    <w:p w14:paraId="42551865" w14:textId="0388512D" w:rsidR="001D52CB" w:rsidRDefault="008826CB"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capped uncertainty buffer value has been achieved; and</w:t>
      </w:r>
    </w:p>
    <w:p w14:paraId="7695A99E" w14:textId="446F0E7F" w:rsidR="008826CB" w:rsidRPr="00890C27" w:rsidRDefault="008826CB"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net annual project abatement is greater or less than zero.</w:t>
      </w:r>
    </w:p>
    <w:p w14:paraId="669912E6" w14:textId="6994DA42" w:rsidR="008826CB" w:rsidRPr="00890C27" w:rsidRDefault="008826CB"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When the value of the uncertainty buffer at the end of the previous calendar year was greater than, or equal to, zero but less than the capped value, and net annual abatement is greater than </w:t>
      </w:r>
      <w:r w:rsidRPr="00890C27">
        <w:rPr>
          <w:rFonts w:ascii="Times New Roman" w:hAnsi="Times New Roman" w:cs="Times New Roman"/>
          <w:color w:val="000000" w:themeColor="text1"/>
          <w:sz w:val="24"/>
          <w:szCs w:val="24"/>
        </w:rPr>
        <w:lastRenderedPageBreak/>
        <w:t xml:space="preserve">zero, then a contribution from net abatement is made to the uncertainty buffer. This contribution is a maximum of 10% of the total net annual abatement from emissions avoidance, such that the amount in the uncertainty buffer does not exceed the uncertainty buffer cap value. </w:t>
      </w:r>
    </w:p>
    <w:p w14:paraId="1976EF2D" w14:textId="77777777" w:rsidR="008826CB" w:rsidRPr="00890C27" w:rsidRDefault="008826CB" w:rsidP="008103FF">
      <w:pPr>
        <w:pStyle w:val="CommentText"/>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If the contribution to the net abatement amount from emissions avoidance for any calendar year in the crediting period is a negative amount, the adjusted contribution to the net abatement amount from avoided emissions for the calendar year is taken to be zero. This net negative abatement is accounted for by the amount in the uncertainty buffer. If a negative amount remains in the uncertainty buffer, this is accounted for in subsequent calendar year(s) before further credits are issued.</w:t>
      </w:r>
    </w:p>
    <w:p w14:paraId="4E322046" w14:textId="077DC9FD" w:rsidR="00DE1485" w:rsidRPr="00890C27" w:rsidRDefault="008826CB" w:rsidP="008103FF">
      <w:pPr>
        <w:pStyle w:val="CommentText"/>
        <w:spacing w:after="160" w:line="276" w:lineRule="auto"/>
      </w:pPr>
      <w:r w:rsidRPr="00890C27">
        <w:rPr>
          <w:rFonts w:ascii="Times New Roman" w:hAnsi="Times New Roman" w:cs="Times New Roman"/>
          <w:sz w:val="24"/>
          <w:szCs w:val="24"/>
        </w:rPr>
        <w:t>An exception to this occurs when the sum of the net abatement amount from emissions avoidance and the amount in the uncertainty buffer from the previous year sum to a value greater than the value for the uncertainty buffer cap. In this case, the adjusted net abatement amount from emissions is the sum of the net abatement amount and the uncertainty buffer from the previous year, less the value for the uncertainty buffer cap.</w:t>
      </w:r>
    </w:p>
    <w:p w14:paraId="1DC67C71" w14:textId="62A0C4C7" w:rsidR="008B7BB7" w:rsidRPr="00982930" w:rsidRDefault="008B7BB7" w:rsidP="008103FF">
      <w:pPr>
        <w:spacing w:after="160" w:line="276" w:lineRule="auto"/>
        <w:rPr>
          <w:rFonts w:ascii="Times New Roman" w:hAnsi="Times New Roman" w:cs="Times New Roman"/>
          <w:sz w:val="24"/>
          <w:szCs w:val="24"/>
        </w:rPr>
      </w:pPr>
      <w:r w:rsidRPr="00890C27">
        <w:rPr>
          <w:rFonts w:ascii="Times New Roman" w:hAnsi="Times New Roman" w:cs="Times New Roman"/>
          <w:noProof/>
          <w:color w:val="000000" w:themeColor="text1"/>
          <w:sz w:val="24"/>
          <w:szCs w:val="24"/>
          <w:lang w:eastAsia="en-AU"/>
        </w:rPr>
        <w:lastRenderedPageBreak/>
        <w:drawing>
          <wp:anchor distT="0" distB="0" distL="114300" distR="114300" simplePos="0" relativeHeight="251658240" behindDoc="0" locked="0" layoutInCell="1" allowOverlap="1" wp14:anchorId="4CA9FC4E" wp14:editId="34BD4909">
            <wp:simplePos x="903041" y="903041"/>
            <wp:positionH relativeFrom="margin">
              <wp:align>center</wp:align>
            </wp:positionH>
            <wp:positionV relativeFrom="margin">
              <wp:align>center</wp:align>
            </wp:positionV>
            <wp:extent cx="5745480" cy="7733400"/>
            <wp:effectExtent l="0" t="0" r="7620" b="1270"/>
            <wp:wrapSquare wrapText="bothSides"/>
            <wp:docPr id="544690324" name="Picture 544690324" descr="A flowchart provides guidance for how a project proponent can calculate the adjusted contribution to the net abatement amount from emissions avoidance for a project and the uncertainty buffer for the project area for the current year. The flowchart directs the reader to the appropriate Row in the table found in Schedule 1, s2 of this determination." title="Contribution of adjusted contribution to net abatement amount from emissions avo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3\home$\A18072\Profile\Desktop\Visio charts\Uncertainty Buffer Decision Tre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7733400"/>
                    </a:xfrm>
                    <a:prstGeom prst="rect">
                      <a:avLst/>
                    </a:prstGeom>
                    <a:noFill/>
                    <a:ln>
                      <a:noFill/>
                    </a:ln>
                  </pic:spPr>
                </pic:pic>
              </a:graphicData>
            </a:graphic>
          </wp:anchor>
        </w:drawing>
      </w:r>
    </w:p>
    <w:p w14:paraId="73F681F8" w14:textId="77777777" w:rsidR="0076059B" w:rsidRPr="00982930" w:rsidRDefault="0076059B" w:rsidP="008103FF">
      <w:pPr>
        <w:spacing w:after="160" w:line="276" w:lineRule="auto"/>
        <w:rPr>
          <w:rFonts w:ascii="Times New Roman" w:hAnsi="Times New Roman" w:cs="Times New Roman"/>
          <w:sz w:val="24"/>
          <w:szCs w:val="24"/>
        </w:rPr>
      </w:pPr>
    </w:p>
    <w:p w14:paraId="2DED0660" w14:textId="77777777" w:rsidR="000712D5" w:rsidRDefault="000712D5" w:rsidP="008103FF">
      <w:pPr>
        <w:spacing w:after="160" w:line="276" w:lineRule="auto"/>
        <w:rPr>
          <w:rFonts w:ascii="Times New Roman" w:hAnsi="Times New Roman" w:cs="Times New Roman"/>
          <w:sz w:val="24"/>
          <w:szCs w:val="24"/>
        </w:rPr>
      </w:pPr>
    </w:p>
    <w:p w14:paraId="4AC2D635" w14:textId="77777777" w:rsidR="000712D5" w:rsidRPr="00890C27" w:rsidRDefault="000712D5" w:rsidP="008103FF">
      <w:pPr>
        <w:spacing w:after="160" w:line="276" w:lineRule="auto"/>
        <w:rPr>
          <w:rFonts w:ascii="Times New Roman" w:hAnsi="Times New Roman" w:cs="Times New Roman"/>
          <w:sz w:val="24"/>
          <w:szCs w:val="24"/>
        </w:rPr>
      </w:pPr>
    </w:p>
    <w:p w14:paraId="101F8F76" w14:textId="6CDD6CAD"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b/>
          <w:sz w:val="24"/>
          <w:szCs w:val="24"/>
        </w:rPr>
      </w:pPr>
      <w:r w:rsidRPr="00890C27">
        <w:rPr>
          <w:rFonts w:ascii="Times New Roman" w:hAnsi="Times New Roman" w:cs="Times New Roman"/>
          <w:b/>
          <w:sz w:val="24"/>
          <w:szCs w:val="24"/>
        </w:rPr>
        <w:lastRenderedPageBreak/>
        <w:t xml:space="preserve">Examples: </w:t>
      </w:r>
      <w:r w:rsidR="00201E3A" w:rsidRPr="00890C27">
        <w:rPr>
          <w:rFonts w:ascii="Times New Roman" w:hAnsi="Times New Roman" w:cs="Times New Roman"/>
          <w:b/>
          <w:sz w:val="24"/>
          <w:szCs w:val="24"/>
        </w:rPr>
        <w:t>Calculation of adjusted contribution to net abatement amount from emissions avoidance</w:t>
      </w:r>
    </w:p>
    <w:p w14:paraId="25CF5ABD" w14:textId="1DE82A2C"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 xml:space="preserve">Each example corresponds to a row in the table in </w:t>
      </w:r>
      <w:r w:rsidR="00431D83">
        <w:rPr>
          <w:rFonts w:ascii="Times New Roman" w:hAnsi="Times New Roman" w:cs="Times New Roman"/>
          <w:i/>
          <w:sz w:val="24"/>
          <w:szCs w:val="24"/>
        </w:rPr>
        <w:t>clause</w:t>
      </w:r>
      <w:r w:rsidRPr="00890C27">
        <w:rPr>
          <w:rFonts w:ascii="Times New Roman" w:hAnsi="Times New Roman" w:cs="Times New Roman"/>
          <w:i/>
          <w:sz w:val="24"/>
          <w:szCs w:val="24"/>
        </w:rPr>
        <w:t xml:space="preserve"> 2 of Schedule 1.</w:t>
      </w:r>
    </w:p>
    <w:p w14:paraId="00164F19" w14:textId="78A4F22F"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 xml:space="preserve">For all examples the </w:t>
      </w:r>
      <w:r w:rsidRPr="00890C27">
        <w:rPr>
          <w:rFonts w:ascii="Times New Roman" w:hAnsi="Times New Roman" w:cs="Times New Roman"/>
          <w:i/>
          <w:color w:val="000000" w:themeColor="text1"/>
          <w:sz w:val="24"/>
          <w:szCs w:val="24"/>
        </w:rPr>
        <w:t>uncertainty buffer cap is equal to 4,500 t CO</w:t>
      </w:r>
      <w:r w:rsidRPr="00890C27">
        <w:rPr>
          <w:rFonts w:ascii="Times New Roman" w:hAnsi="Times New Roman" w:cs="Times New Roman"/>
          <w:i/>
          <w:color w:val="000000" w:themeColor="text1"/>
          <w:sz w:val="24"/>
          <w:szCs w:val="24"/>
          <w:vertAlign w:val="subscript"/>
        </w:rPr>
        <w:t>2</w:t>
      </w:r>
      <w:r w:rsidRPr="00890C27">
        <w:rPr>
          <w:rFonts w:ascii="Times New Roman" w:hAnsi="Times New Roman" w:cs="Times New Roman"/>
          <w:i/>
          <w:color w:val="000000" w:themeColor="text1"/>
          <w:sz w:val="24"/>
          <w:szCs w:val="24"/>
        </w:rPr>
        <w:t>-e.</w:t>
      </w:r>
    </w:p>
    <w:p w14:paraId="72E534EA"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1 – Row 1 of table</w:t>
      </w:r>
      <w:r w:rsidRPr="00890C27">
        <w:rPr>
          <w:rFonts w:ascii="Times New Roman" w:hAnsi="Times New Roman" w:cs="Times New Roman"/>
          <w:sz w:val="24"/>
          <w:szCs w:val="24"/>
        </w:rPr>
        <w:t xml:space="preserve"> </w:t>
      </w:r>
    </w:p>
    <w:p w14:paraId="5E2BF61C" w14:textId="33791428"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w:t>
      </w:r>
      <w:r w:rsidRPr="00890C27">
        <w:rPr>
          <w:rFonts w:ascii="Times New Roman" w:hAnsi="Times New Roman" w:cs="Times New Roman"/>
          <w:sz w:val="24"/>
          <w:szCs w:val="24"/>
        </w:rPr>
        <w:t>net abatement from emissions avoidance</w:t>
      </w:r>
      <w:r w:rsidRPr="00890C27">
        <w:rPr>
          <w:rFonts w:ascii="Times New Roman" w:hAnsi="Times New Roman" w:cs="Times New Roman"/>
          <w:color w:val="000000" w:themeColor="text1"/>
          <w:sz w:val="24"/>
          <w:szCs w:val="24"/>
        </w:rPr>
        <w:t xml:space="preserve"> this calendar year is -300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and the value of the uncertainty buffer at the end of the previous calendar year was 4,000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noBreakHyphen/>
        <w:t>e. Row 1 of the table applies because the sum of these amounts (3,700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softHyphen/>
        <w:t>-e)</w:t>
      </w:r>
      <w:r w:rsidRPr="00890C27">
        <w:rPr>
          <w:rFonts w:ascii="Times New Roman" w:hAnsi="Times New Roman" w:cs="Times New Roman"/>
          <w:color w:val="000000" w:themeColor="text1"/>
          <w:sz w:val="24"/>
          <w:szCs w:val="24"/>
        </w:rPr>
        <w:softHyphen/>
        <w:t xml:space="preserve"> is less than the uncertainty buffer cap (4,500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softHyphen/>
        <w:t>-e). Using the right</w:t>
      </w:r>
      <w:r w:rsidR="00764CE7" w:rsidRPr="00890C27">
        <w:rPr>
          <w:rFonts w:ascii="Times New Roman" w:hAnsi="Times New Roman" w:cs="Times New Roman"/>
          <w:color w:val="000000" w:themeColor="text1"/>
          <w:sz w:val="24"/>
          <w:szCs w:val="24"/>
        </w:rPr>
        <w:t>-</w:t>
      </w:r>
      <w:r w:rsidRPr="00890C27">
        <w:rPr>
          <w:rFonts w:ascii="Times New Roman" w:hAnsi="Times New Roman" w:cs="Times New Roman"/>
          <w:color w:val="000000" w:themeColor="text1"/>
          <w:sz w:val="24"/>
          <w:szCs w:val="24"/>
        </w:rPr>
        <w:t>hand columns of the table, the adjusted net annual abatement is zero and the value of the uncertainty buffer at the end of this calendar year is</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3,700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noBreakHyphen/>
        <w:t>e.</w:t>
      </w:r>
    </w:p>
    <w:p w14:paraId="578D7673"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2 – Row 2 of table</w:t>
      </w:r>
    </w:p>
    <w:p w14:paraId="6905F14B" w14:textId="10F49545"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project area being reported on has transferred from the </w:t>
      </w:r>
      <w:r w:rsidRPr="00890C27">
        <w:rPr>
          <w:rFonts w:ascii="Times New Roman" w:hAnsi="Times New Roman" w:cs="Times New Roman"/>
          <w:i/>
          <w:sz w:val="24"/>
          <w:szCs w:val="24"/>
        </w:rPr>
        <w:t>Carbon Credits (Carbon Farming Initiative—Emissions Abatement through Savanna Fire Management) Methodology Determination 2015</w:t>
      </w:r>
      <w:r w:rsidRPr="00890C27">
        <w:rPr>
          <w:rFonts w:ascii="Times New Roman" w:hAnsi="Times New Roman" w:cs="Times New Roman"/>
          <w:color w:val="000000" w:themeColor="text1"/>
          <w:sz w:val="24"/>
          <w:szCs w:val="24"/>
        </w:rPr>
        <w:t>, and brought with it from the previous year an uncertainty buffer of 6,000 t 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The </w:t>
      </w:r>
      <w:r w:rsidRPr="00890C27">
        <w:rPr>
          <w:rFonts w:ascii="Times New Roman" w:hAnsi="Times New Roman" w:cs="Times New Roman"/>
          <w:sz w:val="24"/>
          <w:szCs w:val="24"/>
        </w:rPr>
        <w:t>net abatement from emissions avoidance</w:t>
      </w:r>
      <w:r w:rsidRPr="00890C27">
        <w:rPr>
          <w:rFonts w:ascii="Times New Roman" w:hAnsi="Times New Roman" w:cs="Times New Roman"/>
          <w:color w:val="000000" w:themeColor="text1"/>
          <w:sz w:val="24"/>
          <w:szCs w:val="24"/>
        </w:rPr>
        <w:t xml:space="preserve"> this calendar year is -300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Row 2 of the table applies because the condition has been met: that is, the sum of these amounts (5,700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softHyphen/>
        <w:t>-e) is greater than the uncertainty buffer cap (4,500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softHyphen/>
        <w:t xml:space="preserve">-e). </w:t>
      </w:r>
    </w:p>
    <w:p w14:paraId="2406AA15"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adjusted net annual abatement is the sum of the net abatement for the year plus the previous year’s uncertainty buffer, minus the uncertainty buffer cap. That is: (-300) + (6,000) – (4,500) = 1,200 t 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w:t>
      </w:r>
    </w:p>
    <w:p w14:paraId="2EB7A752" w14:textId="567712CB"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value of the uncertainty buffer takes on the value of the uncertainty buffer cap (4,500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569AB766" w14:textId="699BEB55"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This example results in an adjusted contribution to the net abatement amount from emissions avoidance</w:t>
      </w:r>
      <w:r w:rsidR="00764CE7" w:rsidRPr="00890C27">
        <w:rPr>
          <w:rFonts w:ascii="Times New Roman" w:hAnsi="Times New Roman" w:cs="Times New Roman"/>
          <w:color w:val="000000" w:themeColor="text1"/>
          <w:sz w:val="24"/>
          <w:szCs w:val="24"/>
        </w:rPr>
        <w:t>,</w:t>
      </w:r>
      <w:r w:rsidRPr="00890C27">
        <w:rPr>
          <w:rFonts w:ascii="Times New Roman" w:hAnsi="Times New Roman" w:cs="Times New Roman"/>
          <w:color w:val="000000" w:themeColor="text1"/>
          <w:sz w:val="24"/>
          <w:szCs w:val="24"/>
        </w:rPr>
        <w:t xml:space="preserve"> which is positive, even though the actual net abatement for the project for the calendar year was negative. </w:t>
      </w:r>
    </w:p>
    <w:p w14:paraId="087AB041" w14:textId="77777777" w:rsidR="00CD2085" w:rsidRPr="00890C27" w:rsidRDefault="00CD2085"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lastRenderedPageBreak/>
        <w:t>Example 3 – Row 3 of table</w:t>
      </w:r>
    </w:p>
    <w:p w14:paraId="65C86C2D" w14:textId="65FF54A9" w:rsidR="00CD2085" w:rsidRPr="00890C27" w:rsidRDefault="00CD2085" w:rsidP="008103FF">
      <w:pPr>
        <w:keepNext/>
        <w:keepLines/>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w:t>
      </w:r>
      <w:r w:rsidRPr="00890C27">
        <w:rPr>
          <w:rFonts w:ascii="Times New Roman" w:hAnsi="Times New Roman" w:cs="Times New Roman"/>
          <w:sz w:val="24"/>
          <w:szCs w:val="24"/>
        </w:rPr>
        <w:t>net abatement from emissions avoidance</w:t>
      </w:r>
      <w:r w:rsidRPr="00890C27">
        <w:rPr>
          <w:rFonts w:ascii="Times New Roman" w:hAnsi="Times New Roman" w:cs="Times New Roman"/>
          <w:color w:val="000000" w:themeColor="text1"/>
          <w:sz w:val="24"/>
          <w:szCs w:val="24"/>
        </w:rPr>
        <w:t xml:space="preserve"> is 500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and the value of the uncertainty buffer at the end of the previous calendar year was -800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Row 3 of the table applies because the condition has been met: that is, the sum of these amounts (</w:t>
      </w:r>
      <w:r w:rsidRPr="00890C27">
        <w:rPr>
          <w:rFonts w:ascii="Times New Roman" w:hAnsi="Times New Roman" w:cs="Times New Roman"/>
          <w:color w:val="000000" w:themeColor="text1"/>
          <w:sz w:val="24"/>
          <w:szCs w:val="24"/>
        </w:rPr>
        <w:noBreakHyphen/>
        <w:t>300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softHyphen/>
        <w:t xml:space="preserve">-e) is less than zero. </w:t>
      </w:r>
    </w:p>
    <w:p w14:paraId="54EAEDE3" w14:textId="424FF8D8" w:rsidR="00CD2085" w:rsidRPr="00890C27" w:rsidRDefault="00CD2085" w:rsidP="008103FF">
      <w:pPr>
        <w:keepNext/>
        <w:keepLines/>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adjusted net annual abatement is 0</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w:t>
      </w:r>
    </w:p>
    <w:p w14:paraId="53B4FAC0" w14:textId="399F116E" w:rsidR="00CD2085" w:rsidRPr="00890C27" w:rsidRDefault="00CD2085" w:rsidP="008103FF">
      <w:pPr>
        <w:keepNext/>
        <w:keepLines/>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b/>
          <w:color w:val="000000" w:themeColor="text1"/>
          <w:sz w:val="24"/>
          <w:szCs w:val="24"/>
        </w:rPr>
      </w:pPr>
      <w:r w:rsidRPr="00890C27">
        <w:rPr>
          <w:rFonts w:ascii="Times New Roman" w:hAnsi="Times New Roman" w:cs="Times New Roman"/>
          <w:color w:val="000000" w:themeColor="text1"/>
          <w:sz w:val="24"/>
          <w:szCs w:val="24"/>
        </w:rPr>
        <w:t>The value of the uncertainty buffer takes on the value of the sum of the net abatement and the value of the previous year’s uncertainty buffer: (-800) + (500) = -300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03585617" w14:textId="4676EEE1"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In subsequent years, the uncertainty buffer must become positive before the </w:t>
      </w:r>
      <w:r w:rsidRPr="00890C27">
        <w:rPr>
          <w:rFonts w:ascii="Times New Roman" w:hAnsi="Times New Roman" w:cs="Times New Roman"/>
          <w:sz w:val="24"/>
          <w:szCs w:val="24"/>
        </w:rPr>
        <w:t>adjusted contribution to the net abatement from emissions avoidance for the project area for the project year will be positive.</w:t>
      </w:r>
    </w:p>
    <w:p w14:paraId="6EEB6973"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4 – Row 4 of table</w:t>
      </w:r>
    </w:p>
    <w:p w14:paraId="58394A5A" w14:textId="57EEA185"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The net abatement is 20,000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The value of the previous year’s uncertainty buffer is -1000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Row 4 of the table applies because two conditions have been met. Firstly, these two values sum to a positive number, 19,000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Secondly, 10% of the summed value (1,900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is less than the uncertainty buffer cap (4,500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28E635FD" w14:textId="7248C38D"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Therefore, the </w:t>
      </w:r>
      <w:r w:rsidRPr="00890C27">
        <w:rPr>
          <w:rFonts w:ascii="Times New Roman" w:hAnsi="Times New Roman" w:cs="Times New Roman"/>
          <w:sz w:val="24"/>
          <w:szCs w:val="24"/>
        </w:rPr>
        <w:t xml:space="preserve">adjusted contribution to the net abatement from emissions avoidance is 90% of the sum of the net abatement and the value of the previous year’s uncertainty buffer. That is: 0.9 x (20,000 -1000) = 17,100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20310529" w14:textId="0C295456"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uncertainty buffer for the current year is equal to 10% of the sum </w:t>
      </w:r>
      <w:r w:rsidRPr="00890C27">
        <w:rPr>
          <w:rFonts w:ascii="Times New Roman" w:hAnsi="Times New Roman" w:cs="Times New Roman"/>
          <w:sz w:val="24"/>
          <w:szCs w:val="24"/>
        </w:rPr>
        <w:t>of the net abatement and the value of the previous year’s uncertainty buffer. That is: 0.1 x (20,000 -1000) = 1,900</w:t>
      </w:r>
      <w:r w:rsidR="00877F86" w:rsidRPr="00890C27">
        <w:rPr>
          <w:rFonts w:ascii="Times New Roman" w:hAnsi="Times New Roman" w:cs="Times New Roman"/>
          <w:sz w:val="24"/>
          <w:szCs w:val="24"/>
        </w:rPr>
        <w:t xml:space="preserve">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139FB763"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5 – Row 5 of table</w:t>
      </w:r>
    </w:p>
    <w:p w14:paraId="714AFAFF" w14:textId="327F3D0C"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The net abatement is 65,000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The value of the previous year’s uncertainty buffer is negative at – 1,000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Row 5 of the table applies because, two conditions have been met. Firstly, these two values sum to a positive number, 64,000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Secondly, 10% of the summed value (6,400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is greater than the uncertainty buffer cap (4,500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648C0504" w14:textId="0403E653"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color w:val="000000" w:themeColor="text1"/>
          <w:sz w:val="24"/>
          <w:szCs w:val="24"/>
        </w:rPr>
        <w:t xml:space="preserve">Therefore, the </w:t>
      </w:r>
      <w:r w:rsidRPr="00890C27">
        <w:rPr>
          <w:rFonts w:ascii="Times New Roman" w:hAnsi="Times New Roman" w:cs="Times New Roman"/>
          <w:sz w:val="24"/>
          <w:szCs w:val="24"/>
        </w:rPr>
        <w:t xml:space="preserve">adjusted contribution to the net abatement from emissions avoidance is the net abatement plus the value of the uncertainty buffer for the previous year, less the value of the uncertainty buffer cap. That is, 65,000 + (-1000) – 4,500 = 59,500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w:t>
      </w:r>
    </w:p>
    <w:p w14:paraId="7DB02041" w14:textId="237C4B8D"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value of the uncertainty buffer for the current year is equal to the value of the uncertainty buffer cap (4,500 t 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w:t>
      </w:r>
    </w:p>
    <w:p w14:paraId="68D26575"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6 – Row 6 of table</w:t>
      </w:r>
    </w:p>
    <w:p w14:paraId="6A8B1F7B" w14:textId="2CB0A224"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The net abatement is 20,000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The value of the previous year’s uncertainty buffer is 2,000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Row 6 of the table applies because the condition has been met: that is, the sum of 10% of the net abatement and the value of the previous year’s uncertainty buffer is less than the uncertainty buffer cap (4,500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That is: 2,000 +2,000 = 4,000.</w:t>
      </w:r>
    </w:p>
    <w:p w14:paraId="764393B0" w14:textId="5AE2BF5B" w:rsidR="00CD2085" w:rsidRPr="00890C27" w:rsidRDefault="00CD2085" w:rsidP="165183F2">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165183F2">
        <w:rPr>
          <w:rFonts w:ascii="Times New Roman" w:hAnsi="Times New Roman" w:cs="Times New Roman"/>
          <w:color w:val="000000" w:themeColor="text1"/>
          <w:sz w:val="24"/>
          <w:szCs w:val="24"/>
        </w:rPr>
        <w:lastRenderedPageBreak/>
        <w:t xml:space="preserve">Therefore, the </w:t>
      </w:r>
      <w:r w:rsidRPr="165183F2">
        <w:rPr>
          <w:rFonts w:ascii="Times New Roman" w:hAnsi="Times New Roman" w:cs="Times New Roman"/>
          <w:sz w:val="24"/>
          <w:szCs w:val="24"/>
        </w:rPr>
        <w:t xml:space="preserve">adjusted contribution to the net abatement from emissions avoidance is 90% of the net abatement. That is: 0.9 </w:t>
      </w:r>
      <w:r w:rsidRPr="165183F2">
        <w:rPr>
          <w:rFonts w:ascii="Times New Roman" w:eastAsia="Symbol" w:hAnsi="Times New Roman" w:cs="Times New Roman"/>
          <w:sz w:val="24"/>
          <w:szCs w:val="24"/>
        </w:rPr>
        <w:t>´</w:t>
      </w:r>
      <w:r w:rsidRPr="165183F2">
        <w:rPr>
          <w:rFonts w:ascii="Times New Roman" w:hAnsi="Times New Roman" w:cs="Times New Roman"/>
          <w:sz w:val="24"/>
          <w:szCs w:val="24"/>
        </w:rPr>
        <w:t xml:space="preserve"> 20,000 </w:t>
      </w:r>
      <w:r w:rsidRPr="165183F2">
        <w:rPr>
          <w:rFonts w:ascii="Times New Roman" w:hAnsi="Times New Roman" w:cs="Times New Roman"/>
          <w:color w:val="000000" w:themeColor="text1"/>
          <w:sz w:val="24"/>
          <w:szCs w:val="24"/>
        </w:rPr>
        <w:t>t</w:t>
      </w:r>
      <w:r w:rsidR="00877F86" w:rsidRPr="165183F2">
        <w:rPr>
          <w:rFonts w:ascii="Times New Roman" w:hAnsi="Times New Roman" w:cs="Times New Roman"/>
          <w:color w:val="000000" w:themeColor="text1"/>
          <w:sz w:val="24"/>
          <w:szCs w:val="24"/>
        </w:rPr>
        <w:t xml:space="preserve"> </w:t>
      </w:r>
      <w:r w:rsidRPr="165183F2">
        <w:rPr>
          <w:rFonts w:ascii="Times New Roman" w:hAnsi="Times New Roman" w:cs="Times New Roman"/>
          <w:color w:val="000000" w:themeColor="text1"/>
          <w:sz w:val="24"/>
          <w:szCs w:val="24"/>
        </w:rPr>
        <w:t>CO</w:t>
      </w:r>
      <w:r w:rsidRPr="165183F2">
        <w:rPr>
          <w:rFonts w:ascii="Times New Roman" w:hAnsi="Times New Roman" w:cs="Times New Roman"/>
          <w:color w:val="000000" w:themeColor="text1"/>
          <w:sz w:val="24"/>
          <w:szCs w:val="24"/>
          <w:vertAlign w:val="subscript"/>
        </w:rPr>
        <w:t>2</w:t>
      </w:r>
      <w:r w:rsidRPr="165183F2">
        <w:rPr>
          <w:rFonts w:ascii="Times New Roman" w:hAnsi="Times New Roman" w:cs="Times New Roman"/>
          <w:color w:val="000000" w:themeColor="text1"/>
          <w:sz w:val="24"/>
          <w:szCs w:val="24"/>
        </w:rPr>
        <w:t>-e</w:t>
      </w:r>
      <w:r w:rsidRPr="165183F2">
        <w:rPr>
          <w:rFonts w:ascii="Times New Roman" w:hAnsi="Times New Roman" w:cs="Times New Roman"/>
          <w:sz w:val="24"/>
          <w:szCs w:val="24"/>
        </w:rPr>
        <w:t xml:space="preserve"> = 18,000 </w:t>
      </w:r>
      <w:r w:rsidRPr="165183F2">
        <w:rPr>
          <w:rFonts w:ascii="Times New Roman" w:hAnsi="Times New Roman" w:cs="Times New Roman"/>
          <w:color w:val="000000" w:themeColor="text1"/>
          <w:sz w:val="24"/>
          <w:szCs w:val="24"/>
        </w:rPr>
        <w:t>t</w:t>
      </w:r>
      <w:r w:rsidR="00877F86" w:rsidRPr="165183F2">
        <w:rPr>
          <w:rFonts w:ascii="Times New Roman" w:hAnsi="Times New Roman" w:cs="Times New Roman"/>
          <w:color w:val="000000" w:themeColor="text1"/>
          <w:sz w:val="24"/>
          <w:szCs w:val="24"/>
        </w:rPr>
        <w:t xml:space="preserve"> </w:t>
      </w:r>
      <w:r w:rsidRPr="165183F2">
        <w:rPr>
          <w:rFonts w:ascii="Times New Roman" w:hAnsi="Times New Roman" w:cs="Times New Roman"/>
          <w:color w:val="000000" w:themeColor="text1"/>
          <w:sz w:val="24"/>
          <w:szCs w:val="24"/>
        </w:rPr>
        <w:t>CO</w:t>
      </w:r>
      <w:r w:rsidRPr="165183F2">
        <w:rPr>
          <w:rFonts w:ascii="Times New Roman" w:hAnsi="Times New Roman" w:cs="Times New Roman"/>
          <w:color w:val="000000" w:themeColor="text1"/>
          <w:sz w:val="24"/>
          <w:szCs w:val="24"/>
          <w:vertAlign w:val="subscript"/>
        </w:rPr>
        <w:t>2</w:t>
      </w:r>
      <w:r w:rsidRPr="165183F2">
        <w:rPr>
          <w:rFonts w:ascii="Times New Roman" w:hAnsi="Times New Roman" w:cs="Times New Roman"/>
          <w:color w:val="000000" w:themeColor="text1"/>
          <w:sz w:val="24"/>
          <w:szCs w:val="24"/>
        </w:rPr>
        <w:t>-e.</w:t>
      </w:r>
    </w:p>
    <w:p w14:paraId="39D41D3E" w14:textId="29CD7F53"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value of the uncertainty buffer for the current year is equal to 10% of the net abatement added to the previous year’s uncertainty buffer. That is: 2,000 + 2,000 = 4,000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w:t>
      </w:r>
    </w:p>
    <w:p w14:paraId="1972AB31"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7 – Row 7 of table</w:t>
      </w:r>
    </w:p>
    <w:p w14:paraId="5F1E3E35" w14:textId="2DD87BD0"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The net abatement is 65,000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The value of the previous year’s uncertainty buffer is positive at 1,000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Row 7 of the table applies because the condition has been met: that is, the sum of 10% of the net abatement and the value of the previous year’s uncertainty buffer is greater than the uncertainty buffer cap (4,500 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-e). That is: 6,500 + 1,000 = 7,500.</w:t>
      </w:r>
    </w:p>
    <w:p w14:paraId="26455511" w14:textId="3AFB31AE"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color w:val="000000" w:themeColor="text1"/>
          <w:sz w:val="24"/>
          <w:szCs w:val="24"/>
        </w:rPr>
        <w:t xml:space="preserve">Therefore, the </w:t>
      </w:r>
      <w:r w:rsidRPr="00890C27">
        <w:rPr>
          <w:rFonts w:ascii="Times New Roman" w:hAnsi="Times New Roman" w:cs="Times New Roman"/>
          <w:sz w:val="24"/>
          <w:szCs w:val="24"/>
        </w:rPr>
        <w:t xml:space="preserve">adjusted contribution to the net abatement from emissions avoidance is the net abatement plus the value of the uncertainty buffer for the previous year, less the value of the uncertainty buffer cap. That is, 65,000 + 1000 – 4,500 = 61,500 </w:t>
      </w:r>
      <w:r w:rsidRPr="00890C27">
        <w:rPr>
          <w:rFonts w:ascii="Times New Roman" w:hAnsi="Times New Roman" w:cs="Times New Roman"/>
          <w:color w:val="000000" w:themeColor="text1"/>
          <w:sz w:val="24"/>
          <w:szCs w:val="24"/>
        </w:rPr>
        <w:t>t</w:t>
      </w:r>
      <w:r w:rsidR="00877F86" w:rsidRPr="00890C27">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w:t>
      </w:r>
    </w:p>
    <w:p w14:paraId="4CDD3089" w14:textId="77777777" w:rsidR="00CD2085" w:rsidRPr="00890C27" w:rsidRDefault="00CD2085"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The value of the uncertainty buffer for the current year is equal to the value of the uncertainty buffer cap (4,500 t CO</w:t>
      </w:r>
      <w:r w:rsidRPr="00890C27">
        <w:rPr>
          <w:rFonts w:ascii="Times New Roman" w:hAnsi="Times New Roman" w:cs="Times New Roman"/>
          <w:color w:val="000000" w:themeColor="text1"/>
          <w:sz w:val="24"/>
          <w:szCs w:val="24"/>
          <w:vertAlign w:val="subscript"/>
        </w:rPr>
        <w:t>2</w:t>
      </w:r>
      <w:r w:rsidRPr="00890C27">
        <w:rPr>
          <w:rFonts w:ascii="Times New Roman" w:hAnsi="Times New Roman" w:cs="Times New Roman"/>
          <w:color w:val="000000" w:themeColor="text1"/>
          <w:sz w:val="24"/>
          <w:szCs w:val="24"/>
        </w:rPr>
        <w:t xml:space="preserve">-e). </w:t>
      </w:r>
    </w:p>
    <w:p w14:paraId="52E50E30" w14:textId="2AC4445E" w:rsidR="0076059B" w:rsidRPr="00753AFD"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3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The previous year’s uncertainty buffer, </w:t>
      </w:r>
      <w:proofErr w:type="spellStart"/>
      <w:proofErr w:type="gramStart"/>
      <w:r w:rsidR="0076059B" w:rsidRPr="00753AFD">
        <w:rPr>
          <w:rFonts w:ascii="Times New Roman" w:hAnsi="Times New Roman" w:cs="Times New Roman"/>
          <w:i/>
          <w:sz w:val="24"/>
          <w:szCs w:val="24"/>
          <w:u w:val="single"/>
        </w:rPr>
        <w:t>B</w:t>
      </w:r>
      <w:r w:rsidR="0076059B" w:rsidRPr="00753AFD">
        <w:rPr>
          <w:rFonts w:ascii="Times New Roman" w:hAnsi="Times New Roman" w:cs="Times New Roman"/>
          <w:i/>
          <w:sz w:val="24"/>
          <w:szCs w:val="24"/>
          <w:u w:val="single"/>
          <w:vertAlign w:val="subscript"/>
        </w:rPr>
        <w:t>U,Prev</w:t>
      </w:r>
      <w:proofErr w:type="spellEnd"/>
      <w:proofErr w:type="gramEnd"/>
      <w:r w:rsidR="0076059B" w:rsidRPr="00753AFD">
        <w:rPr>
          <w:rFonts w:ascii="Times New Roman" w:hAnsi="Times New Roman" w:cs="Times New Roman"/>
          <w:i/>
          <w:sz w:val="24"/>
          <w:szCs w:val="24"/>
          <w:u w:val="single"/>
        </w:rPr>
        <w:t xml:space="preserve"> </w:t>
      </w:r>
    </w:p>
    <w:p w14:paraId="4AB71338" w14:textId="69589DAC" w:rsidR="007D5CB2" w:rsidRPr="00890C27" w:rsidRDefault="00431D83" w:rsidP="008103FF">
      <w:pPr>
        <w:spacing w:after="16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Clause</w:t>
      </w:r>
      <w:r w:rsidR="007D5CB2" w:rsidRPr="00890C27">
        <w:rPr>
          <w:rFonts w:ascii="Times New Roman" w:hAnsi="Times New Roman" w:cs="Times New Roman"/>
          <w:color w:val="000000" w:themeColor="text1"/>
          <w:sz w:val="24"/>
          <w:szCs w:val="24"/>
        </w:rPr>
        <w:t xml:space="preserve"> 3 of defines the value of the uncertainty buffer for the previous year,</w:t>
      </w:r>
      <w:r w:rsidR="00877F86" w:rsidRPr="00890C27">
        <w:rPr>
          <w:rFonts w:ascii="Times New Roman" w:hAnsi="Times New Roman" w:cs="Times New Roman"/>
          <w:color w:val="000000" w:themeColor="text1"/>
          <w:sz w:val="24"/>
          <w:szCs w:val="24"/>
        </w:rPr>
        <w:t xml:space="preserve"> </w:t>
      </w:r>
      <w:proofErr w:type="spellStart"/>
      <w:proofErr w:type="gramStart"/>
      <w:r w:rsidR="007D5CB2" w:rsidRPr="00890C27">
        <w:rPr>
          <w:rFonts w:ascii="Times New Roman" w:hAnsi="Times New Roman" w:cs="Times New Roman"/>
          <w:i/>
          <w:sz w:val="24"/>
          <w:szCs w:val="24"/>
        </w:rPr>
        <w:t>B</w:t>
      </w:r>
      <w:r w:rsidR="007D5CB2" w:rsidRPr="00890C27">
        <w:rPr>
          <w:rFonts w:ascii="Times New Roman" w:hAnsi="Times New Roman" w:cs="Times New Roman"/>
          <w:i/>
          <w:sz w:val="24"/>
          <w:szCs w:val="24"/>
          <w:vertAlign w:val="subscript"/>
        </w:rPr>
        <w:t>U,Prev</w:t>
      </w:r>
      <w:proofErr w:type="spellEnd"/>
      <w:proofErr w:type="gramEnd"/>
      <w:r w:rsidR="00004383" w:rsidRPr="00890C27">
        <w:rPr>
          <w:rFonts w:ascii="Times New Roman" w:hAnsi="Times New Roman" w:cs="Times New Roman"/>
          <w:color w:val="000000" w:themeColor="text1"/>
          <w:sz w:val="24"/>
          <w:szCs w:val="24"/>
        </w:rPr>
        <w:t xml:space="preserve"> for the purposes of </w:t>
      </w:r>
      <w:r w:rsidR="008C0E34" w:rsidRPr="00890C27">
        <w:rPr>
          <w:rFonts w:ascii="Times New Roman" w:hAnsi="Times New Roman" w:cs="Times New Roman"/>
          <w:color w:val="000000" w:themeColor="text1"/>
          <w:sz w:val="24"/>
          <w:szCs w:val="24"/>
        </w:rPr>
        <w:t>p</w:t>
      </w:r>
      <w:r w:rsidR="00004383" w:rsidRPr="00890C27">
        <w:rPr>
          <w:rFonts w:ascii="Times New Roman" w:hAnsi="Times New Roman" w:cs="Times New Roman"/>
          <w:color w:val="000000" w:themeColor="text1"/>
          <w:sz w:val="24"/>
          <w:szCs w:val="24"/>
        </w:rPr>
        <w:t xml:space="preserve">aragraph 2(a) and subject to </w:t>
      </w:r>
      <w:r>
        <w:rPr>
          <w:rFonts w:ascii="Times New Roman" w:hAnsi="Times New Roman" w:cs="Times New Roman"/>
          <w:color w:val="000000" w:themeColor="text1"/>
          <w:sz w:val="24"/>
          <w:szCs w:val="24"/>
        </w:rPr>
        <w:t>clause</w:t>
      </w:r>
      <w:r w:rsidR="00004383" w:rsidRPr="00890C27">
        <w:rPr>
          <w:rFonts w:ascii="Times New Roman" w:hAnsi="Times New Roman" w:cs="Times New Roman"/>
          <w:color w:val="000000" w:themeColor="text1"/>
          <w:sz w:val="24"/>
          <w:szCs w:val="24"/>
        </w:rPr>
        <w:t xml:space="preserve"> 12. </w:t>
      </w:r>
      <w:r>
        <w:rPr>
          <w:rFonts w:ascii="Times New Roman" w:hAnsi="Times New Roman" w:cs="Times New Roman"/>
          <w:color w:val="000000" w:themeColor="text1"/>
          <w:sz w:val="24"/>
          <w:szCs w:val="24"/>
        </w:rPr>
        <w:t>Clause</w:t>
      </w:r>
      <w:r w:rsidR="003A00E2" w:rsidRPr="00890C27">
        <w:rPr>
          <w:rFonts w:ascii="Times New Roman" w:hAnsi="Times New Roman" w:cs="Times New Roman"/>
          <w:sz w:val="24"/>
          <w:szCs w:val="24"/>
        </w:rPr>
        <w:t xml:space="preserve"> 12 provides for how to calculate the previous year’s uncertainty buffer when a project area is divided into subdivided project areas.</w:t>
      </w:r>
    </w:p>
    <w:p w14:paraId="6C6929AD" w14:textId="0B690040" w:rsidR="007D5CB2" w:rsidRPr="00890C27" w:rsidRDefault="008C0E34" w:rsidP="008103FF">
      <w:pPr>
        <w:spacing w:after="160" w:line="276" w:lineRule="auto"/>
        <w:rPr>
          <w:rFonts w:ascii="Times New Roman" w:hAnsi="Times New Roman" w:cs="Times New Roman"/>
          <w:sz w:val="24"/>
          <w:szCs w:val="24"/>
        </w:rPr>
      </w:pPr>
      <w:r w:rsidRPr="00890C27">
        <w:rPr>
          <w:rFonts w:ascii="Times New Roman" w:hAnsi="Times New Roman" w:cs="Times New Roman"/>
          <w:color w:val="000000" w:themeColor="text1"/>
          <w:sz w:val="24"/>
          <w:szCs w:val="24"/>
        </w:rPr>
        <w:t xml:space="preserve">Paragraph 3(1)(a) </w:t>
      </w:r>
      <w:r w:rsidR="005B736A" w:rsidRPr="00890C27">
        <w:rPr>
          <w:rFonts w:ascii="Times New Roman" w:hAnsi="Times New Roman" w:cs="Times New Roman"/>
          <w:color w:val="000000" w:themeColor="text1"/>
          <w:sz w:val="24"/>
          <w:szCs w:val="24"/>
        </w:rPr>
        <w:t xml:space="preserve">specifies that if it is </w:t>
      </w:r>
      <w:r w:rsidR="007D5CB2" w:rsidRPr="00890C27">
        <w:rPr>
          <w:rFonts w:ascii="Times New Roman" w:hAnsi="Times New Roman" w:cs="Times New Roman"/>
          <w:color w:val="000000" w:themeColor="text1"/>
          <w:sz w:val="24"/>
          <w:szCs w:val="24"/>
        </w:rPr>
        <w:t>the first calendar year of the project, or the uncertainty buffer was not calculated under a former determination,</w:t>
      </w:r>
      <w:r w:rsidR="00556AD1" w:rsidRPr="00890C27">
        <w:rPr>
          <w:rFonts w:ascii="Times New Roman" w:hAnsi="Times New Roman" w:cs="Times New Roman"/>
          <w:color w:val="000000" w:themeColor="text1"/>
          <w:sz w:val="24"/>
          <w:szCs w:val="24"/>
        </w:rPr>
        <w:t xml:space="preserve"> </w:t>
      </w:r>
      <w:r w:rsidR="007D5CB2" w:rsidRPr="00890C27">
        <w:rPr>
          <w:rFonts w:ascii="Times New Roman" w:hAnsi="Times New Roman" w:cs="Times New Roman"/>
          <w:sz w:val="24"/>
          <w:szCs w:val="24"/>
        </w:rPr>
        <w:t xml:space="preserve">then the value for </w:t>
      </w:r>
      <w:proofErr w:type="spellStart"/>
      <w:proofErr w:type="gramStart"/>
      <w:r w:rsidR="007D5CB2" w:rsidRPr="00890C27">
        <w:rPr>
          <w:rFonts w:ascii="Times New Roman" w:hAnsi="Times New Roman" w:cs="Times New Roman"/>
          <w:i/>
          <w:sz w:val="24"/>
          <w:szCs w:val="24"/>
        </w:rPr>
        <w:t>B</w:t>
      </w:r>
      <w:r w:rsidR="007D5CB2" w:rsidRPr="00890C27">
        <w:rPr>
          <w:rFonts w:ascii="Times New Roman" w:hAnsi="Times New Roman" w:cs="Times New Roman"/>
          <w:i/>
          <w:sz w:val="24"/>
          <w:szCs w:val="24"/>
          <w:vertAlign w:val="subscript"/>
        </w:rPr>
        <w:t>U,Prev</w:t>
      </w:r>
      <w:proofErr w:type="spellEnd"/>
      <w:proofErr w:type="gramEnd"/>
      <w:r w:rsidR="007D5CB2" w:rsidRPr="00890C27">
        <w:rPr>
          <w:rFonts w:ascii="Times New Roman" w:hAnsi="Times New Roman" w:cs="Times New Roman"/>
          <w:sz w:val="24"/>
          <w:szCs w:val="24"/>
        </w:rPr>
        <w:t xml:space="preserve"> is zero.</w:t>
      </w:r>
    </w:p>
    <w:p w14:paraId="6FBEF1C3" w14:textId="4A86C186" w:rsidR="00367A99" w:rsidRPr="00890C27" w:rsidRDefault="00556AD1"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A </w:t>
      </w:r>
      <w:r w:rsidR="006F434D" w:rsidRPr="00890C27">
        <w:rPr>
          <w:rFonts w:ascii="Times New Roman" w:hAnsi="Times New Roman" w:cs="Times New Roman"/>
          <w:sz w:val="24"/>
          <w:szCs w:val="24"/>
        </w:rPr>
        <w:t>note</w:t>
      </w:r>
      <w:r w:rsidRPr="00890C27">
        <w:rPr>
          <w:rFonts w:ascii="Times New Roman" w:hAnsi="Times New Roman" w:cs="Times New Roman"/>
          <w:sz w:val="24"/>
          <w:szCs w:val="24"/>
        </w:rPr>
        <w:t xml:space="preserve"> </w:t>
      </w:r>
      <w:r w:rsidR="00DC1084" w:rsidRPr="00890C27">
        <w:rPr>
          <w:rFonts w:ascii="Times New Roman" w:hAnsi="Times New Roman" w:cs="Times New Roman"/>
          <w:sz w:val="24"/>
          <w:szCs w:val="24"/>
        </w:rPr>
        <w:t>states</w:t>
      </w:r>
      <w:r w:rsidRPr="00890C27">
        <w:rPr>
          <w:rFonts w:ascii="Times New Roman" w:hAnsi="Times New Roman" w:cs="Times New Roman"/>
          <w:sz w:val="24"/>
          <w:szCs w:val="24"/>
        </w:rPr>
        <w:t xml:space="preserve"> that the uncertainty buffer might have been calculated as the current</w:t>
      </w:r>
      <w:r w:rsidR="004A702B" w:rsidRPr="00890C27">
        <w:rPr>
          <w:rFonts w:ascii="Times New Roman" w:hAnsi="Times New Roman" w:cs="Times New Roman"/>
          <w:sz w:val="24"/>
          <w:szCs w:val="24"/>
        </w:rPr>
        <w:t xml:space="preserve"> </w:t>
      </w:r>
      <w:r w:rsidRPr="00890C27">
        <w:rPr>
          <w:rFonts w:ascii="Times New Roman" w:hAnsi="Times New Roman" w:cs="Times New Roman"/>
          <w:sz w:val="24"/>
          <w:szCs w:val="24"/>
        </w:rPr>
        <w:t xml:space="preserve">year’s uncertainty buffer </w:t>
      </w:r>
      <w:proofErr w:type="spellStart"/>
      <w:r w:rsidRPr="00753AFD">
        <w:rPr>
          <w:rFonts w:ascii="Times New Roman" w:hAnsi="Times New Roman" w:cs="Times New Roman"/>
          <w:i/>
          <w:sz w:val="24"/>
          <w:szCs w:val="24"/>
        </w:rPr>
        <w:t>B</w:t>
      </w:r>
      <w:r w:rsidRPr="00753AFD">
        <w:rPr>
          <w:rFonts w:ascii="Times New Roman" w:hAnsi="Times New Roman" w:cs="Times New Roman"/>
          <w:i/>
          <w:sz w:val="24"/>
          <w:szCs w:val="24"/>
          <w:vertAlign w:val="subscript"/>
        </w:rPr>
        <w:t>U,Curr</w:t>
      </w:r>
      <w:proofErr w:type="spellEnd"/>
      <w:r w:rsidRPr="00890C27">
        <w:rPr>
          <w:rFonts w:ascii="Times New Roman" w:hAnsi="Times New Roman" w:cs="Times New Roman"/>
          <w:sz w:val="24"/>
          <w:szCs w:val="24"/>
          <w:vertAlign w:val="subscript"/>
        </w:rPr>
        <w:t xml:space="preserve"> </w:t>
      </w:r>
      <w:r w:rsidRPr="00890C27">
        <w:rPr>
          <w:rFonts w:ascii="Times New Roman" w:hAnsi="Times New Roman" w:cs="Times New Roman"/>
          <w:sz w:val="24"/>
          <w:szCs w:val="24"/>
        </w:rPr>
        <w:t xml:space="preserve">under </w:t>
      </w:r>
      <w:r w:rsidR="0066508D">
        <w:rPr>
          <w:rFonts w:ascii="Times New Roman" w:hAnsi="Times New Roman" w:cs="Times New Roman"/>
          <w:sz w:val="24"/>
          <w:szCs w:val="24"/>
        </w:rPr>
        <w:t>the</w:t>
      </w:r>
      <w:r w:rsidR="0066508D" w:rsidRPr="00890C27">
        <w:rPr>
          <w:rFonts w:ascii="Times New Roman" w:hAnsi="Times New Roman" w:cs="Times New Roman"/>
          <w:sz w:val="24"/>
          <w:szCs w:val="24"/>
        </w:rPr>
        <w:t xml:space="preserve"> </w:t>
      </w:r>
      <w:r w:rsidR="004D74F5">
        <w:rPr>
          <w:rFonts w:ascii="Times New Roman" w:hAnsi="Times New Roman" w:cs="Times New Roman"/>
          <w:sz w:val="24"/>
          <w:szCs w:val="24"/>
        </w:rPr>
        <w:t>d</w:t>
      </w:r>
      <w:r w:rsidRPr="00890C27">
        <w:rPr>
          <w:rFonts w:ascii="Times New Roman" w:hAnsi="Times New Roman" w:cs="Times New Roman"/>
          <w:sz w:val="24"/>
          <w:szCs w:val="24"/>
        </w:rPr>
        <w:t xml:space="preserve">etermination or the </w:t>
      </w:r>
      <w:r w:rsidRPr="00890C27">
        <w:rPr>
          <w:rFonts w:ascii="Times New Roman" w:hAnsi="Times New Roman" w:cs="Times New Roman"/>
          <w:i/>
          <w:sz w:val="24"/>
          <w:szCs w:val="24"/>
        </w:rPr>
        <w:t>Carbon Credits (Carbon Farming Initiative—Savanna Fire Management—Emissions Avoidance) Methodology Determination 2025</w:t>
      </w:r>
      <w:r w:rsidRPr="00890C27">
        <w:rPr>
          <w:rFonts w:ascii="Times New Roman" w:hAnsi="Times New Roman" w:cs="Times New Roman"/>
          <w:sz w:val="24"/>
          <w:szCs w:val="24"/>
        </w:rPr>
        <w:t xml:space="preserve"> or the </w:t>
      </w:r>
      <w:r w:rsidRPr="00890C27">
        <w:rPr>
          <w:rFonts w:ascii="Times New Roman" w:hAnsi="Times New Roman" w:cs="Times New Roman"/>
          <w:i/>
          <w:sz w:val="24"/>
          <w:szCs w:val="24"/>
        </w:rPr>
        <w:t>Carbon Credits (Carbon Farming Initiative—Savanna Fire Management—Emissions Avoidance) Methodology Determination 2018</w:t>
      </w:r>
      <w:r w:rsidR="004A702B" w:rsidRPr="00890C27">
        <w:rPr>
          <w:rFonts w:ascii="Times New Roman" w:hAnsi="Times New Roman" w:cs="Times New Roman"/>
          <w:sz w:val="24"/>
          <w:szCs w:val="24"/>
        </w:rPr>
        <w:t xml:space="preserve"> </w:t>
      </w:r>
      <w:r w:rsidRPr="00890C27">
        <w:rPr>
          <w:rFonts w:ascii="Times New Roman" w:hAnsi="Times New Roman" w:cs="Times New Roman"/>
          <w:sz w:val="24"/>
          <w:szCs w:val="24"/>
        </w:rPr>
        <w:t xml:space="preserve">or the </w:t>
      </w:r>
      <w:r w:rsidRPr="00890C27">
        <w:rPr>
          <w:rFonts w:ascii="Times New Roman" w:hAnsi="Times New Roman" w:cs="Times New Roman"/>
          <w:i/>
          <w:sz w:val="24"/>
          <w:szCs w:val="24"/>
        </w:rPr>
        <w:t>Carbon Credits (Carbon Farming Initiative—Savanna Fire Management—</w:t>
      </w:r>
      <w:r w:rsidR="004A702B" w:rsidRPr="00890C27">
        <w:rPr>
          <w:rFonts w:ascii="Times New Roman" w:hAnsi="Times New Roman" w:cs="Times New Roman"/>
          <w:i/>
          <w:sz w:val="24"/>
          <w:szCs w:val="24"/>
        </w:rPr>
        <w:t xml:space="preserve"> </w:t>
      </w:r>
      <w:r w:rsidRPr="00890C27">
        <w:rPr>
          <w:rFonts w:ascii="Times New Roman" w:hAnsi="Times New Roman" w:cs="Times New Roman"/>
          <w:i/>
          <w:sz w:val="24"/>
          <w:szCs w:val="24"/>
        </w:rPr>
        <w:t>Sequestration and Emissions Avoidance) Methodology Determination 2018</w:t>
      </w:r>
      <w:r w:rsidRPr="00890C27">
        <w:rPr>
          <w:rFonts w:ascii="Times New Roman" w:hAnsi="Times New Roman" w:cs="Times New Roman"/>
          <w:sz w:val="24"/>
          <w:szCs w:val="24"/>
        </w:rPr>
        <w:t xml:space="preserve">, or as the amount </w:t>
      </w:r>
      <w:r w:rsidRPr="00890C27">
        <w:rPr>
          <w:rFonts w:ascii="Times New Roman" w:hAnsi="Times New Roman" w:cs="Times New Roman"/>
          <w:i/>
          <w:sz w:val="24"/>
          <w:szCs w:val="24"/>
        </w:rPr>
        <w:t>R</w:t>
      </w:r>
      <w:r w:rsidRPr="00890C27">
        <w:rPr>
          <w:rFonts w:ascii="Times New Roman" w:hAnsi="Times New Roman" w:cs="Times New Roman"/>
          <w:i/>
          <w:sz w:val="24"/>
          <w:szCs w:val="24"/>
          <w:vertAlign w:val="subscript"/>
        </w:rPr>
        <w:t>y</w:t>
      </w:r>
      <w:r w:rsidRPr="00890C27">
        <w:rPr>
          <w:rFonts w:ascii="Times New Roman" w:hAnsi="Times New Roman" w:cs="Times New Roman"/>
          <w:sz w:val="24"/>
          <w:szCs w:val="24"/>
        </w:rPr>
        <w:t xml:space="preserve"> under the </w:t>
      </w:r>
      <w:r w:rsidRPr="00890C27">
        <w:rPr>
          <w:rFonts w:ascii="Times New Roman" w:hAnsi="Times New Roman" w:cs="Times New Roman"/>
          <w:i/>
          <w:sz w:val="24"/>
          <w:szCs w:val="24"/>
        </w:rPr>
        <w:t>Carbon Credits (Carbon Farming Initiative—Emissions Abatement through Savanna Fire Management) Methodology Determination 2015</w:t>
      </w:r>
      <w:r w:rsidRPr="00890C27">
        <w:rPr>
          <w:rFonts w:ascii="Times New Roman" w:hAnsi="Times New Roman" w:cs="Times New Roman"/>
          <w:sz w:val="24"/>
          <w:szCs w:val="24"/>
        </w:rPr>
        <w:t>.</w:t>
      </w:r>
    </w:p>
    <w:p w14:paraId="54BAFB27" w14:textId="6078F333" w:rsidR="00C41C44" w:rsidRPr="00890C27" w:rsidRDefault="007D5CB2"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Sub</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3(2)</w:t>
      </w:r>
      <w:r w:rsidR="00367A99" w:rsidRPr="00890C27">
        <w:rPr>
          <w:rFonts w:ascii="Times New Roman" w:hAnsi="Times New Roman" w:cs="Times New Roman"/>
          <w:sz w:val="24"/>
          <w:szCs w:val="24"/>
        </w:rPr>
        <w:t xml:space="preserve"> provides that </w:t>
      </w:r>
      <w:r w:rsidRPr="00890C27">
        <w:rPr>
          <w:rFonts w:ascii="Times New Roman" w:hAnsi="Times New Roman" w:cs="Times New Roman"/>
          <w:sz w:val="24"/>
          <w:szCs w:val="24"/>
        </w:rPr>
        <w:t xml:space="preserve">if the project had been reported on for that year, the relevant value for the purposes of paragraph 3(1)(a) is the value reported in the offsets report. </w:t>
      </w:r>
    </w:p>
    <w:p w14:paraId="0FEC763A" w14:textId="2E22829D" w:rsidR="007D5CB2" w:rsidRPr="00890C27" w:rsidRDefault="006F434D"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A note </w:t>
      </w:r>
      <w:r w:rsidR="00DC1084" w:rsidRPr="165183F2">
        <w:rPr>
          <w:rFonts w:ascii="Times New Roman" w:hAnsi="Times New Roman" w:cs="Times New Roman"/>
          <w:sz w:val="24"/>
          <w:szCs w:val="24"/>
        </w:rPr>
        <w:t>states</w:t>
      </w:r>
      <w:r w:rsidRPr="165183F2">
        <w:rPr>
          <w:rFonts w:ascii="Times New Roman" w:hAnsi="Times New Roman" w:cs="Times New Roman"/>
          <w:sz w:val="24"/>
          <w:szCs w:val="24"/>
        </w:rPr>
        <w:t xml:space="preserve"> that</w:t>
      </w:r>
      <w:r w:rsidR="007D5CB2" w:rsidRPr="165183F2">
        <w:rPr>
          <w:rFonts w:ascii="Times New Roman" w:hAnsi="Times New Roman" w:cs="Times New Roman"/>
          <w:sz w:val="24"/>
          <w:szCs w:val="24"/>
        </w:rPr>
        <w:t xml:space="preserve"> paragraph 3(1)(a) can be modified in some cases in line with paragraph 2</w:t>
      </w:r>
      <w:r w:rsidR="57C4AD71" w:rsidRPr="165183F2">
        <w:rPr>
          <w:rFonts w:ascii="Times New Roman" w:hAnsi="Times New Roman" w:cs="Times New Roman"/>
          <w:sz w:val="24"/>
          <w:szCs w:val="24"/>
        </w:rPr>
        <w:t>3</w:t>
      </w:r>
      <w:r w:rsidR="007D5CB2" w:rsidRPr="165183F2">
        <w:rPr>
          <w:rFonts w:ascii="Times New Roman" w:hAnsi="Times New Roman" w:cs="Times New Roman"/>
          <w:sz w:val="24"/>
          <w:szCs w:val="24"/>
        </w:rPr>
        <w:t xml:space="preserve">(2)(c)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7D5CB2" w:rsidRPr="165183F2">
        <w:rPr>
          <w:rFonts w:ascii="Times New Roman" w:hAnsi="Times New Roman" w:cs="Times New Roman"/>
          <w:sz w:val="24"/>
          <w:szCs w:val="24"/>
        </w:rPr>
        <w:t>. That is, if the requirement in lieu of the newness requirement set out in paragraph 2</w:t>
      </w:r>
      <w:r w:rsidR="3779A2F8" w:rsidRPr="165183F2">
        <w:rPr>
          <w:rFonts w:ascii="Times New Roman" w:hAnsi="Times New Roman" w:cs="Times New Roman"/>
          <w:sz w:val="24"/>
          <w:szCs w:val="24"/>
        </w:rPr>
        <w:t>3</w:t>
      </w:r>
      <w:r w:rsidR="007D5CB2" w:rsidRPr="165183F2">
        <w:rPr>
          <w:rFonts w:ascii="Times New Roman" w:hAnsi="Times New Roman" w:cs="Times New Roman"/>
          <w:sz w:val="24"/>
          <w:szCs w:val="24"/>
        </w:rPr>
        <w:t xml:space="preserve">(2)(c)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7D5CB2" w:rsidRPr="165183F2">
        <w:rPr>
          <w:rFonts w:ascii="Times New Roman" w:hAnsi="Times New Roman" w:cs="Times New Roman"/>
          <w:sz w:val="24"/>
          <w:szCs w:val="24"/>
        </w:rPr>
        <w:t xml:space="preserve"> is met, disregard any value for the uncertainty buffer that might have been calculated for the project area referred to in paragraph 2</w:t>
      </w:r>
      <w:r w:rsidR="178636BA" w:rsidRPr="165183F2">
        <w:rPr>
          <w:rFonts w:ascii="Times New Roman" w:hAnsi="Times New Roman" w:cs="Times New Roman"/>
          <w:sz w:val="24"/>
          <w:szCs w:val="24"/>
        </w:rPr>
        <w:t>3</w:t>
      </w:r>
      <w:r w:rsidR="007D5CB2" w:rsidRPr="165183F2">
        <w:rPr>
          <w:rFonts w:ascii="Times New Roman" w:hAnsi="Times New Roman" w:cs="Times New Roman"/>
          <w:sz w:val="24"/>
          <w:szCs w:val="24"/>
        </w:rPr>
        <w:t xml:space="preserve">(2)(c)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7D5CB2" w:rsidRPr="165183F2">
        <w:rPr>
          <w:rFonts w:ascii="Times New Roman" w:hAnsi="Times New Roman" w:cs="Times New Roman"/>
          <w:sz w:val="24"/>
          <w:szCs w:val="24"/>
        </w:rPr>
        <w:t>, in accordance with subparagraph 2</w:t>
      </w:r>
      <w:r w:rsidR="11DC030C" w:rsidRPr="165183F2">
        <w:rPr>
          <w:rFonts w:ascii="Times New Roman" w:hAnsi="Times New Roman" w:cs="Times New Roman"/>
          <w:sz w:val="24"/>
          <w:szCs w:val="24"/>
        </w:rPr>
        <w:t>3</w:t>
      </w:r>
      <w:r w:rsidR="007D5CB2" w:rsidRPr="165183F2">
        <w:rPr>
          <w:rFonts w:ascii="Times New Roman" w:hAnsi="Times New Roman" w:cs="Times New Roman"/>
          <w:sz w:val="24"/>
          <w:szCs w:val="24"/>
        </w:rPr>
        <w:t>(3)(</w:t>
      </w:r>
      <w:r w:rsidR="48A13A8D" w:rsidRPr="165183F2">
        <w:rPr>
          <w:rFonts w:ascii="Times New Roman" w:hAnsi="Times New Roman" w:cs="Times New Roman"/>
          <w:sz w:val="24"/>
          <w:szCs w:val="24"/>
        </w:rPr>
        <w:t>c</w:t>
      </w:r>
      <w:r w:rsidR="007D5CB2" w:rsidRPr="165183F2">
        <w:rPr>
          <w:rFonts w:ascii="Times New Roman" w:hAnsi="Times New Roman" w:cs="Times New Roman"/>
          <w:sz w:val="24"/>
          <w:szCs w:val="24"/>
        </w:rPr>
        <w:t>)(</w:t>
      </w:r>
      <w:proofErr w:type="spellStart"/>
      <w:r w:rsidR="007D5CB2" w:rsidRPr="165183F2">
        <w:rPr>
          <w:rFonts w:ascii="Times New Roman" w:hAnsi="Times New Roman" w:cs="Times New Roman"/>
          <w:sz w:val="24"/>
          <w:szCs w:val="24"/>
        </w:rPr>
        <w:t>i</w:t>
      </w:r>
      <w:proofErr w:type="spellEnd"/>
      <w:r w:rsidR="007D5CB2" w:rsidRPr="165183F2">
        <w:rPr>
          <w:rFonts w:ascii="Times New Roman" w:hAnsi="Times New Roman" w:cs="Times New Roman"/>
          <w:sz w:val="24"/>
          <w:szCs w:val="24"/>
        </w:rPr>
        <w:t xml:space="preserve">)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lastRenderedPageBreak/>
        <w:t>determination</w:t>
      </w:r>
      <w:r w:rsidR="007D5CB2" w:rsidRPr="165183F2">
        <w:rPr>
          <w:rFonts w:ascii="Times New Roman" w:hAnsi="Times New Roman" w:cs="Times New Roman"/>
          <w:sz w:val="24"/>
          <w:szCs w:val="24"/>
        </w:rPr>
        <w:t xml:space="preserve">. As a result, for projects affected by this provision, the value for the uncertainty buffer </w:t>
      </w:r>
      <w:proofErr w:type="spellStart"/>
      <w:proofErr w:type="gramStart"/>
      <w:r w:rsidR="007D5CB2" w:rsidRPr="165183F2">
        <w:rPr>
          <w:rFonts w:ascii="Times New Roman" w:hAnsi="Times New Roman" w:cs="Times New Roman"/>
          <w:i/>
          <w:iCs/>
          <w:sz w:val="24"/>
          <w:szCs w:val="24"/>
        </w:rPr>
        <w:t>B</w:t>
      </w:r>
      <w:r w:rsidR="007D5CB2" w:rsidRPr="165183F2">
        <w:rPr>
          <w:rFonts w:ascii="Times New Roman" w:hAnsi="Times New Roman" w:cs="Times New Roman"/>
          <w:i/>
          <w:iCs/>
          <w:sz w:val="24"/>
          <w:szCs w:val="24"/>
          <w:vertAlign w:val="subscript"/>
        </w:rPr>
        <w:t>U,Prev</w:t>
      </w:r>
      <w:proofErr w:type="spellEnd"/>
      <w:proofErr w:type="gramEnd"/>
      <w:r w:rsidR="007D5CB2" w:rsidRPr="165183F2">
        <w:rPr>
          <w:rFonts w:ascii="Times New Roman" w:hAnsi="Times New Roman" w:cs="Times New Roman"/>
          <w:i/>
          <w:iCs/>
          <w:sz w:val="24"/>
          <w:szCs w:val="24"/>
        </w:rPr>
        <w:t xml:space="preserve"> </w:t>
      </w:r>
      <w:r w:rsidR="007D5CB2" w:rsidRPr="165183F2">
        <w:rPr>
          <w:rFonts w:ascii="Times New Roman" w:hAnsi="Times New Roman" w:cs="Times New Roman"/>
          <w:sz w:val="24"/>
          <w:szCs w:val="24"/>
        </w:rPr>
        <w:t xml:space="preserve">in the first calendar year under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007D5CB2" w:rsidRPr="165183F2">
        <w:rPr>
          <w:rFonts w:ascii="Times New Roman" w:hAnsi="Times New Roman" w:cs="Times New Roman"/>
          <w:sz w:val="24"/>
          <w:szCs w:val="24"/>
        </w:rPr>
        <w:t xml:space="preserve"> is taken to be equal to zero. This applies in the situation where a project had been undertaken in the project area or part of the project area, but no </w:t>
      </w:r>
      <w:r w:rsidR="00EC0F41" w:rsidRPr="165183F2">
        <w:rPr>
          <w:rFonts w:ascii="Times New Roman" w:hAnsi="Times New Roman" w:cs="Times New Roman"/>
          <w:sz w:val="24"/>
          <w:szCs w:val="24"/>
        </w:rPr>
        <w:t>ACCUs</w:t>
      </w:r>
      <w:r w:rsidR="007D5CB2" w:rsidRPr="165183F2">
        <w:rPr>
          <w:rFonts w:ascii="Times New Roman" w:hAnsi="Times New Roman" w:cs="Times New Roman"/>
          <w:sz w:val="24"/>
          <w:szCs w:val="24"/>
        </w:rPr>
        <w:t xml:space="preserve"> have been issued in relation to any part of the project area while </w:t>
      </w:r>
      <w:r w:rsidR="001B136C" w:rsidRPr="165183F2">
        <w:rPr>
          <w:rFonts w:ascii="Times New Roman" w:hAnsi="Times New Roman" w:cs="Times New Roman"/>
          <w:sz w:val="24"/>
          <w:szCs w:val="24"/>
        </w:rPr>
        <w:t>it</w:t>
      </w:r>
      <w:r w:rsidR="007D5CB2" w:rsidRPr="165183F2">
        <w:rPr>
          <w:rFonts w:ascii="Times New Roman" w:hAnsi="Times New Roman" w:cs="Times New Roman"/>
          <w:sz w:val="24"/>
          <w:szCs w:val="24"/>
        </w:rPr>
        <w:t xml:space="preserve"> was covered by any such methodology determination.</w:t>
      </w:r>
    </w:p>
    <w:p w14:paraId="110F515C" w14:textId="1BF37770" w:rsidR="0076059B" w:rsidRPr="00753AFD"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4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The contribution to the net abatement amount from emissions avoidance for a calendar year, </w:t>
      </w:r>
      <w:r w:rsidR="0076059B" w:rsidRPr="00753AFD">
        <w:rPr>
          <w:rFonts w:ascii="Times New Roman" w:hAnsi="Times New Roman" w:cs="Times New Roman"/>
          <w:u w:val="single"/>
        </w:rPr>
        <w:t>A</w:t>
      </w:r>
      <w:r w:rsidR="0076059B" w:rsidRPr="00753AFD">
        <w:rPr>
          <w:rFonts w:ascii="Times New Roman" w:hAnsi="Times New Roman" w:cs="Times New Roman"/>
          <w:u w:val="single"/>
          <w:vertAlign w:val="subscript"/>
        </w:rPr>
        <w:t>EA</w:t>
      </w:r>
    </w:p>
    <w:p w14:paraId="20CD86AA" w14:textId="09CC7F14" w:rsidR="00134306" w:rsidRDefault="00431D83" w:rsidP="008103FF">
      <w:pPr>
        <w:spacing w:after="160" w:line="276" w:lineRule="auto"/>
        <w:rPr>
          <w:rFonts w:ascii="Times New Roman" w:hAnsi="Times New Roman" w:cs="Times New Roman"/>
          <w:sz w:val="24"/>
          <w:szCs w:val="24"/>
        </w:rPr>
      </w:pPr>
      <w:r>
        <w:rPr>
          <w:rFonts w:ascii="Times New Roman" w:hAnsi="Times New Roman" w:cs="Times New Roman"/>
          <w:color w:val="000000" w:themeColor="text1"/>
          <w:sz w:val="24"/>
          <w:szCs w:val="24"/>
        </w:rPr>
        <w:t>Clause</w:t>
      </w:r>
      <w:r w:rsidR="006E3E38" w:rsidRPr="00890C27">
        <w:rPr>
          <w:rFonts w:ascii="Times New Roman" w:hAnsi="Times New Roman" w:cs="Times New Roman"/>
          <w:color w:val="000000" w:themeColor="text1"/>
          <w:sz w:val="24"/>
          <w:szCs w:val="24"/>
        </w:rPr>
        <w:t xml:space="preserve"> 4 provides a definition of </w:t>
      </w:r>
      <w:proofErr w:type="gramStart"/>
      <w:r w:rsidR="006E3E38" w:rsidRPr="00890C27">
        <w:rPr>
          <w:rFonts w:ascii="Times New Roman" w:hAnsi="Times New Roman" w:cs="Times New Roman"/>
          <w:i/>
          <w:sz w:val="24"/>
          <w:szCs w:val="24"/>
        </w:rPr>
        <w:t>A</w:t>
      </w:r>
      <w:r w:rsidR="006E3E38" w:rsidRPr="00890C27">
        <w:rPr>
          <w:rFonts w:ascii="Times New Roman" w:hAnsi="Times New Roman" w:cs="Times New Roman"/>
          <w:i/>
          <w:sz w:val="24"/>
          <w:szCs w:val="24"/>
          <w:vertAlign w:val="subscript"/>
        </w:rPr>
        <w:t>EA,</w:t>
      </w:r>
      <w:r w:rsidR="006E3E38" w:rsidRPr="00753AFD">
        <w:rPr>
          <w:rFonts w:ascii="Times New Roman" w:hAnsi="Times New Roman" w:cs="Times New Roman"/>
        </w:rPr>
        <w:t xml:space="preserve"> </w:t>
      </w:r>
      <w:r w:rsidR="006E3E38" w:rsidRPr="00890C27">
        <w:rPr>
          <w:rFonts w:ascii="Times New Roman" w:hAnsi="Times New Roman" w:cs="Times New Roman"/>
          <w:color w:val="000000" w:themeColor="text1"/>
          <w:sz w:val="24"/>
          <w:szCs w:val="24"/>
        </w:rPr>
        <w:t>and</w:t>
      </w:r>
      <w:proofErr w:type="gramEnd"/>
      <w:r w:rsidR="006E3E38" w:rsidRPr="00890C27">
        <w:rPr>
          <w:rFonts w:ascii="Times New Roman" w:hAnsi="Times New Roman" w:cs="Times New Roman"/>
          <w:color w:val="000000" w:themeColor="text1"/>
          <w:sz w:val="24"/>
          <w:szCs w:val="24"/>
        </w:rPr>
        <w:t xml:space="preserve"> sets out equation 2 used to determine </w:t>
      </w:r>
      <w:r w:rsidR="00307C71" w:rsidRPr="009145A3">
        <w:rPr>
          <w:rFonts w:ascii="Times New Roman" w:hAnsi="Times New Roman" w:cs="Times New Roman"/>
          <w:sz w:val="24"/>
          <w:szCs w:val="24"/>
        </w:rPr>
        <w:t>the contribution to the net abatement amount in tonnes CO</w:t>
      </w:r>
      <w:r w:rsidR="00307C71" w:rsidRPr="009145A3">
        <w:rPr>
          <w:rFonts w:ascii="Times New Roman" w:hAnsi="Times New Roman" w:cs="Times New Roman"/>
          <w:sz w:val="24"/>
          <w:szCs w:val="24"/>
          <w:vertAlign w:val="subscript"/>
        </w:rPr>
        <w:t>2</w:t>
      </w:r>
      <w:r w:rsidR="00307C71" w:rsidRPr="009145A3">
        <w:rPr>
          <w:rFonts w:ascii="Times New Roman" w:hAnsi="Times New Roman" w:cs="Times New Roman"/>
          <w:sz w:val="24"/>
          <w:szCs w:val="24"/>
        </w:rPr>
        <w:t xml:space="preserve">e from </w:t>
      </w:r>
      <w:r w:rsidR="00307C71" w:rsidRPr="00CC78FF">
        <w:rPr>
          <w:rFonts w:ascii="Times New Roman" w:hAnsi="Times New Roman" w:cs="Times New Roman"/>
          <w:sz w:val="24"/>
          <w:szCs w:val="24"/>
        </w:rPr>
        <w:t>the avoidance of emissions for a calendar year. The contribution to the net abatement amount from the avoidance</w:t>
      </w:r>
      <w:r w:rsidR="00307C71" w:rsidRPr="009145A3">
        <w:rPr>
          <w:rFonts w:ascii="Times New Roman" w:hAnsi="Times New Roman" w:cs="Times New Roman"/>
          <w:sz w:val="24"/>
          <w:szCs w:val="24"/>
        </w:rPr>
        <w:t xml:space="preserve"> of emissions for a calendar year</w:t>
      </w:r>
      <w:r w:rsidR="00307C71" w:rsidRPr="009145A3">
        <w:rPr>
          <w:rFonts w:ascii="Times New Roman" w:hAnsi="Times New Roman" w:cs="Times New Roman"/>
          <w:i/>
          <w:sz w:val="24"/>
          <w:szCs w:val="24"/>
        </w:rPr>
        <w:t xml:space="preserve"> </w:t>
      </w:r>
      <w:r w:rsidR="00307C71" w:rsidRPr="009145A3">
        <w:rPr>
          <w:rFonts w:ascii="Times New Roman" w:hAnsi="Times New Roman" w:cs="Times New Roman"/>
          <w:sz w:val="24"/>
          <w:szCs w:val="24"/>
        </w:rPr>
        <w:t xml:space="preserve">is the difference between the mean annual baseline fire emissions </w:t>
      </w:r>
      <w:r w:rsidR="00B043BA" w:rsidRPr="009145A3">
        <w:rPr>
          <w:rFonts w:ascii="Times New Roman" w:hAnsi="Times New Roman" w:cs="Times New Roman"/>
          <w:sz w:val="24"/>
          <w:szCs w:val="24"/>
        </w:rPr>
        <w:t>for</w:t>
      </w:r>
      <w:r w:rsidR="00307C71" w:rsidRPr="009145A3">
        <w:rPr>
          <w:rFonts w:ascii="Times New Roman" w:hAnsi="Times New Roman" w:cs="Times New Roman"/>
          <w:sz w:val="24"/>
          <w:szCs w:val="24"/>
        </w:rPr>
        <w:t xml:space="preserve"> the project </w:t>
      </w:r>
      <w:r w:rsidR="00B043BA" w:rsidRPr="009145A3">
        <w:rPr>
          <w:rFonts w:ascii="Times New Roman" w:hAnsi="Times New Roman" w:cs="Times New Roman"/>
          <w:sz w:val="24"/>
          <w:szCs w:val="24"/>
        </w:rPr>
        <w:t>area</w:t>
      </w:r>
      <w:r w:rsidR="00307C71" w:rsidRPr="009145A3">
        <w:rPr>
          <w:rFonts w:ascii="Times New Roman" w:hAnsi="Times New Roman" w:cs="Times New Roman"/>
          <w:sz w:val="24"/>
          <w:szCs w:val="24"/>
        </w:rPr>
        <w:t xml:space="preserve"> and the </w:t>
      </w:r>
      <w:r w:rsidR="009145A3" w:rsidRPr="009145A3">
        <w:rPr>
          <w:rFonts w:ascii="Times New Roman" w:hAnsi="Times New Roman" w:cs="Times New Roman"/>
          <w:sz w:val="24"/>
          <w:szCs w:val="24"/>
        </w:rPr>
        <w:t xml:space="preserve">fire </w:t>
      </w:r>
      <w:r w:rsidR="00307C71" w:rsidRPr="009145A3">
        <w:rPr>
          <w:rFonts w:ascii="Times New Roman" w:hAnsi="Times New Roman" w:cs="Times New Roman"/>
          <w:sz w:val="24"/>
          <w:szCs w:val="24"/>
        </w:rPr>
        <w:t xml:space="preserve">emissions for </w:t>
      </w:r>
      <w:r w:rsidR="009145A3" w:rsidRPr="009145A3">
        <w:rPr>
          <w:rFonts w:ascii="Times New Roman" w:hAnsi="Times New Roman" w:cs="Times New Roman"/>
          <w:sz w:val="24"/>
          <w:szCs w:val="24"/>
        </w:rPr>
        <w:t>the project area for the</w:t>
      </w:r>
      <w:r w:rsidR="00307C71" w:rsidRPr="009145A3">
        <w:rPr>
          <w:rFonts w:ascii="Times New Roman" w:hAnsi="Times New Roman" w:cs="Times New Roman"/>
          <w:sz w:val="24"/>
          <w:szCs w:val="24"/>
        </w:rPr>
        <w:t xml:space="preserve"> calendar year</w:t>
      </w:r>
      <w:r w:rsidR="009145A3" w:rsidRPr="009145A3">
        <w:rPr>
          <w:rFonts w:ascii="Times New Roman" w:hAnsi="Times New Roman" w:cs="Times New Roman"/>
          <w:sz w:val="24"/>
          <w:szCs w:val="24"/>
        </w:rPr>
        <w:t xml:space="preserve">, </w:t>
      </w:r>
    </w:p>
    <w:p w14:paraId="50F29A8F" w14:textId="6E56CB99" w:rsidR="00B64A24" w:rsidRPr="009145A3" w:rsidRDefault="00B64A24"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The mean annual baseline emissions for the project area are calculated in accordance with </w:t>
      </w:r>
      <w:r w:rsidR="00431D83">
        <w:rPr>
          <w:rFonts w:ascii="Times New Roman" w:hAnsi="Times New Roman" w:cs="Times New Roman"/>
          <w:sz w:val="24"/>
          <w:szCs w:val="24"/>
        </w:rPr>
        <w:t>clause</w:t>
      </w:r>
      <w:r>
        <w:rPr>
          <w:rFonts w:ascii="Times New Roman" w:hAnsi="Times New Roman" w:cs="Times New Roman"/>
          <w:sz w:val="24"/>
          <w:szCs w:val="24"/>
        </w:rPr>
        <w:t xml:space="preserve"> 6, and </w:t>
      </w:r>
      <w:r w:rsidR="00E91433">
        <w:rPr>
          <w:rFonts w:ascii="Times New Roman" w:hAnsi="Times New Roman" w:cs="Times New Roman"/>
          <w:sz w:val="24"/>
          <w:szCs w:val="24"/>
        </w:rPr>
        <w:t xml:space="preserve">the </w:t>
      </w:r>
      <w:r w:rsidR="00DF10C6">
        <w:rPr>
          <w:rFonts w:ascii="Times New Roman" w:hAnsi="Times New Roman" w:cs="Times New Roman"/>
          <w:sz w:val="24"/>
          <w:szCs w:val="24"/>
        </w:rPr>
        <w:t xml:space="preserve">fire emissions for the project area for the calendar year </w:t>
      </w:r>
      <w:r w:rsidR="00E91433">
        <w:rPr>
          <w:rFonts w:ascii="Times New Roman" w:hAnsi="Times New Roman" w:cs="Times New Roman"/>
          <w:sz w:val="24"/>
          <w:szCs w:val="24"/>
        </w:rPr>
        <w:t xml:space="preserve">parameter is provided by </w:t>
      </w:r>
      <w:proofErr w:type="spellStart"/>
      <w:r w:rsidR="00DF10C6" w:rsidRPr="009145A3">
        <w:rPr>
          <w:rFonts w:ascii="Times New Roman" w:hAnsi="Times New Roman" w:cs="Times New Roman"/>
          <w:sz w:val="24"/>
          <w:szCs w:val="24"/>
        </w:rPr>
        <w:t>SavCAM</w:t>
      </w:r>
      <w:proofErr w:type="spellEnd"/>
      <w:r w:rsidR="00DF10C6" w:rsidRPr="009145A3">
        <w:rPr>
          <w:rFonts w:ascii="Times New Roman" w:hAnsi="Times New Roman" w:cs="Times New Roman"/>
          <w:sz w:val="24"/>
          <w:szCs w:val="24"/>
        </w:rPr>
        <w:t>.</w:t>
      </w:r>
    </w:p>
    <w:p w14:paraId="07D88DE6" w14:textId="42D15516" w:rsidR="0076059B" w:rsidRPr="00753AFD"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5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The uncertainty buffer cap for a calendar year </w:t>
      </w:r>
      <w:proofErr w:type="spellStart"/>
      <w:proofErr w:type="gramStart"/>
      <w:r w:rsidR="0076059B" w:rsidRPr="33750E9F">
        <w:rPr>
          <w:rFonts w:ascii="Times New Roman" w:hAnsi="Times New Roman" w:cs="Times New Roman"/>
          <w:sz w:val="24"/>
          <w:szCs w:val="24"/>
          <w:u w:val="single"/>
        </w:rPr>
        <w:t>B</w:t>
      </w:r>
      <w:r w:rsidR="0076059B" w:rsidRPr="33750E9F">
        <w:rPr>
          <w:rFonts w:ascii="Times New Roman" w:hAnsi="Times New Roman" w:cs="Times New Roman"/>
          <w:sz w:val="24"/>
          <w:szCs w:val="24"/>
          <w:u w:val="single"/>
          <w:vertAlign w:val="subscript"/>
        </w:rPr>
        <w:t>U,Cap</w:t>
      </w:r>
      <w:proofErr w:type="spellEnd"/>
      <w:proofErr w:type="gramEnd"/>
    </w:p>
    <w:p w14:paraId="2D4FEEC9" w14:textId="13D84953" w:rsidR="003A1364" w:rsidRPr="00890C27"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9B27A8" w:rsidRPr="00890C27">
        <w:rPr>
          <w:rFonts w:ascii="Times New Roman" w:hAnsi="Times New Roman" w:cs="Times New Roman"/>
          <w:sz w:val="24"/>
          <w:szCs w:val="24"/>
        </w:rPr>
        <w:t xml:space="preserve"> 5 sets out equation 3 used to calculate the value of the </w:t>
      </w:r>
      <w:r w:rsidR="009B27A8" w:rsidRPr="00CC78FF">
        <w:rPr>
          <w:rFonts w:ascii="Times New Roman" w:hAnsi="Times New Roman" w:cs="Times New Roman"/>
          <w:sz w:val="24"/>
          <w:szCs w:val="24"/>
        </w:rPr>
        <w:t>uncertainty buffer cap</w:t>
      </w:r>
      <w:r w:rsidR="009B27A8" w:rsidRPr="00890C27">
        <w:rPr>
          <w:rFonts w:ascii="Times New Roman" w:hAnsi="Times New Roman" w:cs="Times New Roman"/>
          <w:sz w:val="24"/>
          <w:szCs w:val="24"/>
        </w:rPr>
        <w:t xml:space="preserve">, </w:t>
      </w:r>
      <w:r w:rsidR="003A1364" w:rsidRPr="00890C27">
        <w:rPr>
          <w:rFonts w:ascii="Times New Roman" w:hAnsi="Times New Roman" w:cs="Times New Roman"/>
          <w:sz w:val="24"/>
          <w:szCs w:val="24"/>
        </w:rPr>
        <w:t>for the project area for a given calendar year in tonnes of CO</w:t>
      </w:r>
      <w:r w:rsidR="003A1364" w:rsidRPr="00890C27">
        <w:rPr>
          <w:rFonts w:ascii="Times New Roman" w:hAnsi="Times New Roman" w:cs="Times New Roman"/>
          <w:sz w:val="24"/>
          <w:szCs w:val="24"/>
          <w:vertAlign w:val="subscript"/>
        </w:rPr>
        <w:t>2</w:t>
      </w:r>
      <w:r w:rsidR="003A1364" w:rsidRPr="00890C27">
        <w:rPr>
          <w:rFonts w:ascii="Times New Roman" w:hAnsi="Times New Roman" w:cs="Times New Roman"/>
          <w:sz w:val="24"/>
          <w:szCs w:val="24"/>
        </w:rPr>
        <w:t xml:space="preserve">e. </w:t>
      </w:r>
      <w:r w:rsidR="009B27A8" w:rsidRPr="00890C27">
        <w:rPr>
          <w:rFonts w:ascii="Times New Roman" w:hAnsi="Times New Roman" w:cs="Times New Roman"/>
          <w:sz w:val="24"/>
          <w:szCs w:val="24"/>
        </w:rPr>
        <w:t xml:space="preserve">The uncertainty buffer cap must be calculated for each calendar year being reported on, as the value may change if there are updates to input parameters used to calculate the mean annual baseline fire emissions. </w:t>
      </w:r>
    </w:p>
    <w:p w14:paraId="116E61ED" w14:textId="08FCD319" w:rsidR="00A42C29" w:rsidRPr="00890C27" w:rsidRDefault="007834A3"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uncertainty</w:t>
      </w:r>
      <w:r w:rsidR="00A42C29" w:rsidRPr="00890C27">
        <w:rPr>
          <w:rFonts w:ascii="Times New Roman" w:hAnsi="Times New Roman" w:cs="Times New Roman"/>
          <w:sz w:val="24"/>
          <w:szCs w:val="24"/>
        </w:rPr>
        <w:t xml:space="preserve"> buffer cap is equal to </w:t>
      </w:r>
      <w:r w:rsidRPr="00890C27">
        <w:rPr>
          <w:rFonts w:ascii="Times New Roman" w:hAnsi="Times New Roman" w:cs="Times New Roman"/>
          <w:sz w:val="24"/>
          <w:szCs w:val="24"/>
        </w:rPr>
        <w:t>5% of the mean annual baseline fire emissions</w:t>
      </w:r>
      <w:r w:rsidR="00E1294D" w:rsidRPr="00890C27">
        <w:rPr>
          <w:rFonts w:ascii="Times New Roman" w:hAnsi="Times New Roman" w:cs="Times New Roman"/>
          <w:sz w:val="24"/>
          <w:szCs w:val="24"/>
        </w:rPr>
        <w:t xml:space="preserve"> for the project area, which in turn are calculated using </w:t>
      </w:r>
      <w:r w:rsidR="00431D83">
        <w:rPr>
          <w:rFonts w:ascii="Times New Roman" w:hAnsi="Times New Roman" w:cs="Times New Roman"/>
          <w:sz w:val="24"/>
          <w:szCs w:val="24"/>
        </w:rPr>
        <w:t>clause</w:t>
      </w:r>
      <w:r w:rsidR="00E1294D" w:rsidRPr="00890C27">
        <w:rPr>
          <w:rFonts w:ascii="Times New Roman" w:hAnsi="Times New Roman" w:cs="Times New Roman"/>
          <w:sz w:val="24"/>
          <w:szCs w:val="24"/>
        </w:rPr>
        <w:t xml:space="preserve"> 6. </w:t>
      </w:r>
    </w:p>
    <w:p w14:paraId="3875CFC9" w14:textId="083EA59B" w:rsidR="0076059B" w:rsidRPr="00753AFD"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6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Mean annual baseline fire emissions </w:t>
      </w:r>
    </w:p>
    <w:p w14:paraId="6CDC0CF7" w14:textId="7508C770" w:rsidR="00DB15EF"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976C7D" w:rsidRPr="00976C7D">
        <w:rPr>
          <w:rFonts w:ascii="Times New Roman" w:hAnsi="Times New Roman" w:cs="Times New Roman"/>
          <w:sz w:val="24"/>
          <w:szCs w:val="24"/>
        </w:rPr>
        <w:t xml:space="preserve"> 6 provides that mean annual baseline fire emissions are calculated using </w:t>
      </w:r>
      <w:r w:rsidR="00976C7D">
        <w:rPr>
          <w:rFonts w:ascii="Times New Roman" w:hAnsi="Times New Roman" w:cs="Times New Roman"/>
          <w:sz w:val="24"/>
          <w:szCs w:val="24"/>
        </w:rPr>
        <w:t>e</w:t>
      </w:r>
      <w:r w:rsidR="00976C7D" w:rsidRPr="00976C7D">
        <w:rPr>
          <w:rFonts w:ascii="Times New Roman" w:hAnsi="Times New Roman" w:cs="Times New Roman"/>
          <w:sz w:val="24"/>
          <w:szCs w:val="24"/>
        </w:rPr>
        <w:t xml:space="preserve">quation 4 for project areas, or parts of project areas, located in either the low-rainfall or high-rainfall zones. </w:t>
      </w:r>
    </w:p>
    <w:p w14:paraId="40ECDC8D" w14:textId="07052667" w:rsidR="003860EB" w:rsidRPr="003860EB" w:rsidRDefault="004D74F5"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equation</w:t>
      </w:r>
      <w:r w:rsidR="003860EB" w:rsidRPr="003860EB">
        <w:rPr>
          <w:rFonts w:ascii="Times New Roman" w:hAnsi="Times New Roman" w:cs="Times New Roman"/>
          <w:sz w:val="24"/>
          <w:szCs w:val="24"/>
        </w:rPr>
        <w:t xml:space="preserve"> 4 calculates the </w:t>
      </w:r>
      <w:r w:rsidR="003860EB">
        <w:rPr>
          <w:rFonts w:ascii="Times New Roman" w:hAnsi="Times New Roman" w:cs="Times New Roman"/>
          <w:sz w:val="24"/>
          <w:szCs w:val="24"/>
        </w:rPr>
        <w:t>mean annual baseline</w:t>
      </w:r>
      <w:r w:rsidR="003860EB" w:rsidRPr="003860EB">
        <w:rPr>
          <w:rFonts w:ascii="Times New Roman" w:hAnsi="Times New Roman" w:cs="Times New Roman"/>
          <w:sz w:val="24"/>
          <w:szCs w:val="24"/>
        </w:rPr>
        <w:t xml:space="preserve"> fire emissions by multiplying two values:</w:t>
      </w:r>
    </w:p>
    <w:p w14:paraId="59D5E2CA" w14:textId="339911A2" w:rsidR="003860EB" w:rsidRPr="008C426F" w:rsidRDefault="003860EB"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C426F">
        <w:rPr>
          <w:rFonts w:ascii="Times New Roman" w:hAnsi="Times New Roman" w:cs="Times New Roman"/>
          <w:color w:val="000000" w:themeColor="text1"/>
          <w:sz w:val="24"/>
          <w:szCs w:val="24"/>
        </w:rPr>
        <w:t xml:space="preserve">The first is </w:t>
      </w:r>
      <w:r w:rsidR="00942079" w:rsidRPr="008C426F">
        <w:rPr>
          <w:rFonts w:ascii="Times New Roman" w:hAnsi="Times New Roman" w:cs="Times New Roman"/>
          <w:color w:val="000000" w:themeColor="text1"/>
          <w:sz w:val="24"/>
          <w:szCs w:val="24"/>
        </w:rPr>
        <w:t xml:space="preserve">equal to </w:t>
      </w:r>
      <w:r w:rsidRPr="008C426F">
        <w:rPr>
          <w:rFonts w:ascii="Times New Roman" w:hAnsi="Times New Roman" w:cs="Times New Roman"/>
          <w:color w:val="000000" w:themeColor="text1"/>
          <w:sz w:val="24"/>
          <w:szCs w:val="24"/>
        </w:rPr>
        <w:t>1 divided by the number of years in the baseline period.</w:t>
      </w:r>
    </w:p>
    <w:p w14:paraId="1F9EA10C" w14:textId="6782D5FA" w:rsidR="003860EB" w:rsidRPr="00942079" w:rsidRDefault="003860EB"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8C426F">
        <w:rPr>
          <w:rFonts w:ascii="Times New Roman" w:hAnsi="Times New Roman" w:cs="Times New Roman"/>
          <w:color w:val="000000" w:themeColor="text1"/>
          <w:sz w:val="24"/>
          <w:szCs w:val="24"/>
        </w:rPr>
        <w:t xml:space="preserve">The second is </w:t>
      </w:r>
      <w:r w:rsidR="00942079" w:rsidRPr="008C426F">
        <w:rPr>
          <w:rFonts w:ascii="Times New Roman" w:hAnsi="Times New Roman" w:cs="Times New Roman"/>
          <w:color w:val="000000" w:themeColor="text1"/>
          <w:sz w:val="24"/>
          <w:szCs w:val="24"/>
        </w:rPr>
        <w:t xml:space="preserve">equal to </w:t>
      </w:r>
      <w:r w:rsidRPr="008C426F">
        <w:rPr>
          <w:rFonts w:ascii="Times New Roman" w:hAnsi="Times New Roman" w:cs="Times New Roman"/>
          <w:color w:val="000000" w:themeColor="text1"/>
          <w:sz w:val="24"/>
          <w:szCs w:val="24"/>
        </w:rPr>
        <w:t xml:space="preserve">the </w:t>
      </w:r>
      <w:r w:rsidR="00F90DA2" w:rsidRPr="008C426F">
        <w:rPr>
          <w:rFonts w:ascii="Times New Roman" w:hAnsi="Times New Roman" w:cs="Times New Roman"/>
          <w:color w:val="000000" w:themeColor="text1"/>
          <w:sz w:val="24"/>
          <w:szCs w:val="24"/>
        </w:rPr>
        <w:t>total fire</w:t>
      </w:r>
      <w:r w:rsidRPr="008C426F">
        <w:rPr>
          <w:rFonts w:ascii="Times New Roman" w:hAnsi="Times New Roman" w:cs="Times New Roman"/>
          <w:color w:val="000000" w:themeColor="text1"/>
          <w:sz w:val="24"/>
          <w:szCs w:val="24"/>
        </w:rPr>
        <w:t xml:space="preserve"> emissions</w:t>
      </w:r>
      <w:r w:rsidR="00F90DA2" w:rsidRPr="008C426F">
        <w:rPr>
          <w:rFonts w:ascii="Times New Roman" w:hAnsi="Times New Roman" w:cs="Times New Roman"/>
          <w:color w:val="000000" w:themeColor="text1"/>
          <w:sz w:val="24"/>
          <w:szCs w:val="24"/>
        </w:rPr>
        <w:t xml:space="preserve"> for the project area</w:t>
      </w:r>
      <w:r w:rsidRPr="008C426F">
        <w:rPr>
          <w:rFonts w:ascii="Times New Roman" w:hAnsi="Times New Roman" w:cs="Times New Roman"/>
          <w:color w:val="000000" w:themeColor="text1"/>
          <w:sz w:val="24"/>
          <w:szCs w:val="24"/>
        </w:rPr>
        <w:t xml:space="preserve"> (in tonnes of CO₂-e) from</w:t>
      </w:r>
      <w:r w:rsidRPr="00942079">
        <w:rPr>
          <w:rFonts w:ascii="Times New Roman" w:hAnsi="Times New Roman" w:cs="Times New Roman"/>
          <w:sz w:val="24"/>
          <w:szCs w:val="24"/>
        </w:rPr>
        <w:t xml:space="preserve"> all </w:t>
      </w:r>
      <w:r w:rsidR="00F90DA2" w:rsidRPr="00942079">
        <w:rPr>
          <w:rFonts w:ascii="Times New Roman" w:hAnsi="Times New Roman" w:cs="Times New Roman"/>
          <w:sz w:val="24"/>
          <w:szCs w:val="24"/>
        </w:rPr>
        <w:t>the years in the baseline</w:t>
      </w:r>
      <w:r w:rsidRPr="00942079">
        <w:rPr>
          <w:rFonts w:ascii="Times New Roman" w:hAnsi="Times New Roman" w:cs="Times New Roman"/>
          <w:sz w:val="24"/>
          <w:szCs w:val="24"/>
        </w:rPr>
        <w:t xml:space="preserve"> combined.</w:t>
      </w:r>
      <w:r w:rsidR="00E46AC9">
        <w:rPr>
          <w:rFonts w:ascii="Times New Roman" w:hAnsi="Times New Roman" w:cs="Times New Roman"/>
          <w:sz w:val="24"/>
          <w:szCs w:val="24"/>
        </w:rPr>
        <w:t xml:space="preserve"> This can also be calculated by </w:t>
      </w:r>
      <w:proofErr w:type="spellStart"/>
      <w:r w:rsidR="00E46AC9">
        <w:rPr>
          <w:rFonts w:ascii="Times New Roman" w:hAnsi="Times New Roman" w:cs="Times New Roman"/>
          <w:sz w:val="24"/>
          <w:szCs w:val="24"/>
        </w:rPr>
        <w:t>SavCAM</w:t>
      </w:r>
      <w:proofErr w:type="spellEnd"/>
      <w:r w:rsidR="00E46AC9">
        <w:rPr>
          <w:rFonts w:ascii="Times New Roman" w:hAnsi="Times New Roman" w:cs="Times New Roman"/>
          <w:sz w:val="24"/>
          <w:szCs w:val="24"/>
        </w:rPr>
        <w:t xml:space="preserve">. </w:t>
      </w:r>
    </w:p>
    <w:p w14:paraId="7E2AB772" w14:textId="722C9C26" w:rsidR="00FA5318" w:rsidRPr="00B11C86" w:rsidRDefault="00B11C86"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For</w:t>
      </w:r>
      <w:r w:rsidR="007825CF">
        <w:rPr>
          <w:rFonts w:ascii="Times New Roman" w:hAnsi="Times New Roman" w:cs="Times New Roman"/>
          <w:sz w:val="24"/>
          <w:szCs w:val="24"/>
        </w:rPr>
        <w:t xml:space="preserve"> </w:t>
      </w:r>
      <w:r w:rsidR="00122C90">
        <w:rPr>
          <w:rFonts w:ascii="Times New Roman" w:hAnsi="Times New Roman" w:cs="Times New Roman"/>
          <w:sz w:val="24"/>
          <w:szCs w:val="24"/>
        </w:rPr>
        <w:t>project</w:t>
      </w:r>
      <w:r w:rsidR="00942079">
        <w:rPr>
          <w:rFonts w:ascii="Times New Roman" w:hAnsi="Times New Roman" w:cs="Times New Roman"/>
          <w:sz w:val="24"/>
          <w:szCs w:val="24"/>
        </w:rPr>
        <w:t>s</w:t>
      </w:r>
      <w:r w:rsidR="00122C90">
        <w:rPr>
          <w:rFonts w:ascii="Times New Roman" w:hAnsi="Times New Roman" w:cs="Times New Roman"/>
          <w:sz w:val="24"/>
          <w:szCs w:val="24"/>
        </w:rPr>
        <w:t xml:space="preserve"> that have not been registered under a former determination</w:t>
      </w:r>
      <w:r>
        <w:rPr>
          <w:rFonts w:ascii="Times New Roman" w:hAnsi="Times New Roman" w:cs="Times New Roman"/>
          <w:sz w:val="24"/>
          <w:szCs w:val="24"/>
        </w:rPr>
        <w:t xml:space="preserve">, </w:t>
      </w:r>
      <w:r w:rsidRPr="00890C27">
        <w:rPr>
          <w:rFonts w:ascii="Times New Roman" w:hAnsi="Times New Roman" w:cs="Times New Roman"/>
          <w:i/>
          <w:sz w:val="24"/>
          <w:szCs w:val="24"/>
        </w:rPr>
        <w:t>Y</w:t>
      </w:r>
      <w:r w:rsidRPr="00890C27">
        <w:rPr>
          <w:rFonts w:ascii="Times New Roman" w:hAnsi="Times New Roman" w:cs="Times New Roman"/>
          <w:i/>
          <w:sz w:val="24"/>
          <w:szCs w:val="24"/>
          <w:vertAlign w:val="subscript"/>
        </w:rPr>
        <w:t xml:space="preserve">B </w:t>
      </w:r>
      <w:r w:rsidR="005853C7">
        <w:rPr>
          <w:rFonts w:ascii="Times New Roman" w:hAnsi="Times New Roman" w:cs="Times New Roman"/>
          <w:sz w:val="24"/>
          <w:szCs w:val="24"/>
        </w:rPr>
        <w:t>will be</w:t>
      </w:r>
      <w:r>
        <w:rPr>
          <w:rFonts w:ascii="Times New Roman" w:hAnsi="Times New Roman" w:cs="Times New Roman"/>
          <w:sz w:val="24"/>
          <w:szCs w:val="24"/>
        </w:rPr>
        <w:t xml:space="preserve"> 20 years.</w:t>
      </w:r>
      <w:r w:rsidR="007825CF">
        <w:rPr>
          <w:rFonts w:ascii="Times New Roman" w:hAnsi="Times New Roman" w:cs="Times New Roman"/>
          <w:sz w:val="24"/>
          <w:szCs w:val="24"/>
        </w:rPr>
        <w:t xml:space="preserve"> </w:t>
      </w:r>
      <w:r w:rsidR="00DB15EF">
        <w:rPr>
          <w:rFonts w:ascii="Times New Roman" w:hAnsi="Times New Roman" w:cs="Times New Roman"/>
          <w:sz w:val="24"/>
          <w:szCs w:val="24"/>
        </w:rPr>
        <w:t>For transferring projects</w:t>
      </w:r>
      <w:r w:rsidR="00B465EB">
        <w:rPr>
          <w:rFonts w:ascii="Times New Roman" w:hAnsi="Times New Roman" w:cs="Times New Roman"/>
          <w:sz w:val="24"/>
          <w:szCs w:val="24"/>
        </w:rPr>
        <w:t xml:space="preserve">, </w:t>
      </w:r>
      <w:r w:rsidR="00B465EB" w:rsidRPr="00890C27">
        <w:rPr>
          <w:rFonts w:ascii="Times New Roman" w:hAnsi="Times New Roman" w:cs="Times New Roman"/>
          <w:i/>
          <w:sz w:val="24"/>
          <w:szCs w:val="24"/>
        </w:rPr>
        <w:t>Y</w:t>
      </w:r>
      <w:r w:rsidR="00B465EB" w:rsidRPr="00890C27">
        <w:rPr>
          <w:rFonts w:ascii="Times New Roman" w:hAnsi="Times New Roman" w:cs="Times New Roman"/>
          <w:i/>
          <w:sz w:val="24"/>
          <w:szCs w:val="24"/>
          <w:vertAlign w:val="subscript"/>
        </w:rPr>
        <w:t>B</w:t>
      </w:r>
      <w:r w:rsidR="00B465EB" w:rsidRPr="00890C27">
        <w:rPr>
          <w:rFonts w:ascii="Times New Roman" w:hAnsi="Times New Roman" w:cs="Times New Roman"/>
          <w:i/>
          <w:sz w:val="24"/>
          <w:szCs w:val="24"/>
        </w:rPr>
        <w:t xml:space="preserve"> </w:t>
      </w:r>
      <w:r w:rsidR="00B465EB" w:rsidRPr="00976C7D">
        <w:rPr>
          <w:rFonts w:ascii="Times New Roman" w:hAnsi="Times New Roman" w:cs="Times New Roman"/>
          <w:sz w:val="24"/>
          <w:szCs w:val="24"/>
        </w:rPr>
        <w:t>in the equation will vary depending on</w:t>
      </w:r>
      <w:r w:rsidR="00B465EB" w:rsidRPr="00890C27">
        <w:rPr>
          <w:rFonts w:ascii="Times New Roman" w:hAnsi="Times New Roman" w:cs="Times New Roman"/>
          <w:sz w:val="24"/>
          <w:szCs w:val="24"/>
        </w:rPr>
        <w:t xml:space="preserve"> whether the project area (or project area part) is in the low rainfall or the high rainfall zones, to reflect the number of years in the baseline period (15 years and 10 years respectively). </w:t>
      </w:r>
    </w:p>
    <w:p w14:paraId="23252E7F" w14:textId="77777777" w:rsidR="005B033B" w:rsidRDefault="00B465EB"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mean annual baseline fire emissions must be recalculated each calendar year as the value may change if there are updates to input parameters.</w:t>
      </w:r>
    </w:p>
    <w:p w14:paraId="54E66652" w14:textId="31339699" w:rsidR="0076059B" w:rsidRPr="008C426F" w:rsidRDefault="0076059B" w:rsidP="008103FF">
      <w:pPr>
        <w:keepNext/>
        <w:spacing w:after="160" w:line="276" w:lineRule="auto"/>
        <w:rPr>
          <w:rFonts w:ascii="Times New Roman" w:hAnsi="Times New Roman" w:cs="Times New Roman"/>
          <w:b/>
          <w:sz w:val="24"/>
          <w:szCs w:val="24"/>
        </w:rPr>
      </w:pPr>
      <w:r w:rsidRPr="008C426F">
        <w:rPr>
          <w:rFonts w:ascii="Times New Roman" w:hAnsi="Times New Roman" w:cs="Times New Roman"/>
          <w:b/>
          <w:sz w:val="24"/>
          <w:szCs w:val="24"/>
        </w:rPr>
        <w:lastRenderedPageBreak/>
        <w:t xml:space="preserve">Division 3— Adjustments to calculations </w:t>
      </w:r>
    </w:p>
    <w:p w14:paraId="25F0360D" w14:textId="5A42DD56" w:rsidR="0076059B" w:rsidRPr="008C426F"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7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resulting from project area spanning rainfall zones </w:t>
      </w:r>
    </w:p>
    <w:p w14:paraId="1ACDD0D7" w14:textId="2AC7B4C8" w:rsidR="009202CF" w:rsidRPr="00890C27"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542C27" w:rsidRPr="00890C27">
        <w:rPr>
          <w:rFonts w:ascii="Times New Roman" w:hAnsi="Times New Roman" w:cs="Times New Roman"/>
          <w:sz w:val="24"/>
          <w:szCs w:val="24"/>
        </w:rPr>
        <w:t xml:space="preserve"> </w:t>
      </w:r>
      <w:r w:rsidR="00240DE2" w:rsidRPr="00890C27">
        <w:rPr>
          <w:rFonts w:ascii="Times New Roman" w:hAnsi="Times New Roman" w:cs="Times New Roman"/>
          <w:sz w:val="24"/>
          <w:szCs w:val="24"/>
        </w:rPr>
        <w:t>7</w:t>
      </w:r>
      <w:r w:rsidR="00542C27" w:rsidRPr="00890C27">
        <w:rPr>
          <w:rFonts w:ascii="Times New Roman" w:hAnsi="Times New Roman" w:cs="Times New Roman"/>
          <w:sz w:val="24"/>
          <w:szCs w:val="24"/>
        </w:rPr>
        <w:t xml:space="preserve"> </w:t>
      </w:r>
      <w:r w:rsidR="000E5E07" w:rsidRPr="00890C27">
        <w:rPr>
          <w:rFonts w:ascii="Times New Roman" w:hAnsi="Times New Roman" w:cs="Times New Roman"/>
          <w:sz w:val="24"/>
          <w:szCs w:val="24"/>
        </w:rPr>
        <w:t>provides</w:t>
      </w:r>
      <w:r w:rsidR="00542C27" w:rsidRPr="00890C27">
        <w:rPr>
          <w:rFonts w:ascii="Times New Roman" w:hAnsi="Times New Roman" w:cs="Times New Roman"/>
          <w:sz w:val="24"/>
          <w:szCs w:val="24"/>
        </w:rPr>
        <w:t xml:space="preserve"> that if the project area spans both rainfall zones, then the adjusted contribution to the net abatement amount from emissions avoidance, </w:t>
      </w:r>
      <w:proofErr w:type="spellStart"/>
      <w:proofErr w:type="gramStart"/>
      <w:r w:rsidR="00542C27" w:rsidRPr="00890C27">
        <w:rPr>
          <w:rFonts w:ascii="Times New Roman" w:hAnsi="Times New Roman" w:cs="Times New Roman"/>
          <w:i/>
          <w:sz w:val="24"/>
          <w:szCs w:val="24"/>
        </w:rPr>
        <w:t>A</w:t>
      </w:r>
      <w:r w:rsidR="00542C27" w:rsidRPr="00890C27">
        <w:rPr>
          <w:rFonts w:ascii="Times New Roman" w:hAnsi="Times New Roman" w:cs="Times New Roman"/>
          <w:i/>
          <w:sz w:val="24"/>
          <w:szCs w:val="24"/>
          <w:vertAlign w:val="subscript"/>
        </w:rPr>
        <w:t>EA,adj</w:t>
      </w:r>
      <w:proofErr w:type="spellEnd"/>
      <w:proofErr w:type="gramEnd"/>
      <w:r w:rsidR="00542C27" w:rsidRPr="00890C27">
        <w:rPr>
          <w:rFonts w:ascii="Times New Roman" w:hAnsi="Times New Roman" w:cs="Times New Roman"/>
          <w:sz w:val="24"/>
          <w:szCs w:val="24"/>
        </w:rPr>
        <w:t xml:space="preserve">, must be calculated separately for each project area part, and then these values are summed to determine the adjusted contribution to the net abatement amount from emissions avoidance for the whole project area. </w:t>
      </w:r>
    </w:p>
    <w:p w14:paraId="245F70E9" w14:textId="69CA8C23" w:rsidR="00542C27" w:rsidRPr="00890C27" w:rsidRDefault="00542C2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As a result, any positive or negative amounts to be carried forward for the following year (the uncertainty buffer for the project area </w:t>
      </w:r>
      <w:r w:rsidR="00EA43DA" w:rsidRPr="00890C27">
        <w:rPr>
          <w:rFonts w:ascii="Times New Roman" w:hAnsi="Times New Roman" w:cs="Times New Roman"/>
          <w:sz w:val="24"/>
          <w:szCs w:val="24"/>
        </w:rPr>
        <w:t xml:space="preserve">are </w:t>
      </w:r>
      <w:r w:rsidRPr="00890C27">
        <w:rPr>
          <w:rFonts w:ascii="Times New Roman" w:hAnsi="Times New Roman" w:cs="Times New Roman"/>
          <w:sz w:val="24"/>
          <w:szCs w:val="24"/>
        </w:rPr>
        <w:t xml:space="preserve">at </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2) must be calculated and forwarded separately for each project area part.</w:t>
      </w:r>
      <w:r w:rsidRPr="008C426F">
        <w:rPr>
          <w:rFonts w:ascii="Times New Roman" w:hAnsi="Times New Roman" w:cs="Times New Roman"/>
          <w:sz w:val="24"/>
          <w:szCs w:val="24"/>
        </w:rPr>
        <w:t xml:space="preserve"> </w:t>
      </w:r>
    </w:p>
    <w:p w14:paraId="7C7B6066" w14:textId="77777777" w:rsidR="00542C27" w:rsidRPr="00890C27" w:rsidRDefault="00542C2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These values cannot be used to adjust similar values for other project areas, such as cancelling out negative values in one project area by using positive values from another project area.</w:t>
      </w:r>
    </w:p>
    <w:p w14:paraId="1A8FB3B0" w14:textId="15148AD5" w:rsidR="00542C27" w:rsidRPr="00890C27" w:rsidRDefault="00542C27"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Because adjusted abatement is zeroed in instances of negative abatement, amounts summed from each project area cannot be negative. Negative abatement within a project area is carried over to the adjusted abatement calculation for that project area in the next calendar year.</w:t>
      </w:r>
      <w:r w:rsidRPr="00890C27">
        <w:rPr>
          <w:rFonts w:ascii="Times New Roman" w:hAnsi="Times New Roman" w:cs="Times New Roman"/>
          <w:color w:val="000000" w:themeColor="text1"/>
          <w:sz w:val="24"/>
          <w:szCs w:val="24"/>
        </w:rPr>
        <w:t xml:space="preserve"> It is important for the calculations that the abatement amounts remain linked to specific project area parts.</w:t>
      </w:r>
    </w:p>
    <w:p w14:paraId="15ED2B6D" w14:textId="77777777"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b/>
          <w:sz w:val="24"/>
          <w:szCs w:val="24"/>
        </w:rPr>
      </w:pPr>
      <w:r w:rsidRPr="00890C27">
        <w:rPr>
          <w:rFonts w:ascii="Times New Roman" w:hAnsi="Times New Roman" w:cs="Times New Roman"/>
          <w:b/>
          <w:sz w:val="24"/>
          <w:szCs w:val="24"/>
        </w:rPr>
        <w:t>Example: Adjustments resulting from project area spanning rainfall zones</w:t>
      </w:r>
    </w:p>
    <w:p w14:paraId="46A7A8D3" w14:textId="77777777"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A project has two project area parts – one in the high rainfall zone and one in the low rainfall zone. </w:t>
      </w:r>
    </w:p>
    <w:p w14:paraId="29047148" w14:textId="17BBE544"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project area part in the high rainfall zone is that described in example 4 in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2 of Schedule 1 of this Explanatory Statement.</w:t>
      </w:r>
    </w:p>
    <w:p w14:paraId="2A7AADB3" w14:textId="2822EC11"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 xml:space="preserve">The project area part in the low rainfall zone is that described in example 3 in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2 of Schedule 1 of this Explanatory Statement.</w:t>
      </w:r>
    </w:p>
    <w:p w14:paraId="0C7B447E" w14:textId="6CF09549"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In summary:</w:t>
      </w:r>
    </w:p>
    <w:p w14:paraId="59FC94E6" w14:textId="77777777"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vertAlign w:val="subscript"/>
        </w:rPr>
      </w:pPr>
      <w:r w:rsidRPr="00890C27">
        <w:rPr>
          <w:rFonts w:ascii="Times New Roman" w:hAnsi="Times New Roman" w:cs="Times New Roman"/>
          <w:color w:val="000000" w:themeColor="text1"/>
          <w:sz w:val="24"/>
          <w:szCs w:val="24"/>
        </w:rPr>
        <w:tab/>
        <w:t>Rainfall Zone</w:t>
      </w:r>
      <w:r w:rsidRPr="00890C27">
        <w:rPr>
          <w:rFonts w:ascii="Times New Roman" w:hAnsi="Times New Roman" w:cs="Times New Roman"/>
          <w:color w:val="000000" w:themeColor="text1"/>
          <w:sz w:val="24"/>
          <w:szCs w:val="24"/>
        </w:rPr>
        <w:tab/>
      </w:r>
      <w:r w:rsidRPr="00890C27">
        <w:rPr>
          <w:rFonts w:ascii="Times New Roman" w:hAnsi="Times New Roman" w:cs="Times New Roman"/>
          <w:color w:val="000000" w:themeColor="text1"/>
          <w:sz w:val="24"/>
          <w:szCs w:val="24"/>
        </w:rPr>
        <w:tab/>
      </w:r>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EA</w:t>
      </w:r>
      <w:r w:rsidRPr="00890C27">
        <w:rPr>
          <w:rFonts w:ascii="Times New Roman" w:hAnsi="Times New Roman" w:cs="Times New Roman"/>
          <w:i/>
          <w:sz w:val="24"/>
          <w:szCs w:val="24"/>
          <w:vertAlign w:val="subscript"/>
        </w:rPr>
        <w:tab/>
      </w:r>
      <w:r w:rsidRPr="00890C27">
        <w:rPr>
          <w:rFonts w:ascii="Times New Roman" w:hAnsi="Times New Roman" w:cs="Times New Roman"/>
          <w:i/>
          <w:sz w:val="24"/>
          <w:szCs w:val="24"/>
          <w:vertAlign w:val="subscript"/>
        </w:rPr>
        <w:tab/>
      </w:r>
      <w:proofErr w:type="spellStart"/>
      <w:proofErr w:type="gramStart"/>
      <w:r w:rsidRPr="00890C27">
        <w:rPr>
          <w:rFonts w:ascii="Times New Roman" w:hAnsi="Times New Roman" w:cs="Times New Roman"/>
          <w:i/>
          <w:sz w:val="24"/>
          <w:szCs w:val="24"/>
        </w:rPr>
        <w:t>B</w:t>
      </w:r>
      <w:r w:rsidRPr="00890C27">
        <w:rPr>
          <w:rFonts w:ascii="Times New Roman" w:hAnsi="Times New Roman" w:cs="Times New Roman"/>
          <w:i/>
          <w:sz w:val="24"/>
          <w:szCs w:val="24"/>
          <w:vertAlign w:val="subscript"/>
        </w:rPr>
        <w:t>U,Prev</w:t>
      </w:r>
      <w:proofErr w:type="spellEnd"/>
      <w:proofErr w:type="gramEnd"/>
      <w:r w:rsidRPr="00890C27">
        <w:rPr>
          <w:rFonts w:ascii="Times New Roman" w:hAnsi="Times New Roman" w:cs="Times New Roman"/>
          <w:i/>
          <w:sz w:val="24"/>
          <w:szCs w:val="24"/>
        </w:rPr>
        <w:tab/>
      </w:r>
      <w:r w:rsidRPr="00890C27">
        <w:rPr>
          <w:rFonts w:ascii="Times New Roman" w:hAnsi="Times New Roman" w:cs="Times New Roman"/>
          <w:i/>
          <w:sz w:val="24"/>
          <w:szCs w:val="24"/>
        </w:rPr>
        <w:tab/>
      </w:r>
      <w:proofErr w:type="spellStart"/>
      <w:proofErr w:type="gram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EA,adj</w:t>
      </w:r>
      <w:proofErr w:type="spellEnd"/>
      <w:proofErr w:type="gramEnd"/>
      <w:r w:rsidRPr="00890C27">
        <w:rPr>
          <w:rFonts w:ascii="Times New Roman" w:hAnsi="Times New Roman" w:cs="Times New Roman"/>
          <w:i/>
          <w:sz w:val="24"/>
          <w:szCs w:val="24"/>
        </w:rPr>
        <w:tab/>
      </w:r>
      <w:r w:rsidRPr="00890C27">
        <w:rPr>
          <w:rFonts w:ascii="Times New Roman" w:hAnsi="Times New Roman" w:cs="Times New Roman"/>
          <w:i/>
          <w:sz w:val="24"/>
          <w:szCs w:val="24"/>
        </w:rPr>
        <w:tab/>
      </w:r>
      <w:proofErr w:type="spellStart"/>
      <w:proofErr w:type="gramStart"/>
      <w:r w:rsidRPr="00890C27">
        <w:rPr>
          <w:rFonts w:ascii="Times New Roman" w:hAnsi="Times New Roman" w:cs="Times New Roman"/>
          <w:i/>
          <w:sz w:val="24"/>
          <w:szCs w:val="24"/>
        </w:rPr>
        <w:t>B</w:t>
      </w:r>
      <w:r w:rsidRPr="00890C27">
        <w:rPr>
          <w:rFonts w:ascii="Times New Roman" w:hAnsi="Times New Roman" w:cs="Times New Roman"/>
          <w:i/>
          <w:sz w:val="24"/>
          <w:szCs w:val="24"/>
          <w:vertAlign w:val="subscript"/>
        </w:rPr>
        <w:t>U,Curr</w:t>
      </w:r>
      <w:proofErr w:type="spellEnd"/>
      <w:proofErr w:type="gramEnd"/>
    </w:p>
    <w:p w14:paraId="49E91FA9" w14:textId="21AA845B"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lang w:val="de-DE"/>
        </w:rPr>
      </w:pPr>
      <w:r w:rsidRPr="00890C27">
        <w:rPr>
          <w:rFonts w:ascii="Times New Roman" w:hAnsi="Times New Roman" w:cs="Times New Roman"/>
          <w:i/>
          <w:vertAlign w:val="subscript"/>
        </w:rPr>
        <w:tab/>
      </w:r>
      <w:r w:rsidRPr="00890C27">
        <w:rPr>
          <w:rFonts w:ascii="Times New Roman" w:hAnsi="Times New Roman" w:cs="Times New Roman"/>
          <w:lang w:val="de-DE"/>
        </w:rPr>
        <w:t>High</w:t>
      </w:r>
      <w:r w:rsidRPr="00890C27">
        <w:rPr>
          <w:rFonts w:ascii="Times New Roman" w:hAnsi="Times New Roman" w:cs="Times New Roman"/>
          <w:lang w:val="de-DE"/>
        </w:rPr>
        <w:tab/>
      </w:r>
      <w:r w:rsidRPr="00890C27">
        <w:rPr>
          <w:rFonts w:ascii="Times New Roman" w:hAnsi="Times New Roman" w:cs="Times New Roman"/>
          <w:lang w:val="de-DE"/>
        </w:rPr>
        <w:tab/>
      </w:r>
      <w:r w:rsidRPr="00890C27">
        <w:rPr>
          <w:rFonts w:ascii="Times New Roman" w:hAnsi="Times New Roman" w:cs="Times New Roman"/>
          <w:lang w:val="de-DE"/>
        </w:rPr>
        <w:tab/>
        <w:t xml:space="preserve">20,000 </w:t>
      </w:r>
      <w:r w:rsidRPr="00890C27">
        <w:rPr>
          <w:rFonts w:ascii="Times New Roman" w:hAnsi="Times New Roman" w:cs="Times New Roman"/>
          <w:color w:val="000000" w:themeColor="text1"/>
          <w:lang w:val="de-DE"/>
        </w:rPr>
        <w:t>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r w:rsidRPr="00890C27">
        <w:rPr>
          <w:rFonts w:ascii="Times New Roman" w:hAnsi="Times New Roman" w:cs="Times New Roman"/>
          <w:color w:val="000000" w:themeColor="text1"/>
          <w:lang w:val="de-DE"/>
        </w:rPr>
        <w:tab/>
        <w:t>-1000 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r w:rsidRPr="00890C27">
        <w:rPr>
          <w:rFonts w:ascii="Times New Roman" w:hAnsi="Times New Roman" w:cs="Times New Roman"/>
          <w:color w:val="000000" w:themeColor="text1"/>
          <w:lang w:val="de-DE"/>
        </w:rPr>
        <w:tab/>
      </w:r>
      <w:r w:rsidRPr="00890C27">
        <w:rPr>
          <w:rFonts w:ascii="Times New Roman" w:hAnsi="Times New Roman" w:cs="Times New Roman"/>
          <w:lang w:val="de-DE"/>
        </w:rPr>
        <w:t xml:space="preserve">17,100 </w:t>
      </w:r>
      <w:r w:rsidRPr="00890C27">
        <w:rPr>
          <w:rFonts w:ascii="Times New Roman" w:hAnsi="Times New Roman" w:cs="Times New Roman"/>
          <w:color w:val="000000" w:themeColor="text1"/>
          <w:lang w:val="de-DE"/>
        </w:rPr>
        <w:t>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r w:rsidRPr="00890C27">
        <w:rPr>
          <w:rFonts w:ascii="Times New Roman" w:hAnsi="Times New Roman" w:cs="Times New Roman"/>
          <w:color w:val="000000" w:themeColor="text1"/>
          <w:lang w:val="de-DE"/>
        </w:rPr>
        <w:tab/>
      </w:r>
      <w:r w:rsidRPr="00890C27">
        <w:rPr>
          <w:rFonts w:ascii="Times New Roman" w:hAnsi="Times New Roman" w:cs="Times New Roman"/>
          <w:lang w:val="de-DE"/>
        </w:rPr>
        <w:t>1,900</w:t>
      </w:r>
      <w:r w:rsidRPr="00890C27">
        <w:rPr>
          <w:rFonts w:ascii="Times New Roman" w:hAnsi="Times New Roman" w:cs="Times New Roman"/>
          <w:color w:val="000000" w:themeColor="text1"/>
          <w:lang w:val="de-DE"/>
        </w:rPr>
        <w:t xml:space="preserve"> 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p>
    <w:p w14:paraId="0F7063A6" w14:textId="116F03FB"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color w:val="000000" w:themeColor="text1"/>
          <w:lang w:val="de-DE"/>
        </w:rPr>
      </w:pPr>
      <w:r w:rsidRPr="00890C27">
        <w:rPr>
          <w:rFonts w:ascii="Times New Roman" w:hAnsi="Times New Roman" w:cs="Times New Roman"/>
          <w:b/>
          <w:color w:val="000000" w:themeColor="text1"/>
          <w:lang w:val="de-DE"/>
        </w:rPr>
        <w:tab/>
      </w:r>
      <w:r w:rsidRPr="00890C27">
        <w:rPr>
          <w:rFonts w:ascii="Times New Roman" w:hAnsi="Times New Roman" w:cs="Times New Roman"/>
          <w:color w:val="000000" w:themeColor="text1"/>
          <w:lang w:val="de-DE"/>
        </w:rPr>
        <w:t>Low</w:t>
      </w:r>
      <w:r w:rsidRPr="00890C27">
        <w:rPr>
          <w:rFonts w:ascii="Times New Roman" w:hAnsi="Times New Roman" w:cs="Times New Roman"/>
          <w:b/>
          <w:color w:val="000000" w:themeColor="text1"/>
          <w:lang w:val="de-DE"/>
        </w:rPr>
        <w:tab/>
      </w:r>
      <w:r w:rsidRPr="00890C27">
        <w:rPr>
          <w:rFonts w:ascii="Times New Roman" w:hAnsi="Times New Roman" w:cs="Times New Roman"/>
          <w:b/>
          <w:color w:val="000000" w:themeColor="text1"/>
          <w:lang w:val="de-DE"/>
        </w:rPr>
        <w:tab/>
      </w:r>
      <w:r w:rsidRPr="00890C27">
        <w:rPr>
          <w:rFonts w:ascii="Times New Roman" w:hAnsi="Times New Roman" w:cs="Times New Roman"/>
          <w:b/>
          <w:color w:val="000000" w:themeColor="text1"/>
          <w:lang w:val="de-DE"/>
        </w:rPr>
        <w:tab/>
      </w:r>
      <w:r w:rsidRPr="00890C27">
        <w:rPr>
          <w:rFonts w:ascii="Times New Roman" w:hAnsi="Times New Roman" w:cs="Times New Roman"/>
          <w:color w:val="000000" w:themeColor="text1"/>
          <w:lang w:val="de-DE"/>
        </w:rPr>
        <w:t>500</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r w:rsidRPr="00890C27">
        <w:rPr>
          <w:rFonts w:ascii="Times New Roman" w:hAnsi="Times New Roman" w:cs="Times New Roman"/>
          <w:color w:val="000000" w:themeColor="text1"/>
          <w:lang w:val="de-DE"/>
        </w:rPr>
        <w:tab/>
        <w:t>-800</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r w:rsidRPr="00890C27">
        <w:rPr>
          <w:rFonts w:ascii="Times New Roman" w:hAnsi="Times New Roman" w:cs="Times New Roman"/>
          <w:color w:val="000000" w:themeColor="text1"/>
          <w:lang w:val="de-DE"/>
        </w:rPr>
        <w:tab/>
        <w:t>0</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r w:rsidRPr="00890C27">
        <w:rPr>
          <w:rFonts w:ascii="Times New Roman" w:hAnsi="Times New Roman" w:cs="Times New Roman"/>
          <w:color w:val="000000" w:themeColor="text1"/>
          <w:lang w:val="de-DE"/>
        </w:rPr>
        <w:tab/>
        <w:t>-300 t</w:t>
      </w:r>
      <w:r w:rsidR="00877F86" w:rsidRPr="00890C27">
        <w:rPr>
          <w:rFonts w:ascii="Times New Roman" w:hAnsi="Times New Roman" w:cs="Times New Roman"/>
          <w:color w:val="000000" w:themeColor="text1"/>
          <w:lang w:val="de-DE"/>
        </w:rPr>
        <w:t xml:space="preserve"> </w:t>
      </w:r>
      <w:r w:rsidRPr="00890C27">
        <w:rPr>
          <w:rFonts w:ascii="Times New Roman" w:hAnsi="Times New Roman" w:cs="Times New Roman"/>
          <w:color w:val="000000" w:themeColor="text1"/>
          <w:lang w:val="de-DE"/>
        </w:rPr>
        <w:t>CO</w:t>
      </w:r>
      <w:r w:rsidRPr="00890C27">
        <w:rPr>
          <w:rFonts w:ascii="Times New Roman" w:hAnsi="Times New Roman" w:cs="Times New Roman"/>
          <w:color w:val="000000" w:themeColor="text1"/>
          <w:vertAlign w:val="subscript"/>
          <w:lang w:val="de-DE"/>
        </w:rPr>
        <w:t>2</w:t>
      </w:r>
      <w:r w:rsidRPr="00890C27">
        <w:rPr>
          <w:rFonts w:ascii="Times New Roman" w:hAnsi="Times New Roman" w:cs="Times New Roman"/>
          <w:color w:val="000000" w:themeColor="text1"/>
          <w:lang w:val="de-DE"/>
        </w:rPr>
        <w:t>-e</w:t>
      </w:r>
    </w:p>
    <w:p w14:paraId="65AB9532" w14:textId="77777777" w:rsidR="00542C27" w:rsidRPr="00890C27" w:rsidRDefault="00542C27"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b/>
          <w:color w:val="000000" w:themeColor="text1"/>
        </w:rPr>
      </w:pPr>
      <w:r w:rsidRPr="00890C27">
        <w:rPr>
          <w:rFonts w:ascii="Times New Roman" w:hAnsi="Times New Roman" w:cs="Times New Roman"/>
          <w:color w:val="000000" w:themeColor="text1"/>
          <w:sz w:val="24"/>
          <w:szCs w:val="24"/>
        </w:rPr>
        <w:t>In this project area, for the reporting year there is a negative amount in the uncertainty buffer in the project area part in the low rainfall zone, and a positive amount in the uncertainty buffer in the project area part in the high rainfall zone. The positive amount in the uncertainty buffer in the high rainfall project area part cannot be used to remove the negative amount in the uncertainty buffer for the low rainfall zone project area part. Each project area part is treated like a separate project area for the duration of the crediting period.</w:t>
      </w:r>
    </w:p>
    <w:p w14:paraId="0A68C8D6" w14:textId="17890360" w:rsidR="0076059B" w:rsidRPr="008C426F"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8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resulting from lack of fire activity </w:t>
      </w:r>
    </w:p>
    <w:p w14:paraId="3EDAA89C" w14:textId="458C0002" w:rsidR="009711EF" w:rsidRPr="00436945" w:rsidRDefault="009711EF" w:rsidP="008103FF">
      <w:pPr>
        <w:spacing w:after="160" w:line="276" w:lineRule="auto"/>
        <w:rPr>
          <w:rFonts w:ascii="Times New Roman" w:hAnsi="Times New Roman" w:cs="Times New Roman"/>
          <w:sz w:val="24"/>
          <w:szCs w:val="24"/>
        </w:rPr>
      </w:pPr>
      <w:r w:rsidRPr="00436945">
        <w:rPr>
          <w:rFonts w:ascii="Times New Roman" w:hAnsi="Times New Roman" w:cs="Times New Roman"/>
          <w:sz w:val="24"/>
          <w:szCs w:val="24"/>
        </w:rPr>
        <w:lastRenderedPageBreak/>
        <w:t>Sub</w:t>
      </w:r>
      <w:r w:rsidR="00431D83">
        <w:rPr>
          <w:rFonts w:ascii="Times New Roman" w:hAnsi="Times New Roman" w:cs="Times New Roman"/>
          <w:sz w:val="24"/>
          <w:szCs w:val="24"/>
        </w:rPr>
        <w:t>clause</w:t>
      </w:r>
      <w:r w:rsidRPr="00436945">
        <w:rPr>
          <w:rFonts w:ascii="Times New Roman" w:hAnsi="Times New Roman" w:cs="Times New Roman"/>
          <w:sz w:val="24"/>
          <w:szCs w:val="24"/>
        </w:rPr>
        <w:t xml:space="preserve"> 8(1) specifies that </w:t>
      </w:r>
      <w:r w:rsidR="009258CF">
        <w:rPr>
          <w:rFonts w:ascii="Times New Roman" w:hAnsi="Times New Roman" w:cs="Times New Roman"/>
          <w:sz w:val="24"/>
          <w:szCs w:val="24"/>
        </w:rPr>
        <w:t>clause 8</w:t>
      </w:r>
      <w:r w:rsidRPr="00436945">
        <w:rPr>
          <w:rFonts w:ascii="Times New Roman" w:hAnsi="Times New Roman" w:cs="Times New Roman"/>
          <w:sz w:val="24"/>
          <w:szCs w:val="24"/>
        </w:rPr>
        <w:t xml:space="preserve"> only applies when there has been a lack of fire activity during a calendar year (early dry season fire or late dry season fire). </w:t>
      </w:r>
    </w:p>
    <w:p w14:paraId="2F9453A2" w14:textId="08CC91F5" w:rsidR="00E552E2" w:rsidRPr="00E552E2" w:rsidRDefault="009711EF" w:rsidP="008103FF">
      <w:pPr>
        <w:spacing w:after="160" w:line="276" w:lineRule="auto"/>
        <w:rPr>
          <w:rFonts w:ascii="Times New Roman" w:hAnsi="Times New Roman" w:cs="Times New Roman"/>
          <w:sz w:val="24"/>
          <w:szCs w:val="24"/>
        </w:rPr>
      </w:pPr>
      <w:r w:rsidRPr="00436945">
        <w:rPr>
          <w:rFonts w:ascii="Times New Roman" w:hAnsi="Times New Roman" w:cs="Times New Roman"/>
          <w:sz w:val="24"/>
          <w:szCs w:val="24"/>
        </w:rPr>
        <w:t>Sub</w:t>
      </w:r>
      <w:r w:rsidR="00431D83">
        <w:rPr>
          <w:rFonts w:ascii="Times New Roman" w:hAnsi="Times New Roman" w:cs="Times New Roman"/>
          <w:sz w:val="24"/>
          <w:szCs w:val="24"/>
        </w:rPr>
        <w:t>clause</w:t>
      </w:r>
      <w:r w:rsidRPr="00436945">
        <w:rPr>
          <w:rFonts w:ascii="Times New Roman" w:hAnsi="Times New Roman" w:cs="Times New Roman"/>
          <w:sz w:val="24"/>
          <w:szCs w:val="24"/>
        </w:rPr>
        <w:t xml:space="preserve"> 8(2) </w:t>
      </w:r>
      <w:r w:rsidR="00AE039F">
        <w:rPr>
          <w:rFonts w:ascii="Times New Roman" w:hAnsi="Times New Roman" w:cs="Times New Roman"/>
          <w:sz w:val="24"/>
          <w:szCs w:val="24"/>
        </w:rPr>
        <w:t>provides that i</w:t>
      </w:r>
      <w:r w:rsidR="00E552E2" w:rsidRPr="00E552E2">
        <w:rPr>
          <w:rFonts w:ascii="Times New Roman" w:hAnsi="Times New Roman" w:cs="Times New Roman"/>
          <w:sz w:val="24"/>
          <w:szCs w:val="24"/>
        </w:rPr>
        <w:t xml:space="preserve">f no planned burning was carried out in a project area during a calendar year, the fire emissions for that year are assumed to be equal to the </w:t>
      </w:r>
      <w:r w:rsidR="003200E2">
        <w:rPr>
          <w:rFonts w:ascii="Times New Roman" w:hAnsi="Times New Roman" w:cs="Times New Roman"/>
          <w:sz w:val="24"/>
          <w:szCs w:val="24"/>
        </w:rPr>
        <w:t>mean</w:t>
      </w:r>
      <w:r w:rsidR="00E552E2" w:rsidRPr="00E552E2">
        <w:rPr>
          <w:rFonts w:ascii="Times New Roman" w:hAnsi="Times New Roman" w:cs="Times New Roman"/>
          <w:sz w:val="24"/>
          <w:szCs w:val="24"/>
        </w:rPr>
        <w:t xml:space="preserve"> annual baseline fire emissions for that area.</w:t>
      </w:r>
    </w:p>
    <w:p w14:paraId="658344E8" w14:textId="0C5C7E64" w:rsidR="009711EF" w:rsidRPr="00E177C2" w:rsidRDefault="00E552E2" w:rsidP="008103FF">
      <w:pPr>
        <w:spacing w:after="160" w:line="276" w:lineRule="auto"/>
        <w:rPr>
          <w:rFonts w:ascii="Times New Roman" w:hAnsi="Times New Roman" w:cs="Times New Roman"/>
          <w:sz w:val="24"/>
          <w:szCs w:val="24"/>
        </w:rPr>
      </w:pPr>
      <w:r w:rsidRPr="00E552E2">
        <w:rPr>
          <w:rFonts w:ascii="Times New Roman" w:hAnsi="Times New Roman" w:cs="Times New Roman"/>
          <w:sz w:val="24"/>
          <w:szCs w:val="24"/>
        </w:rPr>
        <w:t>This means that instead of calculating actual emissions for that year, the method uses a default value based on historical fire activity. This approach ensures consistency in reporting when no fire management activities take place.</w:t>
      </w:r>
    </w:p>
    <w:p w14:paraId="61163CE9" w14:textId="6B9511E3" w:rsidR="0076059B" w:rsidRPr="00C35336"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9 </w:t>
      </w:r>
      <w:r w:rsidR="00866699"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resulting from subdivided project areas </w:t>
      </w:r>
    </w:p>
    <w:p w14:paraId="3970A68F" w14:textId="6005D3BF" w:rsidR="00FF7CBB" w:rsidRPr="00890C27" w:rsidRDefault="00431D83" w:rsidP="008103FF">
      <w:pPr>
        <w:spacing w:after="160" w:line="276" w:lineRule="auto"/>
        <w:rPr>
          <w:rFonts w:ascii="Times New Roman" w:hAnsi="Times New Roman" w:cs="Times New Roman"/>
          <w:sz w:val="24"/>
          <w:szCs w:val="24"/>
        </w:rPr>
      </w:pPr>
      <w:r>
        <w:rPr>
          <w:rFonts w:ascii="Times New Roman" w:hAnsi="Times New Roman" w:cs="Times New Roman"/>
          <w:color w:val="000000" w:themeColor="text1"/>
          <w:sz w:val="24"/>
          <w:szCs w:val="24"/>
        </w:rPr>
        <w:t>Clause</w:t>
      </w:r>
      <w:r w:rsidR="004574CB" w:rsidRPr="00890C27">
        <w:rPr>
          <w:rFonts w:ascii="Times New Roman" w:hAnsi="Times New Roman" w:cs="Times New Roman"/>
          <w:color w:val="000000" w:themeColor="text1"/>
          <w:sz w:val="24"/>
          <w:szCs w:val="24"/>
        </w:rPr>
        <w:t xml:space="preserve"> 9 applies when a project area has been divided into two or more subdivided project areas. It </w:t>
      </w:r>
      <w:r w:rsidR="00FF7CBB" w:rsidRPr="00890C27">
        <w:rPr>
          <w:rFonts w:ascii="Times New Roman" w:hAnsi="Times New Roman" w:cs="Times New Roman"/>
          <w:sz w:val="24"/>
          <w:szCs w:val="24"/>
        </w:rPr>
        <w:t>provides</w:t>
      </w:r>
      <w:r w:rsidR="00764004" w:rsidRPr="00890C27">
        <w:rPr>
          <w:rFonts w:ascii="Times New Roman" w:hAnsi="Times New Roman" w:cs="Times New Roman"/>
          <w:sz w:val="24"/>
          <w:szCs w:val="24"/>
        </w:rPr>
        <w:t xml:space="preserve"> that immediately after the subdivision occurs,</w:t>
      </w:r>
      <w:r w:rsidR="004574CB" w:rsidRPr="00890C27">
        <w:rPr>
          <w:rFonts w:ascii="Times New Roman" w:hAnsi="Times New Roman" w:cs="Times New Roman"/>
          <w:sz w:val="24"/>
          <w:szCs w:val="24"/>
        </w:rPr>
        <w:t xml:space="preserve"> </w:t>
      </w:r>
      <w:r w:rsidR="00FF7CBB" w:rsidRPr="00890C27">
        <w:rPr>
          <w:rFonts w:ascii="Times New Roman" w:hAnsi="Times New Roman" w:cs="Times New Roman"/>
          <w:sz w:val="24"/>
          <w:szCs w:val="24"/>
        </w:rPr>
        <w:t xml:space="preserve">the value of </w:t>
      </w:r>
      <w:r w:rsidR="00450AE6" w:rsidRPr="00890C27">
        <w:rPr>
          <w:rFonts w:ascii="Times New Roman" w:hAnsi="Times New Roman" w:cs="Times New Roman"/>
          <w:sz w:val="24"/>
          <w:szCs w:val="24"/>
        </w:rPr>
        <w:t xml:space="preserve">the previous year’s uncertainty buffer for the project area </w:t>
      </w:r>
      <w:proofErr w:type="spellStart"/>
      <w:proofErr w:type="gramStart"/>
      <w:r w:rsidR="009A54D7" w:rsidRPr="00890C27">
        <w:rPr>
          <w:rFonts w:ascii="Times New Roman" w:hAnsi="Times New Roman" w:cs="Times New Roman"/>
          <w:i/>
          <w:sz w:val="24"/>
          <w:szCs w:val="24"/>
        </w:rPr>
        <w:t>B</w:t>
      </w:r>
      <w:r w:rsidR="009A54D7" w:rsidRPr="00890C27">
        <w:rPr>
          <w:rFonts w:ascii="Times New Roman" w:hAnsi="Times New Roman" w:cs="Times New Roman"/>
          <w:i/>
          <w:sz w:val="24"/>
          <w:szCs w:val="24"/>
          <w:vertAlign w:val="subscript"/>
        </w:rPr>
        <w:t>U,Prev</w:t>
      </w:r>
      <w:proofErr w:type="spellEnd"/>
      <w:proofErr w:type="gramEnd"/>
      <w:r w:rsidR="009A54D7" w:rsidRPr="00890C27">
        <w:rPr>
          <w:rFonts w:ascii="Times New Roman" w:hAnsi="Times New Roman" w:cs="Times New Roman"/>
          <w:sz w:val="24"/>
          <w:szCs w:val="24"/>
        </w:rPr>
        <w:t xml:space="preserve"> </w:t>
      </w:r>
      <w:r w:rsidR="00450AE6" w:rsidRPr="00890C27">
        <w:rPr>
          <w:rFonts w:ascii="Times New Roman" w:hAnsi="Times New Roman" w:cs="Times New Roman"/>
          <w:sz w:val="24"/>
          <w:szCs w:val="24"/>
        </w:rPr>
        <w:t xml:space="preserve">which is required to determine the net abatement amount form emissions avoidance </w:t>
      </w:r>
      <w:r w:rsidR="009A54D7" w:rsidRPr="00890C27">
        <w:rPr>
          <w:rFonts w:ascii="Times New Roman" w:hAnsi="Times New Roman" w:cs="Times New Roman"/>
          <w:sz w:val="24"/>
          <w:szCs w:val="24"/>
        </w:rPr>
        <w:t xml:space="preserve">in </w:t>
      </w:r>
      <w:r>
        <w:rPr>
          <w:rFonts w:ascii="Times New Roman" w:hAnsi="Times New Roman" w:cs="Times New Roman"/>
          <w:sz w:val="24"/>
          <w:szCs w:val="24"/>
        </w:rPr>
        <w:t>Clause</w:t>
      </w:r>
      <w:r w:rsidR="009A54D7" w:rsidRPr="00890C27">
        <w:rPr>
          <w:rFonts w:ascii="Times New Roman" w:hAnsi="Times New Roman" w:cs="Times New Roman"/>
          <w:sz w:val="24"/>
          <w:szCs w:val="24"/>
        </w:rPr>
        <w:t xml:space="preserve"> 2</w:t>
      </w:r>
      <w:r w:rsidR="0034647C" w:rsidRPr="00890C27">
        <w:rPr>
          <w:rFonts w:ascii="Times New Roman" w:hAnsi="Times New Roman" w:cs="Times New Roman"/>
          <w:sz w:val="24"/>
          <w:szCs w:val="24"/>
        </w:rPr>
        <w:t xml:space="preserve"> will be equal to </w:t>
      </w:r>
      <w:proofErr w:type="spellStart"/>
      <w:proofErr w:type="gramStart"/>
      <w:r w:rsidR="0034647C" w:rsidRPr="00890C27">
        <w:rPr>
          <w:rFonts w:ascii="Times New Roman" w:hAnsi="Times New Roman" w:cs="Times New Roman"/>
          <w:i/>
          <w:sz w:val="24"/>
          <w:szCs w:val="24"/>
        </w:rPr>
        <w:t>B</w:t>
      </w:r>
      <w:r w:rsidR="0034647C" w:rsidRPr="00890C27">
        <w:rPr>
          <w:rFonts w:ascii="Times New Roman" w:hAnsi="Times New Roman" w:cs="Times New Roman"/>
          <w:i/>
          <w:sz w:val="24"/>
          <w:szCs w:val="24"/>
          <w:vertAlign w:val="subscript"/>
        </w:rPr>
        <w:t>U</w:t>
      </w:r>
      <w:r w:rsidR="002A661A" w:rsidRPr="00890C27">
        <w:rPr>
          <w:rFonts w:ascii="Times New Roman" w:hAnsi="Times New Roman" w:cs="Times New Roman"/>
          <w:i/>
          <w:sz w:val="24"/>
          <w:szCs w:val="24"/>
          <w:vertAlign w:val="subscript"/>
        </w:rPr>
        <w:t>,</w:t>
      </w:r>
      <w:r w:rsidR="0034647C" w:rsidRPr="00890C27">
        <w:rPr>
          <w:rFonts w:ascii="Times New Roman" w:hAnsi="Times New Roman" w:cs="Times New Roman"/>
          <w:i/>
          <w:sz w:val="24"/>
          <w:szCs w:val="24"/>
          <w:vertAlign w:val="subscript"/>
        </w:rPr>
        <w:t>Prev</w:t>
      </w:r>
      <w:proofErr w:type="gramEnd"/>
      <w:r w:rsidR="0034647C" w:rsidRPr="00890C27">
        <w:rPr>
          <w:rFonts w:ascii="Times New Roman" w:hAnsi="Times New Roman" w:cs="Times New Roman"/>
          <w:i/>
          <w:sz w:val="24"/>
          <w:szCs w:val="24"/>
          <w:vertAlign w:val="subscript"/>
        </w:rPr>
        <w:t>,Subdi</w:t>
      </w:r>
      <w:r w:rsidR="002A661A" w:rsidRPr="00890C27">
        <w:rPr>
          <w:rFonts w:ascii="Times New Roman" w:hAnsi="Times New Roman" w:cs="Times New Roman"/>
          <w:i/>
          <w:sz w:val="24"/>
          <w:szCs w:val="24"/>
          <w:vertAlign w:val="subscript"/>
        </w:rPr>
        <w:t>v</w:t>
      </w:r>
      <w:proofErr w:type="spellEnd"/>
      <w:r w:rsidR="009A54D7" w:rsidRPr="00890C27">
        <w:rPr>
          <w:rFonts w:ascii="Times New Roman" w:hAnsi="Times New Roman" w:cs="Times New Roman"/>
          <w:sz w:val="24"/>
          <w:szCs w:val="24"/>
        </w:rPr>
        <w:t>.</w:t>
      </w:r>
      <w:r w:rsidR="002A661A" w:rsidRPr="00890C27">
        <w:rPr>
          <w:rFonts w:ascii="Times New Roman" w:hAnsi="Times New Roman" w:cs="Times New Roman"/>
          <w:sz w:val="24"/>
          <w:szCs w:val="24"/>
        </w:rPr>
        <w:t xml:space="preserve"> </w:t>
      </w:r>
      <w:r>
        <w:rPr>
          <w:rFonts w:ascii="Times New Roman" w:hAnsi="Times New Roman" w:cs="Times New Roman"/>
          <w:sz w:val="24"/>
          <w:szCs w:val="24"/>
        </w:rPr>
        <w:t>Clause</w:t>
      </w:r>
      <w:r w:rsidR="002A661A" w:rsidRPr="00890C27">
        <w:rPr>
          <w:rFonts w:ascii="Times New Roman" w:hAnsi="Times New Roman" w:cs="Times New Roman"/>
          <w:sz w:val="24"/>
          <w:szCs w:val="24"/>
        </w:rPr>
        <w:t xml:space="preserve"> 9 provides that equation 5 will determine the value of </w:t>
      </w:r>
      <w:proofErr w:type="spellStart"/>
      <w:proofErr w:type="gramStart"/>
      <w:r w:rsidR="002A661A" w:rsidRPr="00890C27">
        <w:rPr>
          <w:rFonts w:ascii="Times New Roman" w:hAnsi="Times New Roman" w:cs="Times New Roman"/>
          <w:i/>
          <w:sz w:val="24"/>
          <w:szCs w:val="24"/>
        </w:rPr>
        <w:t>B</w:t>
      </w:r>
      <w:r w:rsidR="002A661A" w:rsidRPr="00890C27">
        <w:rPr>
          <w:rFonts w:ascii="Times New Roman" w:hAnsi="Times New Roman" w:cs="Times New Roman"/>
          <w:i/>
          <w:sz w:val="24"/>
          <w:szCs w:val="24"/>
          <w:vertAlign w:val="subscript"/>
        </w:rPr>
        <w:t>U,Prev</w:t>
      </w:r>
      <w:proofErr w:type="gramEnd"/>
      <w:r w:rsidR="002A661A" w:rsidRPr="00890C27">
        <w:rPr>
          <w:rFonts w:ascii="Times New Roman" w:hAnsi="Times New Roman" w:cs="Times New Roman"/>
          <w:i/>
          <w:sz w:val="24"/>
          <w:szCs w:val="24"/>
          <w:vertAlign w:val="subscript"/>
        </w:rPr>
        <w:t>,Subdiv</w:t>
      </w:r>
      <w:proofErr w:type="spellEnd"/>
      <w:r w:rsidR="002A661A" w:rsidRPr="00890C27">
        <w:rPr>
          <w:rFonts w:ascii="Times New Roman" w:hAnsi="Times New Roman" w:cs="Times New Roman"/>
          <w:sz w:val="24"/>
          <w:szCs w:val="24"/>
        </w:rPr>
        <w:t>.</w:t>
      </w:r>
    </w:p>
    <w:p w14:paraId="2970700A" w14:textId="3764760A" w:rsidR="00507F94" w:rsidRPr="00890C27" w:rsidRDefault="004D74F5"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equation</w:t>
      </w:r>
      <w:r w:rsidR="00E000A2" w:rsidRPr="00890C27">
        <w:rPr>
          <w:rFonts w:ascii="Times New Roman" w:hAnsi="Times New Roman" w:cs="Times New Roman"/>
          <w:sz w:val="24"/>
          <w:szCs w:val="24"/>
        </w:rPr>
        <w:t xml:space="preserve"> states that </w:t>
      </w:r>
      <w:proofErr w:type="spellStart"/>
      <w:proofErr w:type="gramStart"/>
      <w:r w:rsidR="00E000A2" w:rsidRPr="00890C27">
        <w:rPr>
          <w:rFonts w:ascii="Times New Roman" w:hAnsi="Times New Roman" w:cs="Times New Roman"/>
          <w:i/>
          <w:sz w:val="24"/>
          <w:szCs w:val="24"/>
        </w:rPr>
        <w:t>B</w:t>
      </w:r>
      <w:r w:rsidR="00E000A2" w:rsidRPr="00890C27">
        <w:rPr>
          <w:rFonts w:ascii="Times New Roman" w:hAnsi="Times New Roman" w:cs="Times New Roman"/>
          <w:i/>
          <w:sz w:val="24"/>
          <w:szCs w:val="24"/>
          <w:vertAlign w:val="subscript"/>
        </w:rPr>
        <w:t>U,Prev</w:t>
      </w:r>
      <w:proofErr w:type="gramEnd"/>
      <w:r w:rsidR="00E000A2" w:rsidRPr="00890C27">
        <w:rPr>
          <w:rFonts w:ascii="Times New Roman" w:hAnsi="Times New Roman" w:cs="Times New Roman"/>
          <w:i/>
          <w:sz w:val="24"/>
          <w:szCs w:val="24"/>
          <w:vertAlign w:val="subscript"/>
        </w:rPr>
        <w:t>,Subdiv</w:t>
      </w:r>
      <w:proofErr w:type="spellEnd"/>
      <w:r w:rsidR="00E000A2" w:rsidRPr="00890C27">
        <w:rPr>
          <w:rFonts w:ascii="Times New Roman" w:hAnsi="Times New Roman" w:cs="Times New Roman"/>
          <w:sz w:val="24"/>
          <w:szCs w:val="24"/>
        </w:rPr>
        <w:t xml:space="preserve"> is equal to the </w:t>
      </w:r>
      <w:r w:rsidR="00507F94" w:rsidRPr="00890C27">
        <w:rPr>
          <w:rFonts w:ascii="Times New Roman" w:hAnsi="Times New Roman" w:cs="Times New Roman"/>
          <w:sz w:val="24"/>
          <w:szCs w:val="24"/>
        </w:rPr>
        <w:t xml:space="preserve">multiplication of two values: </w:t>
      </w:r>
    </w:p>
    <w:p w14:paraId="4B55F2B6" w14:textId="0FBD7EB2" w:rsidR="002A661A" w:rsidRPr="00C35336" w:rsidRDefault="00507F94"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The first value is equal to the </w:t>
      </w:r>
      <w:r w:rsidR="007B7C4F" w:rsidRPr="00890C27">
        <w:rPr>
          <w:rFonts w:ascii="Times New Roman" w:hAnsi="Times New Roman" w:cs="Times New Roman"/>
          <w:sz w:val="24"/>
          <w:szCs w:val="24"/>
        </w:rPr>
        <w:t xml:space="preserve">mean annual baseline fire emissions for the subdivided </w:t>
      </w:r>
      <w:r w:rsidR="007B7C4F" w:rsidRPr="00C35336">
        <w:rPr>
          <w:rFonts w:ascii="Times New Roman" w:hAnsi="Times New Roman" w:cs="Times New Roman"/>
          <w:color w:val="000000" w:themeColor="text1"/>
          <w:sz w:val="24"/>
          <w:szCs w:val="24"/>
        </w:rPr>
        <w:t>project area (in tonnes CO2-e)</w:t>
      </w:r>
      <w:r w:rsidR="008D674A" w:rsidRPr="00C35336">
        <w:rPr>
          <w:rFonts w:ascii="Times New Roman" w:hAnsi="Times New Roman" w:cs="Times New Roman"/>
          <w:color w:val="000000" w:themeColor="text1"/>
          <w:sz w:val="24"/>
          <w:szCs w:val="24"/>
        </w:rPr>
        <w:t xml:space="preserve"> divided by the mean annual baseline fire emissions for the pr</w:t>
      </w:r>
      <w:r w:rsidRPr="00C35336">
        <w:rPr>
          <w:rFonts w:ascii="Times New Roman" w:hAnsi="Times New Roman" w:cs="Times New Roman"/>
          <w:color w:val="000000" w:themeColor="text1"/>
          <w:sz w:val="24"/>
          <w:szCs w:val="24"/>
        </w:rPr>
        <w:t xml:space="preserve">oject area – where both are calculated in accordance with </w:t>
      </w:r>
      <w:r w:rsidR="00431D83" w:rsidRPr="00C35336">
        <w:rPr>
          <w:rFonts w:ascii="Times New Roman" w:hAnsi="Times New Roman" w:cs="Times New Roman"/>
          <w:color w:val="000000" w:themeColor="text1"/>
          <w:sz w:val="24"/>
          <w:szCs w:val="24"/>
        </w:rPr>
        <w:t>clause</w:t>
      </w:r>
      <w:r w:rsidRPr="00C35336">
        <w:rPr>
          <w:rFonts w:ascii="Times New Roman" w:hAnsi="Times New Roman" w:cs="Times New Roman"/>
          <w:color w:val="000000" w:themeColor="text1"/>
          <w:sz w:val="24"/>
          <w:szCs w:val="24"/>
        </w:rPr>
        <w:t xml:space="preserve"> 6</w:t>
      </w:r>
      <w:r w:rsidR="00A15931">
        <w:rPr>
          <w:rFonts w:ascii="Times New Roman" w:hAnsi="Times New Roman" w:cs="Times New Roman"/>
          <w:color w:val="000000" w:themeColor="text1"/>
          <w:sz w:val="24"/>
          <w:szCs w:val="24"/>
        </w:rPr>
        <w:t>.</w:t>
      </w:r>
    </w:p>
    <w:p w14:paraId="171B956C" w14:textId="17D8BC0F" w:rsidR="00507F94" w:rsidRPr="00890C27" w:rsidRDefault="00507F94"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35336">
        <w:rPr>
          <w:rFonts w:ascii="Times New Roman" w:hAnsi="Times New Roman" w:cs="Times New Roman"/>
          <w:color w:val="000000" w:themeColor="text1"/>
          <w:sz w:val="24"/>
          <w:szCs w:val="24"/>
        </w:rPr>
        <w:t>The second value is equal to the previous year’s uncertainty buffer for the original project</w:t>
      </w:r>
      <w:r w:rsidRPr="00890C27">
        <w:rPr>
          <w:rFonts w:ascii="Times New Roman" w:hAnsi="Times New Roman" w:cs="Times New Roman"/>
          <w:sz w:val="24"/>
          <w:szCs w:val="24"/>
        </w:rPr>
        <w:t xml:space="preserve"> area as </w:t>
      </w:r>
      <w:r w:rsidR="00602BF0" w:rsidRPr="00890C27">
        <w:rPr>
          <w:rFonts w:ascii="Times New Roman" w:hAnsi="Times New Roman" w:cs="Times New Roman"/>
          <w:sz w:val="24"/>
          <w:szCs w:val="24"/>
        </w:rPr>
        <w:t>given by sub</w:t>
      </w:r>
      <w:r w:rsidR="00431D83">
        <w:rPr>
          <w:rFonts w:ascii="Times New Roman" w:hAnsi="Times New Roman" w:cs="Times New Roman"/>
          <w:sz w:val="24"/>
          <w:szCs w:val="24"/>
        </w:rPr>
        <w:t>clause</w:t>
      </w:r>
      <w:r w:rsidR="00602BF0" w:rsidRPr="00890C27">
        <w:rPr>
          <w:rFonts w:ascii="Times New Roman" w:hAnsi="Times New Roman" w:cs="Times New Roman"/>
          <w:sz w:val="24"/>
          <w:szCs w:val="24"/>
        </w:rPr>
        <w:t xml:space="preserve"> 3(1) as if the project area had not been divided. </w:t>
      </w:r>
    </w:p>
    <w:p w14:paraId="44974220" w14:textId="44EB8891" w:rsidR="00911394" w:rsidRDefault="00A15931" w:rsidP="008103FF">
      <w:pPr>
        <w:spacing w:after="160" w:line="276" w:lineRule="auto"/>
        <w:rPr>
          <w:rFonts w:ascii="Times New Roman" w:hAnsi="Times New Roman" w:cs="Times New Roman"/>
          <w:b/>
          <w:bCs/>
          <w:sz w:val="24"/>
          <w:szCs w:val="24"/>
        </w:rPr>
      </w:pPr>
      <w:r>
        <w:rPr>
          <w:rFonts w:ascii="Times New Roman" w:hAnsi="Times New Roman" w:cs="Times New Roman"/>
          <w:sz w:val="24"/>
          <w:szCs w:val="24"/>
        </w:rPr>
        <w:t>Clause 9</w:t>
      </w:r>
      <w:r w:rsidR="00303CF5" w:rsidRPr="00890C27">
        <w:rPr>
          <w:rFonts w:ascii="Times New Roman" w:hAnsi="Times New Roman" w:cs="Times New Roman"/>
          <w:sz w:val="24"/>
          <w:szCs w:val="24"/>
        </w:rPr>
        <w:t xml:space="preserve"> </w:t>
      </w:r>
      <w:r w:rsidR="004574CB" w:rsidRPr="00890C27">
        <w:rPr>
          <w:rFonts w:ascii="Times New Roman" w:hAnsi="Times New Roman" w:cs="Times New Roman"/>
          <w:sz w:val="24"/>
          <w:szCs w:val="24"/>
        </w:rPr>
        <w:t>determine</w:t>
      </w:r>
      <w:r w:rsidR="00303CF5" w:rsidRPr="00890C27">
        <w:rPr>
          <w:rFonts w:ascii="Times New Roman" w:hAnsi="Times New Roman" w:cs="Times New Roman"/>
          <w:sz w:val="24"/>
          <w:szCs w:val="24"/>
        </w:rPr>
        <w:t>s</w:t>
      </w:r>
      <w:r w:rsidR="004574CB" w:rsidRPr="00890C27">
        <w:rPr>
          <w:rFonts w:ascii="Times New Roman" w:hAnsi="Times New Roman" w:cs="Times New Roman"/>
          <w:sz w:val="24"/>
          <w:szCs w:val="24"/>
        </w:rPr>
        <w:t xml:space="preserve"> the proportion of the value in the uncertainty buffer from the original project area attributed to each subdivided project area. For each subdivided project area, the proportion used to distribute the uncertainty buffer value is the mean annual baseline emissions for the subdivided project area compared to the mean annual baseline emissions for the original project area. This allocation of the uncertainty buffer to subdivided project areas only occurs in the year immediately after the original project area was subdivided into two or more subdivided project areas.</w:t>
      </w:r>
      <w:r w:rsidR="00911394">
        <w:rPr>
          <w:rFonts w:ascii="Times New Roman" w:hAnsi="Times New Roman" w:cs="Times New Roman"/>
          <w:b/>
          <w:bCs/>
          <w:sz w:val="24"/>
          <w:szCs w:val="24"/>
        </w:rPr>
        <w:br w:type="page"/>
      </w:r>
    </w:p>
    <w:p w14:paraId="2C9ABAF8" w14:textId="1FF4ECCC" w:rsidR="0076059B" w:rsidRPr="00C35336" w:rsidRDefault="004910DA" w:rsidP="008103FF">
      <w:pPr>
        <w:spacing w:after="160" w:line="276" w:lineRule="auto"/>
        <w:rPr>
          <w:rFonts w:ascii="Times New Roman" w:hAnsi="Times New Roman" w:cs="Times New Roman"/>
          <w:b/>
          <w:sz w:val="24"/>
          <w:szCs w:val="24"/>
        </w:rPr>
      </w:pPr>
      <w:r w:rsidRPr="00890C27">
        <w:rPr>
          <w:rFonts w:ascii="Times New Roman" w:hAnsi="Times New Roman" w:cs="Times New Roman"/>
          <w:b/>
          <w:bCs/>
          <w:sz w:val="24"/>
          <w:szCs w:val="24"/>
        </w:rPr>
        <w:lastRenderedPageBreak/>
        <w:t>Schedule 2— Sequestration—</w:t>
      </w:r>
      <w:r w:rsidR="00F55F37" w:rsidRPr="00890C27">
        <w:rPr>
          <w:rFonts w:ascii="Times New Roman" w:hAnsi="Times New Roman" w:cs="Times New Roman"/>
          <w:b/>
          <w:bCs/>
          <w:sz w:val="24"/>
          <w:szCs w:val="24"/>
        </w:rPr>
        <w:t xml:space="preserve">calculation of adjusted contribution to net abatement amount for a calendar year </w:t>
      </w:r>
    </w:p>
    <w:p w14:paraId="5675D6F2" w14:textId="4DBED268" w:rsidR="0076059B" w:rsidRPr="00C35336" w:rsidRDefault="0076059B" w:rsidP="008103FF">
      <w:pPr>
        <w:spacing w:after="160" w:line="276" w:lineRule="auto"/>
        <w:rPr>
          <w:rFonts w:ascii="Times New Roman" w:hAnsi="Times New Roman" w:cs="Times New Roman"/>
          <w:b/>
          <w:sz w:val="24"/>
          <w:szCs w:val="24"/>
        </w:rPr>
      </w:pPr>
      <w:r w:rsidRPr="00C35336">
        <w:rPr>
          <w:rFonts w:ascii="Times New Roman" w:hAnsi="Times New Roman" w:cs="Times New Roman"/>
          <w:b/>
          <w:sz w:val="24"/>
          <w:szCs w:val="24"/>
        </w:rPr>
        <w:t xml:space="preserve">Division 1—Preliminary </w:t>
      </w:r>
    </w:p>
    <w:p w14:paraId="543F30DA" w14:textId="0BB3A950" w:rsidR="0076059B" w:rsidRPr="00C35336" w:rsidRDefault="00F55F37"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Pr="00890C27">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1 </w:t>
      </w:r>
      <w:r w:rsidR="00760923"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Simplified outline of this Schedule </w:t>
      </w:r>
    </w:p>
    <w:p w14:paraId="052D5061" w14:textId="154F8B35" w:rsidR="000767AC" w:rsidRPr="00890C27" w:rsidRDefault="001B155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Clause 1 </w:t>
      </w:r>
      <w:r w:rsidR="000767AC" w:rsidRPr="00890C27">
        <w:rPr>
          <w:rFonts w:ascii="Times New Roman" w:hAnsi="Times New Roman" w:cs="Times New Roman"/>
          <w:sz w:val="24"/>
          <w:szCs w:val="24"/>
        </w:rPr>
        <w:t xml:space="preserve">provides a simplified outline of </w:t>
      </w:r>
      <w:r w:rsidR="009258CF">
        <w:rPr>
          <w:rFonts w:ascii="Times New Roman" w:hAnsi="Times New Roman" w:cs="Times New Roman"/>
          <w:sz w:val="24"/>
          <w:szCs w:val="24"/>
        </w:rPr>
        <w:t>Schedule 2</w:t>
      </w:r>
      <w:r w:rsidR="000767AC" w:rsidRPr="00890C27">
        <w:rPr>
          <w:rFonts w:ascii="Times New Roman" w:hAnsi="Times New Roman" w:cs="Times New Roman"/>
          <w:sz w:val="24"/>
          <w:szCs w:val="24"/>
        </w:rPr>
        <w:t xml:space="preserve">. </w:t>
      </w:r>
    </w:p>
    <w:p w14:paraId="11C7151E" w14:textId="7FA399CA" w:rsidR="008F35A7" w:rsidRPr="00890C27" w:rsidRDefault="009C4604"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Section 34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 xml:space="preserve"> sets out the net abatement amount for a reporting period</w:t>
      </w:r>
      <w:r w:rsidR="00FC5825" w:rsidRPr="00890C27">
        <w:rPr>
          <w:rFonts w:ascii="Times New Roman" w:hAnsi="Times New Roman" w:cs="Times New Roman"/>
          <w:sz w:val="24"/>
          <w:szCs w:val="24"/>
        </w:rPr>
        <w:t>. T</w:t>
      </w:r>
      <w:r w:rsidR="00A7071D" w:rsidRPr="00890C27">
        <w:rPr>
          <w:rFonts w:ascii="Times New Roman" w:hAnsi="Times New Roman" w:cs="Times New Roman"/>
          <w:sz w:val="24"/>
          <w:szCs w:val="24"/>
        </w:rPr>
        <w:t xml:space="preserve">his requires calculating the adjusted contribution to the </w:t>
      </w:r>
      <w:r w:rsidR="008F35A7" w:rsidRPr="00890C27">
        <w:rPr>
          <w:rFonts w:ascii="Times New Roman" w:hAnsi="Times New Roman" w:cs="Times New Roman"/>
          <w:sz w:val="24"/>
          <w:szCs w:val="24"/>
        </w:rPr>
        <w:t xml:space="preserve">net abatement amount for the project area from sequestration of carbon in living biomass and dead organic matter for a calendar year, </w:t>
      </w:r>
      <w:proofErr w:type="spellStart"/>
      <w:proofErr w:type="gramStart"/>
      <w:r w:rsidR="008F35A7" w:rsidRPr="00890C27">
        <w:rPr>
          <w:rFonts w:ascii="Times New Roman" w:hAnsi="Times New Roman" w:cs="Times New Roman"/>
          <w:i/>
          <w:sz w:val="24"/>
          <w:szCs w:val="24"/>
        </w:rPr>
        <w:t>A</w:t>
      </w:r>
      <w:r w:rsidR="008F35A7" w:rsidRPr="00890C27">
        <w:rPr>
          <w:rFonts w:ascii="Times New Roman" w:hAnsi="Times New Roman" w:cs="Times New Roman"/>
          <w:i/>
          <w:sz w:val="24"/>
          <w:szCs w:val="24"/>
          <w:vertAlign w:val="subscript"/>
        </w:rPr>
        <w:t>Seq,adj</w:t>
      </w:r>
      <w:proofErr w:type="spellEnd"/>
      <w:r w:rsidR="00A73905" w:rsidRPr="00890C27">
        <w:rPr>
          <w:rFonts w:ascii="Times New Roman" w:hAnsi="Times New Roman" w:cs="Times New Roman"/>
          <w:sz w:val="24"/>
          <w:szCs w:val="24"/>
        </w:rPr>
        <w:t>.</w:t>
      </w:r>
      <w:proofErr w:type="gramEnd"/>
      <w:r w:rsidR="00A73905" w:rsidRPr="00890C27">
        <w:rPr>
          <w:rFonts w:ascii="Times New Roman" w:hAnsi="Times New Roman" w:cs="Times New Roman"/>
          <w:sz w:val="24"/>
          <w:szCs w:val="24"/>
        </w:rPr>
        <w:t xml:space="preserve"> It allows for </w:t>
      </w:r>
      <w:r w:rsidR="00FB1FA3" w:rsidRPr="00890C27">
        <w:rPr>
          <w:rFonts w:ascii="Times New Roman" w:hAnsi="Times New Roman" w:cs="Times New Roman"/>
          <w:sz w:val="24"/>
          <w:szCs w:val="24"/>
        </w:rPr>
        <w:t xml:space="preserve">either </w:t>
      </w:r>
      <w:proofErr w:type="spellStart"/>
      <w:r w:rsidR="00A73905" w:rsidRPr="00890C27">
        <w:rPr>
          <w:rFonts w:ascii="Times New Roman" w:hAnsi="Times New Roman" w:cs="Times New Roman"/>
          <w:sz w:val="24"/>
          <w:szCs w:val="24"/>
        </w:rPr>
        <w:t>SavCAM</w:t>
      </w:r>
      <w:proofErr w:type="spellEnd"/>
      <w:r w:rsidR="00A73905" w:rsidRPr="00890C27">
        <w:rPr>
          <w:rFonts w:ascii="Times New Roman" w:hAnsi="Times New Roman" w:cs="Times New Roman"/>
          <w:sz w:val="24"/>
          <w:szCs w:val="24"/>
        </w:rPr>
        <w:t xml:space="preserve"> </w:t>
      </w:r>
      <w:r w:rsidR="00FB1FA3" w:rsidRPr="00890C27">
        <w:rPr>
          <w:rFonts w:ascii="Times New Roman" w:hAnsi="Times New Roman" w:cs="Times New Roman"/>
          <w:sz w:val="24"/>
          <w:szCs w:val="24"/>
        </w:rPr>
        <w:t>or Schedule</w:t>
      </w:r>
      <w:r w:rsidR="00FB1FA3">
        <w:rPr>
          <w:rFonts w:ascii="Times New Roman" w:hAnsi="Times New Roman" w:cs="Times New Roman"/>
          <w:sz w:val="24"/>
          <w:szCs w:val="24"/>
        </w:rPr>
        <w:t xml:space="preserve"> </w:t>
      </w:r>
      <w:r w:rsidR="008C7D35">
        <w:rPr>
          <w:rFonts w:ascii="Times New Roman" w:hAnsi="Times New Roman" w:cs="Times New Roman"/>
          <w:iCs/>
          <w:sz w:val="24"/>
          <w:szCs w:val="24"/>
        </w:rPr>
        <w:t>2</w:t>
      </w:r>
      <w:r w:rsidR="00FB1FA3" w:rsidRPr="00890C27">
        <w:rPr>
          <w:rFonts w:ascii="Times New Roman" w:hAnsi="Times New Roman" w:cs="Times New Roman"/>
          <w:iCs/>
          <w:sz w:val="24"/>
          <w:szCs w:val="24"/>
        </w:rPr>
        <w:t xml:space="preserve"> </w:t>
      </w:r>
      <w:r w:rsidR="00A73905" w:rsidRPr="00890C27">
        <w:rPr>
          <w:rFonts w:ascii="Times New Roman" w:hAnsi="Times New Roman" w:cs="Times New Roman"/>
          <w:sz w:val="24"/>
          <w:szCs w:val="24"/>
        </w:rPr>
        <w:t xml:space="preserve">to be used to calculate this parameter. </w:t>
      </w:r>
      <w:r w:rsidR="00033904" w:rsidRPr="00890C27">
        <w:rPr>
          <w:rFonts w:ascii="Times New Roman" w:hAnsi="Times New Roman" w:cs="Times New Roman"/>
          <w:sz w:val="24"/>
          <w:szCs w:val="24"/>
        </w:rPr>
        <w:t>Schedule</w:t>
      </w:r>
      <w:r w:rsidR="00A73905" w:rsidRPr="00890C27">
        <w:rPr>
          <w:rFonts w:ascii="Times New Roman" w:hAnsi="Times New Roman" w:cs="Times New Roman"/>
          <w:sz w:val="24"/>
          <w:szCs w:val="24"/>
        </w:rPr>
        <w:t xml:space="preserve"> </w:t>
      </w:r>
      <w:r w:rsidR="008C7D35">
        <w:rPr>
          <w:rFonts w:ascii="Times New Roman" w:hAnsi="Times New Roman" w:cs="Times New Roman"/>
          <w:iCs/>
          <w:sz w:val="24"/>
          <w:szCs w:val="24"/>
        </w:rPr>
        <w:t xml:space="preserve">2 </w:t>
      </w:r>
      <w:r w:rsidR="00A73905" w:rsidRPr="00890C27">
        <w:rPr>
          <w:rFonts w:ascii="Times New Roman" w:hAnsi="Times New Roman" w:cs="Times New Roman"/>
          <w:sz w:val="24"/>
          <w:szCs w:val="24"/>
        </w:rPr>
        <w:t xml:space="preserve">provides instructions on how to calculate </w:t>
      </w:r>
      <w:proofErr w:type="spellStart"/>
      <w:proofErr w:type="gramStart"/>
      <w:r w:rsidR="00A73905" w:rsidRPr="00890C27">
        <w:rPr>
          <w:rFonts w:ascii="Times New Roman" w:hAnsi="Times New Roman" w:cs="Times New Roman"/>
          <w:i/>
          <w:sz w:val="24"/>
          <w:szCs w:val="24"/>
        </w:rPr>
        <w:t>A</w:t>
      </w:r>
      <w:r w:rsidR="00A73905" w:rsidRPr="00890C27">
        <w:rPr>
          <w:rFonts w:ascii="Times New Roman" w:hAnsi="Times New Roman" w:cs="Times New Roman"/>
          <w:i/>
          <w:sz w:val="24"/>
          <w:szCs w:val="24"/>
          <w:vertAlign w:val="subscript"/>
        </w:rPr>
        <w:t>Seq,adj</w:t>
      </w:r>
      <w:proofErr w:type="spellEnd"/>
      <w:r w:rsidR="00FB1FA3" w:rsidRPr="00890C27">
        <w:rPr>
          <w:rFonts w:ascii="Times New Roman" w:hAnsi="Times New Roman" w:cs="Times New Roman"/>
          <w:sz w:val="24"/>
          <w:szCs w:val="24"/>
        </w:rPr>
        <w:t>.</w:t>
      </w:r>
      <w:proofErr w:type="gramEnd"/>
    </w:p>
    <w:p w14:paraId="1D81D613" w14:textId="4616A2B3" w:rsidR="008F35A7" w:rsidRPr="00890C27" w:rsidRDefault="008F35A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w:t>
      </w:r>
      <w:r w:rsidR="00FC5825" w:rsidRPr="00890C27">
        <w:rPr>
          <w:rFonts w:ascii="Times New Roman" w:hAnsi="Times New Roman" w:cs="Times New Roman"/>
          <w:sz w:val="24"/>
          <w:szCs w:val="24"/>
        </w:rPr>
        <w:t>i</w:t>
      </w:r>
      <w:r w:rsidRPr="00890C27">
        <w:rPr>
          <w:rFonts w:ascii="Times New Roman" w:hAnsi="Times New Roman" w:cs="Times New Roman"/>
          <w:sz w:val="24"/>
          <w:szCs w:val="24"/>
        </w:rPr>
        <w:t>nitial step is to calculate the unadjusted sequestration amount (</w:t>
      </w:r>
      <w:proofErr w:type="spellStart"/>
      <w:r w:rsidRPr="00C35336">
        <w:rPr>
          <w:rFonts w:ascii="Times New Roman" w:hAnsi="Times New Roman" w:cs="Times New Roman"/>
          <w:i/>
          <w:sz w:val="24"/>
          <w:szCs w:val="24"/>
        </w:rPr>
        <w:t>A</w:t>
      </w:r>
      <w:r w:rsidRPr="00C35336">
        <w:rPr>
          <w:rFonts w:ascii="Times New Roman" w:hAnsi="Times New Roman" w:cs="Times New Roman"/>
          <w:i/>
          <w:sz w:val="24"/>
          <w:szCs w:val="24"/>
          <w:vertAlign w:val="subscript"/>
        </w:rPr>
        <w:t>Seq</w:t>
      </w:r>
      <w:proofErr w:type="spellEnd"/>
      <w:r w:rsidRPr="00890C27">
        <w:rPr>
          <w:rFonts w:ascii="Times New Roman" w:hAnsi="Times New Roman" w:cs="Times New Roman"/>
          <w:sz w:val="24"/>
          <w:szCs w:val="24"/>
        </w:rPr>
        <w:t>). For the first reporting year, this is the difference between the carbon stock at the end of the year and the average carbon stock during the baseline period. For later years, it is the difference between the carbon stock at the end of the year and that of the previous year.</w:t>
      </w:r>
    </w:p>
    <w:p w14:paraId="18FE56E5" w14:textId="24EEFADF" w:rsidR="008F35A7" w:rsidRPr="00890C27" w:rsidRDefault="008F35A7" w:rsidP="008103FF">
      <w:pPr>
        <w:spacing w:after="160" w:line="276" w:lineRule="auto"/>
        <w:rPr>
          <w:rFonts w:ascii="Times New Roman" w:hAnsi="Times New Roman" w:cs="Times New Roman"/>
          <w:sz w:val="24"/>
          <w:szCs w:val="24"/>
        </w:rPr>
      </w:pPr>
      <w:proofErr w:type="spellStart"/>
      <w:r w:rsidRPr="00C35336">
        <w:rPr>
          <w:rFonts w:ascii="Times New Roman" w:hAnsi="Times New Roman" w:cs="Times New Roman"/>
          <w:i/>
          <w:sz w:val="24"/>
          <w:szCs w:val="24"/>
        </w:rPr>
        <w:t>A</w:t>
      </w:r>
      <w:r w:rsidRPr="00C35336">
        <w:rPr>
          <w:rFonts w:ascii="Times New Roman" w:hAnsi="Times New Roman" w:cs="Times New Roman"/>
          <w:i/>
          <w:sz w:val="24"/>
          <w:szCs w:val="24"/>
          <w:vertAlign w:val="subscript"/>
        </w:rPr>
        <w:t>Seq</w:t>
      </w:r>
      <w:proofErr w:type="spellEnd"/>
      <w:r w:rsidRPr="00890C27">
        <w:rPr>
          <w:rFonts w:ascii="Times New Roman" w:hAnsi="Times New Roman" w:cs="Times New Roman"/>
          <w:sz w:val="24"/>
          <w:szCs w:val="24"/>
        </w:rPr>
        <w:t xml:space="preserve"> is then adjusted to produce </w:t>
      </w:r>
      <w:proofErr w:type="spellStart"/>
      <w:proofErr w:type="gramStart"/>
      <w:r w:rsidRPr="00C35336">
        <w:rPr>
          <w:rFonts w:ascii="Times New Roman" w:hAnsi="Times New Roman" w:cs="Times New Roman"/>
          <w:i/>
          <w:sz w:val="24"/>
          <w:szCs w:val="24"/>
        </w:rPr>
        <w:t>A</w:t>
      </w:r>
      <w:r w:rsidRPr="00C35336">
        <w:rPr>
          <w:rFonts w:ascii="Times New Roman" w:hAnsi="Times New Roman" w:cs="Times New Roman"/>
          <w:i/>
          <w:sz w:val="24"/>
          <w:szCs w:val="24"/>
          <w:vertAlign w:val="subscript"/>
        </w:rPr>
        <w:t>Seq,adj</w:t>
      </w:r>
      <w:proofErr w:type="spellEnd"/>
      <w:proofErr w:type="gramEnd"/>
      <w:r w:rsidRPr="00890C27">
        <w:rPr>
          <w:rFonts w:ascii="Times New Roman" w:hAnsi="Times New Roman" w:cs="Times New Roman"/>
          <w:sz w:val="24"/>
          <w:szCs w:val="24"/>
        </w:rPr>
        <w:t xml:space="preserve"> by subtracting any negative abatement carried over from the previous year. A further adjustment is made to account for the risk of reversal and permanence period discount factors that would normally apply under section 16 of the Act. Although these factors are set to zero under the Rule for projects covered by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 a corresponding sequestration buffer is applied to ensure equivalent treatment. These adjustments do not apply to emissions avoidance abatement.</w:t>
      </w:r>
    </w:p>
    <w:p w14:paraId="13E38FF1" w14:textId="52790F61" w:rsidR="00122A6D" w:rsidRPr="00890C27" w:rsidRDefault="008F35A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Baseline-related values are recalculated annually and may vary due to updates to referenced documents, revisions to the vegetation fuel type map, or changes to project area boundaries.</w:t>
      </w:r>
    </w:p>
    <w:p w14:paraId="343F92A7" w14:textId="67B2BC85" w:rsidR="000767AC" w:rsidRPr="00890C27" w:rsidRDefault="000767AC"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Figure </w:t>
      </w:r>
      <w:r w:rsidR="000A26ED" w:rsidRPr="00890C27">
        <w:rPr>
          <w:rFonts w:ascii="Times New Roman" w:hAnsi="Times New Roman" w:cs="Times New Roman"/>
          <w:sz w:val="24"/>
          <w:szCs w:val="24"/>
        </w:rPr>
        <w:t xml:space="preserve">2 above </w:t>
      </w:r>
      <w:r w:rsidRPr="00890C27">
        <w:rPr>
          <w:rFonts w:ascii="Times New Roman" w:hAnsi="Times New Roman" w:cs="Times New Roman"/>
          <w:sz w:val="24"/>
          <w:szCs w:val="24"/>
        </w:rPr>
        <w:t>provides a flow chart of how the adjusted contribution to net abatement amount from sequestration is calculated</w:t>
      </w:r>
      <w:r w:rsidR="00E313EE" w:rsidRPr="00890C27">
        <w:rPr>
          <w:rFonts w:ascii="Times New Roman" w:hAnsi="Times New Roman" w:cs="Times New Roman"/>
          <w:sz w:val="24"/>
          <w:szCs w:val="24"/>
        </w:rPr>
        <w:t xml:space="preserve"> and how it feeds into the calculation of the net abatement</w:t>
      </w:r>
      <w:r w:rsidR="004A6423" w:rsidRPr="00890C27">
        <w:rPr>
          <w:rFonts w:ascii="Times New Roman" w:hAnsi="Times New Roman" w:cs="Times New Roman"/>
          <w:sz w:val="24"/>
          <w:szCs w:val="24"/>
        </w:rPr>
        <w:t xml:space="preserve"> amount </w:t>
      </w:r>
      <w:r w:rsidR="007656C1" w:rsidRPr="00890C27">
        <w:rPr>
          <w:rFonts w:ascii="Times New Roman" w:hAnsi="Times New Roman" w:cs="Times New Roman"/>
          <w:sz w:val="24"/>
          <w:szCs w:val="24"/>
        </w:rPr>
        <w:t xml:space="preserve">for </w:t>
      </w:r>
      <w:r w:rsidR="00315014" w:rsidRPr="00890C27">
        <w:rPr>
          <w:rFonts w:ascii="Times New Roman" w:hAnsi="Times New Roman" w:cs="Times New Roman"/>
          <w:sz w:val="24"/>
          <w:szCs w:val="24"/>
        </w:rPr>
        <w:t>a</w:t>
      </w:r>
      <w:r w:rsidR="007656C1" w:rsidRPr="00890C27">
        <w:rPr>
          <w:rFonts w:ascii="Times New Roman" w:hAnsi="Times New Roman" w:cs="Times New Roman"/>
          <w:sz w:val="24"/>
          <w:szCs w:val="24"/>
        </w:rPr>
        <w:t xml:space="preserve"> savanna </w:t>
      </w:r>
      <w:r w:rsidR="004D74F5">
        <w:rPr>
          <w:rFonts w:ascii="Times New Roman" w:hAnsi="Times New Roman" w:cs="Times New Roman"/>
          <w:sz w:val="24"/>
          <w:szCs w:val="24"/>
        </w:rPr>
        <w:t>sequestration</w:t>
      </w:r>
      <w:r w:rsidR="004D74F5" w:rsidRPr="00890C27">
        <w:rPr>
          <w:rFonts w:ascii="Times New Roman" w:hAnsi="Times New Roman" w:cs="Times New Roman"/>
          <w:sz w:val="24"/>
          <w:szCs w:val="24"/>
        </w:rPr>
        <w:t xml:space="preserve"> </w:t>
      </w:r>
      <w:r w:rsidR="007656C1" w:rsidRPr="00890C27">
        <w:rPr>
          <w:rFonts w:ascii="Times New Roman" w:hAnsi="Times New Roman" w:cs="Times New Roman"/>
          <w:sz w:val="24"/>
          <w:szCs w:val="24"/>
        </w:rPr>
        <w:t xml:space="preserve">project </w:t>
      </w:r>
      <w:r w:rsidR="004A6423" w:rsidRPr="00890C27">
        <w:rPr>
          <w:rFonts w:ascii="Times New Roman" w:hAnsi="Times New Roman" w:cs="Times New Roman"/>
          <w:sz w:val="24"/>
          <w:szCs w:val="24"/>
        </w:rPr>
        <w:t>for a reporting period</w:t>
      </w:r>
      <w:r w:rsidRPr="00890C27">
        <w:rPr>
          <w:rFonts w:ascii="Times New Roman" w:hAnsi="Times New Roman" w:cs="Times New Roman"/>
          <w:sz w:val="24"/>
          <w:szCs w:val="24"/>
        </w:rPr>
        <w:t>.</w:t>
      </w:r>
    </w:p>
    <w:p w14:paraId="5726112B" w14:textId="6A08ADE6" w:rsidR="0076059B" w:rsidRPr="00C35336" w:rsidRDefault="0076059B" w:rsidP="008103FF">
      <w:pPr>
        <w:spacing w:after="160" w:line="276" w:lineRule="auto"/>
        <w:rPr>
          <w:rFonts w:ascii="Times New Roman" w:hAnsi="Times New Roman" w:cs="Times New Roman"/>
          <w:b/>
          <w:sz w:val="24"/>
          <w:szCs w:val="24"/>
        </w:rPr>
      </w:pPr>
      <w:r w:rsidRPr="00C35336">
        <w:rPr>
          <w:rFonts w:ascii="Times New Roman" w:hAnsi="Times New Roman" w:cs="Times New Roman"/>
          <w:b/>
          <w:sz w:val="24"/>
          <w:szCs w:val="24"/>
        </w:rPr>
        <w:t xml:space="preserve">Division 2— Calculations </w:t>
      </w:r>
    </w:p>
    <w:p w14:paraId="6A6D8E43" w14:textId="7D0F422B" w:rsidR="0076059B" w:rsidRPr="00C35336" w:rsidRDefault="00F55F37"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760923" w:rsidRPr="00760923">
        <w:rPr>
          <w:rFonts w:ascii="Times New Roman" w:hAnsi="Times New Roman" w:cs="Times New Roman"/>
          <w:sz w:val="24"/>
          <w:szCs w:val="24"/>
          <w:u w:val="single"/>
        </w:rPr>
        <w:t xml:space="preserve"> </w:t>
      </w:r>
      <w:r w:rsidR="0076059B" w:rsidRPr="00760923">
        <w:rPr>
          <w:rFonts w:ascii="Times New Roman" w:hAnsi="Times New Roman" w:cs="Times New Roman"/>
          <w:sz w:val="24"/>
          <w:szCs w:val="24"/>
          <w:u w:val="single"/>
        </w:rPr>
        <w:t xml:space="preserve">2 </w:t>
      </w:r>
      <w:r w:rsidR="00760923" w:rsidRPr="00760923">
        <w:rPr>
          <w:rFonts w:ascii="Times New Roman" w:hAnsi="Times New Roman" w:cs="Times New Roman"/>
          <w:sz w:val="24"/>
          <w:szCs w:val="24"/>
          <w:u w:val="single"/>
        </w:rPr>
        <w:t xml:space="preserve">– </w:t>
      </w:r>
      <w:r w:rsidR="0076059B" w:rsidRPr="00760923">
        <w:rPr>
          <w:rFonts w:ascii="Times New Roman" w:hAnsi="Times New Roman" w:cs="Times New Roman"/>
          <w:sz w:val="24"/>
          <w:szCs w:val="24"/>
          <w:u w:val="single"/>
        </w:rPr>
        <w:t xml:space="preserve">Calculation of adjusted contribution to net abatement amount from sequestration of carbon in </w:t>
      </w:r>
      <w:r w:rsidR="00193D42" w:rsidRPr="00760923">
        <w:rPr>
          <w:rFonts w:ascii="Times New Roman" w:hAnsi="Times New Roman" w:cs="Times New Roman"/>
          <w:sz w:val="24"/>
          <w:szCs w:val="24"/>
          <w:u w:val="single"/>
        </w:rPr>
        <w:t xml:space="preserve">living biomass </w:t>
      </w:r>
      <w:r w:rsidR="005F7576">
        <w:rPr>
          <w:rFonts w:ascii="Times New Roman" w:hAnsi="Times New Roman" w:cs="Times New Roman"/>
          <w:sz w:val="24"/>
          <w:szCs w:val="24"/>
          <w:u w:val="single"/>
        </w:rPr>
        <w:t>or</w:t>
      </w:r>
      <w:r w:rsidR="005F7576" w:rsidRPr="00760923">
        <w:rPr>
          <w:rFonts w:ascii="Times New Roman" w:hAnsi="Times New Roman" w:cs="Times New Roman"/>
          <w:sz w:val="24"/>
          <w:szCs w:val="24"/>
          <w:u w:val="single"/>
        </w:rPr>
        <w:t xml:space="preserve"> </w:t>
      </w:r>
      <w:r w:rsidR="0076059B" w:rsidRPr="00760923">
        <w:rPr>
          <w:rFonts w:ascii="Times New Roman" w:hAnsi="Times New Roman" w:cs="Times New Roman"/>
          <w:sz w:val="24"/>
          <w:szCs w:val="24"/>
          <w:u w:val="single"/>
        </w:rPr>
        <w:t xml:space="preserve">dead organic matter for a calendar year, </w:t>
      </w:r>
      <w:proofErr w:type="spellStart"/>
      <w:proofErr w:type="gramStart"/>
      <w:r w:rsidR="003233E7" w:rsidRPr="00C35336">
        <w:rPr>
          <w:rFonts w:ascii="Times New Roman" w:hAnsi="Times New Roman" w:cs="Times New Roman"/>
          <w:i/>
          <w:u w:val="single"/>
        </w:rPr>
        <w:t>A</w:t>
      </w:r>
      <w:r w:rsidR="003233E7" w:rsidRPr="00C35336">
        <w:rPr>
          <w:rFonts w:ascii="Times New Roman" w:hAnsi="Times New Roman" w:cs="Times New Roman"/>
          <w:i/>
          <w:u w:val="single"/>
          <w:vertAlign w:val="subscript"/>
        </w:rPr>
        <w:t>Seq</w:t>
      </w:r>
      <w:proofErr w:type="spellEnd"/>
      <w:r w:rsidR="003233E7" w:rsidRPr="00C35336">
        <w:rPr>
          <w:rFonts w:ascii="Times New Roman" w:hAnsi="Times New Roman" w:cs="Times New Roman"/>
          <w:i/>
          <w:u w:val="single"/>
          <w:vertAlign w:val="subscript"/>
        </w:rPr>
        <w:softHyphen/>
      </w:r>
      <w:r w:rsidR="0076059B" w:rsidRPr="00C35336">
        <w:rPr>
          <w:rFonts w:ascii="Times New Roman" w:hAnsi="Times New Roman" w:cs="Times New Roman"/>
          <w:i/>
          <w:u w:val="single"/>
          <w:vertAlign w:val="subscript"/>
        </w:rPr>
        <w:t>,adj</w:t>
      </w:r>
      <w:proofErr w:type="gramEnd"/>
    </w:p>
    <w:p w14:paraId="7FFC198B" w14:textId="51C4BF3B" w:rsidR="00BA2E96" w:rsidRPr="00890C27" w:rsidRDefault="00C840BE" w:rsidP="008103FF">
      <w:pPr>
        <w:spacing w:after="16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Clause 2</w:t>
      </w:r>
      <w:r w:rsidR="003D3CCD" w:rsidRPr="00890C27">
        <w:rPr>
          <w:rFonts w:ascii="Times New Roman" w:hAnsi="Times New Roman" w:cs="Times New Roman"/>
          <w:color w:val="000000" w:themeColor="text1"/>
          <w:sz w:val="24"/>
          <w:szCs w:val="24"/>
        </w:rPr>
        <w:t xml:space="preserve"> </w:t>
      </w:r>
      <w:r w:rsidR="00BA2E96" w:rsidRPr="00890C27">
        <w:rPr>
          <w:rFonts w:ascii="Times New Roman" w:hAnsi="Times New Roman" w:cs="Times New Roman"/>
          <w:color w:val="000000" w:themeColor="text1"/>
          <w:sz w:val="24"/>
          <w:szCs w:val="24"/>
        </w:rPr>
        <w:t xml:space="preserve">provides for how to calculate the adjusted contribution to the net abatement amount arising from sequestering carbon in dead organic matter during the calendar year </w:t>
      </w:r>
      <w:proofErr w:type="spellStart"/>
      <w:proofErr w:type="gramStart"/>
      <w:r w:rsidR="000560A9" w:rsidRPr="00890C27">
        <w:rPr>
          <w:rFonts w:ascii="Times New Roman" w:hAnsi="Times New Roman" w:cs="Times New Roman"/>
          <w:i/>
          <w:sz w:val="24"/>
          <w:szCs w:val="24"/>
        </w:rPr>
        <w:t>A</w:t>
      </w:r>
      <w:r w:rsidR="000560A9" w:rsidRPr="00890C27">
        <w:rPr>
          <w:rFonts w:ascii="Times New Roman" w:hAnsi="Times New Roman" w:cs="Times New Roman"/>
          <w:i/>
          <w:sz w:val="24"/>
          <w:szCs w:val="24"/>
          <w:vertAlign w:val="subscript"/>
        </w:rPr>
        <w:t>Seq,adj</w:t>
      </w:r>
      <w:proofErr w:type="spellEnd"/>
      <w:r w:rsidR="000560A9" w:rsidRPr="00890C27">
        <w:rPr>
          <w:rFonts w:ascii="Times New Roman" w:hAnsi="Times New Roman" w:cs="Times New Roman"/>
          <w:i/>
          <w:color w:val="000000" w:themeColor="text1"/>
          <w:sz w:val="24"/>
          <w:szCs w:val="24"/>
        </w:rPr>
        <w:t>.</w:t>
      </w:r>
      <w:proofErr w:type="gramEnd"/>
      <w:r w:rsidR="000560A9" w:rsidRPr="00890C27">
        <w:rPr>
          <w:rFonts w:ascii="Times New Roman" w:hAnsi="Times New Roman" w:cs="Times New Roman"/>
          <w:color w:val="000000" w:themeColor="text1"/>
          <w:sz w:val="24"/>
          <w:szCs w:val="24"/>
        </w:rPr>
        <w:t xml:space="preserve"> </w:t>
      </w:r>
    </w:p>
    <w:p w14:paraId="212D76C5" w14:textId="2447F911" w:rsidR="00F45936" w:rsidRPr="00890C27" w:rsidRDefault="00F45936"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To calculate the adjusted contribution to the net abatement amount from sequestration (</w:t>
      </w:r>
      <w:proofErr w:type="spellStart"/>
      <w:proofErr w:type="gramStart"/>
      <w:r w:rsidRPr="00890C27">
        <w:rPr>
          <w:rFonts w:ascii="Times New Roman" w:hAnsi="Times New Roman" w:cs="Times New Roman"/>
          <w:i/>
          <w:color w:val="000000" w:themeColor="text1"/>
          <w:sz w:val="24"/>
          <w:szCs w:val="24"/>
        </w:rPr>
        <w:t>A</w:t>
      </w:r>
      <w:r w:rsidRPr="00890C27">
        <w:rPr>
          <w:rFonts w:ascii="Times New Roman" w:hAnsi="Times New Roman" w:cs="Times New Roman"/>
          <w:i/>
          <w:color w:val="000000" w:themeColor="text1"/>
          <w:sz w:val="24"/>
          <w:szCs w:val="24"/>
          <w:vertAlign w:val="subscript"/>
        </w:rPr>
        <w:t>Seq,adj</w:t>
      </w:r>
      <w:proofErr w:type="spellEnd"/>
      <w:proofErr w:type="gramEnd"/>
      <w:r w:rsidRPr="00890C27">
        <w:rPr>
          <w:rFonts w:ascii="Times New Roman" w:hAnsi="Times New Roman" w:cs="Times New Roman"/>
          <w:color w:val="000000" w:themeColor="text1"/>
          <w:sz w:val="24"/>
          <w:szCs w:val="24"/>
        </w:rPr>
        <w:t>) for a specific project area</w:t>
      </w:r>
      <w:r w:rsidR="008A7DA7" w:rsidRPr="00890C27">
        <w:rPr>
          <w:rFonts w:ascii="Times New Roman" w:hAnsi="Times New Roman" w:cs="Times New Roman"/>
          <w:color w:val="000000" w:themeColor="text1"/>
          <w:sz w:val="24"/>
          <w:szCs w:val="24"/>
        </w:rPr>
        <w:t>,</w:t>
      </w:r>
      <w:r w:rsidRPr="00890C27">
        <w:rPr>
          <w:rFonts w:ascii="Times New Roman" w:hAnsi="Times New Roman" w:cs="Times New Roman"/>
          <w:color w:val="000000" w:themeColor="text1"/>
          <w:sz w:val="24"/>
          <w:szCs w:val="24"/>
        </w:rPr>
        <w:t xml:space="preserve"> </w:t>
      </w:r>
      <w:r w:rsidR="008A7DA7" w:rsidRPr="00C35336">
        <w:rPr>
          <w:rFonts w:ascii="Times New Roman" w:hAnsi="Times New Roman" w:cs="Times New Roman"/>
          <w:color w:val="000000" w:themeColor="text1"/>
          <w:sz w:val="24"/>
          <w:szCs w:val="24"/>
        </w:rPr>
        <w:t>project area part</w:t>
      </w:r>
      <w:r w:rsidR="00CB55DD" w:rsidRPr="00C35336">
        <w:rPr>
          <w:rFonts w:ascii="Times New Roman" w:hAnsi="Times New Roman" w:cs="Times New Roman"/>
          <w:color w:val="000000" w:themeColor="text1"/>
          <w:sz w:val="24"/>
          <w:szCs w:val="24"/>
        </w:rPr>
        <w:t>,</w:t>
      </w:r>
      <w:r w:rsidR="008A7DA7" w:rsidRPr="00C35336">
        <w:rPr>
          <w:rFonts w:ascii="Times New Roman" w:hAnsi="Times New Roman" w:cs="Times New Roman"/>
          <w:color w:val="000000" w:themeColor="text1"/>
          <w:sz w:val="24"/>
          <w:szCs w:val="24"/>
        </w:rPr>
        <w:t xml:space="preserve"> </w:t>
      </w:r>
      <w:r w:rsidRPr="00890C27">
        <w:rPr>
          <w:rFonts w:ascii="Times New Roman" w:hAnsi="Times New Roman" w:cs="Times New Roman"/>
          <w:color w:val="000000" w:themeColor="text1"/>
          <w:sz w:val="24"/>
          <w:szCs w:val="24"/>
        </w:rPr>
        <w:t>and calendar year</w:t>
      </w:r>
      <w:r w:rsidR="005B1456" w:rsidRPr="00890C27">
        <w:rPr>
          <w:rFonts w:ascii="Times New Roman" w:hAnsi="Times New Roman" w:cs="Times New Roman"/>
          <w:color w:val="000000" w:themeColor="text1"/>
          <w:sz w:val="24"/>
          <w:szCs w:val="24"/>
        </w:rPr>
        <w:t xml:space="preserve"> for the purposes of paragraph (b) of the definition in subsection 34(1)</w:t>
      </w:r>
      <w:r w:rsidRPr="00890C27">
        <w:rPr>
          <w:rFonts w:ascii="Times New Roman" w:hAnsi="Times New Roman" w:cs="Times New Roman"/>
          <w:color w:val="000000" w:themeColor="text1"/>
          <w:sz w:val="24"/>
          <w:szCs w:val="24"/>
        </w:rPr>
        <w:t>, the following steps must be followed</w:t>
      </w:r>
      <w:r w:rsidR="005B1456" w:rsidRPr="00890C27">
        <w:rPr>
          <w:rFonts w:ascii="Times New Roman" w:hAnsi="Times New Roman" w:cs="Times New Roman"/>
          <w:color w:val="000000" w:themeColor="text1"/>
          <w:sz w:val="24"/>
          <w:szCs w:val="24"/>
        </w:rPr>
        <w:t>:</w:t>
      </w:r>
    </w:p>
    <w:p w14:paraId="6832329D" w14:textId="4A4EFD2A" w:rsidR="00F45936" w:rsidRPr="00890C27" w:rsidRDefault="00F4593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Calculate the previous year’s carry-over amount (</w:t>
      </w:r>
      <w:proofErr w:type="spellStart"/>
      <w:r w:rsidRPr="00890C27">
        <w:rPr>
          <w:rFonts w:ascii="Times New Roman" w:hAnsi="Times New Roman" w:cs="Times New Roman"/>
          <w:b/>
          <w:i/>
          <w:color w:val="000000" w:themeColor="text1"/>
          <w:sz w:val="24"/>
          <w:szCs w:val="24"/>
        </w:rPr>
        <w:t>Δ</w:t>
      </w:r>
      <w:proofErr w:type="gramStart"/>
      <w:r w:rsidRPr="00890C27">
        <w:rPr>
          <w:rFonts w:ascii="Times New Roman" w:hAnsi="Times New Roman" w:cs="Times New Roman"/>
          <w:i/>
          <w:color w:val="000000" w:themeColor="text1"/>
          <w:sz w:val="24"/>
          <w:szCs w:val="24"/>
        </w:rPr>
        <w:t>C</w:t>
      </w:r>
      <w:r w:rsidRPr="00890C27">
        <w:rPr>
          <w:rFonts w:ascii="Times New Roman" w:hAnsi="Times New Roman" w:cs="Times New Roman"/>
          <w:i/>
          <w:color w:val="000000" w:themeColor="text1"/>
          <w:sz w:val="24"/>
          <w:szCs w:val="24"/>
          <w:vertAlign w:val="subscript"/>
        </w:rPr>
        <w:t>Seq,Prev</w:t>
      </w:r>
      <w:proofErr w:type="spellEnd"/>
      <w:proofErr w:type="gramEnd"/>
      <w:r w:rsidRPr="00890C27">
        <w:rPr>
          <w:rFonts w:ascii="Times New Roman" w:hAnsi="Times New Roman" w:cs="Times New Roman"/>
          <w:color w:val="000000" w:themeColor="text1"/>
          <w:sz w:val="24"/>
          <w:szCs w:val="24"/>
        </w:rPr>
        <w:t xml:space="preserve">) in tonnes CO₂-e, in accordance with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3.</w:t>
      </w:r>
      <w:r w:rsidR="00307AC0" w:rsidRPr="00890C27">
        <w:rPr>
          <w:rFonts w:ascii="Times New Roman" w:hAnsi="Times New Roman" w:cs="Times New Roman"/>
          <w:sz w:val="24"/>
          <w:szCs w:val="24"/>
        </w:rPr>
        <w:t xml:space="preserve"> Negative carry-over values exist if the previous calendar year’s net sequestration abatement was negative. This could occur if the sequestration </w:t>
      </w:r>
      <w:r w:rsidR="00307AC0" w:rsidRPr="00C35336">
        <w:rPr>
          <w:rFonts w:ascii="Times New Roman" w:hAnsi="Times New Roman" w:cs="Times New Roman"/>
          <w:color w:val="000000" w:themeColor="text1"/>
          <w:sz w:val="24"/>
          <w:szCs w:val="24"/>
        </w:rPr>
        <w:t xml:space="preserve">abatement for the previous calendar year was negative, or if earlier calendar years had </w:t>
      </w:r>
      <w:r w:rsidR="00307AC0" w:rsidRPr="00C35336">
        <w:rPr>
          <w:rFonts w:ascii="Times New Roman" w:hAnsi="Times New Roman" w:cs="Times New Roman"/>
          <w:color w:val="000000" w:themeColor="text1"/>
          <w:sz w:val="24"/>
          <w:szCs w:val="24"/>
        </w:rPr>
        <w:lastRenderedPageBreak/>
        <w:t>a negative sequestration abatement amount that had not totally been accounted for in subsequent calendar years.</w:t>
      </w:r>
    </w:p>
    <w:p w14:paraId="68CCA313" w14:textId="71B34238" w:rsidR="00F45936" w:rsidRPr="00890C27" w:rsidRDefault="00F4593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Calculate the sequestration contribution (</w:t>
      </w:r>
      <w:proofErr w:type="spellStart"/>
      <w:r w:rsidRPr="00890C27">
        <w:rPr>
          <w:rFonts w:ascii="Times New Roman" w:hAnsi="Times New Roman" w:cs="Times New Roman"/>
          <w:i/>
          <w:color w:val="000000" w:themeColor="text1"/>
          <w:sz w:val="24"/>
          <w:szCs w:val="24"/>
        </w:rPr>
        <w:t>A</w:t>
      </w:r>
      <w:r w:rsidRPr="00890C27">
        <w:rPr>
          <w:rFonts w:ascii="Times New Roman" w:hAnsi="Times New Roman" w:cs="Times New Roman"/>
          <w:i/>
          <w:color w:val="000000" w:themeColor="text1"/>
          <w:sz w:val="24"/>
          <w:szCs w:val="24"/>
          <w:vertAlign w:val="subscript"/>
        </w:rPr>
        <w:t>Seq</w:t>
      </w:r>
      <w:proofErr w:type="spellEnd"/>
      <w:r w:rsidRPr="00890C27">
        <w:rPr>
          <w:rFonts w:ascii="Times New Roman" w:hAnsi="Times New Roman" w:cs="Times New Roman"/>
          <w:color w:val="000000" w:themeColor="text1"/>
          <w:sz w:val="24"/>
          <w:szCs w:val="24"/>
        </w:rPr>
        <w:t xml:space="preserve">) for the calendar year in tonnes CO₂-e, in accordance with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4.</w:t>
      </w:r>
    </w:p>
    <w:p w14:paraId="0D98FB47" w14:textId="557515FC" w:rsidR="00F45936" w:rsidRPr="00341F69" w:rsidRDefault="00F4593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Determine the sequestration buffer (</w:t>
      </w:r>
      <w:proofErr w:type="spellStart"/>
      <w:r w:rsidRPr="00890C27">
        <w:rPr>
          <w:rFonts w:ascii="Times New Roman" w:hAnsi="Times New Roman" w:cs="Times New Roman"/>
          <w:i/>
          <w:color w:val="000000" w:themeColor="text1"/>
          <w:sz w:val="24"/>
          <w:szCs w:val="24"/>
        </w:rPr>
        <w:t>B</w:t>
      </w:r>
      <w:r w:rsidRPr="00890C27">
        <w:rPr>
          <w:rFonts w:ascii="Times New Roman" w:hAnsi="Times New Roman" w:cs="Times New Roman"/>
          <w:i/>
          <w:color w:val="000000" w:themeColor="text1"/>
          <w:sz w:val="24"/>
          <w:szCs w:val="24"/>
          <w:vertAlign w:val="subscript"/>
        </w:rPr>
        <w:t>Seq</w:t>
      </w:r>
      <w:proofErr w:type="spellEnd"/>
      <w:r w:rsidRPr="00890C27">
        <w:rPr>
          <w:rFonts w:ascii="Times New Roman" w:hAnsi="Times New Roman" w:cs="Times New Roman"/>
          <w:color w:val="000000" w:themeColor="text1"/>
          <w:sz w:val="24"/>
          <w:szCs w:val="24"/>
        </w:rPr>
        <w:t xml:space="preserve">), in accordance with </w:t>
      </w:r>
      <w:r w:rsidR="00431D83">
        <w:rPr>
          <w:rFonts w:ascii="Times New Roman" w:hAnsi="Times New Roman" w:cs="Times New Roman"/>
          <w:color w:val="000000" w:themeColor="text1"/>
          <w:sz w:val="24"/>
          <w:szCs w:val="24"/>
        </w:rPr>
        <w:t>clause</w:t>
      </w:r>
      <w:r w:rsidRPr="00890C27">
        <w:rPr>
          <w:rFonts w:ascii="Times New Roman" w:hAnsi="Times New Roman" w:cs="Times New Roman"/>
          <w:color w:val="000000" w:themeColor="text1"/>
          <w:sz w:val="24"/>
          <w:szCs w:val="24"/>
        </w:rPr>
        <w:t xml:space="preserve"> 5 of the Schedule.</w:t>
      </w:r>
      <w:r w:rsidR="00307AC0" w:rsidRPr="00890C27">
        <w:rPr>
          <w:rFonts w:ascii="Times New Roman" w:hAnsi="Times New Roman" w:cs="Times New Roman"/>
          <w:sz w:val="24"/>
          <w:szCs w:val="24"/>
        </w:rPr>
        <w:t xml:space="preserve"> The sequestration buffer corresponds to the permanence period discount number and risk of reversal buffer number that applies to the sequestration component of the net abatement amount, but not to the avoided emissions component of the net abatement amount.</w:t>
      </w:r>
    </w:p>
    <w:p w14:paraId="6FCE137B" w14:textId="5965BA5E" w:rsidR="00F45936" w:rsidRDefault="00F4593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341F69">
        <w:rPr>
          <w:rFonts w:ascii="Times New Roman" w:hAnsi="Times New Roman" w:cs="Times New Roman"/>
          <w:color w:val="000000" w:themeColor="text1"/>
          <w:sz w:val="24"/>
          <w:szCs w:val="24"/>
        </w:rPr>
        <w:t>Identify which set of conditions in the relevant table applies to the project area for the calendar year.</w:t>
      </w:r>
    </w:p>
    <w:p w14:paraId="46278A1D" w14:textId="08151E12" w:rsidR="00341F69" w:rsidRDefault="00F45936" w:rsidP="008103FF">
      <w:pPr>
        <w:pStyle w:val="ListParagraph"/>
        <w:numPr>
          <w:ilvl w:val="0"/>
          <w:numId w:val="55"/>
        </w:numPr>
        <w:spacing w:after="160" w:line="276" w:lineRule="auto"/>
        <w:ind w:left="714" w:hanging="357"/>
        <w:contextualSpacing w:val="0"/>
        <w:rPr>
          <w:rFonts w:ascii="Times New Roman" w:hAnsi="Times New Roman" w:cs="Times New Roman"/>
          <w:color w:val="000000" w:themeColor="text1"/>
          <w:sz w:val="24"/>
          <w:szCs w:val="24"/>
        </w:rPr>
      </w:pPr>
      <w:r w:rsidRPr="00C35336">
        <w:rPr>
          <w:rFonts w:ascii="Times New Roman" w:hAnsi="Times New Roman" w:cs="Times New Roman"/>
          <w:sz w:val="24"/>
          <w:szCs w:val="24"/>
        </w:rPr>
        <w:t>Based</w:t>
      </w:r>
      <w:r w:rsidRPr="00C35336">
        <w:rPr>
          <w:rFonts w:ascii="Times New Roman" w:hAnsi="Times New Roman" w:cs="Times New Roman"/>
          <w:color w:val="000000" w:themeColor="text1"/>
          <w:sz w:val="24"/>
          <w:szCs w:val="24"/>
        </w:rPr>
        <w:t xml:space="preserve"> on the applicable row of the table</w:t>
      </w:r>
      <w:r w:rsidR="00C46053" w:rsidRPr="00C35336">
        <w:rPr>
          <w:rFonts w:ascii="Times New Roman" w:hAnsi="Times New Roman" w:cs="Times New Roman"/>
          <w:color w:val="000000" w:themeColor="text1"/>
          <w:sz w:val="24"/>
          <w:szCs w:val="24"/>
        </w:rPr>
        <w:t xml:space="preserve"> in </w:t>
      </w:r>
      <w:r w:rsidR="009258CF" w:rsidRPr="00C35336">
        <w:rPr>
          <w:rFonts w:ascii="Times New Roman" w:hAnsi="Times New Roman" w:cs="Times New Roman"/>
          <w:color w:val="000000" w:themeColor="text1"/>
          <w:sz w:val="24"/>
          <w:szCs w:val="24"/>
        </w:rPr>
        <w:t>clause 2</w:t>
      </w:r>
      <w:r w:rsidRPr="00C35336">
        <w:rPr>
          <w:rFonts w:ascii="Times New Roman" w:hAnsi="Times New Roman" w:cs="Times New Roman"/>
          <w:color w:val="000000" w:themeColor="text1"/>
          <w:sz w:val="24"/>
          <w:szCs w:val="24"/>
        </w:rPr>
        <w:t>, calculate</w:t>
      </w:r>
      <w:r w:rsidR="00911394" w:rsidRPr="00C35336">
        <w:rPr>
          <w:rFonts w:ascii="Times New Roman" w:hAnsi="Times New Roman" w:cs="Times New Roman"/>
          <w:color w:val="000000" w:themeColor="text1"/>
          <w:sz w:val="24"/>
          <w:szCs w:val="24"/>
        </w:rPr>
        <w:t xml:space="preserve"> the</w:t>
      </w:r>
      <w:r w:rsidRPr="00C35336">
        <w:rPr>
          <w:rFonts w:ascii="Times New Roman" w:hAnsi="Times New Roman" w:cs="Times New Roman"/>
          <w:color w:val="000000" w:themeColor="text1"/>
          <w:sz w:val="24"/>
          <w:szCs w:val="24"/>
        </w:rPr>
        <w:t>:</w:t>
      </w:r>
    </w:p>
    <w:p w14:paraId="50D024DB" w14:textId="749DFE7C" w:rsidR="00341F69" w:rsidRDefault="00F45936" w:rsidP="008103FF">
      <w:pPr>
        <w:pStyle w:val="ListParagraph"/>
        <w:numPr>
          <w:ilvl w:val="1"/>
          <w:numId w:val="55"/>
        </w:numPr>
        <w:spacing w:after="160" w:line="276" w:lineRule="auto"/>
        <w:contextualSpacing w:val="0"/>
        <w:rPr>
          <w:rFonts w:ascii="Times New Roman" w:hAnsi="Times New Roman" w:cs="Times New Roman"/>
          <w:color w:val="000000" w:themeColor="text1"/>
          <w:sz w:val="24"/>
          <w:szCs w:val="24"/>
        </w:rPr>
      </w:pPr>
      <w:r w:rsidRPr="008868DF">
        <w:rPr>
          <w:rFonts w:ascii="Times New Roman" w:hAnsi="Times New Roman" w:cs="Times New Roman"/>
          <w:sz w:val="24"/>
          <w:szCs w:val="24"/>
        </w:rPr>
        <w:t>adjusted</w:t>
      </w:r>
      <w:r w:rsidRPr="00341F69">
        <w:rPr>
          <w:rFonts w:ascii="Times New Roman" w:hAnsi="Times New Roman" w:cs="Times New Roman"/>
          <w:color w:val="000000" w:themeColor="text1"/>
          <w:sz w:val="24"/>
          <w:szCs w:val="24"/>
        </w:rPr>
        <w:t xml:space="preserve"> sequestration contribution (</w:t>
      </w:r>
      <w:proofErr w:type="spellStart"/>
      <w:proofErr w:type="gramStart"/>
      <w:r w:rsidRPr="00341F69">
        <w:rPr>
          <w:rFonts w:ascii="Times New Roman" w:hAnsi="Times New Roman" w:cs="Times New Roman"/>
          <w:i/>
          <w:iCs/>
          <w:color w:val="000000" w:themeColor="text1"/>
          <w:sz w:val="24"/>
          <w:szCs w:val="24"/>
        </w:rPr>
        <w:t>A</w:t>
      </w:r>
      <w:r w:rsidRPr="00341F69">
        <w:rPr>
          <w:rFonts w:ascii="Times New Roman" w:hAnsi="Times New Roman" w:cs="Times New Roman"/>
          <w:i/>
          <w:iCs/>
          <w:color w:val="000000" w:themeColor="text1"/>
          <w:sz w:val="24"/>
          <w:szCs w:val="24"/>
          <w:vertAlign w:val="subscript"/>
        </w:rPr>
        <w:t>Seq,adj</w:t>
      </w:r>
      <w:proofErr w:type="spellEnd"/>
      <w:proofErr w:type="gramEnd"/>
      <w:r w:rsidRPr="00341F69">
        <w:rPr>
          <w:rFonts w:ascii="Times New Roman" w:hAnsi="Times New Roman" w:cs="Times New Roman"/>
          <w:color w:val="000000" w:themeColor="text1"/>
          <w:sz w:val="24"/>
          <w:szCs w:val="24"/>
        </w:rPr>
        <w:t>) for the calendar year, in tonnes CO₂-e; and</w:t>
      </w:r>
    </w:p>
    <w:p w14:paraId="6B5559A3" w14:textId="797D6B7D" w:rsidR="00F45936" w:rsidRPr="00C77D62" w:rsidRDefault="00F45936" w:rsidP="008103FF">
      <w:pPr>
        <w:pStyle w:val="ListParagraph"/>
        <w:numPr>
          <w:ilvl w:val="1"/>
          <w:numId w:val="55"/>
        </w:numPr>
        <w:spacing w:after="160" w:line="276" w:lineRule="auto"/>
        <w:contextualSpacing w:val="0"/>
        <w:rPr>
          <w:rFonts w:ascii="Times New Roman" w:hAnsi="Times New Roman" w:cs="Times New Roman"/>
          <w:color w:val="000000" w:themeColor="text1"/>
          <w:sz w:val="24"/>
          <w:szCs w:val="24"/>
        </w:rPr>
      </w:pPr>
      <w:r w:rsidRPr="00C35336">
        <w:rPr>
          <w:rFonts w:ascii="Times New Roman" w:hAnsi="Times New Roman" w:cs="Times New Roman"/>
          <w:sz w:val="24"/>
          <w:szCs w:val="24"/>
        </w:rPr>
        <w:t>current</w:t>
      </w:r>
      <w:r w:rsidRPr="00341F69">
        <w:rPr>
          <w:rFonts w:ascii="Times New Roman" w:hAnsi="Times New Roman" w:cs="Times New Roman"/>
          <w:color w:val="000000" w:themeColor="text1"/>
          <w:sz w:val="24"/>
          <w:szCs w:val="24"/>
        </w:rPr>
        <w:t xml:space="preserve"> year’s carry-over amount (</w:t>
      </w:r>
      <w:proofErr w:type="spellStart"/>
      <w:r w:rsidRPr="00341F69">
        <w:rPr>
          <w:rFonts w:ascii="Times New Roman" w:hAnsi="Times New Roman" w:cs="Times New Roman"/>
          <w:i/>
          <w:color w:val="000000" w:themeColor="text1"/>
          <w:sz w:val="24"/>
          <w:szCs w:val="24"/>
        </w:rPr>
        <w:t>Δ</w:t>
      </w:r>
      <w:proofErr w:type="gramStart"/>
      <w:r w:rsidRPr="00341F69">
        <w:rPr>
          <w:rFonts w:ascii="Times New Roman" w:hAnsi="Times New Roman" w:cs="Times New Roman"/>
          <w:i/>
          <w:color w:val="000000" w:themeColor="text1"/>
          <w:sz w:val="24"/>
          <w:szCs w:val="24"/>
        </w:rPr>
        <w:t>C</w:t>
      </w:r>
      <w:r w:rsidRPr="00341F69">
        <w:rPr>
          <w:rFonts w:ascii="Times New Roman" w:hAnsi="Times New Roman" w:cs="Times New Roman"/>
          <w:i/>
          <w:color w:val="000000" w:themeColor="text1"/>
          <w:sz w:val="24"/>
          <w:szCs w:val="24"/>
          <w:vertAlign w:val="subscript"/>
        </w:rPr>
        <w:t>Seq,Curr</w:t>
      </w:r>
      <w:proofErr w:type="spellEnd"/>
      <w:proofErr w:type="gramEnd"/>
      <w:r w:rsidRPr="00341F69">
        <w:rPr>
          <w:rFonts w:ascii="Times New Roman" w:hAnsi="Times New Roman" w:cs="Times New Roman"/>
          <w:color w:val="000000" w:themeColor="text1"/>
          <w:sz w:val="24"/>
          <w:szCs w:val="24"/>
        </w:rPr>
        <w:t>) for the project area, in tonnes CO₂-e.</w:t>
      </w:r>
    </w:p>
    <w:p w14:paraId="6D713896" w14:textId="4A1E720B" w:rsidR="000560A9" w:rsidRPr="00890C27" w:rsidRDefault="004674A7"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w:t>
      </w:r>
      <w:r w:rsidR="000560A9" w:rsidRPr="00890C27">
        <w:rPr>
          <w:rFonts w:ascii="Times New Roman" w:hAnsi="Times New Roman" w:cs="Times New Roman"/>
          <w:sz w:val="24"/>
          <w:szCs w:val="24"/>
        </w:rPr>
        <w:t xml:space="preserve"> table in paragraph 2(e) specifies the appropriate approach for adjusting the value of </w:t>
      </w:r>
      <w:proofErr w:type="spellStart"/>
      <w:r w:rsidR="000560A9" w:rsidRPr="00890C27">
        <w:rPr>
          <w:rFonts w:ascii="Times New Roman" w:hAnsi="Times New Roman" w:cs="Times New Roman"/>
          <w:i/>
          <w:sz w:val="24"/>
          <w:szCs w:val="24"/>
        </w:rPr>
        <w:t>A</w:t>
      </w:r>
      <w:r w:rsidR="000560A9" w:rsidRPr="00890C27">
        <w:rPr>
          <w:rFonts w:ascii="Times New Roman" w:hAnsi="Times New Roman" w:cs="Times New Roman"/>
          <w:i/>
          <w:sz w:val="24"/>
          <w:szCs w:val="24"/>
          <w:vertAlign w:val="subscript"/>
        </w:rPr>
        <w:t>Seq</w:t>
      </w:r>
      <w:proofErr w:type="spellEnd"/>
      <w:r w:rsidR="000560A9" w:rsidRPr="00890C27">
        <w:rPr>
          <w:rFonts w:ascii="Times New Roman" w:hAnsi="Times New Roman" w:cs="Times New Roman"/>
          <w:sz w:val="24"/>
          <w:szCs w:val="24"/>
        </w:rPr>
        <w:t xml:space="preserve"> calculated in </w:t>
      </w:r>
      <w:r w:rsidR="00431D83">
        <w:rPr>
          <w:rFonts w:ascii="Times New Roman" w:hAnsi="Times New Roman" w:cs="Times New Roman"/>
          <w:sz w:val="24"/>
          <w:szCs w:val="24"/>
        </w:rPr>
        <w:t>clause</w:t>
      </w:r>
      <w:r w:rsidR="000560A9" w:rsidRPr="00890C27">
        <w:rPr>
          <w:rFonts w:ascii="Times New Roman" w:hAnsi="Times New Roman" w:cs="Times New Roman"/>
          <w:sz w:val="24"/>
          <w:szCs w:val="24"/>
        </w:rPr>
        <w:t xml:space="preserve"> 4.</w:t>
      </w:r>
    </w:p>
    <w:p w14:paraId="2B94B207" w14:textId="5DE2AF39" w:rsidR="000560A9" w:rsidRPr="00890C27" w:rsidRDefault="000560A9"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amount </w:t>
      </w:r>
      <w:proofErr w:type="spellStart"/>
      <w:r w:rsidRPr="165183F2">
        <w:rPr>
          <w:rFonts w:ascii="Times New Roman" w:hAnsi="Times New Roman" w:cs="Times New Roman"/>
          <w:i/>
          <w:iCs/>
          <w:sz w:val="24"/>
          <w:szCs w:val="24"/>
        </w:rPr>
        <w:t>A</w:t>
      </w:r>
      <w:r w:rsidRPr="165183F2">
        <w:rPr>
          <w:rFonts w:ascii="Times New Roman" w:hAnsi="Times New Roman" w:cs="Times New Roman"/>
          <w:i/>
          <w:iCs/>
          <w:sz w:val="24"/>
          <w:szCs w:val="24"/>
          <w:vertAlign w:val="subscript"/>
        </w:rPr>
        <w:t>Seq</w:t>
      </w:r>
      <w:proofErr w:type="spellEnd"/>
      <w:r w:rsidRPr="00890C27">
        <w:rPr>
          <w:rFonts w:ascii="Times New Roman" w:hAnsi="Times New Roman" w:cs="Times New Roman"/>
          <w:sz w:val="24"/>
          <w:szCs w:val="24"/>
        </w:rPr>
        <w:t xml:space="preserve"> </w:t>
      </w:r>
      <w:r w:rsidRPr="00890C27">
        <w:rPr>
          <w:rFonts w:ascii="Times New Roman" w:hAnsi="Times New Roman" w:cs="Times New Roman"/>
          <w:i/>
          <w:sz w:val="24"/>
          <w:szCs w:val="24"/>
          <w:vertAlign w:val="subscript"/>
        </w:rPr>
        <w:softHyphen/>
      </w:r>
      <w:r w:rsidRPr="00890C27">
        <w:rPr>
          <w:rFonts w:ascii="Times New Roman" w:hAnsi="Times New Roman" w:cs="Times New Roman"/>
          <w:sz w:val="24"/>
          <w:szCs w:val="24"/>
        </w:rPr>
        <w:t xml:space="preserve">represents the change in the amount of carbon that is taken to be sequestered in </w:t>
      </w:r>
      <w:r w:rsidR="0030614A" w:rsidRPr="00890C27">
        <w:rPr>
          <w:rFonts w:ascii="Times New Roman" w:hAnsi="Times New Roman" w:cs="Times New Roman"/>
          <w:sz w:val="24"/>
          <w:szCs w:val="24"/>
        </w:rPr>
        <w:t xml:space="preserve">living biomass and </w:t>
      </w:r>
      <w:r w:rsidRPr="00890C27">
        <w:rPr>
          <w:rFonts w:ascii="Times New Roman" w:hAnsi="Times New Roman" w:cs="Times New Roman"/>
          <w:sz w:val="24"/>
          <w:szCs w:val="24"/>
        </w:rPr>
        <w:t xml:space="preserve">dead organic matter, </w:t>
      </w:r>
      <w:proofErr w:type="gramStart"/>
      <w:r w:rsidRPr="00890C27">
        <w:rPr>
          <w:rFonts w:ascii="Times New Roman" w:hAnsi="Times New Roman" w:cs="Times New Roman"/>
          <w:sz w:val="24"/>
          <w:szCs w:val="24"/>
        </w:rPr>
        <w:t>and in particular, in</w:t>
      </w:r>
      <w:proofErr w:type="gramEnd"/>
      <w:r w:rsidRPr="00890C27">
        <w:rPr>
          <w:rFonts w:ascii="Times New Roman" w:hAnsi="Times New Roman" w:cs="Times New Roman"/>
          <w:sz w:val="24"/>
          <w:szCs w:val="24"/>
        </w:rPr>
        <w:t xml:space="preserve"> coarse </w:t>
      </w:r>
      <w:r w:rsidRPr="165183F2">
        <w:rPr>
          <w:rFonts w:ascii="Times New Roman" w:hAnsi="Times New Roman" w:cs="Times New Roman"/>
          <w:sz w:val="24"/>
          <w:szCs w:val="24"/>
        </w:rPr>
        <w:t>fuel and heavy fuel,</w:t>
      </w:r>
      <w:r w:rsidRPr="00890C27">
        <w:rPr>
          <w:rFonts w:ascii="Times New Roman" w:hAnsi="Times New Roman" w:cs="Times New Roman"/>
          <w:sz w:val="24"/>
          <w:szCs w:val="24"/>
        </w:rPr>
        <w:t xml:space="preserve"> in the project area during the current calendar year. A value of </w:t>
      </w:r>
      <w:proofErr w:type="spellStart"/>
      <w:r w:rsidRPr="165183F2">
        <w:rPr>
          <w:rFonts w:ascii="Times New Roman" w:hAnsi="Times New Roman" w:cs="Times New Roman"/>
          <w:i/>
          <w:iCs/>
          <w:sz w:val="24"/>
          <w:szCs w:val="24"/>
        </w:rPr>
        <w:t>A</w:t>
      </w:r>
      <w:r w:rsidRPr="165183F2">
        <w:rPr>
          <w:rFonts w:ascii="Times New Roman" w:hAnsi="Times New Roman" w:cs="Times New Roman"/>
          <w:i/>
          <w:iCs/>
          <w:sz w:val="24"/>
          <w:szCs w:val="24"/>
          <w:vertAlign w:val="subscript"/>
        </w:rPr>
        <w:t>Seq</w:t>
      </w:r>
      <w:proofErr w:type="spellEnd"/>
      <w:r w:rsidRPr="00890C27">
        <w:rPr>
          <w:rFonts w:ascii="Times New Roman" w:hAnsi="Times New Roman" w:cs="Times New Roman"/>
          <w:sz w:val="24"/>
          <w:szCs w:val="24"/>
        </w:rPr>
        <w:t xml:space="preserve"> that is less than zero represents a reversal of sequestration for the current calendar year. This does not detract from the adjusted contribution to net abatement amount from sequestration for the current calendar year, </w:t>
      </w:r>
      <w:proofErr w:type="spellStart"/>
      <w:proofErr w:type="gramStart"/>
      <w:r w:rsidRPr="165183F2">
        <w:rPr>
          <w:rFonts w:ascii="Times New Roman" w:hAnsi="Times New Roman" w:cs="Times New Roman"/>
          <w:i/>
          <w:iCs/>
          <w:sz w:val="24"/>
          <w:szCs w:val="24"/>
        </w:rPr>
        <w:t>A</w:t>
      </w:r>
      <w:r w:rsidRPr="165183F2">
        <w:rPr>
          <w:rFonts w:ascii="Times New Roman" w:hAnsi="Times New Roman" w:cs="Times New Roman"/>
          <w:i/>
          <w:iCs/>
          <w:sz w:val="24"/>
          <w:szCs w:val="24"/>
          <w:vertAlign w:val="subscript"/>
        </w:rPr>
        <w:t>Seq,adj</w:t>
      </w:r>
      <w:proofErr w:type="spellEnd"/>
      <w:proofErr w:type="gramEnd"/>
      <w:r w:rsidRPr="00890C27">
        <w:rPr>
          <w:rFonts w:ascii="Times New Roman" w:hAnsi="Times New Roman" w:cs="Times New Roman"/>
          <w:sz w:val="24"/>
          <w:szCs w:val="24"/>
        </w:rPr>
        <w:t xml:space="preserve">, nor from the net abatement amount for the reporting period, </w:t>
      </w:r>
      <w:r w:rsidRPr="165183F2">
        <w:rPr>
          <w:rFonts w:ascii="Times New Roman" w:hAnsi="Times New Roman" w:cs="Times New Roman"/>
          <w:i/>
          <w:iCs/>
          <w:sz w:val="24"/>
          <w:szCs w:val="24"/>
        </w:rPr>
        <w:t>A</w:t>
      </w:r>
      <w:r w:rsidRPr="00890C27">
        <w:rPr>
          <w:rFonts w:ascii="Times New Roman" w:hAnsi="Times New Roman" w:cs="Times New Roman"/>
          <w:sz w:val="24"/>
          <w:szCs w:val="24"/>
        </w:rPr>
        <w:t xml:space="preserve">. However, the negative number is carried forward to the following calendar year, and contributes to the amount </w:t>
      </w:r>
      <w:proofErr w:type="spellStart"/>
      <w:proofErr w:type="gramStart"/>
      <w:r w:rsidRPr="165183F2">
        <w:rPr>
          <w:rFonts w:ascii="Times New Roman" w:eastAsia="Symbol" w:hAnsi="Times New Roman" w:cs="Times New Roman"/>
          <w:i/>
          <w:iCs/>
          <w:sz w:val="24"/>
          <w:szCs w:val="24"/>
        </w:rPr>
        <w:t>D</w:t>
      </w:r>
      <w:r w:rsidRPr="165183F2">
        <w:rPr>
          <w:rFonts w:ascii="Times New Roman" w:hAnsi="Times New Roman" w:cs="Times New Roman"/>
          <w:i/>
          <w:iCs/>
          <w:sz w:val="24"/>
          <w:szCs w:val="24"/>
        </w:rPr>
        <w:t>C</w:t>
      </w:r>
      <w:r w:rsidRPr="165183F2">
        <w:rPr>
          <w:rFonts w:ascii="Times New Roman" w:hAnsi="Times New Roman" w:cs="Times New Roman"/>
          <w:i/>
          <w:iCs/>
          <w:sz w:val="24"/>
          <w:szCs w:val="24"/>
          <w:vertAlign w:val="subscript"/>
        </w:rPr>
        <w:t>Seq,Prev</w:t>
      </w:r>
      <w:proofErr w:type="spellEnd"/>
      <w:proofErr w:type="gramEnd"/>
      <w:r w:rsidRPr="165183F2">
        <w:rPr>
          <w:rFonts w:ascii="Times New Roman" w:hAnsi="Times New Roman" w:cs="Times New Roman"/>
          <w:i/>
          <w:iCs/>
          <w:sz w:val="24"/>
          <w:szCs w:val="24"/>
        </w:rPr>
        <w:t xml:space="preserve"> </w:t>
      </w:r>
      <w:r w:rsidRPr="00890C27">
        <w:rPr>
          <w:rFonts w:ascii="Times New Roman" w:hAnsi="Times New Roman" w:cs="Times New Roman"/>
          <w:sz w:val="24"/>
          <w:szCs w:val="24"/>
        </w:rPr>
        <w:t>for the following calendar year.</w:t>
      </w:r>
    </w:p>
    <w:p w14:paraId="027E80CD" w14:textId="77777777" w:rsidR="000560A9" w:rsidRPr="00890C27" w:rsidRDefault="000560A9"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When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Seq,Curr</w:t>
      </w:r>
      <w:proofErr w:type="spellEnd"/>
      <w:proofErr w:type="gramEnd"/>
      <w:r w:rsidRPr="00890C27">
        <w:rPr>
          <w:rFonts w:ascii="Times New Roman" w:hAnsi="Times New Roman" w:cs="Times New Roman"/>
          <w:i/>
          <w:sz w:val="24"/>
          <w:szCs w:val="24"/>
        </w:rPr>
        <w:t xml:space="preserve"> </w:t>
      </w:r>
      <w:r w:rsidRPr="00890C27">
        <w:rPr>
          <w:rFonts w:ascii="Times New Roman" w:hAnsi="Times New Roman" w:cs="Times New Roman"/>
          <w:sz w:val="24"/>
          <w:szCs w:val="24"/>
        </w:rPr>
        <w:t xml:space="preserve">is zero, there is no need to carry the amount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i/>
          <w:sz w:val="24"/>
          <w:szCs w:val="24"/>
        </w:rPr>
        <w:t xml:space="preserve"> </w:t>
      </w:r>
      <w:r w:rsidRPr="00890C27">
        <w:rPr>
          <w:rFonts w:ascii="Times New Roman" w:hAnsi="Times New Roman" w:cs="Times New Roman"/>
          <w:sz w:val="24"/>
          <w:szCs w:val="24"/>
        </w:rPr>
        <w:t>for the following calendar year is set to zero.</w:t>
      </w:r>
    </w:p>
    <w:p w14:paraId="1F154A90" w14:textId="4AA2C6FF" w:rsidR="00BD29F7" w:rsidRPr="00890C27" w:rsidRDefault="00AA30F5"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Note 1</w:t>
      </w:r>
      <w:r w:rsidR="0019336C" w:rsidRPr="00890C27">
        <w:rPr>
          <w:rFonts w:ascii="Times New Roman" w:hAnsi="Times New Roman" w:cs="Times New Roman"/>
          <w:sz w:val="24"/>
          <w:szCs w:val="24"/>
        </w:rPr>
        <w:t xml:space="preserve"> </w:t>
      </w:r>
      <w:r w:rsidRPr="00890C27">
        <w:rPr>
          <w:rFonts w:ascii="Times New Roman" w:hAnsi="Times New Roman" w:cs="Times New Roman"/>
          <w:sz w:val="24"/>
          <w:szCs w:val="24"/>
        </w:rPr>
        <w:t xml:space="preserve">in </w:t>
      </w:r>
      <w:r w:rsidR="009258CF">
        <w:rPr>
          <w:rFonts w:ascii="Times New Roman" w:hAnsi="Times New Roman" w:cs="Times New Roman"/>
          <w:sz w:val="24"/>
          <w:szCs w:val="24"/>
        </w:rPr>
        <w:t>clause 2</w:t>
      </w:r>
      <w:r w:rsidRPr="00890C27">
        <w:rPr>
          <w:rFonts w:ascii="Times New Roman" w:hAnsi="Times New Roman" w:cs="Times New Roman"/>
          <w:sz w:val="24"/>
          <w:szCs w:val="24"/>
        </w:rPr>
        <w:t xml:space="preserve"> </w:t>
      </w:r>
      <w:r w:rsidR="00BD29F7" w:rsidRPr="00890C27">
        <w:rPr>
          <w:rFonts w:ascii="Times New Roman" w:hAnsi="Times New Roman" w:cs="Times New Roman"/>
          <w:sz w:val="24"/>
          <w:szCs w:val="24"/>
        </w:rPr>
        <w:t>makes it clear that</w:t>
      </w:r>
      <w:r w:rsidR="0019336C" w:rsidRPr="00890C27">
        <w:rPr>
          <w:rFonts w:ascii="Times New Roman" w:hAnsi="Times New Roman" w:cs="Times New Roman"/>
          <w:sz w:val="24"/>
          <w:szCs w:val="24"/>
        </w:rPr>
        <w:t xml:space="preserve"> </w:t>
      </w:r>
      <w:r w:rsidR="00BD29F7" w:rsidRPr="00890C27">
        <w:rPr>
          <w:rFonts w:ascii="Times New Roman" w:hAnsi="Times New Roman" w:cs="Times New Roman"/>
          <w:sz w:val="24"/>
          <w:szCs w:val="24"/>
        </w:rPr>
        <w:t>Division 3 outlines adjustments to the calculation methods that apply in circumstances</w:t>
      </w:r>
      <w:r w:rsidR="00822BFB">
        <w:rPr>
          <w:rFonts w:ascii="Times New Roman" w:hAnsi="Times New Roman" w:cs="Times New Roman"/>
          <w:sz w:val="24"/>
          <w:szCs w:val="24"/>
        </w:rPr>
        <w:t xml:space="preserve"> where</w:t>
      </w:r>
      <w:r w:rsidR="00BD29F7" w:rsidRPr="00890C27">
        <w:rPr>
          <w:rFonts w:ascii="Times New Roman" w:hAnsi="Times New Roman" w:cs="Times New Roman"/>
          <w:sz w:val="24"/>
          <w:szCs w:val="24"/>
        </w:rPr>
        <w:t>:</w:t>
      </w:r>
    </w:p>
    <w:p w14:paraId="0EDA48BD" w14:textId="55118A96" w:rsidR="00BD29F7" w:rsidRPr="0012336F" w:rsidRDefault="00BD29F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35336">
        <w:rPr>
          <w:rFonts w:ascii="Times New Roman" w:hAnsi="Times New Roman" w:cs="Times New Roman"/>
          <w:color w:val="000000" w:themeColor="text1"/>
          <w:sz w:val="24"/>
          <w:szCs w:val="24"/>
        </w:rPr>
        <w:t xml:space="preserve">a </w:t>
      </w:r>
      <w:r w:rsidRPr="0012336F">
        <w:rPr>
          <w:rFonts w:ascii="Times New Roman" w:hAnsi="Times New Roman" w:cs="Times New Roman"/>
          <w:sz w:val="24"/>
          <w:szCs w:val="24"/>
        </w:rPr>
        <w:t xml:space="preserve">project area spans both high and low rainfall zones (see </w:t>
      </w:r>
      <w:r w:rsidR="00431D83" w:rsidRPr="0012336F">
        <w:rPr>
          <w:rFonts w:ascii="Times New Roman" w:hAnsi="Times New Roman" w:cs="Times New Roman"/>
          <w:sz w:val="24"/>
          <w:szCs w:val="24"/>
        </w:rPr>
        <w:t>clause</w:t>
      </w:r>
      <w:r w:rsidRPr="0012336F">
        <w:rPr>
          <w:rFonts w:ascii="Times New Roman" w:hAnsi="Times New Roman" w:cs="Times New Roman"/>
          <w:sz w:val="24"/>
          <w:szCs w:val="24"/>
        </w:rPr>
        <w:t xml:space="preserve"> 8</w:t>
      </w:r>
      <w:proofErr w:type="gramStart"/>
      <w:r w:rsidRPr="0012336F">
        <w:rPr>
          <w:rFonts w:ascii="Times New Roman" w:hAnsi="Times New Roman" w:cs="Times New Roman"/>
          <w:sz w:val="24"/>
          <w:szCs w:val="24"/>
        </w:rPr>
        <w:t>);</w:t>
      </w:r>
      <w:proofErr w:type="gramEnd"/>
    </w:p>
    <w:p w14:paraId="672526A4" w14:textId="350A05DF" w:rsidR="00BD29F7" w:rsidRPr="0012336F" w:rsidRDefault="00BD29F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12336F">
        <w:rPr>
          <w:rFonts w:ascii="Times New Roman" w:hAnsi="Times New Roman" w:cs="Times New Roman"/>
          <w:sz w:val="24"/>
          <w:szCs w:val="24"/>
        </w:rPr>
        <w:t xml:space="preserve">no relevant fire activity has occurred in the project area between the start of the crediting period and the end of the calendar year (see </w:t>
      </w:r>
      <w:r w:rsidR="00431D83" w:rsidRPr="0012336F">
        <w:rPr>
          <w:rFonts w:ascii="Times New Roman" w:hAnsi="Times New Roman" w:cs="Times New Roman"/>
          <w:sz w:val="24"/>
          <w:szCs w:val="24"/>
        </w:rPr>
        <w:t>clause</w:t>
      </w:r>
      <w:r w:rsidRPr="0012336F">
        <w:rPr>
          <w:rFonts w:ascii="Times New Roman" w:hAnsi="Times New Roman" w:cs="Times New Roman"/>
          <w:sz w:val="24"/>
          <w:szCs w:val="24"/>
        </w:rPr>
        <w:t xml:space="preserve"> 9); and</w:t>
      </w:r>
    </w:p>
    <w:p w14:paraId="17485352" w14:textId="5D2BC16C" w:rsidR="00BD29F7" w:rsidRPr="00890C27" w:rsidRDefault="00BD29F7"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12336F">
        <w:rPr>
          <w:rFonts w:ascii="Times New Roman" w:hAnsi="Times New Roman" w:cs="Times New Roman"/>
          <w:sz w:val="24"/>
          <w:szCs w:val="24"/>
        </w:rPr>
        <w:t xml:space="preserve">a project area has been divided into two or more subdivided project areas (see </w:t>
      </w:r>
      <w:r w:rsidR="00431D83" w:rsidRPr="0012336F">
        <w:rPr>
          <w:rFonts w:ascii="Times New Roman" w:hAnsi="Times New Roman" w:cs="Times New Roman"/>
          <w:sz w:val="24"/>
          <w:szCs w:val="24"/>
        </w:rPr>
        <w:t>clause</w:t>
      </w:r>
      <w:r w:rsidRPr="00890C27">
        <w:rPr>
          <w:rFonts w:ascii="Times New Roman" w:hAnsi="Times New Roman" w:cs="Times New Roman"/>
          <w:sz w:val="24"/>
          <w:szCs w:val="24"/>
        </w:rPr>
        <w:t xml:space="preserve"> 10).</w:t>
      </w:r>
    </w:p>
    <w:p w14:paraId="6ECCFE74" w14:textId="6243074B" w:rsidR="00BD29F7" w:rsidRPr="00890C27" w:rsidRDefault="00AA30F5"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lastRenderedPageBreak/>
        <w:t>Note 2</w:t>
      </w:r>
      <w:r w:rsidR="00BD29F7" w:rsidRPr="00890C27">
        <w:rPr>
          <w:rFonts w:ascii="Times New Roman" w:hAnsi="Times New Roman" w:cs="Times New Roman"/>
          <w:sz w:val="24"/>
          <w:szCs w:val="24"/>
        </w:rPr>
        <w:t xml:space="preserve"> makes it clear that if the vegetation fuel type map is revised during a reporting period under section </w:t>
      </w:r>
      <w:r w:rsidR="47A5566E" w:rsidRPr="0D5313FB">
        <w:rPr>
          <w:rFonts w:ascii="Times New Roman" w:hAnsi="Times New Roman" w:cs="Times New Roman"/>
          <w:sz w:val="24"/>
          <w:szCs w:val="24"/>
        </w:rPr>
        <w:t>21</w:t>
      </w:r>
      <w:r w:rsidR="00BD29F7" w:rsidRPr="00890C27">
        <w:rPr>
          <w:rFonts w:ascii="Times New Roman" w:hAnsi="Times New Roman" w:cs="Times New Roman"/>
          <w:sz w:val="24"/>
          <w:szCs w:val="24"/>
        </w:rPr>
        <w:t xml:space="preserve"> of the </w:t>
      </w:r>
      <w:r w:rsidR="004D74F5">
        <w:rPr>
          <w:rFonts w:ascii="Times New Roman" w:hAnsi="Times New Roman" w:cs="Times New Roman"/>
          <w:sz w:val="24"/>
          <w:szCs w:val="24"/>
        </w:rPr>
        <w:t>determination</w:t>
      </w:r>
      <w:r w:rsidR="00BD29F7" w:rsidRPr="00890C27">
        <w:rPr>
          <w:rFonts w:ascii="Times New Roman" w:hAnsi="Times New Roman" w:cs="Times New Roman"/>
          <w:sz w:val="24"/>
          <w:szCs w:val="24"/>
        </w:rPr>
        <w:t>, the revised version of the map—as in force at the end of the reporting period—must be used for all calculations relating to that period, including those linked to the baseline period (see sub</w:t>
      </w:r>
      <w:r w:rsidR="00431D83">
        <w:rPr>
          <w:rFonts w:ascii="Times New Roman" w:hAnsi="Times New Roman" w:cs="Times New Roman"/>
          <w:sz w:val="24"/>
          <w:szCs w:val="24"/>
        </w:rPr>
        <w:t>clause</w:t>
      </w:r>
      <w:r w:rsidR="00BD29F7" w:rsidRPr="00890C27">
        <w:rPr>
          <w:rFonts w:ascii="Times New Roman" w:hAnsi="Times New Roman" w:cs="Times New Roman"/>
          <w:sz w:val="24"/>
          <w:szCs w:val="24"/>
        </w:rPr>
        <w:t xml:space="preserve"> 10(1)). However, values calculated in previous years, such as the carry-over amount and </w:t>
      </w:r>
      <w:proofErr w:type="spellStart"/>
      <w:proofErr w:type="gramStart"/>
      <w:r w:rsidR="00BD29F7" w:rsidRPr="00C35336">
        <w:rPr>
          <w:rFonts w:ascii="Times New Roman" w:hAnsi="Times New Roman" w:cs="Times New Roman"/>
          <w:i/>
          <w:sz w:val="24"/>
          <w:szCs w:val="24"/>
        </w:rPr>
        <w:t>C</w:t>
      </w:r>
      <w:r w:rsidR="00BD29F7" w:rsidRPr="00C35336">
        <w:rPr>
          <w:rFonts w:ascii="Times New Roman" w:hAnsi="Times New Roman" w:cs="Times New Roman"/>
          <w:i/>
          <w:sz w:val="24"/>
          <w:szCs w:val="24"/>
          <w:vertAlign w:val="subscript"/>
        </w:rPr>
        <w:t>Seq,Prev</w:t>
      </w:r>
      <w:proofErr w:type="spellEnd"/>
      <w:proofErr w:type="gramEnd"/>
      <w:r w:rsidR="00BD29F7" w:rsidRPr="00890C27">
        <w:rPr>
          <w:rFonts w:ascii="Times New Roman" w:hAnsi="Times New Roman" w:cs="Times New Roman"/>
          <w:sz w:val="24"/>
          <w:szCs w:val="24"/>
          <w:vertAlign w:val="subscript"/>
        </w:rPr>
        <w:t xml:space="preserve">, </w:t>
      </w:r>
      <w:r w:rsidR="00BD29F7" w:rsidRPr="00890C27">
        <w:rPr>
          <w:rFonts w:ascii="Times New Roman" w:hAnsi="Times New Roman" w:cs="Times New Roman"/>
          <w:sz w:val="24"/>
          <w:szCs w:val="24"/>
        </w:rPr>
        <w:t>are not updated to reflect the revised map.</w:t>
      </w:r>
    </w:p>
    <w:p w14:paraId="4A1FEC2C" w14:textId="31450AD3" w:rsidR="000560A9" w:rsidRPr="00C35336" w:rsidRDefault="000560A9" w:rsidP="008103FF">
      <w:pPr>
        <w:spacing w:after="160" w:line="276" w:lineRule="auto"/>
        <w:rPr>
          <w:rFonts w:ascii="Times New Roman" w:hAnsi="Times New Roman" w:cs="Times New Roman"/>
          <w:sz w:val="24"/>
          <w:szCs w:val="24"/>
        </w:rPr>
      </w:pPr>
      <w:r w:rsidRPr="00890C27">
        <w:rPr>
          <w:rFonts w:ascii="Times New Roman" w:hAnsi="Times New Roman" w:cs="Times New Roman"/>
          <w:b/>
          <w:sz w:val="24"/>
          <w:szCs w:val="24"/>
        </w:rPr>
        <w:t xml:space="preserve">Examples: Calculation of adjusted contribution to net abatement from sequestration and the current year’s carryover amount for the project area </w:t>
      </w:r>
      <w:r w:rsidR="00F643E9" w:rsidRPr="00C35336">
        <w:rPr>
          <w:rFonts w:ascii="Times New Roman" w:hAnsi="Times New Roman" w:cs="Times New Roman"/>
          <w:sz w:val="24"/>
          <w:szCs w:val="24"/>
        </w:rPr>
        <w:t>(</w:t>
      </w:r>
      <w:r w:rsidRPr="00C35336">
        <w:rPr>
          <w:rFonts w:ascii="Times New Roman" w:hAnsi="Times New Roman" w:cs="Times New Roman"/>
          <w:sz w:val="24"/>
          <w:szCs w:val="24"/>
        </w:rPr>
        <w:t xml:space="preserve">from table in </w:t>
      </w:r>
      <w:r w:rsidR="00786864">
        <w:rPr>
          <w:rFonts w:ascii="Times New Roman" w:hAnsi="Times New Roman" w:cs="Times New Roman"/>
          <w:bCs/>
          <w:sz w:val="24"/>
          <w:szCs w:val="24"/>
        </w:rPr>
        <w:t>c</w:t>
      </w:r>
      <w:r w:rsidR="00431D83">
        <w:rPr>
          <w:rFonts w:ascii="Times New Roman" w:hAnsi="Times New Roman" w:cs="Times New Roman"/>
          <w:bCs/>
          <w:sz w:val="24"/>
          <w:szCs w:val="24"/>
        </w:rPr>
        <w:t>lause</w:t>
      </w:r>
      <w:r w:rsidRPr="00C35336">
        <w:rPr>
          <w:rFonts w:ascii="Times New Roman" w:hAnsi="Times New Roman" w:cs="Times New Roman"/>
          <w:sz w:val="24"/>
          <w:szCs w:val="24"/>
        </w:rPr>
        <w:t xml:space="preserve"> 2</w:t>
      </w:r>
      <w:r w:rsidR="00F643E9" w:rsidRPr="00C35336">
        <w:rPr>
          <w:rFonts w:ascii="Times New Roman" w:hAnsi="Times New Roman" w:cs="Times New Roman"/>
          <w:sz w:val="24"/>
          <w:szCs w:val="24"/>
        </w:rPr>
        <w:t>)</w:t>
      </w:r>
    </w:p>
    <w:p w14:paraId="2E378A58" w14:textId="776115AF"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 xml:space="preserve">In both examples, the contribution to the net abatement amount from sequestration for the project area for the calendar year, </w:t>
      </w:r>
      <w:proofErr w:type="spell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w:t>
      </w:r>
      <w:proofErr w:type="spellEnd"/>
      <w:r w:rsidRPr="00890C27">
        <w:rPr>
          <w:rFonts w:ascii="Times New Roman" w:hAnsi="Times New Roman" w:cs="Times New Roman"/>
          <w:i/>
          <w:sz w:val="24"/>
          <w:szCs w:val="24"/>
        </w:rPr>
        <w:t>, is 5,000 t CO</w:t>
      </w:r>
      <w:r w:rsidRPr="00890C27">
        <w:rPr>
          <w:rFonts w:ascii="Times New Roman" w:hAnsi="Times New Roman" w:cs="Times New Roman"/>
          <w:i/>
          <w:sz w:val="24"/>
          <w:szCs w:val="24"/>
          <w:vertAlign w:val="subscript"/>
        </w:rPr>
        <w:t>2</w:t>
      </w:r>
      <w:r w:rsidRPr="00890C27">
        <w:rPr>
          <w:rFonts w:ascii="Times New Roman" w:hAnsi="Times New Roman" w:cs="Times New Roman"/>
          <w:i/>
          <w:sz w:val="24"/>
          <w:szCs w:val="24"/>
        </w:rPr>
        <w:t>-e, and the permanence period is 25 years</w:t>
      </w:r>
    </w:p>
    <w:p w14:paraId="23C31841" w14:textId="77777777"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1 – Row 1 of table</w:t>
      </w:r>
      <w:r w:rsidRPr="00890C27">
        <w:rPr>
          <w:rFonts w:ascii="Times New Roman" w:hAnsi="Times New Roman" w:cs="Times New Roman"/>
          <w:sz w:val="24"/>
          <w:szCs w:val="24"/>
        </w:rPr>
        <w:t xml:space="preserve"> </w:t>
      </w:r>
    </w:p>
    <w:p w14:paraId="0E8637A1" w14:textId="77777777"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previous year’s carry</w:t>
      </w:r>
      <w:r w:rsidRPr="00890C27">
        <w:rPr>
          <w:rFonts w:ascii="Times New Roman" w:hAnsi="Times New Roman" w:cs="Times New Roman"/>
          <w:sz w:val="24"/>
          <w:szCs w:val="24"/>
        </w:rPr>
        <w:noBreakHyphen/>
        <w:t xml:space="preserve">over amount for the project area,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is equal to zero. </w:t>
      </w:r>
      <w:r w:rsidRPr="00890C27">
        <w:rPr>
          <w:rFonts w:ascii="Times New Roman" w:hAnsi="Times New Roman" w:cs="Times New Roman"/>
          <w:color w:val="000000" w:themeColor="text1"/>
          <w:sz w:val="24"/>
          <w:szCs w:val="24"/>
        </w:rPr>
        <w:t>Row 1 of the table applies because the condition has been met. That is</w:t>
      </w:r>
      <w:r w:rsidRPr="00890C27">
        <w:rPr>
          <w:rFonts w:ascii="Times New Roman" w:hAnsi="Times New Roman" w:cs="Times New Roman"/>
          <w:sz w:val="24"/>
          <w:szCs w:val="24"/>
        </w:rPr>
        <w:t xml:space="preserve">, </w:t>
      </w:r>
      <w:proofErr w:type="spell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w:t>
      </w:r>
      <w:proofErr w:type="spellEnd"/>
      <w:r w:rsidRPr="00890C27">
        <w:rPr>
          <w:rFonts w:ascii="Times New Roman" w:hAnsi="Times New Roman" w:cs="Times New Roman"/>
          <w:sz w:val="24"/>
          <w:szCs w:val="24"/>
        </w:rPr>
        <w:t xml:space="preserve"> +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i/>
          <w:sz w:val="24"/>
          <w:szCs w:val="24"/>
          <w:vertAlign w:val="subscript"/>
        </w:rPr>
        <w:t xml:space="preserve"> </w:t>
      </w:r>
      <w:r w:rsidRPr="00C35336">
        <w:rPr>
          <w:rFonts w:ascii="Times New Roman" w:eastAsia="Symbol" w:hAnsi="Times New Roman" w:cs="Times New Roman"/>
          <w:sz w:val="24"/>
          <w:szCs w:val="24"/>
        </w:rPr>
        <w:t>³</w:t>
      </w:r>
      <w:r w:rsidRPr="00890C27">
        <w:rPr>
          <w:rFonts w:ascii="Times New Roman" w:hAnsi="Times New Roman" w:cs="Times New Roman"/>
          <w:sz w:val="24"/>
          <w:szCs w:val="24"/>
        </w:rPr>
        <w:t xml:space="preserve"> 0: i.e. 5,000 + 0 = 5,000 t CO</w:t>
      </w:r>
      <w:r w:rsidRPr="00890C27">
        <w:rPr>
          <w:rFonts w:ascii="Times New Roman" w:hAnsi="Times New Roman" w:cs="Times New Roman"/>
          <w:sz w:val="24"/>
          <w:szCs w:val="24"/>
          <w:vertAlign w:val="subscript"/>
        </w:rPr>
        <w:t>2</w:t>
      </w:r>
      <w:r w:rsidRPr="00890C27">
        <w:rPr>
          <w:rFonts w:ascii="Times New Roman" w:hAnsi="Times New Roman" w:cs="Times New Roman"/>
          <w:sz w:val="24"/>
          <w:szCs w:val="24"/>
        </w:rPr>
        <w:t xml:space="preserve">-e. </w:t>
      </w:r>
    </w:p>
    <w:p w14:paraId="4E10CFF0" w14:textId="0B1C3F3D"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value of the adjusted contribution from sequestration, </w:t>
      </w:r>
      <w:proofErr w:type="spellStart"/>
      <w:proofErr w:type="gram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Seq,adj</w:t>
      </w:r>
      <w:proofErr w:type="spellEnd"/>
      <w:proofErr w:type="gramEnd"/>
      <w:r w:rsidRPr="00890C27">
        <w:rPr>
          <w:rFonts w:ascii="Times New Roman" w:hAnsi="Times New Roman" w:cs="Times New Roman"/>
          <w:sz w:val="24"/>
          <w:szCs w:val="24"/>
        </w:rPr>
        <w:t xml:space="preserve">, is calculated according to Row 1 of the table. Firstly, the sequestration buffer is determined from </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5 of Schedule 2 – for a project with a 25-year permanence period, the sequestration buffer is equal to 0.25. Secondly, the equation provided in Row 1 is used to determine </w:t>
      </w:r>
      <w:proofErr w:type="spellStart"/>
      <w:proofErr w:type="gram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Seq,adj</w:t>
      </w:r>
      <w:proofErr w:type="spellEnd"/>
      <w:r w:rsidRPr="00890C27">
        <w:rPr>
          <w:rFonts w:ascii="Times New Roman" w:hAnsi="Times New Roman" w:cs="Times New Roman"/>
          <w:sz w:val="24"/>
          <w:szCs w:val="24"/>
        </w:rPr>
        <w:t>.</w:t>
      </w:r>
      <w:proofErr w:type="gramEnd"/>
      <w:r w:rsidRPr="00890C27">
        <w:rPr>
          <w:rFonts w:ascii="Times New Roman" w:hAnsi="Times New Roman" w:cs="Times New Roman"/>
          <w:sz w:val="24"/>
          <w:szCs w:val="24"/>
        </w:rPr>
        <w:t xml:space="preserve"> The calculation in this example is: (1-0.25) x (5,000 + 0) = 0.75 x 5,000 = 3,750 t CO</w:t>
      </w:r>
      <w:r w:rsidRPr="00890C27">
        <w:rPr>
          <w:rFonts w:ascii="Times New Roman" w:hAnsi="Times New Roman" w:cs="Times New Roman"/>
          <w:sz w:val="24"/>
          <w:szCs w:val="24"/>
          <w:vertAlign w:val="subscript"/>
        </w:rPr>
        <w:t>2</w:t>
      </w:r>
      <w:r w:rsidRPr="00890C27">
        <w:rPr>
          <w:rFonts w:ascii="Times New Roman" w:hAnsi="Times New Roman" w:cs="Times New Roman"/>
          <w:sz w:val="24"/>
          <w:szCs w:val="24"/>
        </w:rPr>
        <w:t xml:space="preserve">-e. </w:t>
      </w:r>
    </w:p>
    <w:p w14:paraId="60AFC862" w14:textId="59DDE758"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current year’s carry</w:t>
      </w:r>
      <w:r w:rsidRPr="00890C27">
        <w:rPr>
          <w:rFonts w:ascii="Times New Roman" w:hAnsi="Times New Roman" w:cs="Times New Roman"/>
          <w:sz w:val="24"/>
          <w:szCs w:val="24"/>
        </w:rPr>
        <w:noBreakHyphen/>
        <w:t xml:space="preserve">over amount for the project area,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Seq,Curr</w:t>
      </w:r>
      <w:proofErr w:type="spellEnd"/>
      <w:proofErr w:type="gramEnd"/>
      <w:r w:rsidRPr="00890C27">
        <w:rPr>
          <w:rFonts w:ascii="Times New Roman" w:hAnsi="Times New Roman" w:cs="Times New Roman"/>
          <w:sz w:val="24"/>
          <w:szCs w:val="24"/>
        </w:rPr>
        <w:t>, takes on the value of zero. This value becomes the previous year’s carry</w:t>
      </w:r>
      <w:r w:rsidRPr="00890C27">
        <w:rPr>
          <w:rFonts w:ascii="Times New Roman" w:hAnsi="Times New Roman" w:cs="Times New Roman"/>
          <w:sz w:val="24"/>
          <w:szCs w:val="24"/>
        </w:rPr>
        <w:noBreakHyphen/>
        <w:t xml:space="preserve">over amount for the project area,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for the following year. Only negative abatement is carried forward to following year calculations.</w:t>
      </w:r>
    </w:p>
    <w:p w14:paraId="52A75136" w14:textId="77777777"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i/>
          <w:sz w:val="24"/>
          <w:szCs w:val="24"/>
        </w:rPr>
      </w:pPr>
      <w:r w:rsidRPr="00890C27">
        <w:rPr>
          <w:rFonts w:ascii="Times New Roman" w:hAnsi="Times New Roman" w:cs="Times New Roman"/>
          <w:i/>
          <w:sz w:val="24"/>
          <w:szCs w:val="24"/>
        </w:rPr>
        <w:t>Example 2 – Row 2 of table</w:t>
      </w:r>
      <w:r w:rsidRPr="00890C27">
        <w:rPr>
          <w:rFonts w:ascii="Times New Roman" w:hAnsi="Times New Roman" w:cs="Times New Roman"/>
          <w:sz w:val="24"/>
          <w:szCs w:val="24"/>
        </w:rPr>
        <w:t xml:space="preserve"> </w:t>
      </w:r>
    </w:p>
    <w:p w14:paraId="77E356E3" w14:textId="77777777"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previous year’s carry</w:t>
      </w:r>
      <w:r w:rsidRPr="00890C27">
        <w:rPr>
          <w:rFonts w:ascii="Times New Roman" w:hAnsi="Times New Roman" w:cs="Times New Roman"/>
          <w:sz w:val="24"/>
          <w:szCs w:val="24"/>
        </w:rPr>
        <w:noBreakHyphen/>
        <w:t xml:space="preserve">over amount for the project area,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is -7,000 t CO</w:t>
      </w:r>
      <w:r w:rsidRPr="00890C27">
        <w:rPr>
          <w:rFonts w:ascii="Times New Roman" w:hAnsi="Times New Roman" w:cs="Times New Roman"/>
          <w:sz w:val="24"/>
          <w:szCs w:val="24"/>
          <w:vertAlign w:val="subscript"/>
        </w:rPr>
        <w:t>2</w:t>
      </w:r>
      <w:r w:rsidRPr="00890C27">
        <w:rPr>
          <w:rFonts w:ascii="Times New Roman" w:hAnsi="Times New Roman" w:cs="Times New Roman"/>
          <w:sz w:val="24"/>
          <w:szCs w:val="24"/>
        </w:rPr>
        <w:t xml:space="preserve">-e. </w:t>
      </w:r>
      <w:r w:rsidRPr="00890C27">
        <w:rPr>
          <w:rFonts w:ascii="Times New Roman" w:hAnsi="Times New Roman" w:cs="Times New Roman"/>
          <w:color w:val="000000" w:themeColor="text1"/>
          <w:sz w:val="24"/>
          <w:szCs w:val="24"/>
        </w:rPr>
        <w:t>Row 2 of the table applies because the condition has been met. That is</w:t>
      </w:r>
      <w:r w:rsidRPr="00890C27">
        <w:rPr>
          <w:rFonts w:ascii="Times New Roman" w:hAnsi="Times New Roman" w:cs="Times New Roman"/>
          <w:sz w:val="24"/>
          <w:szCs w:val="24"/>
        </w:rPr>
        <w:t xml:space="preserve">, </w:t>
      </w:r>
      <w:proofErr w:type="spell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w:t>
      </w:r>
      <w:proofErr w:type="spellEnd"/>
      <w:r w:rsidRPr="00890C27">
        <w:rPr>
          <w:rFonts w:ascii="Times New Roman" w:hAnsi="Times New Roman" w:cs="Times New Roman"/>
          <w:sz w:val="24"/>
          <w:szCs w:val="24"/>
        </w:rPr>
        <w:t xml:space="preserve"> +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i/>
          <w:sz w:val="24"/>
          <w:szCs w:val="24"/>
          <w:vertAlign w:val="subscript"/>
        </w:rPr>
        <w:t xml:space="preserve"> </w:t>
      </w:r>
      <w:r w:rsidRPr="00890C27">
        <w:rPr>
          <w:rFonts w:ascii="Times New Roman" w:eastAsia="NSimSun" w:hAnsi="Times New Roman" w:cs="Times New Roman"/>
          <w:sz w:val="24"/>
          <w:szCs w:val="24"/>
        </w:rPr>
        <w:t>&lt;</w:t>
      </w:r>
      <w:r w:rsidRPr="00890C27">
        <w:rPr>
          <w:rFonts w:ascii="Times New Roman" w:hAnsi="Times New Roman" w:cs="Times New Roman"/>
          <w:sz w:val="24"/>
          <w:szCs w:val="24"/>
        </w:rPr>
        <w:t xml:space="preserve"> 0: i.e. 5,000 + -7,000 = -2,000 t CO</w:t>
      </w:r>
      <w:r w:rsidRPr="00890C27">
        <w:rPr>
          <w:rFonts w:ascii="Times New Roman" w:hAnsi="Times New Roman" w:cs="Times New Roman"/>
          <w:sz w:val="24"/>
          <w:szCs w:val="24"/>
          <w:vertAlign w:val="subscript"/>
        </w:rPr>
        <w:t>2</w:t>
      </w:r>
      <w:r w:rsidRPr="00890C27">
        <w:rPr>
          <w:rFonts w:ascii="Times New Roman" w:hAnsi="Times New Roman" w:cs="Times New Roman"/>
          <w:sz w:val="24"/>
          <w:szCs w:val="24"/>
        </w:rPr>
        <w:t>-e.</w:t>
      </w:r>
    </w:p>
    <w:p w14:paraId="67892D3C" w14:textId="77777777"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value of the adjusted contribution from sequestration, </w:t>
      </w:r>
      <w:proofErr w:type="spellStart"/>
      <w:proofErr w:type="gram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Seq,adj</w:t>
      </w:r>
      <w:proofErr w:type="spellEnd"/>
      <w:proofErr w:type="gramEnd"/>
      <w:r w:rsidRPr="00890C27">
        <w:rPr>
          <w:rFonts w:ascii="Times New Roman" w:hAnsi="Times New Roman" w:cs="Times New Roman"/>
          <w:sz w:val="24"/>
          <w:szCs w:val="24"/>
        </w:rPr>
        <w:t>, is calculated according to Row 2 of the table. The value is equal to zero.</w:t>
      </w:r>
    </w:p>
    <w:p w14:paraId="149950DC" w14:textId="77777777" w:rsidR="000560A9" w:rsidRPr="00890C27" w:rsidRDefault="000560A9" w:rsidP="008103FF">
      <w:pPr>
        <w:keepNext/>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There is no sequestration abatement for this calendar year, as the positive contribution to the net abatement amount from sequestration is less than the negative value of the previous year’s carry-over amount.</w:t>
      </w:r>
    </w:p>
    <w:p w14:paraId="58BFB746" w14:textId="77777777" w:rsidR="000560A9" w:rsidRPr="00890C27" w:rsidRDefault="000560A9" w:rsidP="008103FF">
      <w:pPr>
        <w:pBdr>
          <w:top w:val="single" w:sz="4" w:space="1" w:color="auto"/>
          <w:left w:val="single" w:sz="4" w:space="4" w:color="auto"/>
          <w:bottom w:val="single" w:sz="4" w:space="1" w:color="auto"/>
          <w:right w:val="single" w:sz="4" w:space="4" w:color="auto"/>
        </w:pBd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The current year’s carry</w:t>
      </w:r>
      <w:r w:rsidRPr="00890C27">
        <w:rPr>
          <w:rFonts w:ascii="Times New Roman" w:hAnsi="Times New Roman" w:cs="Times New Roman"/>
          <w:sz w:val="24"/>
          <w:szCs w:val="24"/>
        </w:rPr>
        <w:noBreakHyphen/>
        <w:t xml:space="preserve">over amount for the project area,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Seq,Curr</w:t>
      </w:r>
      <w:proofErr w:type="spellEnd"/>
      <w:proofErr w:type="gramEnd"/>
      <w:r w:rsidRPr="00890C27">
        <w:rPr>
          <w:rFonts w:ascii="Times New Roman" w:hAnsi="Times New Roman" w:cs="Times New Roman"/>
          <w:sz w:val="24"/>
          <w:szCs w:val="24"/>
        </w:rPr>
        <w:t>, is the sum of the contribution to the net abatement amount from sequestration and the previous year’s carry</w:t>
      </w:r>
      <w:r w:rsidRPr="00890C27">
        <w:rPr>
          <w:rFonts w:ascii="Times New Roman" w:hAnsi="Times New Roman" w:cs="Times New Roman"/>
          <w:sz w:val="24"/>
          <w:szCs w:val="24"/>
        </w:rPr>
        <w:noBreakHyphen/>
        <w:t>over amount for the project area. That is: 5,000 + (-7,000) = -2,000 t CO</w:t>
      </w:r>
      <w:r w:rsidRPr="00890C27">
        <w:rPr>
          <w:rFonts w:ascii="Times New Roman" w:hAnsi="Times New Roman" w:cs="Times New Roman"/>
          <w:sz w:val="24"/>
          <w:szCs w:val="24"/>
          <w:vertAlign w:val="subscript"/>
        </w:rPr>
        <w:t>2</w:t>
      </w:r>
      <w:r w:rsidRPr="00890C27">
        <w:rPr>
          <w:rFonts w:ascii="Times New Roman" w:hAnsi="Times New Roman" w:cs="Times New Roman"/>
          <w:sz w:val="24"/>
          <w:szCs w:val="24"/>
        </w:rPr>
        <w:t>-e. This value becomes the previous year’s carry</w:t>
      </w:r>
      <w:r w:rsidRPr="00890C27">
        <w:rPr>
          <w:rFonts w:ascii="Times New Roman" w:hAnsi="Times New Roman" w:cs="Times New Roman"/>
          <w:sz w:val="24"/>
          <w:szCs w:val="24"/>
        </w:rPr>
        <w:noBreakHyphen/>
        <w:t xml:space="preserve">over amount for the project area,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for the following year.</w:t>
      </w:r>
    </w:p>
    <w:p w14:paraId="3FCB9DB5" w14:textId="03ABA765" w:rsidR="0076059B" w:rsidRPr="00C35336" w:rsidRDefault="00F55F37" w:rsidP="008103FF">
      <w:pPr>
        <w:keepNext/>
        <w:spacing w:after="160" w:line="276" w:lineRule="auto"/>
        <w:rPr>
          <w:rFonts w:ascii="Times New Roman" w:hAnsi="Times New Roman" w:cs="Times New Roman"/>
          <w:sz w:val="24"/>
          <w:szCs w:val="24"/>
          <w:u w:val="single"/>
        </w:rPr>
      </w:pPr>
      <w:r w:rsidRPr="165183F2">
        <w:rPr>
          <w:rFonts w:ascii="Times New Roman" w:hAnsi="Times New Roman" w:cs="Times New Roman"/>
          <w:sz w:val="24"/>
          <w:szCs w:val="24"/>
          <w:u w:val="single"/>
        </w:rPr>
        <w:lastRenderedPageBreak/>
        <w:t>Clause</w:t>
      </w:r>
      <w:r w:rsidR="00AA30F5" w:rsidRPr="165183F2">
        <w:rPr>
          <w:rFonts w:ascii="Times New Roman" w:hAnsi="Times New Roman" w:cs="Times New Roman"/>
          <w:sz w:val="24"/>
          <w:szCs w:val="24"/>
          <w:u w:val="single"/>
        </w:rPr>
        <w:t xml:space="preserve"> </w:t>
      </w:r>
      <w:r w:rsidR="0076059B" w:rsidRPr="165183F2">
        <w:rPr>
          <w:rFonts w:ascii="Times New Roman" w:hAnsi="Times New Roman" w:cs="Times New Roman"/>
          <w:sz w:val="24"/>
          <w:szCs w:val="24"/>
          <w:u w:val="single"/>
        </w:rPr>
        <w:t xml:space="preserve">3 </w:t>
      </w:r>
      <w:r w:rsidR="00AA30F5" w:rsidRPr="165183F2">
        <w:rPr>
          <w:rFonts w:ascii="Times New Roman" w:hAnsi="Times New Roman" w:cs="Times New Roman"/>
          <w:sz w:val="24"/>
          <w:szCs w:val="24"/>
          <w:u w:val="single"/>
        </w:rPr>
        <w:t xml:space="preserve">– </w:t>
      </w:r>
      <w:r w:rsidR="0076059B" w:rsidRPr="165183F2">
        <w:rPr>
          <w:rFonts w:ascii="Times New Roman" w:hAnsi="Times New Roman" w:cs="Times New Roman"/>
          <w:sz w:val="24"/>
          <w:szCs w:val="24"/>
          <w:u w:val="single"/>
        </w:rPr>
        <w:t xml:space="preserve">The previous year’s carry over amount, </w:t>
      </w:r>
      <w:proofErr w:type="spellStart"/>
      <w:proofErr w:type="gramStart"/>
      <w:r w:rsidR="00B11168" w:rsidRPr="165183F2">
        <w:rPr>
          <w:rFonts w:ascii="Times New Roman" w:eastAsia="Symbol" w:hAnsi="Times New Roman" w:cs="Times New Roman"/>
          <w:i/>
          <w:iCs/>
          <w:sz w:val="24"/>
          <w:szCs w:val="24"/>
          <w:u w:val="single"/>
        </w:rPr>
        <w:t>D</w:t>
      </w:r>
      <w:r w:rsidR="0076059B" w:rsidRPr="165183F2">
        <w:rPr>
          <w:rFonts w:ascii="Times New Roman" w:hAnsi="Times New Roman" w:cs="Times New Roman"/>
          <w:i/>
          <w:iCs/>
          <w:sz w:val="24"/>
          <w:szCs w:val="24"/>
          <w:u w:val="single"/>
        </w:rPr>
        <w:t>C</w:t>
      </w:r>
      <w:r w:rsidR="0076059B" w:rsidRPr="165183F2">
        <w:rPr>
          <w:rFonts w:ascii="Times New Roman" w:hAnsi="Times New Roman" w:cs="Times New Roman"/>
          <w:i/>
          <w:iCs/>
          <w:sz w:val="24"/>
          <w:szCs w:val="24"/>
          <w:u w:val="single"/>
          <w:vertAlign w:val="subscript"/>
        </w:rPr>
        <w:t>Seq,Prev</w:t>
      </w:r>
      <w:proofErr w:type="spellEnd"/>
      <w:proofErr w:type="gramEnd"/>
      <w:r w:rsidR="0076059B" w:rsidRPr="165183F2">
        <w:rPr>
          <w:rFonts w:ascii="Times New Roman" w:hAnsi="Times New Roman" w:cs="Times New Roman"/>
          <w:i/>
          <w:iCs/>
          <w:sz w:val="24"/>
          <w:szCs w:val="24"/>
          <w:u w:val="single"/>
          <w:vertAlign w:val="subscript"/>
        </w:rPr>
        <w:t xml:space="preserve"> </w:t>
      </w:r>
    </w:p>
    <w:p w14:paraId="3A80041E" w14:textId="0D6EBE22" w:rsidR="006B6166" w:rsidRPr="00890C27" w:rsidRDefault="009258CF"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 3</w:t>
      </w:r>
      <w:r w:rsidR="0013759C" w:rsidRPr="00890C27">
        <w:rPr>
          <w:rFonts w:ascii="Times New Roman" w:hAnsi="Times New Roman" w:cs="Times New Roman"/>
          <w:sz w:val="24"/>
          <w:szCs w:val="24"/>
        </w:rPr>
        <w:t xml:space="preserve"> defines how to calculate the previous year’s carry-over amount, </w:t>
      </w:r>
      <w:proofErr w:type="spellStart"/>
      <w:proofErr w:type="gramStart"/>
      <w:r w:rsidR="0013759C" w:rsidRPr="00C35336">
        <w:rPr>
          <w:rFonts w:ascii="Times New Roman" w:eastAsia="Symbol" w:hAnsi="Times New Roman" w:cs="Times New Roman"/>
          <w:i/>
          <w:sz w:val="24"/>
          <w:szCs w:val="24"/>
        </w:rPr>
        <w:t>D</w:t>
      </w:r>
      <w:r w:rsidR="0013759C" w:rsidRPr="00890C27">
        <w:rPr>
          <w:rFonts w:ascii="Times New Roman" w:hAnsi="Times New Roman" w:cs="Times New Roman"/>
          <w:i/>
          <w:sz w:val="24"/>
          <w:szCs w:val="24"/>
        </w:rPr>
        <w:t>C</w:t>
      </w:r>
      <w:r w:rsidR="0013759C" w:rsidRPr="00890C27">
        <w:rPr>
          <w:rFonts w:ascii="Times New Roman" w:hAnsi="Times New Roman" w:cs="Times New Roman"/>
          <w:i/>
          <w:sz w:val="24"/>
          <w:szCs w:val="24"/>
          <w:vertAlign w:val="subscript"/>
        </w:rPr>
        <w:t>Seq,Prev</w:t>
      </w:r>
      <w:proofErr w:type="spellEnd"/>
      <w:proofErr w:type="gramEnd"/>
      <w:r w:rsidR="0013759C" w:rsidRPr="00890C27">
        <w:rPr>
          <w:rFonts w:ascii="Times New Roman" w:hAnsi="Times New Roman" w:cs="Times New Roman"/>
          <w:sz w:val="24"/>
          <w:szCs w:val="24"/>
        </w:rPr>
        <w:t xml:space="preserve"> </w:t>
      </w:r>
      <w:r w:rsidR="007710F5" w:rsidRPr="00890C27">
        <w:rPr>
          <w:rFonts w:ascii="Times New Roman" w:hAnsi="Times New Roman" w:cs="Times New Roman"/>
          <w:sz w:val="24"/>
          <w:szCs w:val="24"/>
        </w:rPr>
        <w:t>for the purposes of</w:t>
      </w:r>
      <w:r w:rsidR="0013759C" w:rsidRPr="00890C27">
        <w:rPr>
          <w:rFonts w:ascii="Times New Roman" w:hAnsi="Times New Roman" w:cs="Times New Roman"/>
          <w:sz w:val="24"/>
          <w:szCs w:val="24"/>
        </w:rPr>
        <w:t xml:space="preserve"> paragraph 2(a) </w:t>
      </w:r>
      <w:r w:rsidR="006B6166" w:rsidRPr="00890C27">
        <w:rPr>
          <w:rFonts w:ascii="Times New Roman" w:hAnsi="Times New Roman" w:cs="Times New Roman"/>
          <w:sz w:val="24"/>
          <w:szCs w:val="24"/>
        </w:rPr>
        <w:t xml:space="preserve">but subject to </w:t>
      </w:r>
      <w:r w:rsidR="00431D83">
        <w:rPr>
          <w:rFonts w:ascii="Times New Roman" w:hAnsi="Times New Roman" w:cs="Times New Roman"/>
          <w:sz w:val="24"/>
          <w:szCs w:val="24"/>
        </w:rPr>
        <w:t>clause</w:t>
      </w:r>
      <w:r w:rsidR="006B6166" w:rsidRPr="00890C27">
        <w:rPr>
          <w:rFonts w:ascii="Times New Roman" w:hAnsi="Times New Roman" w:cs="Times New Roman"/>
          <w:sz w:val="24"/>
          <w:szCs w:val="24"/>
        </w:rPr>
        <w:t xml:space="preserve"> 10</w:t>
      </w:r>
      <w:r w:rsidR="0052569A">
        <w:rPr>
          <w:rFonts w:ascii="Times New Roman" w:hAnsi="Times New Roman" w:cs="Times New Roman"/>
          <w:sz w:val="24"/>
          <w:szCs w:val="24"/>
        </w:rPr>
        <w:t>.</w:t>
      </w:r>
      <w:r w:rsidR="0013759C" w:rsidRPr="00890C27">
        <w:rPr>
          <w:rFonts w:ascii="Times New Roman" w:hAnsi="Times New Roman" w:cs="Times New Roman"/>
          <w:sz w:val="24"/>
          <w:szCs w:val="24"/>
        </w:rPr>
        <w:t xml:space="preserve"> </w:t>
      </w:r>
      <w:r w:rsidR="006B6166" w:rsidRPr="00890C27">
        <w:rPr>
          <w:rFonts w:ascii="Times New Roman" w:hAnsi="Times New Roman" w:cs="Times New Roman"/>
          <w:sz w:val="24"/>
          <w:szCs w:val="24"/>
        </w:rPr>
        <w:t xml:space="preserve">If the project area was subdivided during the calendar year, then the value for </w:t>
      </w:r>
      <w:proofErr w:type="spellStart"/>
      <w:proofErr w:type="gramStart"/>
      <w:r w:rsidR="006B6166" w:rsidRPr="00C35336">
        <w:rPr>
          <w:rFonts w:ascii="Times New Roman" w:eastAsia="Symbol" w:hAnsi="Times New Roman" w:cs="Times New Roman"/>
          <w:i/>
          <w:sz w:val="24"/>
          <w:szCs w:val="24"/>
        </w:rPr>
        <w:t>D</w:t>
      </w:r>
      <w:r w:rsidR="006B6166" w:rsidRPr="00890C27">
        <w:rPr>
          <w:rFonts w:ascii="Times New Roman" w:hAnsi="Times New Roman" w:cs="Times New Roman"/>
          <w:i/>
          <w:sz w:val="24"/>
          <w:szCs w:val="24"/>
        </w:rPr>
        <w:t>C</w:t>
      </w:r>
      <w:r w:rsidR="006B6166" w:rsidRPr="00890C27">
        <w:rPr>
          <w:rFonts w:ascii="Times New Roman" w:hAnsi="Times New Roman" w:cs="Times New Roman"/>
          <w:i/>
          <w:sz w:val="24"/>
          <w:szCs w:val="24"/>
          <w:vertAlign w:val="subscript"/>
        </w:rPr>
        <w:t>Seq,Prev</w:t>
      </w:r>
      <w:proofErr w:type="spellEnd"/>
      <w:proofErr w:type="gramEnd"/>
      <w:r w:rsidR="006B6166" w:rsidRPr="00890C27">
        <w:rPr>
          <w:rFonts w:ascii="Times New Roman" w:hAnsi="Times New Roman" w:cs="Times New Roman"/>
          <w:sz w:val="24"/>
          <w:szCs w:val="24"/>
        </w:rPr>
        <w:t xml:space="preserve"> must be calculated in accordance with </w:t>
      </w:r>
      <w:r w:rsidR="00431D83">
        <w:rPr>
          <w:rFonts w:ascii="Times New Roman" w:hAnsi="Times New Roman" w:cs="Times New Roman"/>
          <w:sz w:val="24"/>
          <w:szCs w:val="24"/>
        </w:rPr>
        <w:t>clause</w:t>
      </w:r>
      <w:r w:rsidR="006B6166" w:rsidRPr="00890C27">
        <w:rPr>
          <w:rFonts w:ascii="Times New Roman" w:hAnsi="Times New Roman" w:cs="Times New Roman"/>
          <w:sz w:val="24"/>
          <w:szCs w:val="24"/>
        </w:rPr>
        <w:t xml:space="preserve"> 10.</w:t>
      </w:r>
      <w:r w:rsidR="005B19CD" w:rsidRPr="00890C27">
        <w:rPr>
          <w:rFonts w:ascii="Times New Roman" w:hAnsi="Times New Roman" w:cs="Times New Roman"/>
          <w:sz w:val="24"/>
          <w:szCs w:val="24"/>
        </w:rPr>
        <w:t xml:space="preserve"> </w:t>
      </w:r>
    </w:p>
    <w:p w14:paraId="3D7C3564" w14:textId="03AF2D60" w:rsidR="003733D5" w:rsidRPr="00890C27" w:rsidRDefault="0010639C"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A note makes it clear that in some years, the sequestration contribution (</w:t>
      </w:r>
      <w:proofErr w:type="spell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w:t>
      </w:r>
      <w:proofErr w:type="spellEnd"/>
      <w:r w:rsidRPr="00890C27">
        <w:rPr>
          <w:rFonts w:ascii="Times New Roman" w:hAnsi="Times New Roman" w:cs="Times New Roman"/>
          <w:sz w:val="24"/>
          <w:szCs w:val="24"/>
        </w:rPr>
        <w:t xml:space="preserve">) may be negative—for example, if carbon previously stored in dead organic matter </w:t>
      </w:r>
      <w:r w:rsidR="00482B44" w:rsidRPr="00890C27">
        <w:rPr>
          <w:rFonts w:ascii="Times New Roman" w:hAnsi="Times New Roman" w:cs="Times New Roman"/>
          <w:sz w:val="24"/>
          <w:szCs w:val="24"/>
        </w:rPr>
        <w:t xml:space="preserve">or living biomass </w:t>
      </w:r>
      <w:r w:rsidRPr="00890C27">
        <w:rPr>
          <w:rFonts w:ascii="Times New Roman" w:hAnsi="Times New Roman" w:cs="Times New Roman"/>
          <w:sz w:val="24"/>
          <w:szCs w:val="24"/>
        </w:rPr>
        <w:t>is released. While this negative value does not reduce the adjusted sequestration contribution (</w:t>
      </w:r>
      <w:proofErr w:type="spellStart"/>
      <w:proofErr w:type="gramStart"/>
      <w:r w:rsidRPr="00890C27">
        <w:rPr>
          <w:rFonts w:ascii="Times New Roman" w:hAnsi="Times New Roman" w:cs="Times New Roman"/>
          <w:i/>
          <w:sz w:val="24"/>
          <w:szCs w:val="24"/>
        </w:rPr>
        <w:t>A</w:t>
      </w:r>
      <w:r w:rsidRPr="00890C27">
        <w:rPr>
          <w:rFonts w:ascii="Times New Roman" w:hAnsi="Times New Roman" w:cs="Times New Roman"/>
          <w:i/>
          <w:sz w:val="24"/>
          <w:szCs w:val="24"/>
          <w:vertAlign w:val="subscript"/>
        </w:rPr>
        <w:t>Seq,adj</w:t>
      </w:r>
      <w:proofErr w:type="spellEnd"/>
      <w:proofErr w:type="gramEnd"/>
      <w:r w:rsidRPr="00890C27">
        <w:rPr>
          <w:rFonts w:ascii="Times New Roman" w:hAnsi="Times New Roman" w:cs="Times New Roman"/>
          <w:sz w:val="24"/>
          <w:szCs w:val="24"/>
        </w:rPr>
        <w:t>) or the overall net abatement amount (</w:t>
      </w:r>
      <w:r w:rsidRPr="00C35336">
        <w:rPr>
          <w:rFonts w:ascii="Times New Roman" w:hAnsi="Times New Roman" w:cs="Times New Roman"/>
          <w:i/>
          <w:sz w:val="24"/>
          <w:szCs w:val="24"/>
        </w:rPr>
        <w:t>A</w:t>
      </w:r>
      <w:r w:rsidRPr="00890C27">
        <w:rPr>
          <w:rFonts w:ascii="Times New Roman" w:hAnsi="Times New Roman" w:cs="Times New Roman"/>
          <w:sz w:val="24"/>
          <w:szCs w:val="24"/>
        </w:rPr>
        <w:t>) for that year, it is carried forward into the next year’s calculations as the previous year’s carry-over amount (</w:t>
      </w:r>
      <w:proofErr w:type="spellStart"/>
      <w:r w:rsidRPr="00890C27">
        <w:rPr>
          <w:rFonts w:ascii="Times New Roman" w:hAnsi="Times New Roman" w:cs="Times New Roman"/>
          <w:b/>
          <w:i/>
          <w:sz w:val="24"/>
          <w:szCs w:val="24"/>
        </w:rPr>
        <w:t>Δ</w:t>
      </w:r>
      <w:proofErr w:type="gramStart"/>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This carry-over amount, which is either zero or negative, reduces any positive sequestration credited in future years.</w:t>
      </w:r>
    </w:p>
    <w:p w14:paraId="50B8B381" w14:textId="502CA49F" w:rsidR="0013759C" w:rsidRPr="00890C27" w:rsidRDefault="0013759C"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Sub</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3(1) defines the value for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as being the value of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Seq,Curr</w:t>
      </w:r>
      <w:proofErr w:type="spellEnd"/>
      <w:proofErr w:type="gramEnd"/>
      <w:r w:rsidRPr="00890C27">
        <w:rPr>
          <w:rFonts w:ascii="Times New Roman" w:hAnsi="Times New Roman" w:cs="Times New Roman"/>
          <w:sz w:val="24"/>
          <w:szCs w:val="24"/>
        </w:rPr>
        <w:t xml:space="preserve"> calculated in the previous calendar year. If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Seq,Curr</w:t>
      </w:r>
      <w:proofErr w:type="spellEnd"/>
      <w:proofErr w:type="gramEnd"/>
      <w:r w:rsidRPr="00890C27">
        <w:rPr>
          <w:rFonts w:ascii="Times New Roman" w:hAnsi="Times New Roman" w:cs="Times New Roman"/>
          <w:sz w:val="24"/>
          <w:szCs w:val="24"/>
        </w:rPr>
        <w:t xml:space="preserve"> was not calculated in the previous calendar year, then the value of </w:t>
      </w:r>
      <w:proofErr w:type="spellStart"/>
      <w:proofErr w:type="gramStart"/>
      <w:r w:rsidRPr="00C35336">
        <w:rPr>
          <w:rFonts w:ascii="Times New Roman" w:eastAsia="Symbol" w:hAnsi="Times New Roman" w:cs="Times New Roman"/>
          <w:i/>
          <w:sz w:val="24"/>
          <w:szCs w:val="24"/>
        </w:rPr>
        <w:t>D</w:t>
      </w:r>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is zero. For project areas transferring from emissions avoidance projects, this value is always equal to zero for the first calendar year under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Pr="00890C27">
        <w:rPr>
          <w:rFonts w:ascii="Times New Roman" w:hAnsi="Times New Roman" w:cs="Times New Roman"/>
          <w:sz w:val="24"/>
          <w:szCs w:val="24"/>
        </w:rPr>
        <w:t>.</w:t>
      </w:r>
    </w:p>
    <w:p w14:paraId="079E6325" w14:textId="02CB2256" w:rsidR="0013759C" w:rsidRPr="00890C27" w:rsidRDefault="0013759C"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Sub</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3(2) provides that, for paragraph (1)(a), if the project was reported on for the previous calendar </w:t>
      </w:r>
      <w:proofErr w:type="gramStart"/>
      <w:r w:rsidRPr="00890C27">
        <w:rPr>
          <w:rFonts w:ascii="Times New Roman" w:hAnsi="Times New Roman" w:cs="Times New Roman"/>
          <w:sz w:val="24"/>
          <w:szCs w:val="24"/>
        </w:rPr>
        <w:t>year</w:t>
      </w:r>
      <w:proofErr w:type="gramEnd"/>
      <w:r w:rsidRPr="00890C27">
        <w:rPr>
          <w:rFonts w:ascii="Times New Roman" w:hAnsi="Times New Roman" w:cs="Times New Roman"/>
          <w:sz w:val="24"/>
          <w:szCs w:val="24"/>
        </w:rPr>
        <w:t xml:space="preserve"> then the relevant value is the value reported in the offsets report. </w:t>
      </w:r>
    </w:p>
    <w:p w14:paraId="2A7CEF6A" w14:textId="1ADCDBE6" w:rsidR="0013759C" w:rsidRPr="00E27CEB" w:rsidRDefault="0013759C"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A note to this sub</w:t>
      </w:r>
      <w:r w:rsidR="00431D83" w:rsidRPr="165183F2">
        <w:rPr>
          <w:rFonts w:ascii="Times New Roman" w:hAnsi="Times New Roman" w:cs="Times New Roman"/>
          <w:sz w:val="24"/>
          <w:szCs w:val="24"/>
        </w:rPr>
        <w:t>clause</w:t>
      </w:r>
      <w:r w:rsidRPr="165183F2">
        <w:rPr>
          <w:rFonts w:ascii="Times New Roman" w:hAnsi="Times New Roman" w:cs="Times New Roman"/>
          <w:sz w:val="24"/>
          <w:szCs w:val="24"/>
        </w:rPr>
        <w:t xml:space="preserve"> notes that paragraph (1)(a) can be modified in some cases in line with paragraph 2</w:t>
      </w:r>
      <w:r w:rsidR="5316A6A6" w:rsidRPr="165183F2">
        <w:rPr>
          <w:rFonts w:ascii="Times New Roman" w:hAnsi="Times New Roman" w:cs="Times New Roman"/>
          <w:sz w:val="24"/>
          <w:szCs w:val="24"/>
        </w:rPr>
        <w:t>3</w:t>
      </w:r>
      <w:r w:rsidRPr="165183F2">
        <w:rPr>
          <w:rFonts w:ascii="Times New Roman" w:hAnsi="Times New Roman" w:cs="Times New Roman"/>
          <w:sz w:val="24"/>
          <w:szCs w:val="24"/>
        </w:rPr>
        <w:t xml:space="preserve">(2)(c)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That is, if the requirement in lieu of the newness requirement set out in paragraph 2</w:t>
      </w:r>
      <w:r w:rsidR="7246F374" w:rsidRPr="165183F2">
        <w:rPr>
          <w:rFonts w:ascii="Times New Roman" w:hAnsi="Times New Roman" w:cs="Times New Roman"/>
          <w:sz w:val="24"/>
          <w:szCs w:val="24"/>
        </w:rPr>
        <w:t>3</w:t>
      </w:r>
      <w:r w:rsidRPr="165183F2">
        <w:rPr>
          <w:rFonts w:ascii="Times New Roman" w:hAnsi="Times New Roman" w:cs="Times New Roman"/>
          <w:sz w:val="24"/>
          <w:szCs w:val="24"/>
        </w:rPr>
        <w:t xml:space="preserve">(2)(c)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is met, then, in accordance with subparagraph 2</w:t>
      </w:r>
      <w:r w:rsidR="7338C6DF" w:rsidRPr="165183F2">
        <w:rPr>
          <w:rFonts w:ascii="Times New Roman" w:hAnsi="Times New Roman" w:cs="Times New Roman"/>
          <w:sz w:val="24"/>
          <w:szCs w:val="24"/>
        </w:rPr>
        <w:t>3</w:t>
      </w:r>
      <w:r w:rsidRPr="165183F2">
        <w:rPr>
          <w:rFonts w:ascii="Times New Roman" w:hAnsi="Times New Roman" w:cs="Times New Roman"/>
          <w:sz w:val="24"/>
          <w:szCs w:val="24"/>
        </w:rPr>
        <w:t>(3)(</w:t>
      </w:r>
      <w:r w:rsidR="1411B7BD" w:rsidRPr="165183F2">
        <w:rPr>
          <w:rFonts w:ascii="Times New Roman" w:hAnsi="Times New Roman" w:cs="Times New Roman"/>
          <w:sz w:val="24"/>
          <w:szCs w:val="24"/>
        </w:rPr>
        <w:t>c</w:t>
      </w:r>
      <w:r w:rsidRPr="165183F2">
        <w:rPr>
          <w:rFonts w:ascii="Times New Roman" w:hAnsi="Times New Roman" w:cs="Times New Roman"/>
          <w:sz w:val="24"/>
          <w:szCs w:val="24"/>
        </w:rPr>
        <w:t xml:space="preserve">)(ii)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disregard any values that might have been calculated in relation to the project area referred to in paragraph 2</w:t>
      </w:r>
      <w:r w:rsidR="566C92DB" w:rsidRPr="165183F2">
        <w:rPr>
          <w:rFonts w:ascii="Times New Roman" w:hAnsi="Times New Roman" w:cs="Times New Roman"/>
          <w:sz w:val="24"/>
          <w:szCs w:val="24"/>
        </w:rPr>
        <w:t>3</w:t>
      </w:r>
      <w:r w:rsidRPr="165183F2">
        <w:rPr>
          <w:rFonts w:ascii="Times New Roman" w:hAnsi="Times New Roman" w:cs="Times New Roman"/>
          <w:sz w:val="24"/>
          <w:szCs w:val="24"/>
        </w:rPr>
        <w:t xml:space="preserve">(2)(c) of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This applies in the situation where a project had been undertaken in the project area or part of the project area, but no </w:t>
      </w:r>
      <w:r w:rsidR="00DC4103" w:rsidRPr="165183F2">
        <w:rPr>
          <w:rFonts w:ascii="Times New Roman" w:hAnsi="Times New Roman" w:cs="Times New Roman"/>
          <w:sz w:val="24"/>
          <w:szCs w:val="24"/>
        </w:rPr>
        <w:t>ACUs</w:t>
      </w:r>
      <w:r w:rsidRPr="165183F2">
        <w:rPr>
          <w:rFonts w:ascii="Times New Roman" w:hAnsi="Times New Roman" w:cs="Times New Roman"/>
          <w:sz w:val="24"/>
          <w:szCs w:val="24"/>
        </w:rPr>
        <w:t xml:space="preserve"> have been issued </w:t>
      </w:r>
      <w:r w:rsidR="00DC4103" w:rsidRPr="165183F2">
        <w:rPr>
          <w:rFonts w:ascii="Times New Roman" w:hAnsi="Times New Roman" w:cs="Times New Roman"/>
          <w:sz w:val="24"/>
          <w:szCs w:val="24"/>
        </w:rPr>
        <w:t>for</w:t>
      </w:r>
      <w:r w:rsidRPr="165183F2">
        <w:rPr>
          <w:rFonts w:ascii="Times New Roman" w:hAnsi="Times New Roman" w:cs="Times New Roman"/>
          <w:sz w:val="24"/>
          <w:szCs w:val="24"/>
        </w:rPr>
        <w:t xml:space="preserve"> any part of the project area while </w:t>
      </w:r>
      <w:r w:rsidR="005322D0" w:rsidRPr="165183F2">
        <w:rPr>
          <w:rFonts w:ascii="Times New Roman" w:hAnsi="Times New Roman" w:cs="Times New Roman"/>
          <w:sz w:val="24"/>
          <w:szCs w:val="24"/>
        </w:rPr>
        <w:t>it</w:t>
      </w:r>
      <w:r w:rsidRPr="165183F2">
        <w:rPr>
          <w:rFonts w:ascii="Times New Roman" w:hAnsi="Times New Roman" w:cs="Times New Roman"/>
          <w:sz w:val="24"/>
          <w:szCs w:val="24"/>
        </w:rPr>
        <w:t xml:space="preserve"> was covered by any such methodology determination.</w:t>
      </w:r>
    </w:p>
    <w:p w14:paraId="71BFF169" w14:textId="0D2EF0FE" w:rsidR="0076059B" w:rsidRPr="00982930" w:rsidRDefault="0052569A" w:rsidP="008103FF">
      <w:pPr>
        <w:spacing w:after="160" w:line="276" w:lineRule="auto"/>
        <w:rPr>
          <w:rFonts w:ascii="Times New Roman" w:hAnsi="Times New Roman" w:cs="Times New Roman"/>
          <w:sz w:val="24"/>
          <w:szCs w:val="24"/>
        </w:rPr>
      </w:pPr>
      <w:r w:rsidRPr="00C35336">
        <w:rPr>
          <w:rFonts w:ascii="Times New Roman" w:hAnsi="Times New Roman" w:cs="Times New Roman"/>
          <w:sz w:val="24"/>
          <w:szCs w:val="24"/>
          <w:u w:val="single"/>
        </w:rPr>
        <w:t xml:space="preserve">Clause 4 – </w:t>
      </w:r>
      <w:r w:rsidR="0076059B" w:rsidRPr="00C35336">
        <w:rPr>
          <w:rFonts w:ascii="Times New Roman" w:hAnsi="Times New Roman" w:cs="Times New Roman"/>
          <w:sz w:val="24"/>
          <w:szCs w:val="24"/>
          <w:u w:val="single"/>
        </w:rPr>
        <w:t xml:space="preserve">The contribution to the net abatement amount from sequestration for a calendar year, </w:t>
      </w:r>
      <w:proofErr w:type="spellStart"/>
      <w:r w:rsidR="0076059B" w:rsidRPr="00C35336">
        <w:rPr>
          <w:rFonts w:ascii="Times New Roman" w:hAnsi="Times New Roman" w:cs="Times New Roman"/>
          <w:i/>
          <w:sz w:val="24"/>
          <w:szCs w:val="24"/>
          <w:u w:val="single"/>
        </w:rPr>
        <w:t>A</w:t>
      </w:r>
      <w:r w:rsidR="0076059B" w:rsidRPr="00C35336">
        <w:rPr>
          <w:rFonts w:ascii="Times New Roman" w:hAnsi="Times New Roman" w:cs="Times New Roman"/>
          <w:i/>
          <w:sz w:val="24"/>
          <w:szCs w:val="24"/>
          <w:u w:val="single"/>
          <w:vertAlign w:val="subscript"/>
        </w:rPr>
        <w:t>Seq</w:t>
      </w:r>
      <w:proofErr w:type="spellEnd"/>
    </w:p>
    <w:p w14:paraId="571E433B" w14:textId="06D54A46" w:rsidR="00051DAC" w:rsidRPr="008D335F"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051DAC" w:rsidRPr="008D335F">
        <w:rPr>
          <w:rFonts w:ascii="Times New Roman" w:hAnsi="Times New Roman" w:cs="Times New Roman"/>
          <w:sz w:val="24"/>
          <w:szCs w:val="24"/>
        </w:rPr>
        <w:t xml:space="preserve"> 4 defines the value of the contribution to the net abatement amount from sequestration for a project area for a calendar year, </w:t>
      </w:r>
      <w:proofErr w:type="spellStart"/>
      <w:r w:rsidR="00051DAC" w:rsidRPr="003434F0">
        <w:rPr>
          <w:rFonts w:ascii="Times New Roman" w:hAnsi="Times New Roman" w:cs="Times New Roman"/>
          <w:i/>
          <w:sz w:val="24"/>
          <w:szCs w:val="24"/>
        </w:rPr>
        <w:t>A</w:t>
      </w:r>
      <w:r w:rsidR="00051DAC" w:rsidRPr="003434F0">
        <w:rPr>
          <w:rFonts w:ascii="Times New Roman" w:hAnsi="Times New Roman" w:cs="Times New Roman"/>
          <w:i/>
          <w:sz w:val="24"/>
          <w:szCs w:val="24"/>
          <w:vertAlign w:val="subscript"/>
        </w:rPr>
        <w:t>Seq</w:t>
      </w:r>
      <w:proofErr w:type="spellEnd"/>
      <w:r w:rsidR="00051DAC" w:rsidRPr="008D335F">
        <w:rPr>
          <w:rFonts w:ascii="Times New Roman" w:hAnsi="Times New Roman" w:cs="Times New Roman"/>
          <w:sz w:val="24"/>
          <w:szCs w:val="24"/>
        </w:rPr>
        <w:t>, in tonnes CO₂-e.</w:t>
      </w:r>
    </w:p>
    <w:p w14:paraId="55E85E13" w14:textId="61FDEC5D" w:rsidR="008D335F" w:rsidRPr="008D335F" w:rsidRDefault="008D335F" w:rsidP="008103FF">
      <w:pPr>
        <w:spacing w:after="160" w:line="276" w:lineRule="auto"/>
        <w:rPr>
          <w:rFonts w:ascii="Times New Roman" w:hAnsi="Times New Roman" w:cs="Times New Roman"/>
          <w:sz w:val="24"/>
          <w:szCs w:val="24"/>
        </w:rPr>
      </w:pPr>
      <w:r w:rsidRPr="008D335F">
        <w:rPr>
          <w:rFonts w:ascii="Times New Roman" w:hAnsi="Times New Roman" w:cs="Times New Roman"/>
          <w:sz w:val="24"/>
          <w:szCs w:val="24"/>
        </w:rPr>
        <w:t xml:space="preserve">For the first reporting year, the net carbon stock change is calculated using </w:t>
      </w:r>
      <w:r w:rsidR="004D74F5">
        <w:rPr>
          <w:rFonts w:ascii="Times New Roman" w:hAnsi="Times New Roman" w:cs="Times New Roman"/>
          <w:sz w:val="24"/>
          <w:szCs w:val="24"/>
        </w:rPr>
        <w:t>equation</w:t>
      </w:r>
      <w:r w:rsidRPr="008D335F">
        <w:rPr>
          <w:rFonts w:ascii="Times New Roman" w:hAnsi="Times New Roman" w:cs="Times New Roman"/>
          <w:sz w:val="24"/>
          <w:szCs w:val="24"/>
        </w:rPr>
        <w:t xml:space="preserve"> 6, which determines the difference between</w:t>
      </w:r>
      <w:r w:rsidR="002F2E94">
        <w:rPr>
          <w:rFonts w:ascii="Times New Roman" w:hAnsi="Times New Roman" w:cs="Times New Roman"/>
          <w:sz w:val="24"/>
          <w:szCs w:val="24"/>
        </w:rPr>
        <w:t xml:space="preserve"> </w:t>
      </w:r>
      <w:r w:rsidR="00DC44DF" w:rsidRPr="00442560">
        <w:rPr>
          <w:rFonts w:ascii="Times New Roman" w:hAnsi="Times New Roman" w:cs="Times New Roman"/>
          <w:sz w:val="24"/>
          <w:szCs w:val="24"/>
        </w:rPr>
        <w:t>current years carbon stock and the mean annual baseline carbon stock</w:t>
      </w:r>
      <w:r w:rsidR="002F2E94">
        <w:rPr>
          <w:rFonts w:ascii="Times New Roman" w:hAnsi="Times New Roman" w:cs="Times New Roman"/>
          <w:sz w:val="24"/>
          <w:szCs w:val="24"/>
        </w:rPr>
        <w:t>.</w:t>
      </w:r>
    </w:p>
    <w:p w14:paraId="04C74EA9" w14:textId="28315EA9" w:rsidR="0064492B" w:rsidRPr="00982930" w:rsidRDefault="008D335F" w:rsidP="008103FF">
      <w:pPr>
        <w:spacing w:after="160" w:line="276" w:lineRule="auto"/>
        <w:rPr>
          <w:rFonts w:ascii="Times New Roman" w:hAnsi="Times New Roman" w:cs="Times New Roman"/>
          <w:sz w:val="24"/>
          <w:szCs w:val="24"/>
        </w:rPr>
      </w:pPr>
      <w:r w:rsidRPr="008D335F">
        <w:rPr>
          <w:rFonts w:ascii="Times New Roman" w:hAnsi="Times New Roman" w:cs="Times New Roman"/>
          <w:sz w:val="24"/>
          <w:szCs w:val="24"/>
        </w:rPr>
        <w:t>For subsequent reporting years,</w:t>
      </w:r>
      <w:r w:rsidR="0064492B">
        <w:rPr>
          <w:rFonts w:ascii="Times New Roman" w:hAnsi="Times New Roman" w:cs="Times New Roman"/>
          <w:sz w:val="24"/>
          <w:szCs w:val="24"/>
        </w:rPr>
        <w:t xml:space="preserve"> e</w:t>
      </w:r>
      <w:r w:rsidR="0064492B" w:rsidRPr="00442560">
        <w:rPr>
          <w:rFonts w:ascii="Times New Roman" w:hAnsi="Times New Roman" w:cs="Times New Roman"/>
          <w:sz w:val="24"/>
          <w:szCs w:val="24"/>
        </w:rPr>
        <w:t>quation 7 sets out the calculation for determining the contribution to the net abatement amount in tonnes CO</w:t>
      </w:r>
      <w:r w:rsidR="0064492B" w:rsidRPr="00442560">
        <w:rPr>
          <w:rFonts w:ascii="Times New Roman" w:hAnsi="Times New Roman" w:cs="Times New Roman"/>
          <w:sz w:val="24"/>
          <w:szCs w:val="24"/>
          <w:vertAlign w:val="subscript"/>
        </w:rPr>
        <w:t>2</w:t>
      </w:r>
      <w:r w:rsidR="00D73D86" w:rsidRPr="00442560">
        <w:rPr>
          <w:rFonts w:ascii="Times New Roman" w:hAnsi="Times New Roman" w:cs="Times New Roman"/>
          <w:sz w:val="24"/>
          <w:szCs w:val="24"/>
        </w:rPr>
        <w:t>-</w:t>
      </w:r>
      <w:r w:rsidR="0064492B" w:rsidRPr="00442560">
        <w:rPr>
          <w:rFonts w:ascii="Times New Roman" w:hAnsi="Times New Roman" w:cs="Times New Roman"/>
          <w:sz w:val="24"/>
          <w:szCs w:val="24"/>
        </w:rPr>
        <w:t>e from the sequestration for a calendar year, for subsequent reporting years. The contribution to the net abatement amount from the sequestration for a calendar year</w:t>
      </w:r>
      <w:r w:rsidR="0064492B" w:rsidRPr="00442560">
        <w:rPr>
          <w:rFonts w:ascii="Times New Roman" w:hAnsi="Times New Roman" w:cs="Times New Roman"/>
          <w:i/>
          <w:sz w:val="24"/>
          <w:szCs w:val="24"/>
        </w:rPr>
        <w:t xml:space="preserve"> </w:t>
      </w:r>
      <w:r w:rsidR="0064492B" w:rsidRPr="00442560">
        <w:rPr>
          <w:rFonts w:ascii="Times New Roman" w:hAnsi="Times New Roman" w:cs="Times New Roman"/>
          <w:sz w:val="24"/>
          <w:szCs w:val="24"/>
        </w:rPr>
        <w:t>is the difference between the current years carbon stock and the previous year’s carbon stock.</w:t>
      </w:r>
      <w:r w:rsidR="0064492B">
        <w:rPr>
          <w:rFonts w:ascii="Times New Roman" w:hAnsi="Times New Roman" w:cs="Times New Roman"/>
          <w:sz w:val="24"/>
          <w:szCs w:val="24"/>
        </w:rPr>
        <w:t xml:space="preserve"> </w:t>
      </w:r>
    </w:p>
    <w:p w14:paraId="08482455" w14:textId="74354AC3" w:rsidR="0076059B" w:rsidRPr="00C35336" w:rsidRDefault="00431D83" w:rsidP="008103FF">
      <w:pPr>
        <w:keepNext/>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Clause</w:t>
      </w:r>
      <w:r w:rsidR="00DE263E"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5 </w:t>
      </w:r>
      <w:r w:rsidR="00DE263E"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The sequestration buffer </w:t>
      </w:r>
    </w:p>
    <w:p w14:paraId="60B325E7" w14:textId="6C8BFE47" w:rsidR="00005E04" w:rsidRPr="00890C27" w:rsidRDefault="0052569A" w:rsidP="008103FF">
      <w:pPr>
        <w:spacing w:after="16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Clause 5</w:t>
      </w:r>
      <w:r w:rsidR="00005E04" w:rsidRPr="00890C27">
        <w:rPr>
          <w:rFonts w:ascii="Times New Roman" w:hAnsi="Times New Roman" w:cs="Times New Roman"/>
          <w:color w:val="000000"/>
          <w:sz w:val="24"/>
          <w:szCs w:val="24"/>
        </w:rPr>
        <w:t xml:space="preserve"> defines the sequestration buffer that is to be applied to the sequestration abatement. This combines the effects of the risk of reversal buffer number and permanence period discount number that ordinarily apply in relation to sequestration offsets projects. The risk of reversal buffer number and permanence period discount number values are set to zero in section 9B of the Rule</w:t>
      </w:r>
      <w:r w:rsidR="00005E04" w:rsidRPr="00890C27">
        <w:rPr>
          <w:rFonts w:ascii="Times New Roman" w:hAnsi="Times New Roman" w:cs="Times New Roman"/>
          <w:i/>
          <w:color w:val="000000"/>
          <w:sz w:val="24"/>
          <w:szCs w:val="24"/>
        </w:rPr>
        <w:t>.</w:t>
      </w:r>
      <w:r w:rsidR="00005E04" w:rsidRPr="00890C27">
        <w:rPr>
          <w:rFonts w:ascii="Times New Roman" w:hAnsi="Times New Roman" w:cs="Times New Roman"/>
          <w:color w:val="000000"/>
          <w:sz w:val="24"/>
          <w:szCs w:val="24"/>
        </w:rPr>
        <w:t xml:space="preserve"> The sequestration buffer effectively re-applies those discounts, but only to the abatement due to sequestration. That is, all 25-year permanence period projects have a 25 % sequestration buffer, and receive 75 % of their sequestration abatement. All 100-year permanence period projects have a 5% sequestration </w:t>
      </w:r>
      <w:proofErr w:type="gramStart"/>
      <w:r w:rsidR="00005E04" w:rsidRPr="00890C27">
        <w:rPr>
          <w:rFonts w:ascii="Times New Roman" w:hAnsi="Times New Roman" w:cs="Times New Roman"/>
          <w:color w:val="000000"/>
          <w:sz w:val="24"/>
          <w:szCs w:val="24"/>
        </w:rPr>
        <w:t>buffer, and</w:t>
      </w:r>
      <w:proofErr w:type="gramEnd"/>
      <w:r w:rsidR="00005E04" w:rsidRPr="00890C27">
        <w:rPr>
          <w:rFonts w:ascii="Times New Roman" w:hAnsi="Times New Roman" w:cs="Times New Roman"/>
          <w:color w:val="000000"/>
          <w:sz w:val="24"/>
          <w:szCs w:val="24"/>
        </w:rPr>
        <w:t xml:space="preserve"> receive 95 % of their sequestration abatement. The sequestration buffer </w:t>
      </w:r>
      <w:r w:rsidR="00005E04" w:rsidRPr="00890C27">
        <w:rPr>
          <w:rFonts w:ascii="Times New Roman" w:hAnsi="Times New Roman" w:cs="Times New Roman"/>
          <w:sz w:val="24"/>
          <w:szCs w:val="24"/>
        </w:rPr>
        <w:t xml:space="preserve">accounts for the risk that carbon sequestered </w:t>
      </w:r>
      <w:proofErr w:type="gramStart"/>
      <w:r w:rsidR="00005E04" w:rsidRPr="00890C27">
        <w:rPr>
          <w:rFonts w:ascii="Times New Roman" w:hAnsi="Times New Roman" w:cs="Times New Roman"/>
          <w:sz w:val="24"/>
          <w:szCs w:val="24"/>
        </w:rPr>
        <w:t>as a result of</w:t>
      </w:r>
      <w:proofErr w:type="gramEnd"/>
      <w:r w:rsidR="00005E04" w:rsidRPr="00890C27">
        <w:rPr>
          <w:rFonts w:ascii="Times New Roman" w:hAnsi="Times New Roman" w:cs="Times New Roman"/>
          <w:sz w:val="24"/>
          <w:szCs w:val="24"/>
        </w:rPr>
        <w:t xml:space="preserve"> the project does not remain permanently in the landscape. </w:t>
      </w:r>
    </w:p>
    <w:p w14:paraId="52A695BD" w14:textId="32A3CE85" w:rsidR="0076059B" w:rsidRPr="00890C27" w:rsidRDefault="00005E04"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color w:val="000000" w:themeColor="text1"/>
          <w:sz w:val="24"/>
          <w:szCs w:val="24"/>
        </w:rPr>
        <w:t>This discount does not apply to the abatement due to the avoidance of emissions.</w:t>
      </w:r>
    </w:p>
    <w:p w14:paraId="5BCB4ABA" w14:textId="65D64195" w:rsidR="0076059B" w:rsidRPr="00C35336"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DE263E"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6 </w:t>
      </w:r>
      <w:r w:rsidR="00DE263E"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Mean baseline carbon stock for project </w:t>
      </w:r>
    </w:p>
    <w:p w14:paraId="66171C3C" w14:textId="603FF47C" w:rsidR="00A61AFA" w:rsidRPr="00941692"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3AB5043D" w:rsidRPr="33750E9F">
        <w:rPr>
          <w:rFonts w:ascii="Times New Roman" w:hAnsi="Times New Roman" w:cs="Times New Roman"/>
          <w:sz w:val="24"/>
          <w:szCs w:val="24"/>
        </w:rPr>
        <w:t xml:space="preserve"> 6 provides that </w:t>
      </w:r>
      <w:r w:rsidR="00DE263E" w:rsidRPr="33750E9F">
        <w:rPr>
          <w:rFonts w:ascii="Times New Roman" w:hAnsi="Times New Roman" w:cs="Times New Roman"/>
          <w:sz w:val="24"/>
          <w:szCs w:val="24"/>
        </w:rPr>
        <w:t xml:space="preserve">the </w:t>
      </w:r>
      <w:r w:rsidR="005619A9" w:rsidRPr="33750E9F">
        <w:rPr>
          <w:rFonts w:ascii="Times New Roman" w:hAnsi="Times New Roman" w:cs="Times New Roman"/>
          <w:sz w:val="24"/>
          <w:szCs w:val="24"/>
        </w:rPr>
        <w:t xml:space="preserve">mean annual baseline carbon stock is </w:t>
      </w:r>
      <w:r w:rsidR="3AB5043D" w:rsidRPr="33750E9F">
        <w:rPr>
          <w:rFonts w:ascii="Times New Roman" w:hAnsi="Times New Roman" w:cs="Times New Roman"/>
          <w:sz w:val="24"/>
          <w:szCs w:val="24"/>
        </w:rPr>
        <w:t xml:space="preserve">calculated using equation </w:t>
      </w:r>
      <w:r w:rsidR="005619A9" w:rsidRPr="33750E9F">
        <w:rPr>
          <w:rFonts w:ascii="Times New Roman" w:hAnsi="Times New Roman" w:cs="Times New Roman"/>
          <w:sz w:val="24"/>
          <w:szCs w:val="24"/>
        </w:rPr>
        <w:t>8</w:t>
      </w:r>
      <w:r w:rsidR="3AB5043D" w:rsidRPr="33750E9F">
        <w:rPr>
          <w:rFonts w:ascii="Times New Roman" w:hAnsi="Times New Roman" w:cs="Times New Roman"/>
          <w:sz w:val="24"/>
          <w:szCs w:val="24"/>
        </w:rPr>
        <w:t xml:space="preserve"> for project areas, or parts of project areas, located in either the low-rainfall or high-rainfall zones.</w:t>
      </w:r>
    </w:p>
    <w:p w14:paraId="04CE8740" w14:textId="2987A080" w:rsidR="00A61AFA" w:rsidRPr="00941692" w:rsidRDefault="3AB5043D" w:rsidP="008103FF">
      <w:pPr>
        <w:spacing w:after="160" w:line="276" w:lineRule="auto"/>
        <w:rPr>
          <w:rFonts w:ascii="Times New Roman" w:hAnsi="Times New Roman" w:cs="Times New Roman"/>
          <w:sz w:val="24"/>
          <w:szCs w:val="24"/>
        </w:rPr>
      </w:pPr>
      <w:r w:rsidRPr="00941692">
        <w:rPr>
          <w:rFonts w:ascii="Times New Roman" w:hAnsi="Times New Roman" w:cs="Times New Roman"/>
          <w:sz w:val="24"/>
          <w:szCs w:val="24"/>
        </w:rPr>
        <w:t xml:space="preserve">For project that have not been registered under a former determination, </w:t>
      </w:r>
      <w:r w:rsidRPr="00890C27">
        <w:rPr>
          <w:rFonts w:ascii="Times New Roman" w:hAnsi="Times New Roman" w:cs="Times New Roman"/>
          <w:i/>
          <w:sz w:val="24"/>
          <w:szCs w:val="24"/>
        </w:rPr>
        <w:t>Y</w:t>
      </w:r>
      <w:r w:rsidRPr="00890C27">
        <w:rPr>
          <w:rFonts w:ascii="Times New Roman" w:hAnsi="Times New Roman" w:cs="Times New Roman"/>
          <w:i/>
          <w:sz w:val="24"/>
          <w:szCs w:val="24"/>
          <w:vertAlign w:val="subscript"/>
        </w:rPr>
        <w:t xml:space="preserve">B </w:t>
      </w:r>
      <w:r w:rsidRPr="00941692">
        <w:rPr>
          <w:rFonts w:ascii="Times New Roman" w:hAnsi="Times New Roman" w:cs="Times New Roman"/>
          <w:sz w:val="24"/>
          <w:szCs w:val="24"/>
        </w:rPr>
        <w:t xml:space="preserve">is 20 years. For transferring projects, </w:t>
      </w:r>
      <w:r w:rsidRPr="00890C27">
        <w:rPr>
          <w:rFonts w:ascii="Times New Roman" w:hAnsi="Times New Roman" w:cs="Times New Roman"/>
          <w:i/>
          <w:sz w:val="24"/>
          <w:szCs w:val="24"/>
        </w:rPr>
        <w:t>Y</w:t>
      </w:r>
      <w:r w:rsidRPr="00890C27">
        <w:rPr>
          <w:rFonts w:ascii="Times New Roman" w:hAnsi="Times New Roman" w:cs="Times New Roman"/>
          <w:i/>
          <w:sz w:val="24"/>
          <w:szCs w:val="24"/>
          <w:vertAlign w:val="subscript"/>
        </w:rPr>
        <w:t>B</w:t>
      </w:r>
      <w:r w:rsidRPr="00890C27">
        <w:rPr>
          <w:rFonts w:ascii="Times New Roman" w:hAnsi="Times New Roman" w:cs="Times New Roman"/>
          <w:i/>
          <w:sz w:val="24"/>
          <w:szCs w:val="24"/>
        </w:rPr>
        <w:t xml:space="preserve"> </w:t>
      </w:r>
      <w:r w:rsidRPr="00941692">
        <w:rPr>
          <w:rFonts w:ascii="Times New Roman" w:hAnsi="Times New Roman" w:cs="Times New Roman"/>
          <w:sz w:val="24"/>
          <w:szCs w:val="24"/>
        </w:rPr>
        <w:t>in the equation will vary depending on</w:t>
      </w:r>
      <w:r w:rsidRPr="00890C27">
        <w:rPr>
          <w:rFonts w:ascii="Times New Roman" w:hAnsi="Times New Roman" w:cs="Times New Roman"/>
          <w:sz w:val="24"/>
          <w:szCs w:val="24"/>
        </w:rPr>
        <w:t xml:space="preserve"> whether the project area (or project area part) is in the low rainfall or the high rainfall zones, to reflect the number of years in the baseline period (15 years and 10 years respectively). </w:t>
      </w:r>
    </w:p>
    <w:p w14:paraId="62FE986B" w14:textId="7A39D244" w:rsidR="0076059B" w:rsidRPr="00C35336" w:rsidRDefault="0076059B" w:rsidP="008103FF">
      <w:pPr>
        <w:keepNext/>
        <w:spacing w:after="160" w:line="276" w:lineRule="auto"/>
        <w:rPr>
          <w:rFonts w:ascii="Times New Roman" w:hAnsi="Times New Roman" w:cs="Times New Roman"/>
          <w:b/>
          <w:sz w:val="24"/>
          <w:szCs w:val="24"/>
        </w:rPr>
      </w:pPr>
      <w:r w:rsidRPr="00C35336">
        <w:rPr>
          <w:rFonts w:ascii="Times New Roman" w:hAnsi="Times New Roman" w:cs="Times New Roman"/>
          <w:b/>
          <w:sz w:val="24"/>
          <w:szCs w:val="24"/>
        </w:rPr>
        <w:t>Division 3</w:t>
      </w:r>
      <w:r w:rsidR="00FC50E8" w:rsidRPr="00FC50E8">
        <w:rPr>
          <w:rFonts w:ascii="Times New Roman" w:hAnsi="Times New Roman" w:cs="Times New Roman"/>
          <w:b/>
          <w:bCs/>
          <w:sz w:val="24"/>
          <w:szCs w:val="24"/>
        </w:rPr>
        <w:t>–</w:t>
      </w:r>
      <w:r w:rsidRPr="00C35336">
        <w:rPr>
          <w:rFonts w:ascii="Times New Roman" w:hAnsi="Times New Roman" w:cs="Times New Roman"/>
          <w:b/>
          <w:sz w:val="24"/>
          <w:szCs w:val="24"/>
        </w:rPr>
        <w:t xml:space="preserve">Adjustments to calculations </w:t>
      </w:r>
    </w:p>
    <w:p w14:paraId="583DF38B" w14:textId="514DCEFF" w:rsidR="0076059B" w:rsidRPr="00C35336" w:rsidRDefault="00431D83" w:rsidP="008103FF">
      <w:pPr>
        <w:keepNext/>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1B165A"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7 </w:t>
      </w:r>
      <w:r w:rsidR="001B165A"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resulting from project area spanning rainfall zones </w:t>
      </w:r>
    </w:p>
    <w:p w14:paraId="283EAC61" w14:textId="482633E0" w:rsidR="00857349" w:rsidRPr="00890C27"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857349" w:rsidRPr="00890C27">
        <w:rPr>
          <w:rFonts w:ascii="Times New Roman" w:hAnsi="Times New Roman" w:cs="Times New Roman"/>
          <w:sz w:val="24"/>
          <w:szCs w:val="24"/>
        </w:rPr>
        <w:t xml:space="preserve"> </w:t>
      </w:r>
      <w:r w:rsidR="00DE263E" w:rsidRPr="00890C27">
        <w:rPr>
          <w:rFonts w:ascii="Times New Roman" w:hAnsi="Times New Roman" w:cs="Times New Roman"/>
          <w:sz w:val="24"/>
          <w:szCs w:val="24"/>
        </w:rPr>
        <w:t>7</w:t>
      </w:r>
      <w:r w:rsidR="00857349" w:rsidRPr="00890C27">
        <w:rPr>
          <w:rFonts w:ascii="Times New Roman" w:hAnsi="Times New Roman" w:cs="Times New Roman"/>
          <w:sz w:val="24"/>
          <w:szCs w:val="24"/>
        </w:rPr>
        <w:t xml:space="preserve"> specifies that if the project area spans both rainfall zones, then the contribution to the net abatement amount from sequestration, </w:t>
      </w:r>
      <w:proofErr w:type="spellStart"/>
      <w:proofErr w:type="gramStart"/>
      <w:r w:rsidR="00857349" w:rsidRPr="00890C27">
        <w:rPr>
          <w:rFonts w:ascii="Times New Roman" w:hAnsi="Times New Roman" w:cs="Times New Roman"/>
          <w:i/>
          <w:sz w:val="24"/>
          <w:szCs w:val="24"/>
        </w:rPr>
        <w:t>A</w:t>
      </w:r>
      <w:r w:rsidR="00857349" w:rsidRPr="00890C27">
        <w:rPr>
          <w:rFonts w:ascii="Times New Roman" w:hAnsi="Times New Roman" w:cs="Times New Roman"/>
          <w:i/>
          <w:sz w:val="24"/>
          <w:szCs w:val="24"/>
          <w:vertAlign w:val="subscript"/>
        </w:rPr>
        <w:t>Seq,adj</w:t>
      </w:r>
      <w:proofErr w:type="spellEnd"/>
      <w:proofErr w:type="gramEnd"/>
      <w:r w:rsidR="00857349" w:rsidRPr="00890C27">
        <w:rPr>
          <w:rFonts w:ascii="Times New Roman" w:hAnsi="Times New Roman" w:cs="Times New Roman"/>
          <w:sz w:val="24"/>
          <w:szCs w:val="24"/>
        </w:rPr>
        <w:t xml:space="preserve">, must be calculated separately for each project area part, and then these values summed to determine the contribution to the net abatement amount from sequestration for the whole project area. Each project area part contains an area wholly within either the high rainfall zone or wholly within the low rainfall zone. </w:t>
      </w:r>
    </w:p>
    <w:p w14:paraId="0767C741" w14:textId="6CD8753C" w:rsidR="00857349" w:rsidRPr="00890C27" w:rsidRDefault="00857349" w:rsidP="008103FF">
      <w:pPr>
        <w:spacing w:after="160" w:line="276" w:lineRule="auto"/>
        <w:rPr>
          <w:rFonts w:ascii="Times New Roman" w:hAnsi="Times New Roman" w:cs="Times New Roman"/>
          <w:color w:val="000000" w:themeColor="text1"/>
          <w:sz w:val="24"/>
          <w:szCs w:val="24"/>
        </w:rPr>
      </w:pPr>
      <w:r w:rsidRPr="00890C27">
        <w:rPr>
          <w:rFonts w:ascii="Times New Roman" w:hAnsi="Times New Roman" w:cs="Times New Roman"/>
          <w:sz w:val="24"/>
          <w:szCs w:val="24"/>
        </w:rPr>
        <w:t xml:space="preserve">As a result of </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w:t>
      </w:r>
      <w:r w:rsidR="00DE263E" w:rsidRPr="00890C27">
        <w:rPr>
          <w:rFonts w:ascii="Times New Roman" w:hAnsi="Times New Roman" w:cs="Times New Roman"/>
          <w:sz w:val="24"/>
          <w:szCs w:val="24"/>
        </w:rPr>
        <w:t>7</w:t>
      </w:r>
      <w:r w:rsidRPr="00890C27">
        <w:rPr>
          <w:rFonts w:ascii="Times New Roman" w:hAnsi="Times New Roman" w:cs="Times New Roman"/>
          <w:sz w:val="24"/>
          <w:szCs w:val="24"/>
        </w:rPr>
        <w:t xml:space="preserve">, positive or negative amounts to be carried forward for the following year (the carry-over amount for the project area at </w:t>
      </w:r>
      <w:r w:rsidR="00431D83">
        <w:rPr>
          <w:rFonts w:ascii="Times New Roman" w:hAnsi="Times New Roman" w:cs="Times New Roman"/>
          <w:sz w:val="24"/>
          <w:szCs w:val="24"/>
        </w:rPr>
        <w:t>clause</w:t>
      </w:r>
      <w:r w:rsidRPr="00890C27">
        <w:rPr>
          <w:rFonts w:ascii="Times New Roman" w:hAnsi="Times New Roman" w:cs="Times New Roman"/>
          <w:sz w:val="24"/>
          <w:szCs w:val="24"/>
        </w:rPr>
        <w:t xml:space="preserve"> 2– </w:t>
      </w:r>
      <w:r w:rsidRPr="00890C27">
        <w:rPr>
          <w:rFonts w:ascii="Times New Roman" w:hAnsi="Times New Roman" w:cs="Times New Roman"/>
          <w:i/>
          <w:sz w:val="24"/>
          <w:szCs w:val="24"/>
        </w:rPr>
        <w:t>∆</w:t>
      </w:r>
      <w:proofErr w:type="spellStart"/>
      <w:proofErr w:type="gramStart"/>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must be calculated and forwarded separately for each project area part. If such amounts are negative for one project area part, the negative does not detract from any positive abatement that might arise in the other project area part. If such amounts are positive for one project area part, the positive does not cancel out any negative abatement that might arise in the other project area part. </w:t>
      </w:r>
      <w:r w:rsidRPr="00890C27">
        <w:rPr>
          <w:rFonts w:ascii="Times New Roman" w:hAnsi="Times New Roman" w:cs="Times New Roman"/>
          <w:color w:val="000000" w:themeColor="text1"/>
          <w:sz w:val="24"/>
          <w:szCs w:val="24"/>
        </w:rPr>
        <w:t>This means that positive or negative abatement in one project area part cannot be used to offset negative or positive amounts for other project area parts.</w:t>
      </w:r>
    </w:p>
    <w:p w14:paraId="3353BD10" w14:textId="6891AFFD" w:rsidR="00857349" w:rsidRPr="00890C27" w:rsidRDefault="00857349"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Each year, </w:t>
      </w:r>
      <w:r w:rsidRPr="00890C27">
        <w:rPr>
          <w:rFonts w:ascii="Times New Roman" w:hAnsi="Times New Roman" w:cs="Times New Roman"/>
          <w:i/>
          <w:sz w:val="24"/>
          <w:szCs w:val="24"/>
        </w:rPr>
        <w:t>∆</w:t>
      </w:r>
      <w:proofErr w:type="spellStart"/>
      <w:proofErr w:type="gramStart"/>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can be positive or </w:t>
      </w:r>
      <w:proofErr w:type="gramStart"/>
      <w:r w:rsidRPr="00890C27">
        <w:rPr>
          <w:rFonts w:ascii="Times New Roman" w:hAnsi="Times New Roman" w:cs="Times New Roman"/>
          <w:sz w:val="24"/>
          <w:szCs w:val="24"/>
        </w:rPr>
        <w:t>negative, and</w:t>
      </w:r>
      <w:proofErr w:type="gramEnd"/>
      <w:r w:rsidRPr="00890C27">
        <w:rPr>
          <w:rFonts w:ascii="Times New Roman" w:hAnsi="Times New Roman" w:cs="Times New Roman"/>
          <w:sz w:val="24"/>
          <w:szCs w:val="24"/>
        </w:rPr>
        <w:t xml:space="preserve"> is required for calculation of the following year’s abatement. Values for each project area part cannot be used to adjust values for other project area parts or other project areas. For example, if for a calendar year, the </w:t>
      </w:r>
      <w:r w:rsidRPr="00890C27">
        <w:rPr>
          <w:rFonts w:ascii="Times New Roman" w:hAnsi="Times New Roman" w:cs="Times New Roman"/>
          <w:sz w:val="24"/>
          <w:szCs w:val="24"/>
        </w:rPr>
        <w:lastRenderedPageBreak/>
        <w:t xml:space="preserve">value for </w:t>
      </w:r>
      <w:r w:rsidRPr="00890C27">
        <w:rPr>
          <w:rFonts w:ascii="Times New Roman" w:hAnsi="Times New Roman" w:cs="Times New Roman"/>
          <w:i/>
          <w:sz w:val="24"/>
          <w:szCs w:val="24"/>
        </w:rPr>
        <w:t>∆</w:t>
      </w:r>
      <w:proofErr w:type="spellStart"/>
      <w:proofErr w:type="gramStart"/>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sz w:val="24"/>
          <w:szCs w:val="24"/>
        </w:rPr>
        <w:t xml:space="preserve"> is positive in the project area part representing the high rainfall zone, this cannot be used to cancel out a negative value for </w:t>
      </w:r>
      <w:r w:rsidRPr="00890C27">
        <w:rPr>
          <w:rFonts w:ascii="Times New Roman" w:hAnsi="Times New Roman" w:cs="Times New Roman"/>
          <w:i/>
          <w:sz w:val="24"/>
          <w:szCs w:val="24"/>
        </w:rPr>
        <w:t>∆</w:t>
      </w:r>
      <w:proofErr w:type="spellStart"/>
      <w:proofErr w:type="gramStart"/>
      <w:r w:rsidRPr="00890C27">
        <w:rPr>
          <w:rFonts w:ascii="Times New Roman" w:hAnsi="Times New Roman" w:cs="Times New Roman"/>
          <w:i/>
          <w:sz w:val="24"/>
          <w:szCs w:val="24"/>
        </w:rPr>
        <w:t>C</w:t>
      </w:r>
      <w:r w:rsidRPr="00890C27">
        <w:rPr>
          <w:rFonts w:ascii="Times New Roman" w:hAnsi="Times New Roman" w:cs="Times New Roman"/>
          <w:i/>
          <w:sz w:val="24"/>
          <w:szCs w:val="24"/>
          <w:vertAlign w:val="subscript"/>
        </w:rPr>
        <w:t>Seq,Prev</w:t>
      </w:r>
      <w:proofErr w:type="spellEnd"/>
      <w:proofErr w:type="gramEnd"/>
      <w:r w:rsidRPr="00890C27">
        <w:rPr>
          <w:rFonts w:ascii="Times New Roman" w:hAnsi="Times New Roman" w:cs="Times New Roman"/>
          <w:i/>
          <w:sz w:val="24"/>
          <w:szCs w:val="24"/>
          <w:vertAlign w:val="subscript"/>
        </w:rPr>
        <w:t xml:space="preserve"> </w:t>
      </w:r>
      <w:r w:rsidRPr="00890C27">
        <w:rPr>
          <w:rFonts w:ascii="Times New Roman" w:hAnsi="Times New Roman" w:cs="Times New Roman"/>
          <w:sz w:val="24"/>
          <w:szCs w:val="24"/>
        </w:rPr>
        <w:t>for the project area part representing the low rainfall zone.</w:t>
      </w:r>
    </w:p>
    <w:p w14:paraId="2E88EE59" w14:textId="77777777" w:rsidR="00857349" w:rsidRPr="00890C27" w:rsidRDefault="00857349" w:rsidP="008103FF">
      <w:pPr>
        <w:spacing w:after="160" w:line="276" w:lineRule="auto"/>
        <w:rPr>
          <w:rFonts w:ascii="Times New Roman" w:hAnsi="Times New Roman" w:cs="Times New Roman"/>
          <w:sz w:val="24"/>
          <w:szCs w:val="24"/>
        </w:rPr>
      </w:pPr>
      <w:r w:rsidRPr="00890C27">
        <w:rPr>
          <w:rFonts w:ascii="Times New Roman" w:hAnsi="Times New Roman" w:cs="Times New Roman"/>
          <w:color w:val="000000" w:themeColor="text1"/>
          <w:sz w:val="24"/>
          <w:szCs w:val="24"/>
        </w:rPr>
        <w:t>It is important for the calculations that the abatement amounts remain linked to specific project area parts.</w:t>
      </w:r>
    </w:p>
    <w:p w14:paraId="4B25D408" w14:textId="52933492" w:rsidR="0076059B" w:rsidRPr="00C35336"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8 </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resulting from lack of fire activity </w:t>
      </w:r>
    </w:p>
    <w:p w14:paraId="708F7BA1" w14:textId="4AD91019" w:rsidR="006A18FD" w:rsidRPr="00436945" w:rsidRDefault="006A18FD" w:rsidP="008103FF">
      <w:pPr>
        <w:spacing w:after="160" w:line="276" w:lineRule="auto"/>
        <w:rPr>
          <w:rFonts w:ascii="Times New Roman" w:hAnsi="Times New Roman" w:cs="Times New Roman"/>
          <w:sz w:val="24"/>
          <w:szCs w:val="24"/>
        </w:rPr>
      </w:pPr>
      <w:r w:rsidRPr="00436945">
        <w:rPr>
          <w:rFonts w:ascii="Times New Roman" w:hAnsi="Times New Roman" w:cs="Times New Roman"/>
          <w:sz w:val="24"/>
          <w:szCs w:val="24"/>
        </w:rPr>
        <w:t>Sub</w:t>
      </w:r>
      <w:r w:rsidR="00431D83">
        <w:rPr>
          <w:rFonts w:ascii="Times New Roman" w:hAnsi="Times New Roman" w:cs="Times New Roman"/>
          <w:sz w:val="24"/>
          <w:szCs w:val="24"/>
        </w:rPr>
        <w:t>clause</w:t>
      </w:r>
      <w:r w:rsidRPr="00436945">
        <w:rPr>
          <w:rFonts w:ascii="Times New Roman" w:hAnsi="Times New Roman" w:cs="Times New Roman"/>
          <w:sz w:val="24"/>
          <w:szCs w:val="24"/>
        </w:rPr>
        <w:t xml:space="preserve"> 8(1) specifies that </w:t>
      </w:r>
      <w:r w:rsidR="009258CF">
        <w:rPr>
          <w:rFonts w:ascii="Times New Roman" w:hAnsi="Times New Roman" w:cs="Times New Roman"/>
          <w:sz w:val="24"/>
          <w:szCs w:val="24"/>
        </w:rPr>
        <w:t>clause 8</w:t>
      </w:r>
      <w:r w:rsidRPr="00436945">
        <w:rPr>
          <w:rFonts w:ascii="Times New Roman" w:hAnsi="Times New Roman" w:cs="Times New Roman"/>
          <w:sz w:val="24"/>
          <w:szCs w:val="24"/>
        </w:rPr>
        <w:t xml:space="preserve"> only applies when there has been a lack of fire activity during a calendar year (early dry season fire or late dry season fire). </w:t>
      </w:r>
    </w:p>
    <w:p w14:paraId="4B86D60F" w14:textId="2D2E416F" w:rsidR="006A18FD" w:rsidRPr="00E552E2" w:rsidRDefault="006A18FD" w:rsidP="008103FF">
      <w:pPr>
        <w:spacing w:after="160" w:line="276" w:lineRule="auto"/>
        <w:rPr>
          <w:rFonts w:ascii="Times New Roman" w:hAnsi="Times New Roman" w:cs="Times New Roman"/>
          <w:sz w:val="24"/>
          <w:szCs w:val="24"/>
        </w:rPr>
      </w:pPr>
      <w:r w:rsidRPr="00436945">
        <w:rPr>
          <w:rFonts w:ascii="Times New Roman" w:hAnsi="Times New Roman" w:cs="Times New Roman"/>
          <w:sz w:val="24"/>
          <w:szCs w:val="24"/>
        </w:rPr>
        <w:t>Sub</w:t>
      </w:r>
      <w:r w:rsidR="00431D83">
        <w:rPr>
          <w:rFonts w:ascii="Times New Roman" w:hAnsi="Times New Roman" w:cs="Times New Roman"/>
          <w:sz w:val="24"/>
          <w:szCs w:val="24"/>
        </w:rPr>
        <w:t>clause</w:t>
      </w:r>
      <w:r w:rsidRPr="00436945">
        <w:rPr>
          <w:rFonts w:ascii="Times New Roman" w:hAnsi="Times New Roman" w:cs="Times New Roman"/>
          <w:sz w:val="24"/>
          <w:szCs w:val="24"/>
        </w:rPr>
        <w:t xml:space="preserve"> 8(2) </w:t>
      </w:r>
      <w:r>
        <w:rPr>
          <w:rFonts w:ascii="Times New Roman" w:hAnsi="Times New Roman" w:cs="Times New Roman"/>
          <w:sz w:val="24"/>
          <w:szCs w:val="24"/>
        </w:rPr>
        <w:t>provides that i</w:t>
      </w:r>
      <w:r w:rsidRPr="00E552E2">
        <w:rPr>
          <w:rFonts w:ascii="Times New Roman" w:hAnsi="Times New Roman" w:cs="Times New Roman"/>
          <w:sz w:val="24"/>
          <w:szCs w:val="24"/>
        </w:rPr>
        <w:t xml:space="preserve">f no planned burning was carried out in a project area during a calendar year, the </w:t>
      </w:r>
      <w:r>
        <w:rPr>
          <w:rFonts w:ascii="Times New Roman" w:hAnsi="Times New Roman" w:cs="Times New Roman"/>
          <w:sz w:val="24"/>
          <w:szCs w:val="24"/>
        </w:rPr>
        <w:t>carbon stock at the end of that calendar year</w:t>
      </w:r>
      <w:r w:rsidR="00A16043">
        <w:rPr>
          <w:rFonts w:ascii="Times New Roman" w:hAnsi="Times New Roman" w:cs="Times New Roman"/>
          <w:sz w:val="24"/>
          <w:szCs w:val="24"/>
        </w:rPr>
        <w:t xml:space="preserve"> </w:t>
      </w:r>
      <w:proofErr w:type="gramStart"/>
      <w:r w:rsidR="00A16043">
        <w:rPr>
          <w:rFonts w:ascii="Times New Roman" w:hAnsi="Times New Roman" w:cs="Times New Roman"/>
          <w:sz w:val="24"/>
          <w:szCs w:val="24"/>
        </w:rPr>
        <w:t>a</w:t>
      </w:r>
      <w:r w:rsidRPr="00E552E2">
        <w:rPr>
          <w:rFonts w:ascii="Times New Roman" w:hAnsi="Times New Roman" w:cs="Times New Roman"/>
          <w:sz w:val="24"/>
          <w:szCs w:val="24"/>
        </w:rPr>
        <w:t>re</w:t>
      </w:r>
      <w:proofErr w:type="gramEnd"/>
      <w:r w:rsidRPr="00E552E2">
        <w:rPr>
          <w:rFonts w:ascii="Times New Roman" w:hAnsi="Times New Roman" w:cs="Times New Roman"/>
          <w:sz w:val="24"/>
          <w:szCs w:val="24"/>
        </w:rPr>
        <w:t xml:space="preserve"> assumed to be equal to the </w:t>
      </w:r>
      <w:r w:rsidR="00A16043">
        <w:rPr>
          <w:rFonts w:ascii="Times New Roman" w:hAnsi="Times New Roman" w:cs="Times New Roman"/>
          <w:sz w:val="24"/>
          <w:szCs w:val="24"/>
        </w:rPr>
        <w:t xml:space="preserve">carbon stock at the end of the previous calendar year. </w:t>
      </w:r>
    </w:p>
    <w:p w14:paraId="1E5D4B68" w14:textId="461E9D56" w:rsidR="0076059B" w:rsidRPr="00C35336"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9 </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resulting from subdivided project areas </w:t>
      </w:r>
    </w:p>
    <w:p w14:paraId="63316554" w14:textId="5C31B4B1" w:rsidR="008D095B" w:rsidRPr="00890C27"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8D095B" w:rsidRPr="00890C27">
        <w:rPr>
          <w:rFonts w:ascii="Times New Roman" w:hAnsi="Times New Roman" w:cs="Times New Roman"/>
          <w:sz w:val="24"/>
          <w:szCs w:val="24"/>
        </w:rPr>
        <w:t xml:space="preserve"> 9 is relevant when a subdivided project area is first reported on, and provides for how the following amounts are calculated for the subdivided project area:</w:t>
      </w:r>
    </w:p>
    <w:p w14:paraId="79092C2E" w14:textId="58456C12" w:rsidR="008D095B" w:rsidRDefault="008D095B" w:rsidP="008103FF">
      <w:pPr>
        <w:pStyle w:val="ListParagraph"/>
        <w:numPr>
          <w:ilvl w:val="0"/>
          <w:numId w:val="55"/>
        </w:numPr>
        <w:spacing w:after="160" w:line="276" w:lineRule="auto"/>
        <w:ind w:left="714" w:hanging="357"/>
        <w:contextualSpacing w:val="0"/>
      </w:pPr>
      <w:r w:rsidRPr="00C35336">
        <w:rPr>
          <w:rFonts w:ascii="Times New Roman" w:hAnsi="Times New Roman" w:cs="Times New Roman"/>
          <w:color w:val="000000" w:themeColor="text1"/>
          <w:sz w:val="24"/>
          <w:szCs w:val="24"/>
        </w:rPr>
        <w:t>the previous year’s carry</w:t>
      </w:r>
      <w:r w:rsidRPr="00C35336">
        <w:rPr>
          <w:rFonts w:ascii="Times New Roman" w:hAnsi="Times New Roman" w:cs="Times New Roman"/>
          <w:color w:val="000000" w:themeColor="text1"/>
          <w:sz w:val="24"/>
          <w:szCs w:val="24"/>
        </w:rPr>
        <w:noBreakHyphen/>
        <w:t xml:space="preserve">over amount, </w:t>
      </w:r>
      <w:proofErr w:type="spellStart"/>
      <w:proofErr w:type="gramStart"/>
      <w:r w:rsidRPr="00C35336">
        <w:rPr>
          <w:rFonts w:ascii="Times New Roman" w:hAnsi="Times New Roman" w:cs="Times New Roman"/>
          <w:i/>
          <w:color w:val="000000" w:themeColor="text1"/>
          <w:sz w:val="24"/>
          <w:szCs w:val="24"/>
        </w:rPr>
        <w:t>DC</w:t>
      </w:r>
      <w:r w:rsidRPr="00C35336">
        <w:rPr>
          <w:rFonts w:ascii="Times New Roman" w:hAnsi="Times New Roman" w:cs="Times New Roman"/>
          <w:i/>
          <w:color w:val="000000" w:themeColor="text1"/>
          <w:sz w:val="24"/>
          <w:szCs w:val="24"/>
          <w:vertAlign w:val="subscript"/>
        </w:rPr>
        <w:t>Seq,Prev</w:t>
      </w:r>
      <w:proofErr w:type="spellEnd"/>
      <w:proofErr w:type="gramEnd"/>
      <w:r w:rsidRPr="00C35336">
        <w:rPr>
          <w:rFonts w:ascii="Times New Roman" w:hAnsi="Times New Roman" w:cs="Times New Roman"/>
          <w:color w:val="000000" w:themeColor="text1"/>
          <w:sz w:val="24"/>
          <w:szCs w:val="24"/>
        </w:rPr>
        <w:t xml:space="preserve"> – see sub</w:t>
      </w:r>
      <w:r w:rsidR="00431D83" w:rsidRPr="00191689">
        <w:rPr>
          <w:rFonts w:ascii="Times New Roman" w:hAnsi="Times New Roman" w:cs="Times New Roman"/>
          <w:color w:val="000000" w:themeColor="text1"/>
          <w:sz w:val="24"/>
          <w:szCs w:val="24"/>
        </w:rPr>
        <w:t>clause</w:t>
      </w:r>
      <w:r w:rsidR="00DD5E25" w:rsidRPr="00C35336">
        <w:rPr>
          <w:rFonts w:ascii="Times New Roman" w:hAnsi="Times New Roman" w:cs="Times New Roman"/>
          <w:color w:val="000000" w:themeColor="text1"/>
          <w:sz w:val="24"/>
          <w:szCs w:val="24"/>
        </w:rPr>
        <w:t xml:space="preserve"> </w:t>
      </w:r>
      <w:r w:rsidR="00BE57EC" w:rsidRPr="00C35336">
        <w:rPr>
          <w:rFonts w:ascii="Times New Roman" w:hAnsi="Times New Roman" w:cs="Times New Roman"/>
          <w:color w:val="000000" w:themeColor="text1"/>
          <w:sz w:val="24"/>
          <w:szCs w:val="24"/>
        </w:rPr>
        <w:t>9</w:t>
      </w:r>
      <w:r w:rsidRPr="00C35336">
        <w:rPr>
          <w:rFonts w:ascii="Times New Roman" w:hAnsi="Times New Roman" w:cs="Times New Roman"/>
          <w:color w:val="000000" w:themeColor="text1"/>
          <w:sz w:val="24"/>
          <w:szCs w:val="24"/>
        </w:rPr>
        <w:t xml:space="preserve">(1) and </w:t>
      </w:r>
      <w:r w:rsidRPr="00C35336">
        <w:rPr>
          <w:rFonts w:ascii="Times New Roman" w:hAnsi="Times New Roman" w:cs="Times New Roman"/>
          <w:sz w:val="24"/>
          <w:szCs w:val="24"/>
        </w:rPr>
        <w:t xml:space="preserve">equation </w:t>
      </w:r>
      <w:r w:rsidR="00C95112" w:rsidRPr="00C35336">
        <w:rPr>
          <w:rFonts w:ascii="Times New Roman" w:hAnsi="Times New Roman" w:cs="Times New Roman"/>
          <w:sz w:val="24"/>
          <w:szCs w:val="24"/>
        </w:rPr>
        <w:t>9</w:t>
      </w:r>
      <w:r w:rsidR="00C95112" w:rsidRPr="00191689">
        <w:rPr>
          <w:rFonts w:ascii="Times New Roman" w:hAnsi="Times New Roman" w:cs="Times New Roman"/>
          <w:sz w:val="24"/>
          <w:szCs w:val="24"/>
        </w:rPr>
        <w:t xml:space="preserve"> </w:t>
      </w:r>
      <w:r w:rsidRPr="00C35336">
        <w:rPr>
          <w:rFonts w:ascii="Times New Roman" w:hAnsi="Times New Roman" w:cs="Times New Roman"/>
          <w:sz w:val="24"/>
          <w:szCs w:val="24"/>
        </w:rPr>
        <w:t>and</w:t>
      </w:r>
    </w:p>
    <w:p w14:paraId="6FF0CF01" w14:textId="17D583BA" w:rsidR="008D095B" w:rsidRPr="00C35336" w:rsidRDefault="00944C4D" w:rsidP="008103FF">
      <w:pPr>
        <w:pStyle w:val="ListParagraph"/>
        <w:numPr>
          <w:ilvl w:val="0"/>
          <w:numId w:val="55"/>
        </w:numPr>
        <w:spacing w:after="160" w:line="276" w:lineRule="auto"/>
        <w:ind w:left="714" w:hanging="357"/>
        <w:contextualSpacing w:val="0"/>
        <w:rPr>
          <w:color w:val="000000" w:themeColor="text1"/>
        </w:rPr>
      </w:pPr>
      <w:r w:rsidRPr="00C35336">
        <w:rPr>
          <w:rFonts w:ascii="Times New Roman" w:hAnsi="Times New Roman" w:cs="Times New Roman"/>
          <w:sz w:val="24"/>
          <w:szCs w:val="24"/>
        </w:rPr>
        <w:t>the adjustment value for the previous year’s carbon stock from the</w:t>
      </w:r>
      <w:r w:rsidRPr="00C35336">
        <w:rPr>
          <w:rFonts w:ascii="Times New Roman" w:hAnsi="Times New Roman" w:cs="Times New Roman"/>
          <w:color w:val="000000" w:themeColor="text1"/>
          <w:sz w:val="24"/>
          <w:szCs w:val="24"/>
        </w:rPr>
        <w:t xml:space="preserve"> original project area that is attributed to each subdivided project area </w:t>
      </w:r>
      <w:r w:rsidR="008D095B" w:rsidRPr="00C35336">
        <w:rPr>
          <w:rFonts w:ascii="Times New Roman" w:hAnsi="Times New Roman" w:cs="Times New Roman"/>
          <w:color w:val="000000" w:themeColor="text1"/>
          <w:sz w:val="24"/>
          <w:szCs w:val="24"/>
        </w:rPr>
        <w:t>– see sub</w:t>
      </w:r>
      <w:r w:rsidR="00431D83" w:rsidRPr="00191689">
        <w:rPr>
          <w:rFonts w:ascii="Times New Roman" w:hAnsi="Times New Roman" w:cs="Times New Roman"/>
          <w:color w:val="000000" w:themeColor="text1"/>
          <w:sz w:val="24"/>
          <w:szCs w:val="24"/>
        </w:rPr>
        <w:t>clause</w:t>
      </w:r>
      <w:r w:rsidR="00967C90" w:rsidRPr="00C35336">
        <w:rPr>
          <w:rFonts w:ascii="Times New Roman" w:hAnsi="Times New Roman" w:cs="Times New Roman"/>
          <w:color w:val="000000" w:themeColor="text1"/>
          <w:sz w:val="24"/>
          <w:szCs w:val="24"/>
        </w:rPr>
        <w:t xml:space="preserve"> 9</w:t>
      </w:r>
      <w:r w:rsidR="008D095B" w:rsidRPr="00C35336">
        <w:rPr>
          <w:rFonts w:ascii="Times New Roman" w:hAnsi="Times New Roman" w:cs="Times New Roman"/>
          <w:color w:val="000000" w:themeColor="text1"/>
          <w:sz w:val="24"/>
          <w:szCs w:val="24"/>
        </w:rPr>
        <w:t xml:space="preserve">(2) and </w:t>
      </w:r>
      <w:r w:rsidR="008D095B">
        <w:rPr>
          <w:rFonts w:ascii="Times New Roman" w:hAnsi="Times New Roman" w:cs="Times New Roman"/>
          <w:color w:val="000000" w:themeColor="text1"/>
          <w:sz w:val="24"/>
          <w:szCs w:val="24"/>
        </w:rPr>
        <w:t>equation</w:t>
      </w:r>
      <w:r w:rsidR="008D095B" w:rsidRPr="00C35336">
        <w:rPr>
          <w:rFonts w:ascii="Times New Roman" w:hAnsi="Times New Roman" w:cs="Times New Roman"/>
          <w:color w:val="000000" w:themeColor="text1"/>
          <w:sz w:val="24"/>
          <w:szCs w:val="24"/>
        </w:rPr>
        <w:t xml:space="preserve"> 1</w:t>
      </w:r>
      <w:r w:rsidR="00EC5845" w:rsidRPr="00C35336">
        <w:rPr>
          <w:rFonts w:ascii="Times New Roman" w:hAnsi="Times New Roman" w:cs="Times New Roman"/>
          <w:color w:val="000000" w:themeColor="text1"/>
          <w:sz w:val="24"/>
          <w:szCs w:val="24"/>
        </w:rPr>
        <w:t>0</w:t>
      </w:r>
    </w:p>
    <w:p w14:paraId="76F4E794" w14:textId="77777777" w:rsidR="008D095B" w:rsidRPr="00890C27" w:rsidRDefault="008D095B"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In both cases, the amount attributed to each subdivided project area is a proportion of the relevant amount for the original project area, where the proportion is equal to the ratio of the baseline </w:t>
      </w:r>
      <w:r w:rsidR="00861F0E" w:rsidRPr="00890C27">
        <w:rPr>
          <w:rFonts w:ascii="Times New Roman" w:hAnsi="Times New Roman" w:cs="Times New Roman"/>
          <w:sz w:val="24"/>
          <w:szCs w:val="24"/>
        </w:rPr>
        <w:t>carbon stock</w:t>
      </w:r>
      <w:r w:rsidRPr="00890C27">
        <w:rPr>
          <w:rFonts w:ascii="Times New Roman" w:hAnsi="Times New Roman" w:cs="Times New Roman"/>
          <w:sz w:val="24"/>
          <w:szCs w:val="24"/>
        </w:rPr>
        <w:t xml:space="preserve"> in the subdivided and original project areas.</w:t>
      </w:r>
    </w:p>
    <w:p w14:paraId="572AB71C" w14:textId="494E34ED" w:rsidR="0076059B" w:rsidRPr="00C35336"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10 </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Attribution of cumulative net abatement amount to a project area being removed from the project </w:t>
      </w:r>
    </w:p>
    <w:p w14:paraId="016D9123" w14:textId="570FE612" w:rsidR="007A4CDB" w:rsidRPr="005B7FDC"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7A4CDB" w:rsidRPr="005B7FDC">
        <w:rPr>
          <w:rFonts w:ascii="Times New Roman" w:hAnsi="Times New Roman" w:cs="Times New Roman"/>
          <w:sz w:val="24"/>
          <w:szCs w:val="24"/>
        </w:rPr>
        <w:t xml:space="preserve"> 1</w:t>
      </w:r>
      <w:r w:rsidR="00E87814">
        <w:rPr>
          <w:rFonts w:ascii="Times New Roman" w:hAnsi="Times New Roman" w:cs="Times New Roman"/>
          <w:sz w:val="24"/>
          <w:szCs w:val="24"/>
        </w:rPr>
        <w:t xml:space="preserve">0 </w:t>
      </w:r>
      <w:r w:rsidR="007A4CDB" w:rsidRPr="005B7FDC">
        <w:rPr>
          <w:rFonts w:ascii="Times New Roman" w:hAnsi="Times New Roman" w:cs="Times New Roman"/>
          <w:sz w:val="24"/>
          <w:szCs w:val="24"/>
        </w:rPr>
        <w:t>applies when a project area (including a subdivided project area) is removed from a project</w:t>
      </w:r>
      <w:r w:rsidR="00990776">
        <w:rPr>
          <w:rFonts w:ascii="Times New Roman" w:hAnsi="Times New Roman" w:cs="Times New Roman"/>
          <w:sz w:val="24"/>
          <w:szCs w:val="24"/>
        </w:rPr>
        <w:t xml:space="preserve"> </w:t>
      </w:r>
      <w:r w:rsidR="007A4CDB" w:rsidRPr="00EA4F5F">
        <w:rPr>
          <w:rFonts w:ascii="Times New Roman" w:hAnsi="Times New Roman" w:cs="Times New Roman"/>
          <w:sz w:val="24"/>
          <w:szCs w:val="24"/>
        </w:rPr>
        <w:t>to comply with the eligibility requirement of sub</w:t>
      </w:r>
      <w:r>
        <w:rPr>
          <w:rFonts w:ascii="Times New Roman" w:hAnsi="Times New Roman" w:cs="Times New Roman"/>
          <w:sz w:val="24"/>
          <w:szCs w:val="24"/>
        </w:rPr>
        <w:t>clause</w:t>
      </w:r>
      <w:r w:rsidR="007A4CDB" w:rsidRPr="00EA4F5F">
        <w:rPr>
          <w:rFonts w:ascii="Times New Roman" w:hAnsi="Times New Roman" w:cs="Times New Roman"/>
          <w:sz w:val="24"/>
          <w:szCs w:val="24"/>
        </w:rPr>
        <w:t xml:space="preserve"> 14 of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7A4CDB" w:rsidRPr="00EA4F5F">
        <w:rPr>
          <w:rFonts w:ascii="Times New Roman" w:hAnsi="Times New Roman" w:cs="Times New Roman"/>
          <w:sz w:val="24"/>
          <w:szCs w:val="24"/>
        </w:rPr>
        <w:t>, or for another reason.</w:t>
      </w:r>
    </w:p>
    <w:p w14:paraId="4CAA2BB3" w14:textId="08D77890" w:rsidR="007A4CDB" w:rsidRPr="00EA4F5F" w:rsidRDefault="007A4CDB" w:rsidP="008103FF">
      <w:pPr>
        <w:spacing w:after="160" w:line="276" w:lineRule="auto"/>
        <w:rPr>
          <w:rFonts w:ascii="Times New Roman" w:hAnsi="Times New Roman" w:cs="Times New Roman"/>
          <w:sz w:val="24"/>
          <w:szCs w:val="24"/>
        </w:rPr>
      </w:pPr>
      <w:r w:rsidRPr="005B7FDC">
        <w:rPr>
          <w:rFonts w:ascii="Times New Roman" w:hAnsi="Times New Roman" w:cs="Times New Roman"/>
          <w:sz w:val="24"/>
          <w:szCs w:val="24"/>
        </w:rPr>
        <w:t xml:space="preserve">For example, a project area must be removed if it contains a relevant weed species </w:t>
      </w:r>
      <w:r w:rsidRPr="00EA4F5F">
        <w:rPr>
          <w:rFonts w:ascii="Times New Roman" w:hAnsi="Times New Roman" w:cs="Times New Roman"/>
          <w:sz w:val="24"/>
          <w:szCs w:val="24"/>
        </w:rPr>
        <w:t>not being actively managed</w:t>
      </w:r>
      <w:r w:rsidRPr="005B7FDC">
        <w:rPr>
          <w:rFonts w:ascii="Times New Roman" w:hAnsi="Times New Roman" w:cs="Times New Roman"/>
          <w:sz w:val="24"/>
          <w:szCs w:val="24"/>
        </w:rPr>
        <w:t xml:space="preserve">, or if it has been cleared of all vegetation fuel types listed in the </w:t>
      </w:r>
      <w:r w:rsidR="00F633A6" w:rsidRPr="00C35336">
        <w:rPr>
          <w:rFonts w:ascii="Times New Roman" w:hAnsi="Times New Roman" w:cs="Times New Roman"/>
          <w:i/>
          <w:sz w:val="24"/>
          <w:szCs w:val="24"/>
        </w:rPr>
        <w:t>Savanna Fire Management Methods (2025) Technical Guidance Document</w:t>
      </w:r>
      <w:r w:rsidRPr="00EA4F5F">
        <w:rPr>
          <w:rFonts w:ascii="Times New Roman" w:hAnsi="Times New Roman" w:cs="Times New Roman"/>
          <w:sz w:val="24"/>
          <w:szCs w:val="24"/>
        </w:rPr>
        <w:t>. In this example, for the project to remain an eligible offsets project, the project area must be removed from the project. This may require subdivision to isolate the cleared or weed infested area in accordance with section</w:t>
      </w:r>
      <w:r w:rsidRPr="00CF271D">
        <w:rPr>
          <w:rFonts w:ascii="Times New Roman" w:hAnsi="Times New Roman" w:cs="Times New Roman"/>
          <w:sz w:val="24"/>
          <w:szCs w:val="24"/>
        </w:rPr>
        <w:t>s</w:t>
      </w:r>
      <w:r w:rsidR="00322DEE" w:rsidRPr="00C35336">
        <w:rPr>
          <w:rFonts w:ascii="Times New Roman" w:hAnsi="Times New Roman" w:cs="Times New Roman"/>
          <w:sz w:val="24"/>
          <w:szCs w:val="24"/>
        </w:rPr>
        <w:t xml:space="preserve"> 14</w:t>
      </w:r>
      <w:r w:rsidR="00322DEE" w:rsidRPr="00191689">
        <w:rPr>
          <w:rFonts w:ascii="Times New Roman" w:hAnsi="Times New Roman" w:cs="Times New Roman"/>
          <w:sz w:val="24"/>
          <w:szCs w:val="24"/>
        </w:rPr>
        <w:t>and 16</w:t>
      </w:r>
      <w:r w:rsidRPr="00EA4F5F">
        <w:rPr>
          <w:rFonts w:ascii="Times New Roman" w:hAnsi="Times New Roman" w:cs="Times New Roman"/>
          <w:sz w:val="24"/>
          <w:szCs w:val="24"/>
        </w:rPr>
        <w:t xml:space="preserve">, so that one project area complies with the eligibility requirements. </w:t>
      </w:r>
    </w:p>
    <w:p w14:paraId="1A7CDF90" w14:textId="5CA3137A" w:rsidR="007E1F1A" w:rsidRPr="00EA4F5F" w:rsidRDefault="007A4CDB" w:rsidP="008103FF">
      <w:pPr>
        <w:spacing w:after="160" w:line="276" w:lineRule="auto"/>
        <w:rPr>
          <w:rFonts w:ascii="Times New Roman" w:hAnsi="Times New Roman" w:cs="Times New Roman"/>
          <w:sz w:val="24"/>
          <w:szCs w:val="24"/>
        </w:rPr>
      </w:pPr>
      <w:r w:rsidRPr="00EA4F5F">
        <w:rPr>
          <w:rFonts w:ascii="Times New Roman" w:hAnsi="Times New Roman" w:cs="Times New Roman"/>
          <w:sz w:val="24"/>
          <w:szCs w:val="24"/>
        </w:rPr>
        <w:t xml:space="preserve">If a project area is removed from a project in this manner, the reporting requirement of subsection 36(4) applies, and requires, among other things, the offsets report to include the </w:t>
      </w:r>
      <w:r w:rsidRPr="00EA4F5F">
        <w:rPr>
          <w:rFonts w:ascii="Times New Roman" w:hAnsi="Times New Roman" w:cs="Times New Roman"/>
          <w:sz w:val="24"/>
          <w:szCs w:val="24"/>
        </w:rPr>
        <w:lastRenderedPageBreak/>
        <w:t>portion of the cumulative net abatement amount that was attributable to sequestration in the removed project area, as calculated in accordance with this provision.</w:t>
      </w:r>
    </w:p>
    <w:p w14:paraId="4FD25230" w14:textId="3E2CEF20" w:rsidR="007A4CDB" w:rsidRPr="00EA4F5F" w:rsidRDefault="007A4CDB" w:rsidP="008103FF">
      <w:pPr>
        <w:spacing w:after="160" w:line="276" w:lineRule="auto"/>
        <w:rPr>
          <w:rFonts w:ascii="Times New Roman" w:hAnsi="Times New Roman" w:cs="Times New Roman"/>
          <w:sz w:val="24"/>
          <w:szCs w:val="24"/>
        </w:rPr>
      </w:pPr>
      <w:r w:rsidRPr="005B7FDC">
        <w:rPr>
          <w:rFonts w:ascii="Times New Roman" w:hAnsi="Times New Roman" w:cs="Times New Roman"/>
          <w:sz w:val="24"/>
          <w:szCs w:val="24"/>
        </w:rPr>
        <w:t>The calculation is performed using</w:t>
      </w:r>
      <w:r w:rsidRPr="00EC2FAD">
        <w:rPr>
          <w:rFonts w:ascii="Times New Roman" w:hAnsi="Times New Roman" w:cs="Times New Roman"/>
          <w:sz w:val="24"/>
          <w:szCs w:val="24"/>
        </w:rPr>
        <w:t xml:space="preserve"> </w:t>
      </w:r>
      <w:r w:rsidR="00EC2FAD" w:rsidRPr="00EC2FAD">
        <w:rPr>
          <w:rFonts w:ascii="Times New Roman" w:hAnsi="Times New Roman" w:cs="Times New Roman"/>
          <w:sz w:val="24"/>
          <w:szCs w:val="24"/>
        </w:rPr>
        <w:t>e</w:t>
      </w:r>
      <w:r w:rsidRPr="005B7FDC">
        <w:rPr>
          <w:rFonts w:ascii="Times New Roman" w:hAnsi="Times New Roman" w:cs="Times New Roman"/>
          <w:sz w:val="24"/>
          <w:szCs w:val="24"/>
        </w:rPr>
        <w:t xml:space="preserve">quation </w:t>
      </w:r>
      <w:r w:rsidRPr="00EC2FAD">
        <w:rPr>
          <w:rFonts w:ascii="Times New Roman" w:hAnsi="Times New Roman" w:cs="Times New Roman"/>
          <w:sz w:val="24"/>
          <w:szCs w:val="24"/>
        </w:rPr>
        <w:t>11</w:t>
      </w:r>
      <w:r w:rsidRPr="005B7FDC">
        <w:rPr>
          <w:rFonts w:ascii="Times New Roman" w:hAnsi="Times New Roman" w:cs="Times New Roman"/>
          <w:sz w:val="24"/>
          <w:szCs w:val="24"/>
        </w:rPr>
        <w:t>, which determines</w:t>
      </w:r>
      <w:r w:rsidRPr="00EA4F5F">
        <w:rPr>
          <w:rFonts w:ascii="Times New Roman" w:hAnsi="Times New Roman" w:cs="Times New Roman"/>
          <w:sz w:val="24"/>
          <w:szCs w:val="24"/>
        </w:rPr>
        <w:t xml:space="preserve"> </w:t>
      </w:r>
      <w:proofErr w:type="spellStart"/>
      <w:r w:rsidR="00801BAD" w:rsidRPr="00C35336">
        <w:rPr>
          <w:rFonts w:ascii="Times New Roman" w:hAnsi="Times New Roman" w:cs="Times New Roman"/>
          <w:i/>
          <w:sz w:val="24"/>
          <w:szCs w:val="24"/>
        </w:rPr>
        <w:t>A</w:t>
      </w:r>
      <w:r w:rsidR="00801BAD" w:rsidRPr="00C35336">
        <w:rPr>
          <w:rFonts w:ascii="Times New Roman" w:hAnsi="Times New Roman" w:cs="Times New Roman"/>
          <w:i/>
          <w:sz w:val="24"/>
          <w:szCs w:val="24"/>
          <w:vertAlign w:val="subscript"/>
        </w:rPr>
        <w:t>Cumulative</w:t>
      </w:r>
      <w:proofErr w:type="spellEnd"/>
      <w:r w:rsidR="00801BAD" w:rsidRPr="00801BAD">
        <w:rPr>
          <w:rFonts w:ascii="Times New Roman" w:hAnsi="Times New Roman" w:cs="Times New Roman"/>
          <w:sz w:val="24"/>
          <w:szCs w:val="24"/>
        </w:rPr>
        <w:t>,</w:t>
      </w:r>
      <w:r w:rsidRPr="00890C27">
        <w:rPr>
          <w:rFonts w:ascii="Times New Roman" w:hAnsi="Times New Roman" w:cs="Times New Roman"/>
          <w:sz w:val="24"/>
          <w:szCs w:val="24"/>
        </w:rPr>
        <w:t xml:space="preserve"> </w:t>
      </w:r>
      <w:r w:rsidRPr="00EA4F5F">
        <w:rPr>
          <w:rFonts w:ascii="Times New Roman" w:hAnsi="Times New Roman" w:cs="Times New Roman"/>
          <w:sz w:val="24"/>
          <w:szCs w:val="24"/>
        </w:rPr>
        <w:t xml:space="preserve">the portion of the cumulative net abatement amount that can be attributed to sequestration for a project area that is being removed from the project. If the value for </w:t>
      </w:r>
      <w:proofErr w:type="spellStart"/>
      <w:proofErr w:type="gramStart"/>
      <w:r w:rsidR="00801BAD" w:rsidRPr="00AF3315">
        <w:rPr>
          <w:rFonts w:ascii="Times New Roman" w:hAnsi="Times New Roman" w:cs="Times New Roman"/>
          <w:i/>
          <w:iCs/>
          <w:sz w:val="24"/>
          <w:szCs w:val="24"/>
        </w:rPr>
        <w:t>A</w:t>
      </w:r>
      <w:r w:rsidR="00801BAD" w:rsidRPr="00C35336">
        <w:rPr>
          <w:rFonts w:ascii="Times New Roman" w:hAnsi="Times New Roman" w:cs="Times New Roman"/>
          <w:i/>
          <w:sz w:val="24"/>
          <w:szCs w:val="24"/>
          <w:vertAlign w:val="subscript"/>
        </w:rPr>
        <w:t>seq</w:t>
      </w:r>
      <w:r w:rsidR="00801BAD">
        <w:rPr>
          <w:rFonts w:ascii="Times New Roman" w:hAnsi="Times New Roman" w:cs="Times New Roman"/>
          <w:i/>
          <w:iCs/>
          <w:sz w:val="24"/>
          <w:szCs w:val="24"/>
          <w:vertAlign w:val="subscript"/>
        </w:rPr>
        <w:t>,</w:t>
      </w:r>
      <w:r w:rsidR="00801BAD" w:rsidRPr="00AF3315">
        <w:rPr>
          <w:rFonts w:ascii="Times New Roman" w:hAnsi="Times New Roman" w:cs="Times New Roman"/>
          <w:i/>
          <w:iCs/>
          <w:sz w:val="24"/>
          <w:szCs w:val="24"/>
          <w:vertAlign w:val="subscript"/>
        </w:rPr>
        <w:t>Cumulative</w:t>
      </w:r>
      <w:proofErr w:type="spellEnd"/>
      <w:proofErr w:type="gramEnd"/>
      <w:r w:rsidRPr="00890C27" w:rsidDel="00801BAD">
        <w:rPr>
          <w:rFonts w:ascii="Times New Roman" w:hAnsi="Times New Roman" w:cs="Times New Roman"/>
          <w:sz w:val="24"/>
          <w:szCs w:val="24"/>
        </w:rPr>
        <w:t xml:space="preserve"> </w:t>
      </w:r>
      <w:r w:rsidR="00801BAD">
        <w:rPr>
          <w:rFonts w:ascii="Times New Roman" w:hAnsi="Times New Roman" w:cs="Times New Roman"/>
          <w:sz w:val="24"/>
          <w:szCs w:val="24"/>
        </w:rPr>
        <w:t>a</w:t>
      </w:r>
      <w:r w:rsidRPr="00890C27">
        <w:rPr>
          <w:rFonts w:ascii="Times New Roman" w:hAnsi="Times New Roman" w:cs="Times New Roman"/>
          <w:sz w:val="24"/>
          <w:szCs w:val="24"/>
        </w:rPr>
        <w:t>s</w:t>
      </w:r>
      <w:r w:rsidRPr="00EA4F5F">
        <w:rPr>
          <w:rFonts w:ascii="Times New Roman" w:hAnsi="Times New Roman" w:cs="Times New Roman"/>
          <w:sz w:val="24"/>
          <w:szCs w:val="24"/>
        </w:rPr>
        <w:t xml:space="preserve"> from a previous offsets report for an earlier project area which has since been subdivided, the amount attributable to the project area being removed is calculated in accordance with equation </w:t>
      </w:r>
      <w:r w:rsidRPr="00890C27">
        <w:rPr>
          <w:rFonts w:ascii="Times New Roman" w:hAnsi="Times New Roman" w:cs="Times New Roman"/>
          <w:sz w:val="24"/>
          <w:szCs w:val="24"/>
        </w:rPr>
        <w:t>12.</w:t>
      </w:r>
    </w:p>
    <w:p w14:paraId="1CBF861D" w14:textId="624F62E1" w:rsidR="0076059B" w:rsidRPr="00982930" w:rsidRDefault="007A4CDB" w:rsidP="008103FF">
      <w:pPr>
        <w:spacing w:after="160" w:line="276" w:lineRule="auto"/>
        <w:rPr>
          <w:rFonts w:ascii="Times New Roman" w:hAnsi="Times New Roman" w:cs="Times New Roman"/>
          <w:sz w:val="24"/>
          <w:szCs w:val="24"/>
        </w:rPr>
      </w:pPr>
      <w:r w:rsidRPr="00EA4F5F">
        <w:rPr>
          <w:rFonts w:ascii="Times New Roman" w:hAnsi="Times New Roman" w:cs="Times New Roman"/>
          <w:sz w:val="24"/>
          <w:szCs w:val="24"/>
        </w:rPr>
        <w:t>This amount will be used by the Regulator when the project’s declaration of eligibility under section 27 of the Act is varied to remove the non</w:t>
      </w:r>
      <w:r w:rsidRPr="00EA4F5F">
        <w:rPr>
          <w:rFonts w:ascii="Times New Roman" w:hAnsi="Times New Roman" w:cs="Times New Roman"/>
          <w:sz w:val="24"/>
          <w:szCs w:val="24"/>
        </w:rPr>
        <w:noBreakHyphen/>
        <w:t>compliant project area.</w:t>
      </w:r>
    </w:p>
    <w:p w14:paraId="7A88D14F" w14:textId="704A1765" w:rsidR="0076059B" w:rsidRPr="00C35336" w:rsidRDefault="00431D83" w:rsidP="008103FF">
      <w:pPr>
        <w:spacing w:after="160" w:line="276" w:lineRule="auto"/>
        <w:rPr>
          <w:rFonts w:ascii="Times New Roman" w:hAnsi="Times New Roman" w:cs="Times New Roman"/>
          <w:sz w:val="24"/>
          <w:szCs w:val="24"/>
          <w:u w:val="single"/>
        </w:rPr>
      </w:pPr>
      <w:r>
        <w:rPr>
          <w:rFonts w:ascii="Times New Roman" w:hAnsi="Times New Roman" w:cs="Times New Roman"/>
          <w:sz w:val="24"/>
          <w:szCs w:val="24"/>
          <w:u w:val="single"/>
        </w:rPr>
        <w:t>Clause</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11 </w:t>
      </w:r>
      <w:r w:rsidR="00AE776B" w:rsidRPr="33750E9F">
        <w:rPr>
          <w:rFonts w:ascii="Times New Roman" w:hAnsi="Times New Roman" w:cs="Times New Roman"/>
          <w:sz w:val="24"/>
          <w:szCs w:val="24"/>
          <w:u w:val="single"/>
        </w:rPr>
        <w:t xml:space="preserve">– </w:t>
      </w:r>
      <w:r w:rsidR="0076059B" w:rsidRPr="33750E9F">
        <w:rPr>
          <w:rFonts w:ascii="Times New Roman" w:hAnsi="Times New Roman" w:cs="Times New Roman"/>
          <w:sz w:val="24"/>
          <w:szCs w:val="24"/>
          <w:u w:val="single"/>
        </w:rPr>
        <w:t xml:space="preserve">Adjustments for transferring projects </w:t>
      </w:r>
    </w:p>
    <w:p w14:paraId="1B414095" w14:textId="603BEA9F" w:rsidR="00183300" w:rsidRPr="00183300" w:rsidRDefault="00F55701"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Sub</w:t>
      </w:r>
      <w:r w:rsidR="00431D83">
        <w:rPr>
          <w:rFonts w:ascii="Times New Roman" w:hAnsi="Times New Roman" w:cs="Times New Roman"/>
          <w:sz w:val="24"/>
          <w:szCs w:val="24"/>
        </w:rPr>
        <w:t>clause</w:t>
      </w:r>
      <w:r w:rsidR="00183300" w:rsidRPr="00183300">
        <w:rPr>
          <w:rFonts w:ascii="Times New Roman" w:hAnsi="Times New Roman" w:cs="Times New Roman"/>
          <w:sz w:val="24"/>
          <w:szCs w:val="24"/>
        </w:rPr>
        <w:t xml:space="preserve"> 11</w:t>
      </w:r>
      <w:r w:rsidR="00631BF0">
        <w:rPr>
          <w:rFonts w:ascii="Times New Roman" w:hAnsi="Times New Roman" w:cs="Times New Roman"/>
          <w:sz w:val="24"/>
          <w:szCs w:val="24"/>
        </w:rPr>
        <w:t>(1)</w:t>
      </w:r>
      <w:r w:rsidR="00183300" w:rsidRPr="00183300">
        <w:rPr>
          <w:rFonts w:ascii="Times New Roman" w:hAnsi="Times New Roman" w:cs="Times New Roman"/>
          <w:sz w:val="24"/>
          <w:szCs w:val="24"/>
        </w:rPr>
        <w:t xml:space="preserve"> ensures projects transferring from the </w:t>
      </w:r>
      <w:r w:rsidR="00183300" w:rsidRPr="00183300">
        <w:rPr>
          <w:rFonts w:ascii="Times New Roman" w:hAnsi="Times New Roman" w:cs="Times New Roman"/>
          <w:i/>
          <w:iCs/>
          <w:sz w:val="24"/>
          <w:szCs w:val="24"/>
        </w:rPr>
        <w:t>Carbon Credits (Carbon Farming Initiative—Savanna Fire Management—Sequestration and Emissions Abatement) Methodology Determination 2018</w:t>
      </w:r>
      <w:r w:rsidR="00183300" w:rsidRPr="00183300">
        <w:rPr>
          <w:rFonts w:ascii="Times New Roman" w:hAnsi="Times New Roman" w:cs="Times New Roman"/>
          <w:b/>
          <w:bCs/>
          <w:sz w:val="24"/>
          <w:szCs w:val="24"/>
        </w:rPr>
        <w:t xml:space="preserve"> </w:t>
      </w:r>
      <w:r w:rsidR="00183300" w:rsidRPr="00183300">
        <w:rPr>
          <w:rFonts w:ascii="Times New Roman" w:hAnsi="Times New Roman" w:cs="Times New Roman"/>
          <w:sz w:val="24"/>
          <w:szCs w:val="24"/>
        </w:rPr>
        <w:t xml:space="preserve">to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183300" w:rsidRPr="00183300">
        <w:rPr>
          <w:rFonts w:ascii="Times New Roman" w:hAnsi="Times New Roman" w:cs="Times New Roman"/>
          <w:sz w:val="24"/>
          <w:szCs w:val="24"/>
        </w:rPr>
        <w:t xml:space="preserve"> are credited appropriately for sequestration that occurred prior to </w:t>
      </w:r>
      <w:proofErr w:type="gramStart"/>
      <w:r w:rsidR="004F2EEB">
        <w:rPr>
          <w:rFonts w:ascii="Times New Roman" w:hAnsi="Times New Roman" w:cs="Times New Roman"/>
          <w:sz w:val="24"/>
          <w:szCs w:val="24"/>
        </w:rPr>
        <w:t>transferring</w:t>
      </w:r>
      <w:r w:rsidR="00136528">
        <w:rPr>
          <w:rFonts w:ascii="Times New Roman" w:hAnsi="Times New Roman" w:cs="Times New Roman"/>
          <w:sz w:val="24"/>
          <w:szCs w:val="24"/>
        </w:rPr>
        <w:t>,</w:t>
      </w:r>
      <w:proofErr w:type="gramEnd"/>
      <w:r w:rsidR="00136528">
        <w:rPr>
          <w:rFonts w:ascii="Times New Roman" w:hAnsi="Times New Roman" w:cs="Times New Roman"/>
          <w:sz w:val="24"/>
          <w:szCs w:val="24"/>
        </w:rPr>
        <w:t xml:space="preserve"> </w:t>
      </w:r>
      <w:r w:rsidR="00BC0DF0">
        <w:rPr>
          <w:rFonts w:ascii="Times New Roman" w:hAnsi="Times New Roman" w:cs="Times New Roman"/>
          <w:sz w:val="24"/>
          <w:szCs w:val="24"/>
        </w:rPr>
        <w:t>however the model did not allow the sequestration to be calculated</w:t>
      </w:r>
      <w:r w:rsidR="00183300" w:rsidRPr="00183300">
        <w:rPr>
          <w:rFonts w:ascii="Times New Roman" w:hAnsi="Times New Roman" w:cs="Times New Roman"/>
          <w:sz w:val="24"/>
          <w:szCs w:val="24"/>
        </w:rPr>
        <w:t xml:space="preserve">. </w:t>
      </w:r>
    </w:p>
    <w:p w14:paraId="31574402" w14:textId="6581B0B4" w:rsidR="00183300" w:rsidRPr="00D14ED3" w:rsidRDefault="004D74F5"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equation</w:t>
      </w:r>
      <w:r w:rsidR="00183300" w:rsidRPr="00D14ED3">
        <w:rPr>
          <w:rFonts w:ascii="Times New Roman" w:hAnsi="Times New Roman" w:cs="Times New Roman"/>
          <w:sz w:val="24"/>
          <w:szCs w:val="24"/>
        </w:rPr>
        <w:t xml:space="preserve"> 13 sets out the method for calculating the contribution to the net abatement amount from sequestration for the first reporting year under </w:t>
      </w:r>
      <w:r w:rsidR="005D56BA" w:rsidRPr="00890C27">
        <w:rPr>
          <w:rFonts w:ascii="Times New Roman" w:hAnsi="Times New Roman" w:cs="Times New Roman"/>
          <w:sz w:val="24"/>
          <w:szCs w:val="24"/>
        </w:rPr>
        <w:t xml:space="preserve">the </w:t>
      </w:r>
      <w:r>
        <w:rPr>
          <w:rFonts w:ascii="Times New Roman" w:hAnsi="Times New Roman" w:cs="Times New Roman"/>
          <w:sz w:val="24"/>
          <w:szCs w:val="24"/>
        </w:rPr>
        <w:t>determination</w:t>
      </w:r>
      <w:r w:rsidR="00183300" w:rsidRPr="00D14ED3">
        <w:rPr>
          <w:rFonts w:ascii="Times New Roman" w:hAnsi="Times New Roman" w:cs="Times New Roman"/>
          <w:sz w:val="24"/>
          <w:szCs w:val="24"/>
        </w:rPr>
        <w:t xml:space="preserve"> for a transferring project. </w:t>
      </w:r>
    </w:p>
    <w:p w14:paraId="7BD8DD2F" w14:textId="64B46164" w:rsidR="00183300" w:rsidRPr="00D14ED3" w:rsidRDefault="00183300" w:rsidP="008103FF">
      <w:pPr>
        <w:spacing w:after="160" w:line="276" w:lineRule="auto"/>
        <w:rPr>
          <w:rFonts w:ascii="Times New Roman" w:hAnsi="Times New Roman" w:cs="Times New Roman"/>
          <w:sz w:val="24"/>
          <w:szCs w:val="24"/>
        </w:rPr>
      </w:pPr>
      <w:r w:rsidRPr="00D14ED3">
        <w:rPr>
          <w:rFonts w:ascii="Times New Roman" w:hAnsi="Times New Roman" w:cs="Times New Roman"/>
          <w:sz w:val="24"/>
          <w:szCs w:val="24"/>
        </w:rPr>
        <w:t>The equation calculates the net abatement amount as the difference between</w:t>
      </w:r>
      <w:r w:rsidR="00801BAD">
        <w:rPr>
          <w:rFonts w:ascii="Times New Roman" w:hAnsi="Times New Roman" w:cs="Times New Roman"/>
          <w:sz w:val="24"/>
          <w:szCs w:val="24"/>
        </w:rPr>
        <w:t xml:space="preserve"> the</w:t>
      </w:r>
      <w:r w:rsidRPr="00D14ED3">
        <w:rPr>
          <w:rFonts w:ascii="Times New Roman" w:hAnsi="Times New Roman" w:cs="Times New Roman"/>
          <w:sz w:val="24"/>
          <w:szCs w:val="24"/>
        </w:rPr>
        <w:t>:</w:t>
      </w:r>
    </w:p>
    <w:p w14:paraId="49AA59D2" w14:textId="76A0ACF8" w:rsidR="00183300" w:rsidRPr="00D14ED3" w:rsidRDefault="0018330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35336">
        <w:rPr>
          <w:rFonts w:ascii="Times New Roman" w:hAnsi="Times New Roman" w:cs="Times New Roman"/>
          <w:color w:val="000000" w:themeColor="text1"/>
          <w:sz w:val="24"/>
          <w:szCs w:val="24"/>
        </w:rPr>
        <w:t xml:space="preserve">net </w:t>
      </w:r>
      <w:r w:rsidRPr="00D14ED3">
        <w:rPr>
          <w:rFonts w:ascii="Times New Roman" w:hAnsi="Times New Roman" w:cs="Times New Roman"/>
          <w:sz w:val="24"/>
          <w:szCs w:val="24"/>
        </w:rPr>
        <w:t>carbon stock</w:t>
      </w:r>
      <w:r w:rsidRPr="00344F33">
        <w:rPr>
          <w:rFonts w:ascii="Times New Roman" w:hAnsi="Times New Roman" w:cs="Times New Roman"/>
          <w:sz w:val="24"/>
          <w:szCs w:val="24"/>
        </w:rPr>
        <w:t xml:space="preserve"> </w:t>
      </w:r>
      <w:r w:rsidRPr="00D14ED3">
        <w:rPr>
          <w:rFonts w:ascii="Times New Roman" w:hAnsi="Times New Roman" w:cs="Times New Roman"/>
          <w:sz w:val="24"/>
          <w:szCs w:val="24"/>
        </w:rPr>
        <w:t xml:space="preserve">at the end of the calendar year, as modelled using </w:t>
      </w:r>
      <w:proofErr w:type="spellStart"/>
      <w:r w:rsidRPr="00D14ED3">
        <w:rPr>
          <w:rFonts w:ascii="Times New Roman" w:hAnsi="Times New Roman" w:cs="Times New Roman"/>
          <w:sz w:val="24"/>
          <w:szCs w:val="24"/>
        </w:rPr>
        <w:t>SavCAM</w:t>
      </w:r>
      <w:proofErr w:type="spellEnd"/>
      <w:r w:rsidRPr="00D14ED3">
        <w:rPr>
          <w:rFonts w:ascii="Times New Roman" w:hAnsi="Times New Roman" w:cs="Times New Roman"/>
          <w:sz w:val="24"/>
          <w:szCs w:val="24"/>
        </w:rPr>
        <w:t>; and</w:t>
      </w:r>
    </w:p>
    <w:p w14:paraId="2744AFF9" w14:textId="4D4A74D6" w:rsidR="00183300" w:rsidRPr="00D14ED3" w:rsidRDefault="00183300"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D14ED3">
        <w:rPr>
          <w:rFonts w:ascii="Times New Roman" w:hAnsi="Times New Roman" w:cs="Times New Roman"/>
          <w:sz w:val="24"/>
          <w:szCs w:val="24"/>
        </w:rPr>
        <w:t xml:space="preserve">mean baseline carbon stock, calculated in accordance with </w:t>
      </w:r>
      <w:r w:rsidR="004D74F5" w:rsidRPr="00191689">
        <w:rPr>
          <w:rFonts w:ascii="Times New Roman" w:hAnsi="Times New Roman" w:cs="Times New Roman"/>
          <w:sz w:val="24"/>
          <w:szCs w:val="24"/>
        </w:rPr>
        <w:t>equation</w:t>
      </w:r>
      <w:r w:rsidRPr="00D14ED3">
        <w:rPr>
          <w:rFonts w:ascii="Times New Roman" w:hAnsi="Times New Roman" w:cs="Times New Roman"/>
          <w:sz w:val="24"/>
          <w:szCs w:val="24"/>
        </w:rPr>
        <w:t xml:space="preserve"> 8 of </w:t>
      </w:r>
      <w:r w:rsidR="005D56BA" w:rsidRPr="0012336F">
        <w:rPr>
          <w:rFonts w:ascii="Times New Roman" w:hAnsi="Times New Roman" w:cs="Times New Roman"/>
          <w:sz w:val="24"/>
          <w:szCs w:val="24"/>
        </w:rPr>
        <w:t xml:space="preserve">the </w:t>
      </w:r>
      <w:r w:rsidR="004D74F5" w:rsidRPr="00C35336">
        <w:rPr>
          <w:rFonts w:ascii="Times New Roman" w:hAnsi="Times New Roman" w:cs="Times New Roman"/>
          <w:sz w:val="24"/>
          <w:szCs w:val="24"/>
        </w:rPr>
        <w:t>determination</w:t>
      </w:r>
      <w:r w:rsidRPr="00D14ED3">
        <w:rPr>
          <w:rFonts w:ascii="Times New Roman" w:hAnsi="Times New Roman" w:cs="Times New Roman"/>
          <w:sz w:val="24"/>
          <w:szCs w:val="24"/>
        </w:rPr>
        <w:t>.</w:t>
      </w:r>
    </w:p>
    <w:p w14:paraId="111F9F67" w14:textId="15AD5397" w:rsidR="00183300" w:rsidRPr="00D14ED3" w:rsidRDefault="00183300" w:rsidP="008103FF">
      <w:pPr>
        <w:spacing w:after="160" w:line="276" w:lineRule="auto"/>
        <w:rPr>
          <w:rFonts w:ascii="Times New Roman" w:hAnsi="Times New Roman" w:cs="Times New Roman"/>
          <w:sz w:val="24"/>
          <w:szCs w:val="24"/>
        </w:rPr>
      </w:pPr>
      <w:r w:rsidRPr="00D14ED3">
        <w:rPr>
          <w:rFonts w:ascii="Times New Roman" w:hAnsi="Times New Roman" w:cs="Times New Roman"/>
          <w:sz w:val="24"/>
          <w:szCs w:val="24"/>
        </w:rPr>
        <w:t>This result is then adjusted by the</w:t>
      </w:r>
      <w:r w:rsidRPr="00344F33">
        <w:rPr>
          <w:rFonts w:ascii="Times New Roman" w:hAnsi="Times New Roman" w:cs="Times New Roman"/>
          <w:sz w:val="24"/>
          <w:szCs w:val="24"/>
        </w:rPr>
        <w:t xml:space="preserve"> </w:t>
      </w:r>
      <w:r w:rsidRPr="00D14ED3">
        <w:rPr>
          <w:rFonts w:ascii="Times New Roman" w:hAnsi="Times New Roman" w:cs="Times New Roman"/>
          <w:sz w:val="24"/>
          <w:szCs w:val="24"/>
        </w:rPr>
        <w:t xml:space="preserve">sum of </w:t>
      </w:r>
      <w:proofErr w:type="spellStart"/>
      <w:r w:rsidRPr="00C35336">
        <w:rPr>
          <w:rFonts w:ascii="Times New Roman" w:hAnsi="Times New Roman" w:cs="Times New Roman"/>
          <w:i/>
          <w:sz w:val="24"/>
          <w:szCs w:val="24"/>
        </w:rPr>
        <w:t>A</w:t>
      </w:r>
      <w:r w:rsidRPr="00C35336">
        <w:rPr>
          <w:rFonts w:ascii="Times New Roman" w:hAnsi="Times New Roman" w:cs="Times New Roman"/>
          <w:i/>
          <w:sz w:val="24"/>
          <w:szCs w:val="24"/>
          <w:vertAlign w:val="subscript"/>
        </w:rPr>
        <w:t>seq</w:t>
      </w:r>
      <w:proofErr w:type="spellEnd"/>
      <w:r w:rsidRPr="00344F33">
        <w:rPr>
          <w:rFonts w:ascii="Times New Roman" w:hAnsi="Times New Roman" w:cs="Times New Roman"/>
          <w:sz w:val="24"/>
          <w:szCs w:val="24"/>
        </w:rPr>
        <w:t xml:space="preserve"> </w:t>
      </w:r>
      <w:r w:rsidRPr="00D14ED3">
        <w:rPr>
          <w:rFonts w:ascii="Times New Roman" w:hAnsi="Times New Roman" w:cs="Times New Roman"/>
          <w:sz w:val="24"/>
          <w:szCs w:val="24"/>
        </w:rPr>
        <w:t xml:space="preserve">values reported under </w:t>
      </w:r>
      <w:r w:rsidRPr="00344F33">
        <w:rPr>
          <w:rFonts w:ascii="Times New Roman" w:hAnsi="Times New Roman" w:cs="Times New Roman"/>
          <w:sz w:val="24"/>
          <w:szCs w:val="24"/>
        </w:rPr>
        <w:t xml:space="preserve">the </w:t>
      </w:r>
      <w:r w:rsidRPr="00344F33">
        <w:rPr>
          <w:rFonts w:ascii="Times New Roman" w:hAnsi="Times New Roman" w:cs="Times New Roman"/>
          <w:i/>
          <w:iCs/>
          <w:sz w:val="24"/>
          <w:szCs w:val="24"/>
        </w:rPr>
        <w:t>Carbon Credits (Carbon Farming Initiative—Savanna Fire Management—Sequestration and Emissions Abatement) Methodology Determination 2018</w:t>
      </w:r>
      <w:r w:rsidRPr="00C35336">
        <w:rPr>
          <w:rFonts w:ascii="Times New Roman" w:hAnsi="Times New Roman" w:cs="Times New Roman"/>
          <w:sz w:val="24"/>
          <w:szCs w:val="24"/>
        </w:rPr>
        <w:t>,</w:t>
      </w:r>
      <w:r w:rsidR="004F2EEB" w:rsidRPr="00344F33">
        <w:rPr>
          <w:rFonts w:ascii="Times New Roman" w:hAnsi="Times New Roman" w:cs="Times New Roman"/>
          <w:b/>
          <w:bCs/>
          <w:sz w:val="24"/>
          <w:szCs w:val="24"/>
        </w:rPr>
        <w:t xml:space="preserve"> </w:t>
      </w:r>
      <w:r w:rsidRPr="00D14ED3">
        <w:rPr>
          <w:rFonts w:ascii="Times New Roman" w:hAnsi="Times New Roman" w:cs="Times New Roman"/>
          <w:sz w:val="24"/>
          <w:szCs w:val="24"/>
        </w:rPr>
        <w:t xml:space="preserve">representing the cumulative sequestration credited to the project prior to </w:t>
      </w:r>
      <w:r w:rsidR="002B2EA0">
        <w:rPr>
          <w:rFonts w:ascii="Times New Roman" w:hAnsi="Times New Roman" w:cs="Times New Roman"/>
          <w:sz w:val="24"/>
          <w:szCs w:val="24"/>
        </w:rPr>
        <w:t>transferring</w:t>
      </w:r>
      <w:r w:rsidRPr="00D14ED3">
        <w:rPr>
          <w:rFonts w:ascii="Times New Roman" w:hAnsi="Times New Roman" w:cs="Times New Roman"/>
          <w:sz w:val="24"/>
          <w:szCs w:val="24"/>
        </w:rPr>
        <w:t>.</w:t>
      </w:r>
    </w:p>
    <w:p w14:paraId="7507D24F" w14:textId="448D2D09" w:rsidR="00344F33" w:rsidRPr="00111C39" w:rsidRDefault="00431D83"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Clause</w:t>
      </w:r>
      <w:r w:rsidR="00344F33" w:rsidRPr="00111C39">
        <w:rPr>
          <w:rFonts w:ascii="Times New Roman" w:hAnsi="Times New Roman" w:cs="Times New Roman"/>
          <w:sz w:val="24"/>
          <w:szCs w:val="24"/>
        </w:rPr>
        <w:t xml:space="preserve"> 11(2)</w:t>
      </w:r>
      <w:r w:rsidR="00344F33" w:rsidRPr="00344F33">
        <w:rPr>
          <w:rFonts w:ascii="Times New Roman" w:hAnsi="Times New Roman" w:cs="Times New Roman"/>
          <w:sz w:val="24"/>
          <w:szCs w:val="24"/>
        </w:rPr>
        <w:t xml:space="preserve"> provides </w:t>
      </w:r>
      <w:r w:rsidR="007F3AA9" w:rsidRPr="00344F33">
        <w:rPr>
          <w:rFonts w:ascii="Times New Roman" w:hAnsi="Times New Roman" w:cs="Times New Roman"/>
          <w:sz w:val="24"/>
          <w:szCs w:val="24"/>
        </w:rPr>
        <w:t>adjustments</w:t>
      </w:r>
      <w:r w:rsidR="00344F33" w:rsidRPr="00344F33">
        <w:rPr>
          <w:rFonts w:ascii="Times New Roman" w:hAnsi="Times New Roman" w:cs="Times New Roman"/>
          <w:sz w:val="24"/>
          <w:szCs w:val="24"/>
        </w:rPr>
        <w:t xml:space="preserve"> for </w:t>
      </w:r>
      <w:r w:rsidR="007F3AA9" w:rsidRPr="00344F33">
        <w:rPr>
          <w:rFonts w:ascii="Times New Roman" w:hAnsi="Times New Roman" w:cs="Times New Roman"/>
          <w:sz w:val="24"/>
          <w:szCs w:val="24"/>
        </w:rPr>
        <w:t>calculations</w:t>
      </w:r>
      <w:r w:rsidR="00344F33" w:rsidRPr="00344F33">
        <w:rPr>
          <w:rFonts w:ascii="Times New Roman" w:hAnsi="Times New Roman" w:cs="Times New Roman"/>
          <w:sz w:val="24"/>
          <w:szCs w:val="24"/>
        </w:rPr>
        <w:t xml:space="preserve"> for projects transferring </w:t>
      </w:r>
      <w:r w:rsidR="00344F33" w:rsidRPr="00111C39">
        <w:rPr>
          <w:rFonts w:ascii="Times New Roman" w:hAnsi="Times New Roman" w:cs="Times New Roman"/>
          <w:sz w:val="24"/>
          <w:szCs w:val="24"/>
        </w:rPr>
        <w:t xml:space="preserve">from </w:t>
      </w:r>
      <w:r w:rsidR="00344F33" w:rsidRPr="00344F33">
        <w:rPr>
          <w:rFonts w:ascii="Times New Roman" w:hAnsi="Times New Roman" w:cs="Times New Roman"/>
          <w:sz w:val="24"/>
          <w:szCs w:val="24"/>
        </w:rPr>
        <w:t>an emissions avoidance methodology determination to this methodology determination</w:t>
      </w:r>
      <w:r w:rsidR="00801BAD">
        <w:rPr>
          <w:rFonts w:ascii="Times New Roman" w:hAnsi="Times New Roman" w:cs="Times New Roman"/>
          <w:sz w:val="24"/>
          <w:szCs w:val="24"/>
        </w:rPr>
        <w:t xml:space="preserve">. </w:t>
      </w:r>
      <w:r w:rsidR="00344F33" w:rsidRPr="00111C39">
        <w:rPr>
          <w:rFonts w:ascii="Times New Roman" w:hAnsi="Times New Roman" w:cs="Times New Roman"/>
          <w:sz w:val="24"/>
          <w:szCs w:val="24"/>
        </w:rPr>
        <w:t xml:space="preserve">The </w:t>
      </w:r>
      <w:r w:rsidR="00344F33" w:rsidRPr="00344F33">
        <w:rPr>
          <w:rFonts w:ascii="Times New Roman" w:hAnsi="Times New Roman" w:cs="Times New Roman"/>
          <w:sz w:val="24"/>
          <w:szCs w:val="24"/>
        </w:rPr>
        <w:t xml:space="preserve">intent </w:t>
      </w:r>
      <w:r w:rsidR="00344F33" w:rsidRPr="00111C39">
        <w:rPr>
          <w:rFonts w:ascii="Times New Roman" w:hAnsi="Times New Roman" w:cs="Times New Roman"/>
          <w:sz w:val="24"/>
          <w:szCs w:val="24"/>
        </w:rPr>
        <w:t xml:space="preserve">is to ensure that projects transferring from an emissions avoidance methodology determination to </w:t>
      </w:r>
      <w:r w:rsidR="005D56BA" w:rsidRPr="00890C27">
        <w:rPr>
          <w:rFonts w:ascii="Times New Roman" w:hAnsi="Times New Roman" w:cs="Times New Roman"/>
          <w:sz w:val="24"/>
          <w:szCs w:val="24"/>
        </w:rPr>
        <w:t xml:space="preserve">the </w:t>
      </w:r>
      <w:r w:rsidR="004D74F5">
        <w:rPr>
          <w:rFonts w:ascii="Times New Roman" w:hAnsi="Times New Roman" w:cs="Times New Roman"/>
          <w:sz w:val="24"/>
          <w:szCs w:val="24"/>
        </w:rPr>
        <w:t>determination</w:t>
      </w:r>
      <w:r w:rsidR="00344F33" w:rsidRPr="00111C39">
        <w:rPr>
          <w:rFonts w:ascii="Times New Roman" w:hAnsi="Times New Roman" w:cs="Times New Roman"/>
          <w:sz w:val="24"/>
          <w:szCs w:val="24"/>
        </w:rPr>
        <w:t xml:space="preserve"> are credited for carbon sequestration that has occurred above the baseline scenario. </w:t>
      </w:r>
    </w:p>
    <w:p w14:paraId="481C1477" w14:textId="6F27DA5B" w:rsidR="00344F33" w:rsidRPr="00111C39" w:rsidRDefault="004D74F5" w:rsidP="008103FF">
      <w:pPr>
        <w:spacing w:after="160" w:line="276" w:lineRule="auto"/>
        <w:rPr>
          <w:rFonts w:ascii="Times New Roman" w:hAnsi="Times New Roman" w:cs="Times New Roman"/>
          <w:sz w:val="24"/>
          <w:szCs w:val="24"/>
        </w:rPr>
      </w:pPr>
      <w:r>
        <w:rPr>
          <w:rFonts w:ascii="Times New Roman" w:hAnsi="Times New Roman" w:cs="Times New Roman"/>
          <w:sz w:val="24"/>
          <w:szCs w:val="24"/>
        </w:rPr>
        <w:t>equation</w:t>
      </w:r>
      <w:r w:rsidR="00344F33" w:rsidRPr="00111C39">
        <w:rPr>
          <w:rFonts w:ascii="Times New Roman" w:hAnsi="Times New Roman" w:cs="Times New Roman"/>
          <w:sz w:val="24"/>
          <w:szCs w:val="24"/>
        </w:rPr>
        <w:t xml:space="preserve"> 14 sets out the method for calculating the contribution to the net abatement amount from sequestration for the first reporting year under </w:t>
      </w:r>
      <w:r w:rsidR="005D56BA" w:rsidRPr="00890C27">
        <w:rPr>
          <w:rFonts w:ascii="Times New Roman" w:hAnsi="Times New Roman" w:cs="Times New Roman"/>
          <w:sz w:val="24"/>
          <w:szCs w:val="24"/>
        </w:rPr>
        <w:t xml:space="preserve">the </w:t>
      </w:r>
      <w:r>
        <w:rPr>
          <w:rFonts w:ascii="Times New Roman" w:hAnsi="Times New Roman" w:cs="Times New Roman"/>
          <w:sz w:val="24"/>
          <w:szCs w:val="24"/>
        </w:rPr>
        <w:t>determination</w:t>
      </w:r>
      <w:r w:rsidR="00344F33" w:rsidRPr="00111C39">
        <w:rPr>
          <w:rFonts w:ascii="Times New Roman" w:hAnsi="Times New Roman" w:cs="Times New Roman"/>
          <w:sz w:val="24"/>
          <w:szCs w:val="24"/>
        </w:rPr>
        <w:t xml:space="preserve"> for projects that were previously credited only for emissions avoidance.</w:t>
      </w:r>
    </w:p>
    <w:p w14:paraId="7849E521" w14:textId="140E337C" w:rsidR="00344F33" w:rsidRPr="00111C39" w:rsidRDefault="00344F33" w:rsidP="008103FF">
      <w:pPr>
        <w:spacing w:after="160" w:line="276" w:lineRule="auto"/>
        <w:rPr>
          <w:rFonts w:ascii="Times New Roman" w:hAnsi="Times New Roman" w:cs="Times New Roman"/>
          <w:sz w:val="24"/>
          <w:szCs w:val="24"/>
        </w:rPr>
      </w:pPr>
      <w:r w:rsidRPr="00111C39">
        <w:rPr>
          <w:rFonts w:ascii="Times New Roman" w:hAnsi="Times New Roman" w:cs="Times New Roman"/>
          <w:sz w:val="24"/>
          <w:szCs w:val="24"/>
        </w:rPr>
        <w:t>The contribution to the net abatement amount is calculated as the difference between</w:t>
      </w:r>
      <w:r w:rsidR="00801BAD">
        <w:rPr>
          <w:rFonts w:ascii="Times New Roman" w:hAnsi="Times New Roman" w:cs="Times New Roman"/>
          <w:sz w:val="24"/>
          <w:szCs w:val="24"/>
        </w:rPr>
        <w:t xml:space="preserve"> the</w:t>
      </w:r>
      <w:r w:rsidRPr="00111C39">
        <w:rPr>
          <w:rFonts w:ascii="Times New Roman" w:hAnsi="Times New Roman" w:cs="Times New Roman"/>
          <w:sz w:val="24"/>
          <w:szCs w:val="24"/>
        </w:rPr>
        <w:t>:</w:t>
      </w:r>
    </w:p>
    <w:p w14:paraId="45E82344" w14:textId="34E28EAC" w:rsidR="00344F33" w:rsidRPr="00111C39" w:rsidRDefault="00344F33" w:rsidP="008103FF">
      <w:pPr>
        <w:pStyle w:val="ListParagraph"/>
        <w:numPr>
          <w:ilvl w:val="0"/>
          <w:numId w:val="55"/>
        </w:numPr>
        <w:spacing w:after="160" w:line="276" w:lineRule="auto"/>
        <w:ind w:left="714" w:hanging="357"/>
        <w:contextualSpacing w:val="0"/>
        <w:rPr>
          <w:rFonts w:ascii="Times New Roman" w:hAnsi="Times New Roman" w:cs="Times New Roman"/>
          <w:sz w:val="24"/>
          <w:szCs w:val="24"/>
        </w:rPr>
      </w:pPr>
      <w:r w:rsidRPr="00C35336">
        <w:rPr>
          <w:rFonts w:ascii="Times New Roman" w:hAnsi="Times New Roman" w:cs="Times New Roman"/>
          <w:color w:val="000000" w:themeColor="text1"/>
          <w:sz w:val="24"/>
          <w:szCs w:val="24"/>
        </w:rPr>
        <w:t xml:space="preserve">net carbon </w:t>
      </w:r>
      <w:r w:rsidRPr="00111C39">
        <w:rPr>
          <w:rFonts w:ascii="Times New Roman" w:hAnsi="Times New Roman" w:cs="Times New Roman"/>
          <w:sz w:val="24"/>
          <w:szCs w:val="24"/>
        </w:rPr>
        <w:t>stock</w:t>
      </w:r>
      <w:r w:rsidRPr="00344F33">
        <w:rPr>
          <w:rFonts w:ascii="Times New Roman" w:hAnsi="Times New Roman" w:cs="Times New Roman"/>
          <w:sz w:val="24"/>
          <w:szCs w:val="24"/>
        </w:rPr>
        <w:t xml:space="preserve"> </w:t>
      </w:r>
      <w:r w:rsidRPr="00111C39">
        <w:rPr>
          <w:rFonts w:ascii="Times New Roman" w:hAnsi="Times New Roman" w:cs="Times New Roman"/>
          <w:sz w:val="24"/>
          <w:szCs w:val="24"/>
        </w:rPr>
        <w:t xml:space="preserve">at the end of the calendar year, as modelled using </w:t>
      </w:r>
      <w:proofErr w:type="spellStart"/>
      <w:r w:rsidRPr="00111C39">
        <w:rPr>
          <w:rFonts w:ascii="Times New Roman" w:hAnsi="Times New Roman" w:cs="Times New Roman"/>
          <w:sz w:val="24"/>
          <w:szCs w:val="24"/>
        </w:rPr>
        <w:t>SavCAM</w:t>
      </w:r>
      <w:proofErr w:type="spellEnd"/>
      <w:r w:rsidRPr="00111C39">
        <w:rPr>
          <w:rFonts w:ascii="Times New Roman" w:hAnsi="Times New Roman" w:cs="Times New Roman"/>
          <w:sz w:val="24"/>
          <w:szCs w:val="24"/>
        </w:rPr>
        <w:t>; and</w:t>
      </w:r>
    </w:p>
    <w:p w14:paraId="1D67B206" w14:textId="6DA8AFFF" w:rsidR="00911394" w:rsidRPr="00191689" w:rsidRDefault="00344F33" w:rsidP="008103FF">
      <w:pPr>
        <w:pStyle w:val="ListParagraph"/>
        <w:numPr>
          <w:ilvl w:val="0"/>
          <w:numId w:val="55"/>
        </w:numPr>
        <w:spacing w:after="160" w:line="276" w:lineRule="auto"/>
        <w:ind w:left="714" w:hanging="357"/>
        <w:contextualSpacing w:val="0"/>
        <w:rPr>
          <w:rFonts w:ascii="Times New Roman" w:hAnsi="Times New Roman" w:cs="Times New Roman"/>
          <w:b/>
          <w:sz w:val="24"/>
          <w:szCs w:val="24"/>
        </w:rPr>
      </w:pPr>
      <w:r w:rsidRPr="00111C39">
        <w:rPr>
          <w:rFonts w:ascii="Times New Roman" w:hAnsi="Times New Roman" w:cs="Times New Roman"/>
          <w:sz w:val="24"/>
          <w:szCs w:val="24"/>
        </w:rPr>
        <w:lastRenderedPageBreak/>
        <w:t xml:space="preserve">mean baseline carbon stock, calculated in accordance with </w:t>
      </w:r>
      <w:r w:rsidR="004D74F5" w:rsidRPr="00191689">
        <w:rPr>
          <w:rFonts w:ascii="Times New Roman" w:hAnsi="Times New Roman" w:cs="Times New Roman"/>
          <w:sz w:val="24"/>
          <w:szCs w:val="24"/>
        </w:rPr>
        <w:t>equation</w:t>
      </w:r>
      <w:r w:rsidRPr="00111C39">
        <w:rPr>
          <w:rFonts w:ascii="Times New Roman" w:hAnsi="Times New Roman" w:cs="Times New Roman"/>
          <w:sz w:val="24"/>
          <w:szCs w:val="24"/>
        </w:rPr>
        <w:t xml:space="preserve"> 8 of </w:t>
      </w:r>
      <w:r w:rsidR="005D56BA" w:rsidRPr="0012336F">
        <w:rPr>
          <w:rFonts w:ascii="Times New Roman" w:hAnsi="Times New Roman" w:cs="Times New Roman"/>
          <w:sz w:val="24"/>
          <w:szCs w:val="24"/>
        </w:rPr>
        <w:t xml:space="preserve">the </w:t>
      </w:r>
      <w:r w:rsidR="004D74F5" w:rsidRPr="00C35336">
        <w:rPr>
          <w:rFonts w:ascii="Times New Roman" w:hAnsi="Times New Roman" w:cs="Times New Roman"/>
          <w:sz w:val="24"/>
          <w:szCs w:val="24"/>
        </w:rPr>
        <w:t>determinatio</w:t>
      </w:r>
      <w:r w:rsidR="004D74F5">
        <w:rPr>
          <w:rFonts w:ascii="Times New Roman" w:hAnsi="Times New Roman" w:cs="Times New Roman"/>
          <w:color w:val="000000" w:themeColor="text1"/>
          <w:sz w:val="24"/>
          <w:szCs w:val="24"/>
        </w:rPr>
        <w:t>n</w:t>
      </w:r>
      <w:r w:rsidRPr="00111C39">
        <w:rPr>
          <w:rFonts w:ascii="Times New Roman" w:hAnsi="Times New Roman" w:cs="Times New Roman"/>
          <w:sz w:val="24"/>
          <w:szCs w:val="24"/>
        </w:rPr>
        <w:t>.</w:t>
      </w:r>
      <w:r w:rsidR="00911394" w:rsidRPr="00191689">
        <w:rPr>
          <w:rFonts w:ascii="Times New Roman" w:hAnsi="Times New Roman" w:cs="Times New Roman"/>
          <w:b/>
          <w:sz w:val="24"/>
          <w:szCs w:val="24"/>
        </w:rPr>
        <w:br w:type="page"/>
      </w:r>
    </w:p>
    <w:p w14:paraId="025C84AB" w14:textId="744886C9" w:rsidR="0076059B" w:rsidRPr="00C35336" w:rsidRDefault="00FC50E8" w:rsidP="008103FF">
      <w:pPr>
        <w:spacing w:after="160" w:line="276" w:lineRule="auto"/>
        <w:rPr>
          <w:rFonts w:ascii="Times New Roman" w:hAnsi="Times New Roman" w:cs="Times New Roman"/>
          <w:b/>
          <w:sz w:val="24"/>
          <w:szCs w:val="24"/>
        </w:rPr>
      </w:pPr>
      <w:r w:rsidRPr="00890C27">
        <w:rPr>
          <w:rFonts w:ascii="Times New Roman" w:hAnsi="Times New Roman" w:cs="Times New Roman"/>
          <w:b/>
          <w:bCs/>
          <w:sz w:val="24"/>
          <w:szCs w:val="24"/>
        </w:rPr>
        <w:lastRenderedPageBreak/>
        <w:t>Schedule 3—Revocations</w:t>
      </w:r>
    </w:p>
    <w:p w14:paraId="1CE7B6DF" w14:textId="42CCD7B5" w:rsidR="00380283" w:rsidRPr="00C35336" w:rsidRDefault="00380283" w:rsidP="008103FF">
      <w:pPr>
        <w:spacing w:after="160" w:line="276" w:lineRule="auto"/>
        <w:rPr>
          <w:rFonts w:ascii="Times New Roman" w:hAnsi="Times New Roman" w:cs="Times New Roman"/>
          <w:sz w:val="24"/>
          <w:szCs w:val="24"/>
          <w:u w:val="single"/>
        </w:rPr>
      </w:pPr>
      <w:r w:rsidRPr="33750E9F">
        <w:rPr>
          <w:rFonts w:ascii="Times New Roman" w:hAnsi="Times New Roman" w:cs="Times New Roman"/>
          <w:sz w:val="24"/>
          <w:szCs w:val="24"/>
          <w:u w:val="single"/>
        </w:rPr>
        <w:t>Item 1</w:t>
      </w:r>
    </w:p>
    <w:p w14:paraId="7E71A987" w14:textId="1A40ACBC" w:rsidR="002573BE" w:rsidRPr="005D1ABF" w:rsidRDefault="00380283"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This item revokes the </w:t>
      </w:r>
      <w:r w:rsidR="0076059B" w:rsidRPr="33750E9F">
        <w:rPr>
          <w:rFonts w:ascii="Times New Roman" w:hAnsi="Times New Roman" w:cs="Times New Roman"/>
          <w:i/>
          <w:iCs/>
          <w:sz w:val="24"/>
          <w:szCs w:val="24"/>
        </w:rPr>
        <w:t>Carbon Credits (Carbon Farming Initiative—Savanna Fire Management—Emissions Avoidance) Methodology Determination 2018</w:t>
      </w:r>
      <w:r w:rsidR="00760923" w:rsidRPr="33750E9F">
        <w:rPr>
          <w:rFonts w:ascii="Times New Roman" w:hAnsi="Times New Roman" w:cs="Times New Roman"/>
          <w:i/>
          <w:iCs/>
          <w:sz w:val="24"/>
          <w:szCs w:val="24"/>
        </w:rPr>
        <w:t>.</w:t>
      </w:r>
      <w:r w:rsidR="002573BE" w:rsidRPr="63156A87">
        <w:rPr>
          <w:rFonts w:ascii="Times New Roman" w:hAnsi="Times New Roman" w:cs="Times New Roman"/>
          <w:sz w:val="24"/>
          <w:szCs w:val="24"/>
        </w:rPr>
        <w:br w:type="page"/>
      </w:r>
    </w:p>
    <w:p w14:paraId="2BE7CE54" w14:textId="05D15227" w:rsidR="002573BE" w:rsidRPr="00C35336" w:rsidRDefault="2490220F" w:rsidP="008103FF">
      <w:pPr>
        <w:pStyle w:val="Normal-em"/>
        <w:spacing w:after="160" w:line="276" w:lineRule="auto"/>
        <w:jc w:val="right"/>
      </w:pPr>
      <w:r w:rsidRPr="63156A87">
        <w:rPr>
          <w:b/>
          <w:bCs/>
          <w:color w:val="auto"/>
          <w:u w:val="single"/>
        </w:rPr>
        <w:lastRenderedPageBreak/>
        <w:t>ATTACHMENT B</w:t>
      </w:r>
    </w:p>
    <w:p w14:paraId="06B31262" w14:textId="7E7AB65C" w:rsidR="002573BE" w:rsidRPr="005D1ABF" w:rsidRDefault="002573BE" w:rsidP="008103FF">
      <w:pPr>
        <w:spacing w:after="160" w:line="276"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986AAB6" w14:textId="602724C5" w:rsidR="002573BE" w:rsidRPr="005D1ABF" w:rsidRDefault="002573BE" w:rsidP="008103FF">
      <w:pPr>
        <w:spacing w:after="160" w:line="276" w:lineRule="auto"/>
        <w:jc w:val="center"/>
        <w:rPr>
          <w:rFonts w:ascii="Times New Roman" w:hAnsi="Times New Roman" w:cs="Times New Roman"/>
          <w:sz w:val="24"/>
          <w:szCs w:val="24"/>
        </w:rPr>
      </w:pPr>
      <w:r w:rsidRPr="33750E9F">
        <w:rPr>
          <w:rFonts w:ascii="Times New Roman" w:hAnsi="Times New Roman" w:cs="Times New Roman"/>
          <w:i/>
          <w:iCs/>
          <w:sz w:val="24"/>
          <w:szCs w:val="24"/>
        </w:rPr>
        <w:t>Prepared in accordance with Part 3 of the Human Rights (Parliamentary Scrutiny) Act 2011</w:t>
      </w:r>
    </w:p>
    <w:p w14:paraId="0D3F9BC7" w14:textId="3B4AE80D" w:rsidR="002573BE" w:rsidRPr="005D1ABF" w:rsidRDefault="002C5741" w:rsidP="008103FF">
      <w:pPr>
        <w:spacing w:after="160" w:line="276" w:lineRule="auto"/>
        <w:jc w:val="center"/>
        <w:rPr>
          <w:rFonts w:ascii="Times New Roman" w:hAnsi="Times New Roman" w:cs="Times New Roman"/>
          <w:b/>
          <w:bCs/>
          <w:color w:val="FF0000"/>
          <w:sz w:val="24"/>
          <w:szCs w:val="24"/>
        </w:rPr>
      </w:pPr>
      <w:r w:rsidRPr="00890C27">
        <w:rPr>
          <w:rFonts w:ascii="Times New Roman" w:hAnsi="Times New Roman" w:cs="Times New Roman"/>
          <w:i/>
          <w:color w:val="000000" w:themeColor="text1"/>
          <w:sz w:val="24"/>
          <w:szCs w:val="24"/>
        </w:rPr>
        <w:t>Carbon Credits (Carbon Farming Initiative—Savanna Fire Management—Sequestration and Emissions Avoidance) Methodology Determination 2025</w:t>
      </w:r>
    </w:p>
    <w:p w14:paraId="4BCE4ED3" w14:textId="543EE6AF" w:rsidR="002573BE" w:rsidRPr="005D1ABF" w:rsidRDefault="002573BE" w:rsidP="008103FF">
      <w:pPr>
        <w:spacing w:after="160" w:line="276"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18CB5EEB" w14:textId="4670C7A6" w:rsidR="002573BE" w:rsidRDefault="002573BE" w:rsidP="008103FF">
      <w:pPr>
        <w:spacing w:after="160" w:line="276" w:lineRule="auto"/>
        <w:jc w:val="both"/>
        <w:rPr>
          <w:rFonts w:ascii="Times New Roman" w:hAnsi="Times New Roman" w:cs="Times New Roman"/>
          <w:color w:val="FF0000"/>
          <w:sz w:val="24"/>
          <w:szCs w:val="24"/>
        </w:rPr>
      </w:pPr>
      <w:r w:rsidRPr="005D1ABF">
        <w:rPr>
          <w:rFonts w:ascii="Times New Roman" w:hAnsi="Times New Roman" w:cs="Times New Roman"/>
          <w:b/>
          <w:sz w:val="24"/>
          <w:szCs w:val="24"/>
        </w:rPr>
        <w:t>Overview of the Legislative Instrument</w:t>
      </w:r>
    </w:p>
    <w:p w14:paraId="41D7B6D1" w14:textId="77777777" w:rsidR="00A46F8E" w:rsidRDefault="00A46F8E" w:rsidP="008103FF">
      <w:pPr>
        <w:spacing w:after="160" w:line="276" w:lineRule="auto"/>
        <w:rPr>
          <w:rFonts w:ascii="Times New Roman" w:hAnsi="Times New Roman" w:cs="Times New Roman"/>
          <w:sz w:val="24"/>
          <w:szCs w:val="24"/>
        </w:rPr>
      </w:pPr>
      <w:r w:rsidRPr="00A46F8E">
        <w:rPr>
          <w:rFonts w:ascii="Times New Roman" w:hAnsi="Times New Roman" w:cs="Times New Roman"/>
          <w:sz w:val="24"/>
          <w:szCs w:val="24"/>
        </w:rPr>
        <w:t xml:space="preserve">Subsection 106(1) of the Carbon Credits (Carbon Farming Initiative) Act 2011 (the Act) empowers the Minister to make, by legislative instrument, a methodology determination. </w:t>
      </w:r>
    </w:p>
    <w:p w14:paraId="6C018683" w14:textId="72C9233A" w:rsidR="00657DA6" w:rsidRDefault="002C5741" w:rsidP="008103FF">
      <w:pPr>
        <w:spacing w:after="160" w:line="276" w:lineRule="auto"/>
        <w:rPr>
          <w:rFonts w:ascii="Times New Roman" w:hAnsi="Times New Roman" w:cs="Times New Roman"/>
          <w:sz w:val="24"/>
          <w:szCs w:val="24"/>
        </w:rPr>
      </w:pPr>
      <w:r w:rsidRPr="00890C27">
        <w:rPr>
          <w:rFonts w:ascii="Times New Roman" w:hAnsi="Times New Roman" w:cs="Times New Roman"/>
          <w:sz w:val="24"/>
          <w:szCs w:val="24"/>
        </w:rPr>
        <w:t xml:space="preserve">The </w:t>
      </w:r>
      <w:r w:rsidRPr="00890C27">
        <w:rPr>
          <w:rFonts w:ascii="Times New Roman" w:hAnsi="Times New Roman" w:cs="Times New Roman"/>
          <w:i/>
          <w:sz w:val="24"/>
          <w:szCs w:val="24"/>
        </w:rPr>
        <w:t>Carbon Credits (Carbon Farming Initiative—Savanna Fire Management—Sequestration and Emissions Avoidance) Methodology Determination 2025</w:t>
      </w:r>
      <w:r w:rsidRPr="00890C27">
        <w:rPr>
          <w:rFonts w:ascii="Times New Roman" w:hAnsi="Times New Roman" w:cs="Times New Roman"/>
          <w:sz w:val="24"/>
          <w:szCs w:val="24"/>
        </w:rPr>
        <w:t xml:space="preserve"> (</w:t>
      </w:r>
      <w:r w:rsidR="004D74F5">
        <w:rPr>
          <w:rFonts w:ascii="Times New Roman" w:hAnsi="Times New Roman" w:cs="Times New Roman"/>
          <w:sz w:val="24"/>
          <w:szCs w:val="24"/>
        </w:rPr>
        <w:t>the d</w:t>
      </w:r>
      <w:r w:rsidR="00397E81" w:rsidRPr="00890C27">
        <w:rPr>
          <w:rFonts w:ascii="Times New Roman" w:hAnsi="Times New Roman" w:cs="Times New Roman"/>
          <w:sz w:val="24"/>
          <w:szCs w:val="24"/>
        </w:rPr>
        <w:t>etermination</w:t>
      </w:r>
      <w:r w:rsidRPr="00890C27">
        <w:rPr>
          <w:rFonts w:ascii="Times New Roman" w:hAnsi="Times New Roman" w:cs="Times New Roman"/>
          <w:sz w:val="24"/>
          <w:szCs w:val="24"/>
        </w:rPr>
        <w:t xml:space="preserve">) </w:t>
      </w:r>
      <w:r w:rsidR="00E1179C" w:rsidRPr="33750E9F">
        <w:rPr>
          <w:rFonts w:ascii="Times New Roman" w:hAnsi="Times New Roman" w:cs="Times New Roman"/>
          <w:sz w:val="24"/>
          <w:szCs w:val="24"/>
        </w:rPr>
        <w:t>sets out the method</w:t>
      </w:r>
      <w:r w:rsidR="00A73951" w:rsidRPr="33750E9F">
        <w:rPr>
          <w:rFonts w:ascii="Times New Roman" w:hAnsi="Times New Roman" w:cs="Times New Roman"/>
          <w:sz w:val="24"/>
          <w:szCs w:val="24"/>
        </w:rPr>
        <w:t xml:space="preserve"> for estimating abatement from eligible savanna sequestration</w:t>
      </w:r>
      <w:r w:rsidR="00E47EF4" w:rsidRPr="33750E9F">
        <w:rPr>
          <w:rFonts w:ascii="Times New Roman" w:hAnsi="Times New Roman" w:cs="Times New Roman"/>
          <w:sz w:val="24"/>
          <w:szCs w:val="24"/>
        </w:rPr>
        <w:t xml:space="preserve"> and emissions avoidance</w:t>
      </w:r>
      <w:r w:rsidRPr="33750E9F">
        <w:rPr>
          <w:rFonts w:ascii="Times New Roman" w:hAnsi="Times New Roman" w:cs="Times New Roman"/>
          <w:sz w:val="24"/>
          <w:szCs w:val="24"/>
        </w:rPr>
        <w:t xml:space="preserve"> projects</w:t>
      </w:r>
      <w:r w:rsidR="00E47EF4" w:rsidRPr="33750E9F">
        <w:rPr>
          <w:rFonts w:ascii="Times New Roman" w:hAnsi="Times New Roman" w:cs="Times New Roman"/>
          <w:sz w:val="24"/>
          <w:szCs w:val="24"/>
        </w:rPr>
        <w:t xml:space="preserve">. The project activity will result in an increase in the amount of carbon sequestered in dead organic matter </w:t>
      </w:r>
      <w:r w:rsidR="00903C56">
        <w:rPr>
          <w:rFonts w:ascii="Times New Roman" w:hAnsi="Times New Roman" w:cs="Times New Roman"/>
          <w:sz w:val="24"/>
          <w:szCs w:val="24"/>
        </w:rPr>
        <w:t xml:space="preserve">and living biomass </w:t>
      </w:r>
      <w:r w:rsidR="00E47EF4" w:rsidRPr="33750E9F">
        <w:rPr>
          <w:rFonts w:ascii="Times New Roman" w:hAnsi="Times New Roman" w:cs="Times New Roman"/>
          <w:sz w:val="24"/>
          <w:szCs w:val="24"/>
        </w:rPr>
        <w:t>and a net reduction of greenhouse gas emissions from savanna fires</w:t>
      </w:r>
      <w:r w:rsidRPr="33750E9F">
        <w:rPr>
          <w:rFonts w:ascii="Times New Roman" w:hAnsi="Times New Roman" w:cs="Times New Roman"/>
          <w:sz w:val="24"/>
          <w:szCs w:val="24"/>
        </w:rPr>
        <w:t>.</w:t>
      </w:r>
    </w:p>
    <w:p w14:paraId="54D03D10" w14:textId="41488C04" w:rsidR="00601AEF" w:rsidRDefault="00657DA6" w:rsidP="008103FF">
      <w:pPr>
        <w:spacing w:after="160" w:line="276" w:lineRule="auto"/>
        <w:rPr>
          <w:rFonts w:ascii="Times New Roman" w:hAnsi="Times New Roman" w:cs="Times New Roman"/>
          <w:sz w:val="24"/>
          <w:szCs w:val="24"/>
        </w:rPr>
      </w:pPr>
      <w:r w:rsidRPr="165183F2">
        <w:rPr>
          <w:rFonts w:ascii="Times New Roman" w:hAnsi="Times New Roman" w:cs="Times New Roman"/>
          <w:sz w:val="24"/>
          <w:szCs w:val="24"/>
        </w:rPr>
        <w:t xml:space="preserve">Project proponents wishing to implement </w:t>
      </w:r>
      <w:r w:rsidR="005D56BA" w:rsidRPr="165183F2">
        <w:rPr>
          <w:rFonts w:ascii="Times New Roman" w:hAnsi="Times New Roman" w:cs="Times New Roman"/>
          <w:sz w:val="24"/>
          <w:szCs w:val="24"/>
        </w:rPr>
        <w:t xml:space="preserve">the </w:t>
      </w:r>
      <w:r w:rsidR="004D74F5" w:rsidRPr="165183F2">
        <w:rPr>
          <w:rFonts w:ascii="Times New Roman" w:hAnsi="Times New Roman" w:cs="Times New Roman"/>
          <w:sz w:val="24"/>
          <w:szCs w:val="24"/>
        </w:rPr>
        <w:t>determination</w:t>
      </w:r>
      <w:r w:rsidRPr="165183F2">
        <w:rPr>
          <w:rFonts w:ascii="Times New Roman" w:hAnsi="Times New Roman" w:cs="Times New Roman"/>
          <w:sz w:val="24"/>
          <w:szCs w:val="24"/>
        </w:rPr>
        <w:t xml:space="preserve"> must make an application </w:t>
      </w:r>
      <w:r w:rsidR="00E22A04" w:rsidRPr="165183F2">
        <w:rPr>
          <w:rFonts w:ascii="Times New Roman" w:hAnsi="Times New Roman" w:cs="Times New Roman"/>
          <w:sz w:val="24"/>
          <w:szCs w:val="24"/>
        </w:rPr>
        <w:t xml:space="preserve">to the Clean Energy </w:t>
      </w:r>
      <w:r w:rsidR="00B03516" w:rsidRPr="165183F2">
        <w:rPr>
          <w:rFonts w:ascii="Times New Roman" w:hAnsi="Times New Roman" w:cs="Times New Roman"/>
          <w:sz w:val="24"/>
          <w:szCs w:val="24"/>
        </w:rPr>
        <w:t xml:space="preserve">Regulator and meet the eligibility requirements set out under the </w:t>
      </w:r>
      <w:r w:rsidR="004D74F5" w:rsidRPr="165183F2">
        <w:rPr>
          <w:rFonts w:ascii="Times New Roman" w:hAnsi="Times New Roman" w:cs="Times New Roman"/>
          <w:sz w:val="24"/>
          <w:szCs w:val="24"/>
        </w:rPr>
        <w:t>determination</w:t>
      </w:r>
      <w:r w:rsidR="00601AEF" w:rsidRPr="165183F2">
        <w:rPr>
          <w:rFonts w:ascii="Times New Roman" w:hAnsi="Times New Roman" w:cs="Times New Roman"/>
          <w:sz w:val="24"/>
          <w:szCs w:val="24"/>
        </w:rPr>
        <w:t>. Offsets projects approved by the Clean Energy Regulator can generate Australian carbon credit units, representing emissions reductions from the project</w:t>
      </w:r>
      <w:r w:rsidR="0068044A" w:rsidRPr="165183F2">
        <w:rPr>
          <w:rFonts w:ascii="Times New Roman" w:hAnsi="Times New Roman" w:cs="Times New Roman"/>
          <w:sz w:val="24"/>
          <w:szCs w:val="24"/>
        </w:rPr>
        <w:t>.</w:t>
      </w:r>
    </w:p>
    <w:p w14:paraId="2BDE452F" w14:textId="4222CC86" w:rsidR="002573BE" w:rsidRPr="005D1ABF" w:rsidRDefault="002573BE" w:rsidP="008103FF">
      <w:pPr>
        <w:spacing w:after="160" w:line="276"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4049EF3A" w14:textId="4104003B" w:rsidR="002573BE" w:rsidRPr="00D67088" w:rsidRDefault="002573BE" w:rsidP="008103FF">
      <w:pPr>
        <w:spacing w:after="160" w:line="276" w:lineRule="auto"/>
        <w:rPr>
          <w:rFonts w:ascii="Times New Roman" w:hAnsi="Times New Roman" w:cs="Times New Roman"/>
          <w:sz w:val="24"/>
          <w:szCs w:val="24"/>
        </w:rPr>
      </w:pPr>
      <w:r w:rsidRPr="33750E9F">
        <w:rPr>
          <w:rFonts w:ascii="Times New Roman" w:hAnsi="Times New Roman" w:cs="Times New Roman"/>
          <w:sz w:val="24"/>
          <w:szCs w:val="24"/>
        </w:rPr>
        <w:t xml:space="preserve">This Legislative Instrument does not engage any </w:t>
      </w:r>
      <w:r w:rsidR="00102A6B">
        <w:rPr>
          <w:rFonts w:ascii="Times New Roman" w:hAnsi="Times New Roman" w:cs="Times New Roman"/>
          <w:sz w:val="24"/>
          <w:szCs w:val="24"/>
        </w:rPr>
        <w:t>of the</w:t>
      </w:r>
      <w:r w:rsidRPr="33750E9F">
        <w:rPr>
          <w:rFonts w:ascii="Times New Roman" w:hAnsi="Times New Roman" w:cs="Times New Roman"/>
          <w:sz w:val="24"/>
          <w:szCs w:val="24"/>
        </w:rPr>
        <w:t xml:space="preserve"> applicable rights or freedoms.</w:t>
      </w:r>
    </w:p>
    <w:p w14:paraId="25736889" w14:textId="210EFD2D" w:rsidR="002573BE" w:rsidRPr="005D1ABF" w:rsidRDefault="002573BE" w:rsidP="008103FF">
      <w:pPr>
        <w:spacing w:after="160" w:line="276" w:lineRule="auto"/>
        <w:rPr>
          <w:rFonts w:ascii="Times New Roman" w:hAnsi="Times New Roman" w:cs="Times New Roman"/>
          <w:b/>
          <w:sz w:val="24"/>
          <w:szCs w:val="24"/>
        </w:rPr>
      </w:pPr>
      <w:r w:rsidRPr="33750E9F">
        <w:rPr>
          <w:rFonts w:ascii="Times New Roman" w:hAnsi="Times New Roman" w:cs="Times New Roman"/>
          <w:b/>
          <w:bCs/>
          <w:sz w:val="24"/>
          <w:szCs w:val="24"/>
        </w:rPr>
        <w:t>Conclusion</w:t>
      </w:r>
    </w:p>
    <w:p w14:paraId="0C5B0B77" w14:textId="613547E1" w:rsidR="002573BE" w:rsidRDefault="002573BE" w:rsidP="008103FF">
      <w:pPr>
        <w:spacing w:after="160" w:line="276" w:lineRule="auto"/>
        <w:rPr>
          <w:rFonts w:ascii="Times New Roman" w:hAnsi="Times New Roman" w:cs="Times New Roman"/>
          <w:b/>
          <w:bCs/>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1BD39186" w14:textId="110AFBBF" w:rsidR="002573BE" w:rsidRDefault="31FA7C5F" w:rsidP="008103FF">
      <w:pPr>
        <w:spacing w:after="160" w:line="276" w:lineRule="auto"/>
        <w:jc w:val="center"/>
        <w:rPr>
          <w:rFonts w:ascii="Times New Roman" w:hAnsi="Times New Roman" w:cs="Times New Roman"/>
          <w:b/>
          <w:bCs/>
          <w:sz w:val="24"/>
          <w:szCs w:val="24"/>
        </w:rPr>
      </w:pPr>
      <w:r w:rsidRPr="63156A87">
        <w:rPr>
          <w:rFonts w:ascii="Times New Roman" w:hAnsi="Times New Roman" w:cs="Times New Roman"/>
          <w:b/>
          <w:bCs/>
          <w:sz w:val="24"/>
          <w:szCs w:val="24"/>
        </w:rPr>
        <w:t xml:space="preserve">The Hon. </w:t>
      </w:r>
      <w:r w:rsidR="0AF18392" w:rsidRPr="63156A87">
        <w:rPr>
          <w:rFonts w:ascii="Times New Roman" w:hAnsi="Times New Roman" w:cs="Times New Roman"/>
          <w:b/>
          <w:bCs/>
          <w:sz w:val="24"/>
          <w:szCs w:val="24"/>
        </w:rPr>
        <w:t>Josh Wilson</w:t>
      </w:r>
      <w:r w:rsidRPr="63156A87">
        <w:rPr>
          <w:rFonts w:ascii="Times New Roman" w:hAnsi="Times New Roman" w:cs="Times New Roman"/>
          <w:b/>
          <w:bCs/>
          <w:sz w:val="24"/>
          <w:szCs w:val="24"/>
        </w:rPr>
        <w:t xml:space="preserve"> MP</w:t>
      </w:r>
    </w:p>
    <w:p w14:paraId="112DEAAB" w14:textId="5B2A173B" w:rsidR="002573BE" w:rsidRPr="002B2798" w:rsidRDefault="31FA7C5F" w:rsidP="008103FF">
      <w:pPr>
        <w:spacing w:after="160" w:line="276" w:lineRule="auto"/>
        <w:jc w:val="center"/>
        <w:rPr>
          <w:rFonts w:ascii="Times New Roman" w:hAnsi="Times New Roman" w:cs="Times New Roman"/>
          <w:b/>
          <w:bCs/>
          <w:sz w:val="24"/>
          <w:szCs w:val="24"/>
        </w:rPr>
      </w:pPr>
      <w:r w:rsidRPr="63156A87">
        <w:rPr>
          <w:rFonts w:ascii="Times New Roman" w:hAnsi="Times New Roman" w:cs="Times New Roman"/>
          <w:b/>
          <w:bCs/>
          <w:sz w:val="24"/>
          <w:szCs w:val="24"/>
        </w:rPr>
        <w:t xml:space="preserve">Assistant Minister for </w:t>
      </w:r>
      <w:r w:rsidR="4464C6EA" w:rsidRPr="63156A87">
        <w:rPr>
          <w:rFonts w:ascii="Times New Roman" w:hAnsi="Times New Roman" w:cs="Times New Roman"/>
          <w:b/>
          <w:bCs/>
          <w:sz w:val="24"/>
          <w:szCs w:val="24"/>
        </w:rPr>
        <w:t>Climate Change and Energy</w:t>
      </w:r>
    </w:p>
    <w:sectPr w:rsidR="002573BE" w:rsidRPr="002B2798" w:rsidSect="00AA79C2">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284"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338DA" w14:textId="77777777" w:rsidR="00E81968" w:rsidRDefault="00E81968" w:rsidP="00151C54">
      <w:r>
        <w:separator/>
      </w:r>
    </w:p>
  </w:endnote>
  <w:endnote w:type="continuationSeparator" w:id="0">
    <w:p w14:paraId="042370C9" w14:textId="77777777" w:rsidR="00E81968" w:rsidRDefault="00E81968" w:rsidP="00151C54">
      <w:r>
        <w:continuationSeparator/>
      </w:r>
    </w:p>
  </w:endnote>
  <w:endnote w:type="continuationNotice" w:id="1">
    <w:p w14:paraId="4E09B78F" w14:textId="77777777" w:rsidR="00E81968" w:rsidRDefault="00E81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211417"/>
      <w:docPartObj>
        <w:docPartGallery w:val="Page Numbers (Bottom of Page)"/>
        <w:docPartUnique/>
      </w:docPartObj>
    </w:sdtPr>
    <w:sdtEndPr/>
    <w:sdtContent>
      <w:sdt>
        <w:sdtPr>
          <w:id w:val="-1909920376"/>
          <w:docPartObj>
            <w:docPartGallery w:val="Page Numbers (Top of Page)"/>
            <w:docPartUnique/>
          </w:docPartObj>
        </w:sdtPr>
        <w:sdtEndPr/>
        <w:sdtContent>
          <w:p w14:paraId="6A184A05" w14:textId="2C466E60" w:rsidR="00AD407E" w:rsidRDefault="165183F2">
            <w:pPr>
              <w:pStyle w:val="Footer"/>
              <w:jc w:val="right"/>
            </w:pPr>
            <w:r>
              <w:t xml:space="preserve">Page </w:t>
            </w:r>
            <w:r w:rsidR="00AD407E" w:rsidRPr="165183F2">
              <w:rPr>
                <w:b/>
                <w:bCs/>
                <w:noProof/>
              </w:rPr>
              <w:fldChar w:fldCharType="begin"/>
            </w:r>
            <w:r w:rsidR="00AD407E" w:rsidRPr="165183F2">
              <w:rPr>
                <w:b/>
                <w:bCs/>
              </w:rPr>
              <w:instrText xml:space="preserve"> PAGE </w:instrText>
            </w:r>
            <w:r w:rsidR="00AD407E" w:rsidRPr="165183F2">
              <w:rPr>
                <w:b/>
                <w:bCs/>
                <w:sz w:val="24"/>
                <w:szCs w:val="24"/>
              </w:rPr>
              <w:fldChar w:fldCharType="separate"/>
            </w:r>
            <w:r w:rsidRPr="165183F2">
              <w:rPr>
                <w:b/>
                <w:bCs/>
                <w:noProof/>
              </w:rPr>
              <w:t>2</w:t>
            </w:r>
            <w:r w:rsidR="00AD407E" w:rsidRPr="165183F2">
              <w:rPr>
                <w:b/>
                <w:bCs/>
                <w:noProof/>
              </w:rPr>
              <w:fldChar w:fldCharType="end"/>
            </w:r>
            <w:r>
              <w:t xml:space="preserve"> of </w:t>
            </w:r>
            <w:r w:rsidR="00AD407E" w:rsidRPr="165183F2">
              <w:rPr>
                <w:b/>
                <w:bCs/>
                <w:noProof/>
              </w:rPr>
              <w:fldChar w:fldCharType="begin"/>
            </w:r>
            <w:r w:rsidR="00AD407E" w:rsidRPr="165183F2">
              <w:rPr>
                <w:b/>
                <w:bCs/>
              </w:rPr>
              <w:instrText xml:space="preserve"> NUMPAGES  </w:instrText>
            </w:r>
            <w:r w:rsidR="00AD407E" w:rsidRPr="165183F2">
              <w:rPr>
                <w:b/>
                <w:bCs/>
                <w:sz w:val="24"/>
                <w:szCs w:val="24"/>
              </w:rPr>
              <w:fldChar w:fldCharType="separate"/>
            </w:r>
            <w:r w:rsidRPr="165183F2">
              <w:rPr>
                <w:b/>
                <w:bCs/>
                <w:noProof/>
              </w:rPr>
              <w:t>2</w:t>
            </w:r>
            <w:r w:rsidR="00AD407E" w:rsidRPr="165183F2">
              <w:rPr>
                <w:b/>
                <w:bCs/>
                <w:noProof/>
              </w:rPr>
              <w:fldChar w:fldCharType="end"/>
            </w:r>
          </w:p>
        </w:sdtContent>
      </w:sdt>
    </w:sdtContent>
  </w:sdt>
  <w:p w14:paraId="66266087" w14:textId="460EF687" w:rsidR="00697805" w:rsidRDefault="0069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706500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08B3AAB4" w14:textId="5B3D114A" w:rsidR="009A2F1E" w:rsidRPr="00191689" w:rsidRDefault="165183F2" w:rsidP="00696584">
            <w:pPr>
              <w:pStyle w:val="Footer"/>
              <w:jc w:val="right"/>
              <w:rPr>
                <w:rFonts w:ascii="Times New Roman" w:hAnsi="Times New Roman" w:cs="Times New Roman"/>
                <w:sz w:val="24"/>
                <w:szCs w:val="24"/>
              </w:rPr>
            </w:pPr>
            <w:r w:rsidRPr="165183F2">
              <w:rPr>
                <w:rFonts w:ascii="Times New Roman" w:hAnsi="Times New Roman" w:cs="Times New Roman"/>
                <w:sz w:val="24"/>
                <w:szCs w:val="24"/>
              </w:rPr>
              <w:t xml:space="preserve">Page </w:t>
            </w:r>
            <w:r w:rsidR="008135BF" w:rsidRPr="165183F2">
              <w:rPr>
                <w:rFonts w:ascii="Times New Roman" w:hAnsi="Times New Roman" w:cs="Times New Roman"/>
                <w:sz w:val="24"/>
                <w:szCs w:val="24"/>
              </w:rPr>
              <w:fldChar w:fldCharType="begin"/>
            </w:r>
            <w:r w:rsidR="008135BF" w:rsidRPr="165183F2">
              <w:rPr>
                <w:rFonts w:ascii="Times New Roman" w:hAnsi="Times New Roman" w:cs="Times New Roman"/>
                <w:sz w:val="24"/>
                <w:szCs w:val="24"/>
              </w:rPr>
              <w:instrText xml:space="preserve"> PAGE </w:instrText>
            </w:r>
            <w:r w:rsidR="008135BF" w:rsidRPr="165183F2">
              <w:rPr>
                <w:rFonts w:ascii="Times New Roman" w:hAnsi="Times New Roman" w:cs="Times New Roman"/>
                <w:sz w:val="24"/>
                <w:szCs w:val="24"/>
              </w:rPr>
              <w:fldChar w:fldCharType="separate"/>
            </w:r>
            <w:r w:rsidRPr="165183F2">
              <w:rPr>
                <w:rFonts w:ascii="Times New Roman" w:hAnsi="Times New Roman" w:cs="Times New Roman"/>
                <w:sz w:val="24"/>
                <w:szCs w:val="24"/>
              </w:rPr>
              <w:t>2</w:t>
            </w:r>
            <w:r w:rsidR="008135BF" w:rsidRPr="165183F2">
              <w:rPr>
                <w:rFonts w:ascii="Times New Roman" w:hAnsi="Times New Roman" w:cs="Times New Roman"/>
                <w:sz w:val="24"/>
                <w:szCs w:val="24"/>
              </w:rPr>
              <w:fldChar w:fldCharType="end"/>
            </w:r>
            <w:r w:rsidRPr="165183F2">
              <w:rPr>
                <w:rFonts w:ascii="Times New Roman" w:hAnsi="Times New Roman" w:cs="Times New Roman"/>
                <w:sz w:val="24"/>
                <w:szCs w:val="24"/>
              </w:rPr>
              <w:t xml:space="preserve"> of </w:t>
            </w:r>
            <w:r w:rsidR="008135BF" w:rsidRPr="165183F2">
              <w:rPr>
                <w:rFonts w:ascii="Times New Roman" w:hAnsi="Times New Roman" w:cs="Times New Roman"/>
                <w:sz w:val="24"/>
                <w:szCs w:val="24"/>
              </w:rPr>
              <w:fldChar w:fldCharType="begin"/>
            </w:r>
            <w:r w:rsidR="008135BF" w:rsidRPr="165183F2">
              <w:rPr>
                <w:rFonts w:ascii="Times New Roman" w:hAnsi="Times New Roman" w:cs="Times New Roman"/>
                <w:sz w:val="24"/>
                <w:szCs w:val="24"/>
              </w:rPr>
              <w:instrText xml:space="preserve"> NUMPAGES  </w:instrText>
            </w:r>
            <w:r w:rsidR="008135BF" w:rsidRPr="165183F2">
              <w:rPr>
                <w:rFonts w:ascii="Times New Roman" w:hAnsi="Times New Roman" w:cs="Times New Roman"/>
                <w:sz w:val="24"/>
                <w:szCs w:val="24"/>
              </w:rPr>
              <w:fldChar w:fldCharType="separate"/>
            </w:r>
            <w:r w:rsidRPr="165183F2">
              <w:rPr>
                <w:rFonts w:ascii="Times New Roman" w:hAnsi="Times New Roman" w:cs="Times New Roman"/>
                <w:sz w:val="24"/>
                <w:szCs w:val="24"/>
              </w:rPr>
              <w:t>2</w:t>
            </w:r>
            <w:r w:rsidR="008135BF" w:rsidRPr="165183F2">
              <w:rPr>
                <w:rFonts w:ascii="Times New Roman" w:hAnsi="Times New Roman" w:cs="Times New Roman"/>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3C4D" w14:textId="77777777" w:rsidR="00F7503E" w:rsidRDefault="00F7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7171" w14:textId="77777777" w:rsidR="00E81968" w:rsidRDefault="00E81968" w:rsidP="00151C54">
      <w:r>
        <w:separator/>
      </w:r>
    </w:p>
  </w:footnote>
  <w:footnote w:type="continuationSeparator" w:id="0">
    <w:p w14:paraId="758F0791" w14:textId="77777777" w:rsidR="00E81968" w:rsidRDefault="00E81968" w:rsidP="00151C54">
      <w:r>
        <w:continuationSeparator/>
      </w:r>
    </w:p>
  </w:footnote>
  <w:footnote w:type="continuationNotice" w:id="1">
    <w:p w14:paraId="3DFC2DC2" w14:textId="77777777" w:rsidR="00E81968" w:rsidRDefault="00E81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1474" w14:textId="5EBB40DF" w:rsidR="00697805" w:rsidRDefault="00697805">
    <w:pPr>
      <w:pStyle w:val="Header"/>
    </w:pPr>
    <w:r>
      <w:rPr>
        <w:noProof/>
      </w:rPr>
      <mc:AlternateContent>
        <mc:Choice Requires="wps">
          <w:drawing>
            <wp:anchor distT="0" distB="0" distL="0" distR="0" simplePos="0" relativeHeight="251657728" behindDoc="0" locked="0" layoutInCell="1" allowOverlap="1" wp14:anchorId="50B49CC1" wp14:editId="03A469FC">
              <wp:simplePos x="635" y="635"/>
              <wp:positionH relativeFrom="page">
                <wp:align>center</wp:align>
              </wp:positionH>
              <wp:positionV relativeFrom="page">
                <wp:align>top</wp:align>
              </wp:positionV>
              <wp:extent cx="2133600" cy="390525"/>
              <wp:effectExtent l="0" t="0" r="0" b="9525"/>
              <wp:wrapNone/>
              <wp:docPr id="6" name="Text Box 6"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9CC1" id="_x0000_t202" coordsize="21600,21600" o:spt="202" path="m,l,21600r21600,l21600,xe">
              <v:stroke joinstyle="miter"/>
              <v:path gradientshapeok="t" o:connecttype="rect"/>
            </v:shapetype>
            <v:shape id="Text Box 6" o:spid="_x0000_s1026" type="#_x0000_t202" alt="OFFICIAL: Sensitive Legal-Privilege" style="position:absolute;margin-left:0;margin-top:0;width:168pt;height:30.7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" filled="f" stroked="f">
              <v:textbox style="mso-fit-shape-to-text:t" inset="0,15pt,0,0">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336411"/>
      <w:docPartObj>
        <w:docPartGallery w:val="Watermarks"/>
        <w:docPartUnique/>
      </w:docPartObj>
    </w:sdtPr>
    <w:sdtEndPr/>
    <w:sdtContent>
      <w:p w14:paraId="4291232E" w14:textId="799D4B84" w:rsidR="009A2F1E" w:rsidRPr="00273C11" w:rsidRDefault="00233797" w:rsidP="00696584">
        <w:pPr>
          <w:pStyle w:val="Header"/>
          <w:tabs>
            <w:tab w:val="clear" w:pos="4320"/>
            <w:tab w:val="clear" w:pos="8640"/>
            <w:tab w:val="left" w:pos="7800"/>
          </w:tabs>
        </w:pPr>
        <w:r>
          <w:rPr>
            <w:noProof/>
          </w:rPr>
          <w:pict w14:anchorId="02F99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65189" o:spid="_x0000_s1026"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2E7C" w14:textId="097B7B92" w:rsidR="009A2F1E" w:rsidRPr="005D1ABF" w:rsidRDefault="00697805" w:rsidP="005D1ABF">
    <w:pPr>
      <w:pStyle w:val="Header"/>
    </w:pPr>
    <w:r>
      <w:rPr>
        <w:noProof/>
      </w:rPr>
      <mc:AlternateContent>
        <mc:Choice Requires="wps">
          <w:drawing>
            <wp:anchor distT="0" distB="0" distL="0" distR="0" simplePos="0" relativeHeight="251656704" behindDoc="0" locked="0" layoutInCell="1" allowOverlap="1" wp14:anchorId="614041B7" wp14:editId="23D78A59">
              <wp:simplePos x="635" y="635"/>
              <wp:positionH relativeFrom="page">
                <wp:align>center</wp:align>
              </wp:positionH>
              <wp:positionV relativeFrom="page">
                <wp:align>top</wp:align>
              </wp:positionV>
              <wp:extent cx="2133600" cy="390525"/>
              <wp:effectExtent l="0" t="0" r="0" b="9525"/>
              <wp:wrapNone/>
              <wp:docPr id="5"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77D22862" w14:textId="5464387A"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4041B7"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8pt;height:30.7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" filled="f" stroked="f">
              <v:textbox style="mso-fit-shape-to-text:t" inset="0,15pt,0,0">
                <w:txbxContent>
                  <w:p w14:paraId="77D22862" w14:textId="5464387A"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33xqJK8" int2:invalidationBookmarkName="" int2:hashCode="XsnLMnsneyFqHD" int2:id="0sYfsvw1">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01CC0"/>
    <w:multiLevelType w:val="hybridMultilevel"/>
    <w:tmpl w:val="644C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15B11"/>
    <w:multiLevelType w:val="hybridMultilevel"/>
    <w:tmpl w:val="CC601AD2"/>
    <w:lvl w:ilvl="0" w:tplc="0500154E">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84702"/>
    <w:multiLevelType w:val="hybridMultilevel"/>
    <w:tmpl w:val="B5CCE2D6"/>
    <w:lvl w:ilvl="0" w:tplc="0500154E">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82E03"/>
    <w:multiLevelType w:val="hybridMultilevel"/>
    <w:tmpl w:val="ACB2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D3D6D"/>
    <w:multiLevelType w:val="multilevel"/>
    <w:tmpl w:val="93EA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303A1"/>
    <w:multiLevelType w:val="hybridMultilevel"/>
    <w:tmpl w:val="DAEA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7153D4"/>
    <w:multiLevelType w:val="hybridMultilevel"/>
    <w:tmpl w:val="8C32F524"/>
    <w:lvl w:ilvl="0" w:tplc="0500154E">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1469D"/>
    <w:multiLevelType w:val="hybridMultilevel"/>
    <w:tmpl w:val="5F3AC660"/>
    <w:lvl w:ilvl="0" w:tplc="0500154E">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7D2D98"/>
    <w:multiLevelType w:val="hybridMultilevel"/>
    <w:tmpl w:val="BAA6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2B4267"/>
    <w:multiLevelType w:val="hybridMultilevel"/>
    <w:tmpl w:val="7D4EB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A6BA7"/>
    <w:multiLevelType w:val="multilevel"/>
    <w:tmpl w:val="5F9E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44440A"/>
    <w:multiLevelType w:val="multilevel"/>
    <w:tmpl w:val="F078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78739F0"/>
    <w:multiLevelType w:val="multilevel"/>
    <w:tmpl w:val="C71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A24404"/>
    <w:multiLevelType w:val="multilevel"/>
    <w:tmpl w:val="37C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F9369D"/>
    <w:multiLevelType w:val="multilevel"/>
    <w:tmpl w:val="AE3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711C2"/>
    <w:multiLevelType w:val="hybridMultilevel"/>
    <w:tmpl w:val="E800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89541F"/>
    <w:multiLevelType w:val="multilevel"/>
    <w:tmpl w:val="03E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314890"/>
    <w:multiLevelType w:val="hybridMultilevel"/>
    <w:tmpl w:val="FA3EE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090517"/>
    <w:multiLevelType w:val="hybridMultilevel"/>
    <w:tmpl w:val="E95AB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474D90"/>
    <w:multiLevelType w:val="hybridMultilevel"/>
    <w:tmpl w:val="8B4ED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7363C5"/>
    <w:multiLevelType w:val="hybridMultilevel"/>
    <w:tmpl w:val="A3FA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C26B6E"/>
    <w:multiLevelType w:val="hybridMultilevel"/>
    <w:tmpl w:val="5470D4B4"/>
    <w:lvl w:ilvl="0" w:tplc="0500154E">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F90537"/>
    <w:multiLevelType w:val="hybridMultilevel"/>
    <w:tmpl w:val="9104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9" w15:restartNumberingAfterBreak="0">
    <w:nsid w:val="3B183F53"/>
    <w:multiLevelType w:val="hybridMultilevel"/>
    <w:tmpl w:val="10BA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E84BE3"/>
    <w:multiLevelType w:val="hybridMultilevel"/>
    <w:tmpl w:val="02527F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D896AC6"/>
    <w:multiLevelType w:val="multilevel"/>
    <w:tmpl w:val="0AA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A75D7C"/>
    <w:multiLevelType w:val="hybridMultilevel"/>
    <w:tmpl w:val="305C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4" w15:restartNumberingAfterBreak="0">
    <w:nsid w:val="3F420C17"/>
    <w:multiLevelType w:val="multilevel"/>
    <w:tmpl w:val="E2E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ED2805"/>
    <w:multiLevelType w:val="hybridMultilevel"/>
    <w:tmpl w:val="28A8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696237"/>
    <w:multiLevelType w:val="hybridMultilevel"/>
    <w:tmpl w:val="50FE99B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23010C"/>
    <w:multiLevelType w:val="hybridMultilevel"/>
    <w:tmpl w:val="1F3EDDF4"/>
    <w:lvl w:ilvl="0" w:tplc="0C090001">
      <w:start w:val="1"/>
      <w:numFmt w:val="bullet"/>
      <w:lvlText w:val=""/>
      <w:lvlJc w:val="left"/>
      <w:pPr>
        <w:ind w:left="720" w:hanging="360"/>
      </w:pPr>
      <w:rPr>
        <w:rFonts w:ascii="Symbol" w:hAnsi="Symbol" w:hint="default"/>
      </w:rPr>
    </w:lvl>
    <w:lvl w:ilvl="1" w:tplc="84123DD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C82B52"/>
    <w:multiLevelType w:val="hybridMultilevel"/>
    <w:tmpl w:val="45180000"/>
    <w:lvl w:ilvl="0" w:tplc="0C090001">
      <w:start w:val="1"/>
      <w:numFmt w:val="bullet"/>
      <w:lvlText w:val=""/>
      <w:lvlJc w:val="left"/>
      <w:pPr>
        <w:ind w:left="2862"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4302" w:hanging="360"/>
      </w:pPr>
      <w:rPr>
        <w:rFonts w:ascii="Wingdings" w:hAnsi="Wingdings" w:hint="default"/>
      </w:rPr>
    </w:lvl>
    <w:lvl w:ilvl="3" w:tplc="0C090001" w:tentative="1">
      <w:start w:val="1"/>
      <w:numFmt w:val="bullet"/>
      <w:lvlText w:val=""/>
      <w:lvlJc w:val="left"/>
      <w:pPr>
        <w:ind w:left="5022" w:hanging="360"/>
      </w:pPr>
      <w:rPr>
        <w:rFonts w:ascii="Symbol" w:hAnsi="Symbol" w:hint="default"/>
      </w:rPr>
    </w:lvl>
    <w:lvl w:ilvl="4" w:tplc="0C090003" w:tentative="1">
      <w:start w:val="1"/>
      <w:numFmt w:val="bullet"/>
      <w:lvlText w:val="o"/>
      <w:lvlJc w:val="left"/>
      <w:pPr>
        <w:ind w:left="5742" w:hanging="360"/>
      </w:pPr>
      <w:rPr>
        <w:rFonts w:ascii="Courier New" w:hAnsi="Courier New" w:cs="Courier New" w:hint="default"/>
      </w:rPr>
    </w:lvl>
    <w:lvl w:ilvl="5" w:tplc="0C090005" w:tentative="1">
      <w:start w:val="1"/>
      <w:numFmt w:val="bullet"/>
      <w:lvlText w:val=""/>
      <w:lvlJc w:val="left"/>
      <w:pPr>
        <w:ind w:left="6462" w:hanging="360"/>
      </w:pPr>
      <w:rPr>
        <w:rFonts w:ascii="Wingdings" w:hAnsi="Wingdings" w:hint="default"/>
      </w:rPr>
    </w:lvl>
    <w:lvl w:ilvl="6" w:tplc="0C090001" w:tentative="1">
      <w:start w:val="1"/>
      <w:numFmt w:val="bullet"/>
      <w:lvlText w:val=""/>
      <w:lvlJc w:val="left"/>
      <w:pPr>
        <w:ind w:left="7182" w:hanging="360"/>
      </w:pPr>
      <w:rPr>
        <w:rFonts w:ascii="Symbol" w:hAnsi="Symbol" w:hint="default"/>
      </w:rPr>
    </w:lvl>
    <w:lvl w:ilvl="7" w:tplc="0C090003" w:tentative="1">
      <w:start w:val="1"/>
      <w:numFmt w:val="bullet"/>
      <w:lvlText w:val="o"/>
      <w:lvlJc w:val="left"/>
      <w:pPr>
        <w:ind w:left="7902" w:hanging="360"/>
      </w:pPr>
      <w:rPr>
        <w:rFonts w:ascii="Courier New" w:hAnsi="Courier New" w:cs="Courier New" w:hint="default"/>
      </w:rPr>
    </w:lvl>
    <w:lvl w:ilvl="8" w:tplc="0C090005" w:tentative="1">
      <w:start w:val="1"/>
      <w:numFmt w:val="bullet"/>
      <w:lvlText w:val=""/>
      <w:lvlJc w:val="left"/>
      <w:pPr>
        <w:ind w:left="8622" w:hanging="360"/>
      </w:pPr>
      <w:rPr>
        <w:rFonts w:ascii="Wingdings" w:hAnsi="Wingdings" w:hint="default"/>
      </w:rPr>
    </w:lvl>
  </w:abstractNum>
  <w:abstractNum w:abstractNumId="41" w15:restartNumberingAfterBreak="0">
    <w:nsid w:val="4D53EEC3"/>
    <w:multiLevelType w:val="hybridMultilevel"/>
    <w:tmpl w:val="B8AA0B6E"/>
    <w:lvl w:ilvl="0" w:tplc="BB7AD828">
      <w:start w:val="1"/>
      <w:numFmt w:val="bullet"/>
      <w:lvlText w:val=""/>
      <w:lvlJc w:val="left"/>
      <w:pPr>
        <w:ind w:left="720" w:hanging="360"/>
      </w:pPr>
      <w:rPr>
        <w:rFonts w:ascii="Symbol" w:hAnsi="Symbol" w:hint="default"/>
      </w:rPr>
    </w:lvl>
    <w:lvl w:ilvl="1" w:tplc="263AE1A0">
      <w:start w:val="1"/>
      <w:numFmt w:val="bullet"/>
      <w:lvlText w:val="o"/>
      <w:lvlJc w:val="left"/>
      <w:pPr>
        <w:ind w:left="1800" w:hanging="360"/>
      </w:pPr>
      <w:rPr>
        <w:rFonts w:ascii="Courier New" w:hAnsi="Courier New" w:hint="default"/>
      </w:rPr>
    </w:lvl>
    <w:lvl w:ilvl="2" w:tplc="415CDA6A">
      <w:start w:val="1"/>
      <w:numFmt w:val="bullet"/>
      <w:lvlText w:val=""/>
      <w:lvlJc w:val="left"/>
      <w:pPr>
        <w:ind w:left="2520" w:hanging="360"/>
      </w:pPr>
      <w:rPr>
        <w:rFonts w:ascii="Wingdings" w:hAnsi="Wingdings" w:hint="default"/>
      </w:rPr>
    </w:lvl>
    <w:lvl w:ilvl="3" w:tplc="C58C0FA0">
      <w:start w:val="1"/>
      <w:numFmt w:val="bullet"/>
      <w:lvlText w:val=""/>
      <w:lvlJc w:val="left"/>
      <w:pPr>
        <w:ind w:left="3240" w:hanging="360"/>
      </w:pPr>
      <w:rPr>
        <w:rFonts w:ascii="Symbol" w:hAnsi="Symbol" w:hint="default"/>
      </w:rPr>
    </w:lvl>
    <w:lvl w:ilvl="4" w:tplc="DB26D5AC">
      <w:start w:val="1"/>
      <w:numFmt w:val="bullet"/>
      <w:lvlText w:val="o"/>
      <w:lvlJc w:val="left"/>
      <w:pPr>
        <w:ind w:left="3960" w:hanging="360"/>
      </w:pPr>
      <w:rPr>
        <w:rFonts w:ascii="Courier New" w:hAnsi="Courier New" w:hint="default"/>
      </w:rPr>
    </w:lvl>
    <w:lvl w:ilvl="5" w:tplc="CB66B690">
      <w:start w:val="1"/>
      <w:numFmt w:val="bullet"/>
      <w:lvlText w:val=""/>
      <w:lvlJc w:val="left"/>
      <w:pPr>
        <w:ind w:left="4680" w:hanging="360"/>
      </w:pPr>
      <w:rPr>
        <w:rFonts w:ascii="Wingdings" w:hAnsi="Wingdings" w:hint="default"/>
      </w:rPr>
    </w:lvl>
    <w:lvl w:ilvl="6" w:tplc="606C7528">
      <w:start w:val="1"/>
      <w:numFmt w:val="bullet"/>
      <w:lvlText w:val=""/>
      <w:lvlJc w:val="left"/>
      <w:pPr>
        <w:ind w:left="5400" w:hanging="360"/>
      </w:pPr>
      <w:rPr>
        <w:rFonts w:ascii="Symbol" w:hAnsi="Symbol" w:hint="default"/>
      </w:rPr>
    </w:lvl>
    <w:lvl w:ilvl="7" w:tplc="FA8455FE">
      <w:start w:val="1"/>
      <w:numFmt w:val="bullet"/>
      <w:lvlText w:val="o"/>
      <w:lvlJc w:val="left"/>
      <w:pPr>
        <w:ind w:left="6120" w:hanging="360"/>
      </w:pPr>
      <w:rPr>
        <w:rFonts w:ascii="Courier New" w:hAnsi="Courier New" w:hint="default"/>
      </w:rPr>
    </w:lvl>
    <w:lvl w:ilvl="8" w:tplc="5740CDCC">
      <w:start w:val="1"/>
      <w:numFmt w:val="bullet"/>
      <w:lvlText w:val=""/>
      <w:lvlJc w:val="left"/>
      <w:pPr>
        <w:ind w:left="6840" w:hanging="360"/>
      </w:pPr>
      <w:rPr>
        <w:rFonts w:ascii="Wingdings" w:hAnsi="Wingdings" w:hint="default"/>
      </w:rPr>
    </w:lvl>
  </w:abstractNum>
  <w:abstractNum w:abstractNumId="42" w15:restartNumberingAfterBreak="0">
    <w:nsid w:val="5569772B"/>
    <w:multiLevelType w:val="hybridMultilevel"/>
    <w:tmpl w:val="FFF26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D3580E"/>
    <w:multiLevelType w:val="hybridMultilevel"/>
    <w:tmpl w:val="B1021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6E849BC"/>
    <w:multiLevelType w:val="multilevel"/>
    <w:tmpl w:val="F13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1753CC"/>
    <w:multiLevelType w:val="hybridMultilevel"/>
    <w:tmpl w:val="1438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6808C7"/>
    <w:multiLevelType w:val="hybridMultilevel"/>
    <w:tmpl w:val="D50E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2D611C"/>
    <w:multiLevelType w:val="multilevel"/>
    <w:tmpl w:val="69B4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AC668B"/>
    <w:multiLevelType w:val="multilevel"/>
    <w:tmpl w:val="415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F460CE"/>
    <w:multiLevelType w:val="multilevel"/>
    <w:tmpl w:val="19C0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1F3103"/>
    <w:multiLevelType w:val="hybridMultilevel"/>
    <w:tmpl w:val="03C2A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1D283E"/>
    <w:multiLevelType w:val="hybridMultilevel"/>
    <w:tmpl w:val="050262B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613700"/>
    <w:multiLevelType w:val="multilevel"/>
    <w:tmpl w:val="95E4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14382A"/>
    <w:multiLevelType w:val="hybridMultilevel"/>
    <w:tmpl w:val="AFD06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55" w15:restartNumberingAfterBreak="0">
    <w:nsid w:val="64F83AE4"/>
    <w:multiLevelType w:val="hybridMultilevel"/>
    <w:tmpl w:val="F27E8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58C7052"/>
    <w:multiLevelType w:val="multilevel"/>
    <w:tmpl w:val="B0E4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D71891"/>
    <w:multiLevelType w:val="hybridMultilevel"/>
    <w:tmpl w:val="4F40B6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7F61609"/>
    <w:multiLevelType w:val="hybridMultilevel"/>
    <w:tmpl w:val="B8FE7984"/>
    <w:lvl w:ilvl="0" w:tplc="95288AD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92E4DD7"/>
    <w:multiLevelType w:val="hybridMultilevel"/>
    <w:tmpl w:val="E266EFC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E700A9D"/>
    <w:multiLevelType w:val="multilevel"/>
    <w:tmpl w:val="A0F66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E7A101F"/>
    <w:multiLevelType w:val="multilevel"/>
    <w:tmpl w:val="5030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A878ED"/>
    <w:multiLevelType w:val="hybridMultilevel"/>
    <w:tmpl w:val="E7E4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217BDC"/>
    <w:multiLevelType w:val="hybridMultilevel"/>
    <w:tmpl w:val="769C99E0"/>
    <w:lvl w:ilvl="0" w:tplc="8F367A7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2254CAD"/>
    <w:multiLevelType w:val="multilevel"/>
    <w:tmpl w:val="8FDC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oubleDot"/>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66" w15:restartNumberingAfterBreak="0">
    <w:nsid w:val="742174DB"/>
    <w:multiLevelType w:val="multilevel"/>
    <w:tmpl w:val="7D94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F93CAF"/>
    <w:multiLevelType w:val="hybridMultilevel"/>
    <w:tmpl w:val="24C0551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0FE796A">
      <w:numFmt w:val="bullet"/>
      <w:lvlText w:val="-"/>
      <w:lvlJc w:val="left"/>
      <w:pPr>
        <w:ind w:left="2880" w:hanging="360"/>
      </w:pPr>
      <w:rPr>
        <w:rFonts w:ascii="Times New Roman" w:eastAsiaTheme="minorEastAsia"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D643FCA"/>
    <w:multiLevelType w:val="multilevel"/>
    <w:tmpl w:val="CE6A4F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1909881314">
    <w:abstractNumId w:val="41"/>
  </w:num>
  <w:num w:numId="2" w16cid:durableId="799225606">
    <w:abstractNumId w:val="28"/>
  </w:num>
  <w:num w:numId="3" w16cid:durableId="1627470143">
    <w:abstractNumId w:val="70"/>
  </w:num>
  <w:num w:numId="4" w16cid:durableId="189882612">
    <w:abstractNumId w:val="12"/>
  </w:num>
  <w:num w:numId="5" w16cid:durableId="1112826541">
    <w:abstractNumId w:val="26"/>
  </w:num>
  <w:num w:numId="6" w16cid:durableId="1340616887">
    <w:abstractNumId w:val="33"/>
  </w:num>
  <w:num w:numId="7" w16cid:durableId="2033218283">
    <w:abstractNumId w:val="0"/>
  </w:num>
  <w:num w:numId="8" w16cid:durableId="1215195378">
    <w:abstractNumId w:val="67"/>
  </w:num>
  <w:num w:numId="9" w16cid:durableId="530147635">
    <w:abstractNumId w:val="38"/>
  </w:num>
  <w:num w:numId="10" w16cid:durableId="1002782926">
    <w:abstractNumId w:val="36"/>
  </w:num>
  <w:num w:numId="11" w16cid:durableId="197475456">
    <w:abstractNumId w:val="15"/>
  </w:num>
  <w:num w:numId="12" w16cid:durableId="914558481">
    <w:abstractNumId w:val="10"/>
  </w:num>
  <w:num w:numId="13" w16cid:durableId="680550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2344081">
    <w:abstractNumId w:val="50"/>
  </w:num>
  <w:num w:numId="15" w16cid:durableId="2121102532">
    <w:abstractNumId w:val="57"/>
  </w:num>
  <w:num w:numId="16" w16cid:durableId="957371856">
    <w:abstractNumId w:val="61"/>
  </w:num>
  <w:num w:numId="17" w16cid:durableId="1364794054">
    <w:abstractNumId w:val="52"/>
  </w:num>
  <w:num w:numId="18" w16cid:durableId="1901086633">
    <w:abstractNumId w:val="18"/>
  </w:num>
  <w:num w:numId="19" w16cid:durableId="744256555">
    <w:abstractNumId w:val="49"/>
  </w:num>
  <w:num w:numId="20" w16cid:durableId="1030690145">
    <w:abstractNumId w:val="47"/>
  </w:num>
  <w:num w:numId="21" w16cid:durableId="1998151418">
    <w:abstractNumId w:val="44"/>
  </w:num>
  <w:num w:numId="22" w16cid:durableId="138965744">
    <w:abstractNumId w:val="48"/>
  </w:num>
  <w:num w:numId="23" w16cid:durableId="667484802">
    <w:abstractNumId w:val="5"/>
  </w:num>
  <w:num w:numId="24" w16cid:durableId="1882008534">
    <w:abstractNumId w:val="14"/>
  </w:num>
  <w:num w:numId="25" w16cid:durableId="1553886521">
    <w:abstractNumId w:val="56"/>
  </w:num>
  <w:num w:numId="26" w16cid:durableId="1263225614">
    <w:abstractNumId w:val="66"/>
  </w:num>
  <w:num w:numId="27" w16cid:durableId="1477801990">
    <w:abstractNumId w:val="20"/>
  </w:num>
  <w:num w:numId="28" w16cid:durableId="1539200365">
    <w:abstractNumId w:val="64"/>
  </w:num>
  <w:num w:numId="29" w16cid:durableId="743988338">
    <w:abstractNumId w:val="39"/>
  </w:num>
  <w:num w:numId="30" w16cid:durableId="118574126">
    <w:abstractNumId w:val="63"/>
  </w:num>
  <w:num w:numId="31" w16cid:durableId="1717853989">
    <w:abstractNumId w:val="43"/>
  </w:num>
  <w:num w:numId="32" w16cid:durableId="1485199566">
    <w:abstractNumId w:val="65"/>
  </w:num>
  <w:num w:numId="33" w16cid:durableId="847210061">
    <w:abstractNumId w:val="42"/>
  </w:num>
  <w:num w:numId="34" w16cid:durableId="2125806357">
    <w:abstractNumId w:val="60"/>
  </w:num>
  <w:num w:numId="35" w16cid:durableId="1295253813">
    <w:abstractNumId w:val="34"/>
  </w:num>
  <w:num w:numId="36" w16cid:durableId="1035352529">
    <w:abstractNumId w:val="69"/>
  </w:num>
  <w:num w:numId="37" w16cid:durableId="1467308943">
    <w:abstractNumId w:val="31"/>
  </w:num>
  <w:num w:numId="38" w16cid:durableId="5404014">
    <w:abstractNumId w:val="16"/>
  </w:num>
  <w:num w:numId="39" w16cid:durableId="2109424554">
    <w:abstractNumId w:val="23"/>
  </w:num>
  <w:num w:numId="40" w16cid:durableId="2102018283">
    <w:abstractNumId w:val="35"/>
  </w:num>
  <w:num w:numId="41" w16cid:durableId="31655916">
    <w:abstractNumId w:val="21"/>
  </w:num>
  <w:num w:numId="42" w16cid:durableId="897009135">
    <w:abstractNumId w:val="13"/>
  </w:num>
  <w:num w:numId="43" w16cid:durableId="1358963958">
    <w:abstractNumId w:val="17"/>
  </w:num>
  <w:num w:numId="44" w16cid:durableId="146089442">
    <w:abstractNumId w:val="6"/>
  </w:num>
  <w:num w:numId="45" w16cid:durableId="917208461">
    <w:abstractNumId w:val="53"/>
  </w:num>
  <w:num w:numId="46" w16cid:durableId="480200473">
    <w:abstractNumId w:val="45"/>
  </w:num>
  <w:num w:numId="47" w16cid:durableId="1353191115">
    <w:abstractNumId w:val="68"/>
  </w:num>
  <w:num w:numId="48" w16cid:durableId="1861577449">
    <w:abstractNumId w:val="29"/>
  </w:num>
  <w:num w:numId="49" w16cid:durableId="860971408">
    <w:abstractNumId w:val="4"/>
  </w:num>
  <w:num w:numId="50" w16cid:durableId="277491309">
    <w:abstractNumId w:val="37"/>
  </w:num>
  <w:num w:numId="51" w16cid:durableId="1200825054">
    <w:abstractNumId w:val="51"/>
  </w:num>
  <w:num w:numId="52" w16cid:durableId="163740919">
    <w:abstractNumId w:val="59"/>
  </w:num>
  <w:num w:numId="53" w16cid:durableId="276180237">
    <w:abstractNumId w:val="9"/>
  </w:num>
  <w:num w:numId="54" w16cid:durableId="1727685036">
    <w:abstractNumId w:val="32"/>
  </w:num>
  <w:num w:numId="55" w16cid:durableId="1078403926">
    <w:abstractNumId w:val="40"/>
  </w:num>
  <w:num w:numId="56" w16cid:durableId="1288580683">
    <w:abstractNumId w:val="22"/>
  </w:num>
  <w:num w:numId="57" w16cid:durableId="1137528313">
    <w:abstractNumId w:val="1"/>
  </w:num>
  <w:num w:numId="58" w16cid:durableId="17705252">
    <w:abstractNumId w:val="11"/>
  </w:num>
  <w:num w:numId="59" w16cid:durableId="794638108">
    <w:abstractNumId w:val="55"/>
  </w:num>
  <w:num w:numId="60" w16cid:durableId="882130546">
    <w:abstractNumId w:val="46"/>
  </w:num>
  <w:num w:numId="61" w16cid:durableId="1315177961">
    <w:abstractNumId w:val="62"/>
  </w:num>
  <w:num w:numId="62" w16cid:durableId="1091897587">
    <w:abstractNumId w:val="2"/>
  </w:num>
  <w:num w:numId="63" w16cid:durableId="842091622">
    <w:abstractNumId w:val="25"/>
  </w:num>
  <w:num w:numId="64" w16cid:durableId="1185904034">
    <w:abstractNumId w:val="8"/>
  </w:num>
  <w:num w:numId="65" w16cid:durableId="1647658011">
    <w:abstractNumId w:val="3"/>
  </w:num>
  <w:num w:numId="66" w16cid:durableId="1122454950">
    <w:abstractNumId w:val="7"/>
  </w:num>
  <w:num w:numId="67" w16cid:durableId="1955480985">
    <w:abstractNumId w:val="58"/>
  </w:num>
  <w:num w:numId="68" w16cid:durableId="2065712599">
    <w:abstractNumId w:val="30"/>
  </w:num>
  <w:num w:numId="69" w16cid:durableId="1995791183">
    <w:abstractNumId w:val="27"/>
  </w:num>
  <w:num w:numId="70" w16cid:durableId="1438406879">
    <w:abstractNumId w:val="19"/>
  </w:num>
  <w:num w:numId="71" w16cid:durableId="477189012">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049"/>
    <w:rsid w:val="0000075E"/>
    <w:rsid w:val="00000BA9"/>
    <w:rsid w:val="00000E34"/>
    <w:rsid w:val="00000F3A"/>
    <w:rsid w:val="000013B3"/>
    <w:rsid w:val="000024D4"/>
    <w:rsid w:val="000027F7"/>
    <w:rsid w:val="0000298E"/>
    <w:rsid w:val="00004383"/>
    <w:rsid w:val="0000492D"/>
    <w:rsid w:val="0000550B"/>
    <w:rsid w:val="00005E04"/>
    <w:rsid w:val="00006291"/>
    <w:rsid w:val="00006B13"/>
    <w:rsid w:val="00007118"/>
    <w:rsid w:val="000073D0"/>
    <w:rsid w:val="00007553"/>
    <w:rsid w:val="00007E40"/>
    <w:rsid w:val="00010183"/>
    <w:rsid w:val="00010808"/>
    <w:rsid w:val="00010E7B"/>
    <w:rsid w:val="00011763"/>
    <w:rsid w:val="00011B65"/>
    <w:rsid w:val="00011E25"/>
    <w:rsid w:val="000120AD"/>
    <w:rsid w:val="000121DA"/>
    <w:rsid w:val="00013156"/>
    <w:rsid w:val="00013BB5"/>
    <w:rsid w:val="00013EA5"/>
    <w:rsid w:val="00014712"/>
    <w:rsid w:val="000147B3"/>
    <w:rsid w:val="00014812"/>
    <w:rsid w:val="00014B54"/>
    <w:rsid w:val="00015366"/>
    <w:rsid w:val="000157F5"/>
    <w:rsid w:val="00015877"/>
    <w:rsid w:val="00015BC3"/>
    <w:rsid w:val="00015BF7"/>
    <w:rsid w:val="00015E1F"/>
    <w:rsid w:val="0001606F"/>
    <w:rsid w:val="000172F8"/>
    <w:rsid w:val="00017461"/>
    <w:rsid w:val="00017CFA"/>
    <w:rsid w:val="00020288"/>
    <w:rsid w:val="00020DB1"/>
    <w:rsid w:val="00020ECF"/>
    <w:rsid w:val="00021801"/>
    <w:rsid w:val="00021A2F"/>
    <w:rsid w:val="000223C5"/>
    <w:rsid w:val="000223FD"/>
    <w:rsid w:val="0002267A"/>
    <w:rsid w:val="00022A2D"/>
    <w:rsid w:val="000232E9"/>
    <w:rsid w:val="000232F4"/>
    <w:rsid w:val="000238B2"/>
    <w:rsid w:val="00023E2B"/>
    <w:rsid w:val="0002437B"/>
    <w:rsid w:val="00024BDE"/>
    <w:rsid w:val="00024C3B"/>
    <w:rsid w:val="00025137"/>
    <w:rsid w:val="000251B4"/>
    <w:rsid w:val="000264DD"/>
    <w:rsid w:val="00026D93"/>
    <w:rsid w:val="00026F87"/>
    <w:rsid w:val="000309F6"/>
    <w:rsid w:val="00030D78"/>
    <w:rsid w:val="00031797"/>
    <w:rsid w:val="000317BC"/>
    <w:rsid w:val="000327B8"/>
    <w:rsid w:val="000327C3"/>
    <w:rsid w:val="000328EF"/>
    <w:rsid w:val="000329D3"/>
    <w:rsid w:val="0003330D"/>
    <w:rsid w:val="000335BE"/>
    <w:rsid w:val="00033656"/>
    <w:rsid w:val="00033904"/>
    <w:rsid w:val="00034872"/>
    <w:rsid w:val="00034AA9"/>
    <w:rsid w:val="00034D96"/>
    <w:rsid w:val="00035636"/>
    <w:rsid w:val="000358FF"/>
    <w:rsid w:val="0003661B"/>
    <w:rsid w:val="000376C1"/>
    <w:rsid w:val="00037874"/>
    <w:rsid w:val="00037887"/>
    <w:rsid w:val="0003794E"/>
    <w:rsid w:val="00037ADF"/>
    <w:rsid w:val="00037BE3"/>
    <w:rsid w:val="0004028F"/>
    <w:rsid w:val="00041008"/>
    <w:rsid w:val="0004159F"/>
    <w:rsid w:val="000416BC"/>
    <w:rsid w:val="00041DB7"/>
    <w:rsid w:val="00041E8E"/>
    <w:rsid w:val="0004203D"/>
    <w:rsid w:val="000422EA"/>
    <w:rsid w:val="0004239F"/>
    <w:rsid w:val="00042B7E"/>
    <w:rsid w:val="00042CEE"/>
    <w:rsid w:val="00043023"/>
    <w:rsid w:val="000433A9"/>
    <w:rsid w:val="000434F5"/>
    <w:rsid w:val="00043C85"/>
    <w:rsid w:val="00043D66"/>
    <w:rsid w:val="0004442A"/>
    <w:rsid w:val="0004447C"/>
    <w:rsid w:val="00044DDC"/>
    <w:rsid w:val="00045828"/>
    <w:rsid w:val="00045971"/>
    <w:rsid w:val="00045A69"/>
    <w:rsid w:val="00045B96"/>
    <w:rsid w:val="00045BB8"/>
    <w:rsid w:val="000503F4"/>
    <w:rsid w:val="00050A2F"/>
    <w:rsid w:val="00050B49"/>
    <w:rsid w:val="00050F66"/>
    <w:rsid w:val="0005100C"/>
    <w:rsid w:val="00051B67"/>
    <w:rsid w:val="00051CCA"/>
    <w:rsid w:val="00051DAC"/>
    <w:rsid w:val="000529FB"/>
    <w:rsid w:val="00052C00"/>
    <w:rsid w:val="00053480"/>
    <w:rsid w:val="00053AF2"/>
    <w:rsid w:val="00053B80"/>
    <w:rsid w:val="00054118"/>
    <w:rsid w:val="00054A9F"/>
    <w:rsid w:val="00054D53"/>
    <w:rsid w:val="00055FEB"/>
    <w:rsid w:val="0005602B"/>
    <w:rsid w:val="000560A9"/>
    <w:rsid w:val="0005684E"/>
    <w:rsid w:val="00056AB5"/>
    <w:rsid w:val="00057000"/>
    <w:rsid w:val="00057306"/>
    <w:rsid w:val="0005745B"/>
    <w:rsid w:val="00057790"/>
    <w:rsid w:val="00057FE5"/>
    <w:rsid w:val="00060191"/>
    <w:rsid w:val="00060913"/>
    <w:rsid w:val="000610CA"/>
    <w:rsid w:val="0006152E"/>
    <w:rsid w:val="00061AF3"/>
    <w:rsid w:val="000621DC"/>
    <w:rsid w:val="000629B8"/>
    <w:rsid w:val="00062C33"/>
    <w:rsid w:val="0006301D"/>
    <w:rsid w:val="00063335"/>
    <w:rsid w:val="00064258"/>
    <w:rsid w:val="000645AB"/>
    <w:rsid w:val="000648D4"/>
    <w:rsid w:val="00065369"/>
    <w:rsid w:val="000657F6"/>
    <w:rsid w:val="0006609B"/>
    <w:rsid w:val="000662C5"/>
    <w:rsid w:val="000663C6"/>
    <w:rsid w:val="00066430"/>
    <w:rsid w:val="00066912"/>
    <w:rsid w:val="00066CEC"/>
    <w:rsid w:val="00067A90"/>
    <w:rsid w:val="00067AF0"/>
    <w:rsid w:val="00067EEA"/>
    <w:rsid w:val="000702B2"/>
    <w:rsid w:val="00070623"/>
    <w:rsid w:val="0007077D"/>
    <w:rsid w:val="00070CB4"/>
    <w:rsid w:val="000712D5"/>
    <w:rsid w:val="00071507"/>
    <w:rsid w:val="00071A2B"/>
    <w:rsid w:val="00071FBC"/>
    <w:rsid w:val="000725A2"/>
    <w:rsid w:val="000728D8"/>
    <w:rsid w:val="00072B49"/>
    <w:rsid w:val="00072B86"/>
    <w:rsid w:val="00073901"/>
    <w:rsid w:val="00073964"/>
    <w:rsid w:val="000746D1"/>
    <w:rsid w:val="0007527D"/>
    <w:rsid w:val="00075420"/>
    <w:rsid w:val="000757CD"/>
    <w:rsid w:val="000767AC"/>
    <w:rsid w:val="00076FA2"/>
    <w:rsid w:val="0007799E"/>
    <w:rsid w:val="00077D14"/>
    <w:rsid w:val="00077ED8"/>
    <w:rsid w:val="0008033B"/>
    <w:rsid w:val="000804D0"/>
    <w:rsid w:val="000808F9"/>
    <w:rsid w:val="00080C85"/>
    <w:rsid w:val="00081761"/>
    <w:rsid w:val="0008260E"/>
    <w:rsid w:val="000827ED"/>
    <w:rsid w:val="0008373A"/>
    <w:rsid w:val="0008373E"/>
    <w:rsid w:val="00083744"/>
    <w:rsid w:val="00083F9A"/>
    <w:rsid w:val="00084B37"/>
    <w:rsid w:val="0008556B"/>
    <w:rsid w:val="000870B9"/>
    <w:rsid w:val="00090AF9"/>
    <w:rsid w:val="00091A3C"/>
    <w:rsid w:val="000922EC"/>
    <w:rsid w:val="000925B9"/>
    <w:rsid w:val="00092F2C"/>
    <w:rsid w:val="00093309"/>
    <w:rsid w:val="0009464E"/>
    <w:rsid w:val="0009530F"/>
    <w:rsid w:val="00095858"/>
    <w:rsid w:val="00095F01"/>
    <w:rsid w:val="000962BA"/>
    <w:rsid w:val="000965B3"/>
    <w:rsid w:val="00096773"/>
    <w:rsid w:val="000969BC"/>
    <w:rsid w:val="000969F9"/>
    <w:rsid w:val="00096C76"/>
    <w:rsid w:val="00096F51"/>
    <w:rsid w:val="000976DB"/>
    <w:rsid w:val="000A006A"/>
    <w:rsid w:val="000A01D6"/>
    <w:rsid w:val="000A26ED"/>
    <w:rsid w:val="000A3157"/>
    <w:rsid w:val="000A39C3"/>
    <w:rsid w:val="000A3EB3"/>
    <w:rsid w:val="000A42FE"/>
    <w:rsid w:val="000A4665"/>
    <w:rsid w:val="000A52A2"/>
    <w:rsid w:val="000A65F6"/>
    <w:rsid w:val="000A6757"/>
    <w:rsid w:val="000A6D5E"/>
    <w:rsid w:val="000A7545"/>
    <w:rsid w:val="000A7675"/>
    <w:rsid w:val="000A7877"/>
    <w:rsid w:val="000B062B"/>
    <w:rsid w:val="000B0BDE"/>
    <w:rsid w:val="000B129E"/>
    <w:rsid w:val="000B12BF"/>
    <w:rsid w:val="000B1828"/>
    <w:rsid w:val="000B2365"/>
    <w:rsid w:val="000B2AF1"/>
    <w:rsid w:val="000B2C45"/>
    <w:rsid w:val="000B2DD4"/>
    <w:rsid w:val="000B3B94"/>
    <w:rsid w:val="000B3E5E"/>
    <w:rsid w:val="000B4C9E"/>
    <w:rsid w:val="000B52D6"/>
    <w:rsid w:val="000B52F3"/>
    <w:rsid w:val="000B59F2"/>
    <w:rsid w:val="000B6139"/>
    <w:rsid w:val="000B6D86"/>
    <w:rsid w:val="000B70D7"/>
    <w:rsid w:val="000B7AE7"/>
    <w:rsid w:val="000C02F9"/>
    <w:rsid w:val="000C061A"/>
    <w:rsid w:val="000C0774"/>
    <w:rsid w:val="000C1281"/>
    <w:rsid w:val="000C2611"/>
    <w:rsid w:val="000C31C6"/>
    <w:rsid w:val="000C3693"/>
    <w:rsid w:val="000C38AF"/>
    <w:rsid w:val="000C42AD"/>
    <w:rsid w:val="000C561C"/>
    <w:rsid w:val="000C5AC9"/>
    <w:rsid w:val="000C5C54"/>
    <w:rsid w:val="000C6AFC"/>
    <w:rsid w:val="000C711E"/>
    <w:rsid w:val="000C74E0"/>
    <w:rsid w:val="000C75C8"/>
    <w:rsid w:val="000C7881"/>
    <w:rsid w:val="000C78CA"/>
    <w:rsid w:val="000C7E9E"/>
    <w:rsid w:val="000D06AF"/>
    <w:rsid w:val="000D07B5"/>
    <w:rsid w:val="000D0E55"/>
    <w:rsid w:val="000D14D3"/>
    <w:rsid w:val="000D1775"/>
    <w:rsid w:val="000D2219"/>
    <w:rsid w:val="000D2934"/>
    <w:rsid w:val="000D2C40"/>
    <w:rsid w:val="000D4770"/>
    <w:rsid w:val="000D4D3C"/>
    <w:rsid w:val="000D4D8D"/>
    <w:rsid w:val="000D4F8F"/>
    <w:rsid w:val="000D5D1F"/>
    <w:rsid w:val="000D6D0B"/>
    <w:rsid w:val="000D6D73"/>
    <w:rsid w:val="000D73B1"/>
    <w:rsid w:val="000D78D6"/>
    <w:rsid w:val="000E0286"/>
    <w:rsid w:val="000E0305"/>
    <w:rsid w:val="000E15DB"/>
    <w:rsid w:val="000E1732"/>
    <w:rsid w:val="000E19EB"/>
    <w:rsid w:val="000E1A56"/>
    <w:rsid w:val="000E1A9A"/>
    <w:rsid w:val="000E31F1"/>
    <w:rsid w:val="000E366A"/>
    <w:rsid w:val="000E3DA6"/>
    <w:rsid w:val="000E408D"/>
    <w:rsid w:val="000E489B"/>
    <w:rsid w:val="000E4FC3"/>
    <w:rsid w:val="000E558F"/>
    <w:rsid w:val="000E56F0"/>
    <w:rsid w:val="000E5C45"/>
    <w:rsid w:val="000E5CCA"/>
    <w:rsid w:val="000E5E07"/>
    <w:rsid w:val="000E5E42"/>
    <w:rsid w:val="000E6108"/>
    <w:rsid w:val="000E6E72"/>
    <w:rsid w:val="000E79A2"/>
    <w:rsid w:val="000E7A6C"/>
    <w:rsid w:val="000E7E9F"/>
    <w:rsid w:val="000E7F66"/>
    <w:rsid w:val="000F0381"/>
    <w:rsid w:val="000F0857"/>
    <w:rsid w:val="000F08F2"/>
    <w:rsid w:val="000F1092"/>
    <w:rsid w:val="000F115F"/>
    <w:rsid w:val="000F1ADB"/>
    <w:rsid w:val="000F24B3"/>
    <w:rsid w:val="000F2A77"/>
    <w:rsid w:val="000F388C"/>
    <w:rsid w:val="000F3DBC"/>
    <w:rsid w:val="000F4008"/>
    <w:rsid w:val="000F4009"/>
    <w:rsid w:val="000F5C23"/>
    <w:rsid w:val="000F60DF"/>
    <w:rsid w:val="001012A0"/>
    <w:rsid w:val="00102163"/>
    <w:rsid w:val="0010285C"/>
    <w:rsid w:val="00102A6B"/>
    <w:rsid w:val="00102B5E"/>
    <w:rsid w:val="00103D64"/>
    <w:rsid w:val="00103F10"/>
    <w:rsid w:val="00103F2A"/>
    <w:rsid w:val="00104F43"/>
    <w:rsid w:val="0010639C"/>
    <w:rsid w:val="00106C53"/>
    <w:rsid w:val="00107EB3"/>
    <w:rsid w:val="00107F13"/>
    <w:rsid w:val="00110192"/>
    <w:rsid w:val="00110A05"/>
    <w:rsid w:val="00110C36"/>
    <w:rsid w:val="00110EC5"/>
    <w:rsid w:val="00111DF2"/>
    <w:rsid w:val="001122D7"/>
    <w:rsid w:val="001123F5"/>
    <w:rsid w:val="001125D9"/>
    <w:rsid w:val="00112682"/>
    <w:rsid w:val="00113C4E"/>
    <w:rsid w:val="00113FF6"/>
    <w:rsid w:val="001144FC"/>
    <w:rsid w:val="00114CB8"/>
    <w:rsid w:val="00114FC9"/>
    <w:rsid w:val="00115091"/>
    <w:rsid w:val="0011545F"/>
    <w:rsid w:val="001158CD"/>
    <w:rsid w:val="00115CE1"/>
    <w:rsid w:val="00115D2B"/>
    <w:rsid w:val="001160AB"/>
    <w:rsid w:val="001165B1"/>
    <w:rsid w:val="00117746"/>
    <w:rsid w:val="00117A8C"/>
    <w:rsid w:val="00117F94"/>
    <w:rsid w:val="0012022A"/>
    <w:rsid w:val="00120437"/>
    <w:rsid w:val="001204CD"/>
    <w:rsid w:val="00120561"/>
    <w:rsid w:val="0012058D"/>
    <w:rsid w:val="0012062A"/>
    <w:rsid w:val="00120A6C"/>
    <w:rsid w:val="00121699"/>
    <w:rsid w:val="00122A6D"/>
    <w:rsid w:val="00122C90"/>
    <w:rsid w:val="00122D61"/>
    <w:rsid w:val="0012336F"/>
    <w:rsid w:val="00123A66"/>
    <w:rsid w:val="00123E9C"/>
    <w:rsid w:val="001241B5"/>
    <w:rsid w:val="00124996"/>
    <w:rsid w:val="0012547A"/>
    <w:rsid w:val="00126933"/>
    <w:rsid w:val="00127349"/>
    <w:rsid w:val="00127498"/>
    <w:rsid w:val="0012775E"/>
    <w:rsid w:val="0013043A"/>
    <w:rsid w:val="00130E26"/>
    <w:rsid w:val="0013124E"/>
    <w:rsid w:val="00131920"/>
    <w:rsid w:val="00131976"/>
    <w:rsid w:val="00131A71"/>
    <w:rsid w:val="001321D7"/>
    <w:rsid w:val="0013295E"/>
    <w:rsid w:val="00132E3C"/>
    <w:rsid w:val="00134306"/>
    <w:rsid w:val="00134406"/>
    <w:rsid w:val="0013497E"/>
    <w:rsid w:val="001349D3"/>
    <w:rsid w:val="00135689"/>
    <w:rsid w:val="00135981"/>
    <w:rsid w:val="00135B8A"/>
    <w:rsid w:val="00135D95"/>
    <w:rsid w:val="00136528"/>
    <w:rsid w:val="00136A22"/>
    <w:rsid w:val="00136F19"/>
    <w:rsid w:val="001372D1"/>
    <w:rsid w:val="0013759C"/>
    <w:rsid w:val="001400F9"/>
    <w:rsid w:val="00140613"/>
    <w:rsid w:val="0014086F"/>
    <w:rsid w:val="00141AB4"/>
    <w:rsid w:val="00141B0A"/>
    <w:rsid w:val="00142565"/>
    <w:rsid w:val="00142CB7"/>
    <w:rsid w:val="00142EEC"/>
    <w:rsid w:val="00142F36"/>
    <w:rsid w:val="00142F5F"/>
    <w:rsid w:val="0014309A"/>
    <w:rsid w:val="001432F3"/>
    <w:rsid w:val="00143739"/>
    <w:rsid w:val="00143EE1"/>
    <w:rsid w:val="00144057"/>
    <w:rsid w:val="00144086"/>
    <w:rsid w:val="00144E55"/>
    <w:rsid w:val="00145BF8"/>
    <w:rsid w:val="00145FF0"/>
    <w:rsid w:val="001469AB"/>
    <w:rsid w:val="00146D36"/>
    <w:rsid w:val="001470A0"/>
    <w:rsid w:val="0014717E"/>
    <w:rsid w:val="0015057B"/>
    <w:rsid w:val="00150938"/>
    <w:rsid w:val="00150EAD"/>
    <w:rsid w:val="00150FA0"/>
    <w:rsid w:val="00151B03"/>
    <w:rsid w:val="00151C54"/>
    <w:rsid w:val="00153032"/>
    <w:rsid w:val="00153300"/>
    <w:rsid w:val="00153999"/>
    <w:rsid w:val="001542B7"/>
    <w:rsid w:val="001542EC"/>
    <w:rsid w:val="001543FA"/>
    <w:rsid w:val="0015468C"/>
    <w:rsid w:val="00154CDB"/>
    <w:rsid w:val="00154FAF"/>
    <w:rsid w:val="00155159"/>
    <w:rsid w:val="001551F0"/>
    <w:rsid w:val="00155C1B"/>
    <w:rsid w:val="00155DD7"/>
    <w:rsid w:val="001565F2"/>
    <w:rsid w:val="0015710C"/>
    <w:rsid w:val="00157262"/>
    <w:rsid w:val="00157CDC"/>
    <w:rsid w:val="00157E68"/>
    <w:rsid w:val="00160072"/>
    <w:rsid w:val="00160325"/>
    <w:rsid w:val="00160D5B"/>
    <w:rsid w:val="001612D1"/>
    <w:rsid w:val="00161659"/>
    <w:rsid w:val="00161CE2"/>
    <w:rsid w:val="001621E0"/>
    <w:rsid w:val="00162994"/>
    <w:rsid w:val="001632FE"/>
    <w:rsid w:val="001634A4"/>
    <w:rsid w:val="00163C0C"/>
    <w:rsid w:val="001643B7"/>
    <w:rsid w:val="00164E72"/>
    <w:rsid w:val="00165345"/>
    <w:rsid w:val="00165BDC"/>
    <w:rsid w:val="001660A6"/>
    <w:rsid w:val="00166918"/>
    <w:rsid w:val="001669D6"/>
    <w:rsid w:val="00167973"/>
    <w:rsid w:val="00170DA9"/>
    <w:rsid w:val="00170F02"/>
    <w:rsid w:val="0017134C"/>
    <w:rsid w:val="00171ED3"/>
    <w:rsid w:val="0017232E"/>
    <w:rsid w:val="00172470"/>
    <w:rsid w:val="00172D38"/>
    <w:rsid w:val="00172E95"/>
    <w:rsid w:val="0017325A"/>
    <w:rsid w:val="00173546"/>
    <w:rsid w:val="0017365C"/>
    <w:rsid w:val="00173A13"/>
    <w:rsid w:val="00173A7E"/>
    <w:rsid w:val="00173C3F"/>
    <w:rsid w:val="001746B7"/>
    <w:rsid w:val="00174B0C"/>
    <w:rsid w:val="00175BD8"/>
    <w:rsid w:val="00175CF4"/>
    <w:rsid w:val="00176188"/>
    <w:rsid w:val="00176765"/>
    <w:rsid w:val="00176E26"/>
    <w:rsid w:val="00180584"/>
    <w:rsid w:val="00180DEF"/>
    <w:rsid w:val="001813AC"/>
    <w:rsid w:val="00181C72"/>
    <w:rsid w:val="00181F14"/>
    <w:rsid w:val="00181F9A"/>
    <w:rsid w:val="00182208"/>
    <w:rsid w:val="0018228A"/>
    <w:rsid w:val="00182E3C"/>
    <w:rsid w:val="00183300"/>
    <w:rsid w:val="00183674"/>
    <w:rsid w:val="00183D90"/>
    <w:rsid w:val="00184106"/>
    <w:rsid w:val="001859E0"/>
    <w:rsid w:val="00185EE0"/>
    <w:rsid w:val="00186B2A"/>
    <w:rsid w:val="00187BFB"/>
    <w:rsid w:val="00190282"/>
    <w:rsid w:val="001909F7"/>
    <w:rsid w:val="00190CCF"/>
    <w:rsid w:val="00191689"/>
    <w:rsid w:val="001916F6"/>
    <w:rsid w:val="00191B90"/>
    <w:rsid w:val="00191EF7"/>
    <w:rsid w:val="00192375"/>
    <w:rsid w:val="0019336C"/>
    <w:rsid w:val="00193855"/>
    <w:rsid w:val="00193D42"/>
    <w:rsid w:val="00194651"/>
    <w:rsid w:val="0019475B"/>
    <w:rsid w:val="001948D3"/>
    <w:rsid w:val="00194DE3"/>
    <w:rsid w:val="00194F7D"/>
    <w:rsid w:val="0019535D"/>
    <w:rsid w:val="00195439"/>
    <w:rsid w:val="001955C8"/>
    <w:rsid w:val="0019694F"/>
    <w:rsid w:val="0019779D"/>
    <w:rsid w:val="001977BB"/>
    <w:rsid w:val="00197B1C"/>
    <w:rsid w:val="001A0017"/>
    <w:rsid w:val="001A0904"/>
    <w:rsid w:val="001A0986"/>
    <w:rsid w:val="001A0C2E"/>
    <w:rsid w:val="001A1272"/>
    <w:rsid w:val="001A1275"/>
    <w:rsid w:val="001A17B2"/>
    <w:rsid w:val="001A2574"/>
    <w:rsid w:val="001A275D"/>
    <w:rsid w:val="001A2F80"/>
    <w:rsid w:val="001A2F90"/>
    <w:rsid w:val="001A31CA"/>
    <w:rsid w:val="001A3338"/>
    <w:rsid w:val="001A451F"/>
    <w:rsid w:val="001A46D7"/>
    <w:rsid w:val="001A4AA7"/>
    <w:rsid w:val="001A4CCA"/>
    <w:rsid w:val="001A4E7E"/>
    <w:rsid w:val="001A4EE4"/>
    <w:rsid w:val="001A50E6"/>
    <w:rsid w:val="001A52C1"/>
    <w:rsid w:val="001A53A1"/>
    <w:rsid w:val="001A57C4"/>
    <w:rsid w:val="001A5AED"/>
    <w:rsid w:val="001A5CE3"/>
    <w:rsid w:val="001A5F80"/>
    <w:rsid w:val="001A68B2"/>
    <w:rsid w:val="001A6D98"/>
    <w:rsid w:val="001A7089"/>
    <w:rsid w:val="001A741F"/>
    <w:rsid w:val="001B0881"/>
    <w:rsid w:val="001B136C"/>
    <w:rsid w:val="001B1553"/>
    <w:rsid w:val="001B165A"/>
    <w:rsid w:val="001B16C2"/>
    <w:rsid w:val="001B1759"/>
    <w:rsid w:val="001B1BAC"/>
    <w:rsid w:val="001B2D83"/>
    <w:rsid w:val="001B30C9"/>
    <w:rsid w:val="001B3605"/>
    <w:rsid w:val="001B377E"/>
    <w:rsid w:val="001B3C86"/>
    <w:rsid w:val="001B3F87"/>
    <w:rsid w:val="001B4328"/>
    <w:rsid w:val="001B4846"/>
    <w:rsid w:val="001B5715"/>
    <w:rsid w:val="001B5870"/>
    <w:rsid w:val="001B5D1C"/>
    <w:rsid w:val="001B6411"/>
    <w:rsid w:val="001B7FC8"/>
    <w:rsid w:val="001C0574"/>
    <w:rsid w:val="001C09FB"/>
    <w:rsid w:val="001C120A"/>
    <w:rsid w:val="001C1718"/>
    <w:rsid w:val="001C2464"/>
    <w:rsid w:val="001C25AD"/>
    <w:rsid w:val="001C2742"/>
    <w:rsid w:val="001C2AA6"/>
    <w:rsid w:val="001C35B8"/>
    <w:rsid w:val="001C3786"/>
    <w:rsid w:val="001C4062"/>
    <w:rsid w:val="001C467D"/>
    <w:rsid w:val="001C4834"/>
    <w:rsid w:val="001C4839"/>
    <w:rsid w:val="001C48C0"/>
    <w:rsid w:val="001C4B37"/>
    <w:rsid w:val="001C4C36"/>
    <w:rsid w:val="001C4FB8"/>
    <w:rsid w:val="001C5E1E"/>
    <w:rsid w:val="001C5ECC"/>
    <w:rsid w:val="001C6AB3"/>
    <w:rsid w:val="001C6D0F"/>
    <w:rsid w:val="001C7988"/>
    <w:rsid w:val="001C7A46"/>
    <w:rsid w:val="001D006D"/>
    <w:rsid w:val="001D1104"/>
    <w:rsid w:val="001D111C"/>
    <w:rsid w:val="001D11A4"/>
    <w:rsid w:val="001D273D"/>
    <w:rsid w:val="001D27CB"/>
    <w:rsid w:val="001D2FC0"/>
    <w:rsid w:val="001D3214"/>
    <w:rsid w:val="001D3356"/>
    <w:rsid w:val="001D3B7D"/>
    <w:rsid w:val="001D3B7E"/>
    <w:rsid w:val="001D446D"/>
    <w:rsid w:val="001D4B31"/>
    <w:rsid w:val="001D4D62"/>
    <w:rsid w:val="001D4D86"/>
    <w:rsid w:val="001D4EFD"/>
    <w:rsid w:val="001D52CB"/>
    <w:rsid w:val="001D5FE3"/>
    <w:rsid w:val="001D6A8D"/>
    <w:rsid w:val="001D6D20"/>
    <w:rsid w:val="001D75D2"/>
    <w:rsid w:val="001E0268"/>
    <w:rsid w:val="001E0892"/>
    <w:rsid w:val="001E13D2"/>
    <w:rsid w:val="001E1A14"/>
    <w:rsid w:val="001E2931"/>
    <w:rsid w:val="001E3D7C"/>
    <w:rsid w:val="001E3DF5"/>
    <w:rsid w:val="001E3F8E"/>
    <w:rsid w:val="001E4E9C"/>
    <w:rsid w:val="001E4F3B"/>
    <w:rsid w:val="001E58C4"/>
    <w:rsid w:val="001E6489"/>
    <w:rsid w:val="001E6727"/>
    <w:rsid w:val="001E6AB9"/>
    <w:rsid w:val="001E7452"/>
    <w:rsid w:val="001E75D2"/>
    <w:rsid w:val="001F0B88"/>
    <w:rsid w:val="001F10EE"/>
    <w:rsid w:val="001F159A"/>
    <w:rsid w:val="001F1612"/>
    <w:rsid w:val="001F161A"/>
    <w:rsid w:val="001F199E"/>
    <w:rsid w:val="001F1C18"/>
    <w:rsid w:val="001F2036"/>
    <w:rsid w:val="001F2208"/>
    <w:rsid w:val="001F4171"/>
    <w:rsid w:val="001F43F9"/>
    <w:rsid w:val="001F443E"/>
    <w:rsid w:val="001F4741"/>
    <w:rsid w:val="001F47AF"/>
    <w:rsid w:val="001F498F"/>
    <w:rsid w:val="001F49C5"/>
    <w:rsid w:val="001F4F03"/>
    <w:rsid w:val="001F5A48"/>
    <w:rsid w:val="001F63A7"/>
    <w:rsid w:val="001F6B10"/>
    <w:rsid w:val="001F6DBC"/>
    <w:rsid w:val="001F73C8"/>
    <w:rsid w:val="001F76C4"/>
    <w:rsid w:val="001F78F9"/>
    <w:rsid w:val="001F799E"/>
    <w:rsid w:val="0020004E"/>
    <w:rsid w:val="00200DFE"/>
    <w:rsid w:val="00200F82"/>
    <w:rsid w:val="00201812"/>
    <w:rsid w:val="00201E3A"/>
    <w:rsid w:val="00202538"/>
    <w:rsid w:val="002029E4"/>
    <w:rsid w:val="00203AAB"/>
    <w:rsid w:val="00203EAF"/>
    <w:rsid w:val="002049B4"/>
    <w:rsid w:val="0020525F"/>
    <w:rsid w:val="002064B8"/>
    <w:rsid w:val="0020686D"/>
    <w:rsid w:val="00206E7B"/>
    <w:rsid w:val="0020712E"/>
    <w:rsid w:val="00207916"/>
    <w:rsid w:val="002104B3"/>
    <w:rsid w:val="00210501"/>
    <w:rsid w:val="002105D0"/>
    <w:rsid w:val="002108EB"/>
    <w:rsid w:val="00210B49"/>
    <w:rsid w:val="00211400"/>
    <w:rsid w:val="0021159D"/>
    <w:rsid w:val="00211C78"/>
    <w:rsid w:val="00212387"/>
    <w:rsid w:val="00212B53"/>
    <w:rsid w:val="002130F0"/>
    <w:rsid w:val="00213729"/>
    <w:rsid w:val="00214E96"/>
    <w:rsid w:val="00215909"/>
    <w:rsid w:val="00215973"/>
    <w:rsid w:val="00215E50"/>
    <w:rsid w:val="0021754B"/>
    <w:rsid w:val="00217868"/>
    <w:rsid w:val="00217BA4"/>
    <w:rsid w:val="00220564"/>
    <w:rsid w:val="00220D36"/>
    <w:rsid w:val="0022182A"/>
    <w:rsid w:val="00221D58"/>
    <w:rsid w:val="00222239"/>
    <w:rsid w:val="002225A2"/>
    <w:rsid w:val="00222894"/>
    <w:rsid w:val="002229CB"/>
    <w:rsid w:val="00222C55"/>
    <w:rsid w:val="00222C83"/>
    <w:rsid w:val="00222EFA"/>
    <w:rsid w:val="0022335F"/>
    <w:rsid w:val="00224D28"/>
    <w:rsid w:val="0022510C"/>
    <w:rsid w:val="00225718"/>
    <w:rsid w:val="00225775"/>
    <w:rsid w:val="00225B66"/>
    <w:rsid w:val="00226168"/>
    <w:rsid w:val="0022645F"/>
    <w:rsid w:val="002268D4"/>
    <w:rsid w:val="0022692A"/>
    <w:rsid w:val="00227AFC"/>
    <w:rsid w:val="0023032E"/>
    <w:rsid w:val="00230350"/>
    <w:rsid w:val="00230947"/>
    <w:rsid w:val="00231747"/>
    <w:rsid w:val="00232EF1"/>
    <w:rsid w:val="00232FC1"/>
    <w:rsid w:val="00233555"/>
    <w:rsid w:val="00233797"/>
    <w:rsid w:val="002338FC"/>
    <w:rsid w:val="0023483F"/>
    <w:rsid w:val="00234924"/>
    <w:rsid w:val="00234C55"/>
    <w:rsid w:val="00235124"/>
    <w:rsid w:val="0023571A"/>
    <w:rsid w:val="002359CC"/>
    <w:rsid w:val="00235AF8"/>
    <w:rsid w:val="0023608A"/>
    <w:rsid w:val="002365E5"/>
    <w:rsid w:val="00236D18"/>
    <w:rsid w:val="00237244"/>
    <w:rsid w:val="00237649"/>
    <w:rsid w:val="002378A0"/>
    <w:rsid w:val="002404D9"/>
    <w:rsid w:val="0024066C"/>
    <w:rsid w:val="00240D6D"/>
    <w:rsid w:val="00240DE2"/>
    <w:rsid w:val="00240E83"/>
    <w:rsid w:val="00240F64"/>
    <w:rsid w:val="00241281"/>
    <w:rsid w:val="0024213C"/>
    <w:rsid w:val="00242990"/>
    <w:rsid w:val="002430F7"/>
    <w:rsid w:val="00243284"/>
    <w:rsid w:val="00243932"/>
    <w:rsid w:val="002439C5"/>
    <w:rsid w:val="00243CC1"/>
    <w:rsid w:val="00244005"/>
    <w:rsid w:val="00244CD8"/>
    <w:rsid w:val="0024504B"/>
    <w:rsid w:val="00245464"/>
    <w:rsid w:val="00245CBE"/>
    <w:rsid w:val="0024611E"/>
    <w:rsid w:val="00246627"/>
    <w:rsid w:val="00246C5A"/>
    <w:rsid w:val="002474F8"/>
    <w:rsid w:val="00247F03"/>
    <w:rsid w:val="0025093C"/>
    <w:rsid w:val="00250E51"/>
    <w:rsid w:val="00252552"/>
    <w:rsid w:val="0025289A"/>
    <w:rsid w:val="002528F9"/>
    <w:rsid w:val="00252E87"/>
    <w:rsid w:val="0025323B"/>
    <w:rsid w:val="002532D0"/>
    <w:rsid w:val="00253870"/>
    <w:rsid w:val="002538FA"/>
    <w:rsid w:val="00253D74"/>
    <w:rsid w:val="00253D75"/>
    <w:rsid w:val="002546DE"/>
    <w:rsid w:val="002549D7"/>
    <w:rsid w:val="00255AA0"/>
    <w:rsid w:val="00255C4A"/>
    <w:rsid w:val="00255EFC"/>
    <w:rsid w:val="00255FBD"/>
    <w:rsid w:val="00256140"/>
    <w:rsid w:val="002568AA"/>
    <w:rsid w:val="002570E8"/>
    <w:rsid w:val="00257359"/>
    <w:rsid w:val="00257381"/>
    <w:rsid w:val="002573BE"/>
    <w:rsid w:val="00257B1E"/>
    <w:rsid w:val="00257C25"/>
    <w:rsid w:val="00260199"/>
    <w:rsid w:val="00260D6B"/>
    <w:rsid w:val="00261027"/>
    <w:rsid w:val="0026139F"/>
    <w:rsid w:val="00261AA2"/>
    <w:rsid w:val="00261F2A"/>
    <w:rsid w:val="00262417"/>
    <w:rsid w:val="002627BF"/>
    <w:rsid w:val="002639A1"/>
    <w:rsid w:val="002659C1"/>
    <w:rsid w:val="00265D77"/>
    <w:rsid w:val="002675B0"/>
    <w:rsid w:val="00267780"/>
    <w:rsid w:val="00267B1F"/>
    <w:rsid w:val="00270A3F"/>
    <w:rsid w:val="00270FD1"/>
    <w:rsid w:val="00271262"/>
    <w:rsid w:val="002714BE"/>
    <w:rsid w:val="0027177B"/>
    <w:rsid w:val="0027191F"/>
    <w:rsid w:val="00271C2E"/>
    <w:rsid w:val="002721F2"/>
    <w:rsid w:val="0027224B"/>
    <w:rsid w:val="0027249D"/>
    <w:rsid w:val="0027287C"/>
    <w:rsid w:val="00273722"/>
    <w:rsid w:val="002737B5"/>
    <w:rsid w:val="002738F7"/>
    <w:rsid w:val="00273B9F"/>
    <w:rsid w:val="00273C11"/>
    <w:rsid w:val="002742A0"/>
    <w:rsid w:val="002746A0"/>
    <w:rsid w:val="00274EE4"/>
    <w:rsid w:val="002762F1"/>
    <w:rsid w:val="0027777B"/>
    <w:rsid w:val="00277AF4"/>
    <w:rsid w:val="00277E19"/>
    <w:rsid w:val="00280EE3"/>
    <w:rsid w:val="00281819"/>
    <w:rsid w:val="00282166"/>
    <w:rsid w:val="00283DD6"/>
    <w:rsid w:val="00284939"/>
    <w:rsid w:val="00284B1D"/>
    <w:rsid w:val="002853BE"/>
    <w:rsid w:val="00285ED0"/>
    <w:rsid w:val="002870E2"/>
    <w:rsid w:val="00287CBD"/>
    <w:rsid w:val="00287E9F"/>
    <w:rsid w:val="002900E9"/>
    <w:rsid w:val="00290E48"/>
    <w:rsid w:val="00291D16"/>
    <w:rsid w:val="00291D2B"/>
    <w:rsid w:val="00293001"/>
    <w:rsid w:val="00293DD2"/>
    <w:rsid w:val="002943CC"/>
    <w:rsid w:val="00294855"/>
    <w:rsid w:val="00294A6B"/>
    <w:rsid w:val="00294F4F"/>
    <w:rsid w:val="00296C45"/>
    <w:rsid w:val="00296D98"/>
    <w:rsid w:val="0029727D"/>
    <w:rsid w:val="00297AF0"/>
    <w:rsid w:val="00297B5B"/>
    <w:rsid w:val="00297D8B"/>
    <w:rsid w:val="00297D8C"/>
    <w:rsid w:val="00297E69"/>
    <w:rsid w:val="002A0D18"/>
    <w:rsid w:val="002A0D68"/>
    <w:rsid w:val="002A17BE"/>
    <w:rsid w:val="002A26F3"/>
    <w:rsid w:val="002A303D"/>
    <w:rsid w:val="002A3236"/>
    <w:rsid w:val="002A4AE5"/>
    <w:rsid w:val="002A500B"/>
    <w:rsid w:val="002A661A"/>
    <w:rsid w:val="002A6F9D"/>
    <w:rsid w:val="002B19FD"/>
    <w:rsid w:val="002B1DB3"/>
    <w:rsid w:val="002B1E63"/>
    <w:rsid w:val="002B2299"/>
    <w:rsid w:val="002B2798"/>
    <w:rsid w:val="002B2B1B"/>
    <w:rsid w:val="002B2B54"/>
    <w:rsid w:val="002B2E75"/>
    <w:rsid w:val="002B2EA0"/>
    <w:rsid w:val="002B38B3"/>
    <w:rsid w:val="002B4140"/>
    <w:rsid w:val="002B43FF"/>
    <w:rsid w:val="002B45E2"/>
    <w:rsid w:val="002B60E1"/>
    <w:rsid w:val="002B695E"/>
    <w:rsid w:val="002B73B4"/>
    <w:rsid w:val="002C0024"/>
    <w:rsid w:val="002C1000"/>
    <w:rsid w:val="002C177A"/>
    <w:rsid w:val="002C2031"/>
    <w:rsid w:val="002C23F2"/>
    <w:rsid w:val="002C27B3"/>
    <w:rsid w:val="002C2E3F"/>
    <w:rsid w:val="002C32ED"/>
    <w:rsid w:val="002C3B7E"/>
    <w:rsid w:val="002C421F"/>
    <w:rsid w:val="002C44DC"/>
    <w:rsid w:val="002C48B6"/>
    <w:rsid w:val="002C4E88"/>
    <w:rsid w:val="002C5153"/>
    <w:rsid w:val="002C5741"/>
    <w:rsid w:val="002C5DC0"/>
    <w:rsid w:val="002C6136"/>
    <w:rsid w:val="002C64AB"/>
    <w:rsid w:val="002C6824"/>
    <w:rsid w:val="002C6ADA"/>
    <w:rsid w:val="002C6DBA"/>
    <w:rsid w:val="002C7776"/>
    <w:rsid w:val="002D1361"/>
    <w:rsid w:val="002D162D"/>
    <w:rsid w:val="002D1987"/>
    <w:rsid w:val="002D25AF"/>
    <w:rsid w:val="002D271F"/>
    <w:rsid w:val="002D2972"/>
    <w:rsid w:val="002D2E45"/>
    <w:rsid w:val="002D33CA"/>
    <w:rsid w:val="002D3AF4"/>
    <w:rsid w:val="002D3CE5"/>
    <w:rsid w:val="002D3D38"/>
    <w:rsid w:val="002D41BA"/>
    <w:rsid w:val="002D5694"/>
    <w:rsid w:val="002D5D7B"/>
    <w:rsid w:val="002D5EFA"/>
    <w:rsid w:val="002D6517"/>
    <w:rsid w:val="002D6BB8"/>
    <w:rsid w:val="002D7B90"/>
    <w:rsid w:val="002D7CCF"/>
    <w:rsid w:val="002E0195"/>
    <w:rsid w:val="002E10DB"/>
    <w:rsid w:val="002E12AC"/>
    <w:rsid w:val="002E2282"/>
    <w:rsid w:val="002E269B"/>
    <w:rsid w:val="002E2819"/>
    <w:rsid w:val="002E3790"/>
    <w:rsid w:val="002E3E25"/>
    <w:rsid w:val="002E4063"/>
    <w:rsid w:val="002E4CA1"/>
    <w:rsid w:val="002E53DA"/>
    <w:rsid w:val="002E5AEE"/>
    <w:rsid w:val="002E5C44"/>
    <w:rsid w:val="002E6B4C"/>
    <w:rsid w:val="002E6BF5"/>
    <w:rsid w:val="002F16E9"/>
    <w:rsid w:val="002F1B35"/>
    <w:rsid w:val="002F23C1"/>
    <w:rsid w:val="002F2612"/>
    <w:rsid w:val="002F26F5"/>
    <w:rsid w:val="002F2E94"/>
    <w:rsid w:val="002F2F4C"/>
    <w:rsid w:val="002F3EB4"/>
    <w:rsid w:val="002F4394"/>
    <w:rsid w:val="002F45AD"/>
    <w:rsid w:val="002F489F"/>
    <w:rsid w:val="002F55B9"/>
    <w:rsid w:val="002F6285"/>
    <w:rsid w:val="002F6458"/>
    <w:rsid w:val="002F6D6A"/>
    <w:rsid w:val="002F71CA"/>
    <w:rsid w:val="002F7527"/>
    <w:rsid w:val="002F7749"/>
    <w:rsid w:val="002F7CC1"/>
    <w:rsid w:val="00300005"/>
    <w:rsid w:val="003002C0"/>
    <w:rsid w:val="00300437"/>
    <w:rsid w:val="003007BF"/>
    <w:rsid w:val="003015AF"/>
    <w:rsid w:val="00301CA6"/>
    <w:rsid w:val="00302220"/>
    <w:rsid w:val="00302525"/>
    <w:rsid w:val="003031B0"/>
    <w:rsid w:val="003037E9"/>
    <w:rsid w:val="00303CF5"/>
    <w:rsid w:val="0030458E"/>
    <w:rsid w:val="0030476B"/>
    <w:rsid w:val="00305514"/>
    <w:rsid w:val="0030614A"/>
    <w:rsid w:val="003064B1"/>
    <w:rsid w:val="00306FEB"/>
    <w:rsid w:val="003075B4"/>
    <w:rsid w:val="00307AC0"/>
    <w:rsid w:val="00307C71"/>
    <w:rsid w:val="00307D37"/>
    <w:rsid w:val="00310225"/>
    <w:rsid w:val="003109A2"/>
    <w:rsid w:val="0031113F"/>
    <w:rsid w:val="00312AD0"/>
    <w:rsid w:val="00312CF8"/>
    <w:rsid w:val="00312DE9"/>
    <w:rsid w:val="003132BC"/>
    <w:rsid w:val="00314146"/>
    <w:rsid w:val="00315009"/>
    <w:rsid w:val="00315014"/>
    <w:rsid w:val="00315347"/>
    <w:rsid w:val="00315EB7"/>
    <w:rsid w:val="0031619C"/>
    <w:rsid w:val="003162F0"/>
    <w:rsid w:val="00316826"/>
    <w:rsid w:val="003173B0"/>
    <w:rsid w:val="0031780F"/>
    <w:rsid w:val="003200E2"/>
    <w:rsid w:val="00320166"/>
    <w:rsid w:val="0032088E"/>
    <w:rsid w:val="003213D0"/>
    <w:rsid w:val="003228F6"/>
    <w:rsid w:val="00322AA5"/>
    <w:rsid w:val="00322DEE"/>
    <w:rsid w:val="00322EDD"/>
    <w:rsid w:val="003233E7"/>
    <w:rsid w:val="00323753"/>
    <w:rsid w:val="00323C0D"/>
    <w:rsid w:val="00323C25"/>
    <w:rsid w:val="00324752"/>
    <w:rsid w:val="003249A4"/>
    <w:rsid w:val="00324FCC"/>
    <w:rsid w:val="00326017"/>
    <w:rsid w:val="003260B3"/>
    <w:rsid w:val="0032622E"/>
    <w:rsid w:val="00326AE7"/>
    <w:rsid w:val="00326D26"/>
    <w:rsid w:val="003276A0"/>
    <w:rsid w:val="00327CD6"/>
    <w:rsid w:val="003302F3"/>
    <w:rsid w:val="0033071E"/>
    <w:rsid w:val="003310C8"/>
    <w:rsid w:val="0033140A"/>
    <w:rsid w:val="00332740"/>
    <w:rsid w:val="00333139"/>
    <w:rsid w:val="0033368E"/>
    <w:rsid w:val="00334157"/>
    <w:rsid w:val="00334690"/>
    <w:rsid w:val="00334CA9"/>
    <w:rsid w:val="00334D96"/>
    <w:rsid w:val="00334DF1"/>
    <w:rsid w:val="0033555E"/>
    <w:rsid w:val="00336056"/>
    <w:rsid w:val="0033639D"/>
    <w:rsid w:val="00336BC5"/>
    <w:rsid w:val="00337177"/>
    <w:rsid w:val="0033729F"/>
    <w:rsid w:val="003374C9"/>
    <w:rsid w:val="003376BA"/>
    <w:rsid w:val="0034012B"/>
    <w:rsid w:val="0034091A"/>
    <w:rsid w:val="003412A0"/>
    <w:rsid w:val="00341464"/>
    <w:rsid w:val="00341B0C"/>
    <w:rsid w:val="00341F69"/>
    <w:rsid w:val="00342E25"/>
    <w:rsid w:val="00343065"/>
    <w:rsid w:val="00343270"/>
    <w:rsid w:val="003434F0"/>
    <w:rsid w:val="00344097"/>
    <w:rsid w:val="0034414E"/>
    <w:rsid w:val="0034494F"/>
    <w:rsid w:val="00344B42"/>
    <w:rsid w:val="00344F33"/>
    <w:rsid w:val="0034562E"/>
    <w:rsid w:val="003460C0"/>
    <w:rsid w:val="0034613E"/>
    <w:rsid w:val="0034618E"/>
    <w:rsid w:val="0034647C"/>
    <w:rsid w:val="00346B7B"/>
    <w:rsid w:val="00346FBA"/>
    <w:rsid w:val="003470ED"/>
    <w:rsid w:val="00347AED"/>
    <w:rsid w:val="00350635"/>
    <w:rsid w:val="00351029"/>
    <w:rsid w:val="003515F2"/>
    <w:rsid w:val="003521DA"/>
    <w:rsid w:val="003529D1"/>
    <w:rsid w:val="00352B3E"/>
    <w:rsid w:val="00353447"/>
    <w:rsid w:val="00353971"/>
    <w:rsid w:val="00354366"/>
    <w:rsid w:val="003543BC"/>
    <w:rsid w:val="0035462D"/>
    <w:rsid w:val="00354B31"/>
    <w:rsid w:val="00354CA1"/>
    <w:rsid w:val="003555B2"/>
    <w:rsid w:val="00355733"/>
    <w:rsid w:val="00355E4A"/>
    <w:rsid w:val="00355EF1"/>
    <w:rsid w:val="003567B4"/>
    <w:rsid w:val="00356C92"/>
    <w:rsid w:val="0035721F"/>
    <w:rsid w:val="0035725B"/>
    <w:rsid w:val="00357368"/>
    <w:rsid w:val="00357DB2"/>
    <w:rsid w:val="00362FCC"/>
    <w:rsid w:val="003632F3"/>
    <w:rsid w:val="00364FB9"/>
    <w:rsid w:val="00365118"/>
    <w:rsid w:val="003659BC"/>
    <w:rsid w:val="00365B32"/>
    <w:rsid w:val="003666C5"/>
    <w:rsid w:val="00366F6C"/>
    <w:rsid w:val="00367A99"/>
    <w:rsid w:val="00367AE7"/>
    <w:rsid w:val="00367CFD"/>
    <w:rsid w:val="00370489"/>
    <w:rsid w:val="00370A30"/>
    <w:rsid w:val="003710C0"/>
    <w:rsid w:val="00371180"/>
    <w:rsid w:val="00372707"/>
    <w:rsid w:val="00372ADC"/>
    <w:rsid w:val="00372C1B"/>
    <w:rsid w:val="00372E7D"/>
    <w:rsid w:val="00372FF9"/>
    <w:rsid w:val="003733D5"/>
    <w:rsid w:val="003736DF"/>
    <w:rsid w:val="00373705"/>
    <w:rsid w:val="00373730"/>
    <w:rsid w:val="003746C9"/>
    <w:rsid w:val="00374A7E"/>
    <w:rsid w:val="00374B5A"/>
    <w:rsid w:val="00374DAE"/>
    <w:rsid w:val="00374F3F"/>
    <w:rsid w:val="0037501D"/>
    <w:rsid w:val="0037531E"/>
    <w:rsid w:val="0037547F"/>
    <w:rsid w:val="003755BE"/>
    <w:rsid w:val="0037603A"/>
    <w:rsid w:val="003760A2"/>
    <w:rsid w:val="00377173"/>
    <w:rsid w:val="00377794"/>
    <w:rsid w:val="0037782E"/>
    <w:rsid w:val="00377A73"/>
    <w:rsid w:val="00380283"/>
    <w:rsid w:val="00380AA5"/>
    <w:rsid w:val="003811AB"/>
    <w:rsid w:val="003815CC"/>
    <w:rsid w:val="00381CBD"/>
    <w:rsid w:val="003835ED"/>
    <w:rsid w:val="00383B06"/>
    <w:rsid w:val="0038473F"/>
    <w:rsid w:val="003847FB"/>
    <w:rsid w:val="00385639"/>
    <w:rsid w:val="0038579E"/>
    <w:rsid w:val="0038587E"/>
    <w:rsid w:val="003858ED"/>
    <w:rsid w:val="00385AED"/>
    <w:rsid w:val="003860EB"/>
    <w:rsid w:val="003863F7"/>
    <w:rsid w:val="003866D1"/>
    <w:rsid w:val="00386888"/>
    <w:rsid w:val="003869BF"/>
    <w:rsid w:val="003874BB"/>
    <w:rsid w:val="00387B76"/>
    <w:rsid w:val="00387E2E"/>
    <w:rsid w:val="003900FC"/>
    <w:rsid w:val="0039073C"/>
    <w:rsid w:val="00390AC1"/>
    <w:rsid w:val="00390CCA"/>
    <w:rsid w:val="00390E52"/>
    <w:rsid w:val="00391050"/>
    <w:rsid w:val="0039127F"/>
    <w:rsid w:val="00391A26"/>
    <w:rsid w:val="00391E60"/>
    <w:rsid w:val="00392304"/>
    <w:rsid w:val="0039288C"/>
    <w:rsid w:val="00392A09"/>
    <w:rsid w:val="003931D0"/>
    <w:rsid w:val="003936B1"/>
    <w:rsid w:val="0039453E"/>
    <w:rsid w:val="00394616"/>
    <w:rsid w:val="00394944"/>
    <w:rsid w:val="003949F5"/>
    <w:rsid w:val="0039557A"/>
    <w:rsid w:val="00395DCC"/>
    <w:rsid w:val="00396301"/>
    <w:rsid w:val="0039653C"/>
    <w:rsid w:val="00397955"/>
    <w:rsid w:val="00397E00"/>
    <w:rsid w:val="00397E81"/>
    <w:rsid w:val="00397EAD"/>
    <w:rsid w:val="003A00E2"/>
    <w:rsid w:val="003A0520"/>
    <w:rsid w:val="003A08A2"/>
    <w:rsid w:val="003A130E"/>
    <w:rsid w:val="003A1364"/>
    <w:rsid w:val="003A138F"/>
    <w:rsid w:val="003A1835"/>
    <w:rsid w:val="003A1A5C"/>
    <w:rsid w:val="003A2479"/>
    <w:rsid w:val="003A327E"/>
    <w:rsid w:val="003A3A60"/>
    <w:rsid w:val="003A3BC0"/>
    <w:rsid w:val="003A3F2D"/>
    <w:rsid w:val="003A4C0B"/>
    <w:rsid w:val="003A5063"/>
    <w:rsid w:val="003A51B2"/>
    <w:rsid w:val="003A554C"/>
    <w:rsid w:val="003A5622"/>
    <w:rsid w:val="003A5876"/>
    <w:rsid w:val="003A5ACC"/>
    <w:rsid w:val="003A5EFF"/>
    <w:rsid w:val="003A61BB"/>
    <w:rsid w:val="003A6618"/>
    <w:rsid w:val="003A6BCF"/>
    <w:rsid w:val="003A6CF5"/>
    <w:rsid w:val="003A79C6"/>
    <w:rsid w:val="003B02C3"/>
    <w:rsid w:val="003B06B3"/>
    <w:rsid w:val="003B0A15"/>
    <w:rsid w:val="003B13FD"/>
    <w:rsid w:val="003B22B9"/>
    <w:rsid w:val="003B2901"/>
    <w:rsid w:val="003B29B2"/>
    <w:rsid w:val="003B34D9"/>
    <w:rsid w:val="003B3ABB"/>
    <w:rsid w:val="003B3ABE"/>
    <w:rsid w:val="003B3D4A"/>
    <w:rsid w:val="003B53A4"/>
    <w:rsid w:val="003B5895"/>
    <w:rsid w:val="003B59C2"/>
    <w:rsid w:val="003B5D00"/>
    <w:rsid w:val="003B6B4A"/>
    <w:rsid w:val="003B6BBD"/>
    <w:rsid w:val="003B6D41"/>
    <w:rsid w:val="003B753A"/>
    <w:rsid w:val="003B791C"/>
    <w:rsid w:val="003B7CA7"/>
    <w:rsid w:val="003C04F3"/>
    <w:rsid w:val="003C196E"/>
    <w:rsid w:val="003C1A91"/>
    <w:rsid w:val="003C210C"/>
    <w:rsid w:val="003C237C"/>
    <w:rsid w:val="003C23C0"/>
    <w:rsid w:val="003C27CE"/>
    <w:rsid w:val="003C2A32"/>
    <w:rsid w:val="003C3838"/>
    <w:rsid w:val="003C3CA3"/>
    <w:rsid w:val="003C4157"/>
    <w:rsid w:val="003C43AA"/>
    <w:rsid w:val="003C4D32"/>
    <w:rsid w:val="003C54A7"/>
    <w:rsid w:val="003C56C6"/>
    <w:rsid w:val="003C72D0"/>
    <w:rsid w:val="003C732C"/>
    <w:rsid w:val="003C77FF"/>
    <w:rsid w:val="003C7A16"/>
    <w:rsid w:val="003C7E49"/>
    <w:rsid w:val="003C7E54"/>
    <w:rsid w:val="003C7E81"/>
    <w:rsid w:val="003C7FBA"/>
    <w:rsid w:val="003D008F"/>
    <w:rsid w:val="003D0260"/>
    <w:rsid w:val="003D0C25"/>
    <w:rsid w:val="003D11C0"/>
    <w:rsid w:val="003D2098"/>
    <w:rsid w:val="003D23D0"/>
    <w:rsid w:val="003D285A"/>
    <w:rsid w:val="003D29B4"/>
    <w:rsid w:val="003D2DFA"/>
    <w:rsid w:val="003D31F8"/>
    <w:rsid w:val="003D3CCD"/>
    <w:rsid w:val="003D467C"/>
    <w:rsid w:val="003D5E0B"/>
    <w:rsid w:val="003D6C79"/>
    <w:rsid w:val="003D6D6F"/>
    <w:rsid w:val="003D7407"/>
    <w:rsid w:val="003D7726"/>
    <w:rsid w:val="003D787D"/>
    <w:rsid w:val="003D78FD"/>
    <w:rsid w:val="003D791C"/>
    <w:rsid w:val="003D7B36"/>
    <w:rsid w:val="003D7CA2"/>
    <w:rsid w:val="003D7D0F"/>
    <w:rsid w:val="003E0376"/>
    <w:rsid w:val="003E0906"/>
    <w:rsid w:val="003E1B81"/>
    <w:rsid w:val="003E1F36"/>
    <w:rsid w:val="003E2AE8"/>
    <w:rsid w:val="003E4A2C"/>
    <w:rsid w:val="003E4C0A"/>
    <w:rsid w:val="003E4E4D"/>
    <w:rsid w:val="003E5983"/>
    <w:rsid w:val="003E5B06"/>
    <w:rsid w:val="003E5CA0"/>
    <w:rsid w:val="003E5E6C"/>
    <w:rsid w:val="003E6505"/>
    <w:rsid w:val="003E656A"/>
    <w:rsid w:val="003E6847"/>
    <w:rsid w:val="003E6AB6"/>
    <w:rsid w:val="003F0435"/>
    <w:rsid w:val="003F0652"/>
    <w:rsid w:val="003F14E7"/>
    <w:rsid w:val="003F19FE"/>
    <w:rsid w:val="003F1BE1"/>
    <w:rsid w:val="003F2071"/>
    <w:rsid w:val="003F281E"/>
    <w:rsid w:val="003F2B62"/>
    <w:rsid w:val="003F3F0A"/>
    <w:rsid w:val="003F4138"/>
    <w:rsid w:val="003F47E6"/>
    <w:rsid w:val="003F52C5"/>
    <w:rsid w:val="003F554B"/>
    <w:rsid w:val="003F593D"/>
    <w:rsid w:val="003F6742"/>
    <w:rsid w:val="003F6816"/>
    <w:rsid w:val="003F6CB5"/>
    <w:rsid w:val="003F6CE7"/>
    <w:rsid w:val="003F6F83"/>
    <w:rsid w:val="003F7103"/>
    <w:rsid w:val="003F7E43"/>
    <w:rsid w:val="003F7E59"/>
    <w:rsid w:val="003F7F29"/>
    <w:rsid w:val="004001AB"/>
    <w:rsid w:val="00401BDC"/>
    <w:rsid w:val="00401F0C"/>
    <w:rsid w:val="004028E4"/>
    <w:rsid w:val="00402F72"/>
    <w:rsid w:val="0040315B"/>
    <w:rsid w:val="00403B2A"/>
    <w:rsid w:val="00403E21"/>
    <w:rsid w:val="00403FE2"/>
    <w:rsid w:val="004040EB"/>
    <w:rsid w:val="004041EF"/>
    <w:rsid w:val="00404991"/>
    <w:rsid w:val="00404C47"/>
    <w:rsid w:val="00405F56"/>
    <w:rsid w:val="00405FC3"/>
    <w:rsid w:val="0040605D"/>
    <w:rsid w:val="004062A8"/>
    <w:rsid w:val="004064D8"/>
    <w:rsid w:val="0040710F"/>
    <w:rsid w:val="004077AD"/>
    <w:rsid w:val="00407976"/>
    <w:rsid w:val="00410DD6"/>
    <w:rsid w:val="004114B8"/>
    <w:rsid w:val="004121A5"/>
    <w:rsid w:val="00412498"/>
    <w:rsid w:val="004129DE"/>
    <w:rsid w:val="00412A2B"/>
    <w:rsid w:val="00412D1F"/>
    <w:rsid w:val="004131DE"/>
    <w:rsid w:val="00414E80"/>
    <w:rsid w:val="00414EC7"/>
    <w:rsid w:val="00415BD2"/>
    <w:rsid w:val="00415CE4"/>
    <w:rsid w:val="00416D90"/>
    <w:rsid w:val="00417598"/>
    <w:rsid w:val="004176F2"/>
    <w:rsid w:val="00417E0D"/>
    <w:rsid w:val="004206DF"/>
    <w:rsid w:val="00421FDE"/>
    <w:rsid w:val="004223EC"/>
    <w:rsid w:val="00422491"/>
    <w:rsid w:val="004231F8"/>
    <w:rsid w:val="0042337B"/>
    <w:rsid w:val="0042398C"/>
    <w:rsid w:val="00424385"/>
    <w:rsid w:val="004248EA"/>
    <w:rsid w:val="004248F9"/>
    <w:rsid w:val="0042496B"/>
    <w:rsid w:val="0042519D"/>
    <w:rsid w:val="004252C2"/>
    <w:rsid w:val="004258A8"/>
    <w:rsid w:val="00426448"/>
    <w:rsid w:val="004265FD"/>
    <w:rsid w:val="00426641"/>
    <w:rsid w:val="00427132"/>
    <w:rsid w:val="004307AA"/>
    <w:rsid w:val="00431D83"/>
    <w:rsid w:val="0043201E"/>
    <w:rsid w:val="00432075"/>
    <w:rsid w:val="00432D09"/>
    <w:rsid w:val="004337D4"/>
    <w:rsid w:val="00433CDD"/>
    <w:rsid w:val="00434BCD"/>
    <w:rsid w:val="00435347"/>
    <w:rsid w:val="00436652"/>
    <w:rsid w:val="00436945"/>
    <w:rsid w:val="00436F66"/>
    <w:rsid w:val="00437B3B"/>
    <w:rsid w:val="00437C65"/>
    <w:rsid w:val="004402CE"/>
    <w:rsid w:val="00440B5F"/>
    <w:rsid w:val="00442316"/>
    <w:rsid w:val="00442560"/>
    <w:rsid w:val="0044264A"/>
    <w:rsid w:val="00442718"/>
    <w:rsid w:val="00442785"/>
    <w:rsid w:val="00443373"/>
    <w:rsid w:val="00443F23"/>
    <w:rsid w:val="0044429F"/>
    <w:rsid w:val="00445818"/>
    <w:rsid w:val="00445E9D"/>
    <w:rsid w:val="00445F4B"/>
    <w:rsid w:val="004464C5"/>
    <w:rsid w:val="004468A7"/>
    <w:rsid w:val="00446B62"/>
    <w:rsid w:val="00446E19"/>
    <w:rsid w:val="004471C1"/>
    <w:rsid w:val="004472CA"/>
    <w:rsid w:val="00447CB1"/>
    <w:rsid w:val="00447CD2"/>
    <w:rsid w:val="0045015B"/>
    <w:rsid w:val="00450242"/>
    <w:rsid w:val="00450AE6"/>
    <w:rsid w:val="00450AF5"/>
    <w:rsid w:val="004511D9"/>
    <w:rsid w:val="00451CC0"/>
    <w:rsid w:val="00451D99"/>
    <w:rsid w:val="004520F9"/>
    <w:rsid w:val="00452548"/>
    <w:rsid w:val="0045284D"/>
    <w:rsid w:val="00452926"/>
    <w:rsid w:val="00453434"/>
    <w:rsid w:val="0045352B"/>
    <w:rsid w:val="00454DDB"/>
    <w:rsid w:val="004556B7"/>
    <w:rsid w:val="00455AB0"/>
    <w:rsid w:val="004561F9"/>
    <w:rsid w:val="004565E0"/>
    <w:rsid w:val="00456BB7"/>
    <w:rsid w:val="00457401"/>
    <w:rsid w:val="004574CB"/>
    <w:rsid w:val="004578C8"/>
    <w:rsid w:val="00457F01"/>
    <w:rsid w:val="004604E0"/>
    <w:rsid w:val="004607C8"/>
    <w:rsid w:val="00461070"/>
    <w:rsid w:val="00461333"/>
    <w:rsid w:val="0046140B"/>
    <w:rsid w:val="00461420"/>
    <w:rsid w:val="0046176C"/>
    <w:rsid w:val="00461FC2"/>
    <w:rsid w:val="0046228E"/>
    <w:rsid w:val="004623CB"/>
    <w:rsid w:val="004627F8"/>
    <w:rsid w:val="00463FDF"/>
    <w:rsid w:val="004641B0"/>
    <w:rsid w:val="004644F2"/>
    <w:rsid w:val="00465484"/>
    <w:rsid w:val="0046550F"/>
    <w:rsid w:val="00466336"/>
    <w:rsid w:val="00467059"/>
    <w:rsid w:val="004674A7"/>
    <w:rsid w:val="0046794C"/>
    <w:rsid w:val="00467EBD"/>
    <w:rsid w:val="004706D8"/>
    <w:rsid w:val="00470AE8"/>
    <w:rsid w:val="0047349C"/>
    <w:rsid w:val="004734E6"/>
    <w:rsid w:val="00474631"/>
    <w:rsid w:val="0047503E"/>
    <w:rsid w:val="00475EAE"/>
    <w:rsid w:val="00476306"/>
    <w:rsid w:val="00476373"/>
    <w:rsid w:val="004770E2"/>
    <w:rsid w:val="00477516"/>
    <w:rsid w:val="00477C34"/>
    <w:rsid w:val="0048075A"/>
    <w:rsid w:val="00480937"/>
    <w:rsid w:val="00480E88"/>
    <w:rsid w:val="004818D0"/>
    <w:rsid w:val="004819F7"/>
    <w:rsid w:val="00481F1B"/>
    <w:rsid w:val="0048228B"/>
    <w:rsid w:val="00482484"/>
    <w:rsid w:val="00482B44"/>
    <w:rsid w:val="00483781"/>
    <w:rsid w:val="00483CF0"/>
    <w:rsid w:val="00484F9B"/>
    <w:rsid w:val="00485B24"/>
    <w:rsid w:val="00485C1E"/>
    <w:rsid w:val="00486457"/>
    <w:rsid w:val="004864D2"/>
    <w:rsid w:val="0048674B"/>
    <w:rsid w:val="004872D9"/>
    <w:rsid w:val="00490383"/>
    <w:rsid w:val="004903DB"/>
    <w:rsid w:val="004910DA"/>
    <w:rsid w:val="00491202"/>
    <w:rsid w:val="004919E5"/>
    <w:rsid w:val="00491E16"/>
    <w:rsid w:val="00492ABC"/>
    <w:rsid w:val="004935CF"/>
    <w:rsid w:val="00493651"/>
    <w:rsid w:val="004939D3"/>
    <w:rsid w:val="00493BD4"/>
    <w:rsid w:val="00494191"/>
    <w:rsid w:val="0049422A"/>
    <w:rsid w:val="00494395"/>
    <w:rsid w:val="00494614"/>
    <w:rsid w:val="004948EE"/>
    <w:rsid w:val="00494946"/>
    <w:rsid w:val="00494B66"/>
    <w:rsid w:val="004967A6"/>
    <w:rsid w:val="00496BB8"/>
    <w:rsid w:val="00497B37"/>
    <w:rsid w:val="00497F09"/>
    <w:rsid w:val="004A00C0"/>
    <w:rsid w:val="004A0152"/>
    <w:rsid w:val="004A181D"/>
    <w:rsid w:val="004A1982"/>
    <w:rsid w:val="004A1DCB"/>
    <w:rsid w:val="004A1F25"/>
    <w:rsid w:val="004A3031"/>
    <w:rsid w:val="004A3A20"/>
    <w:rsid w:val="004A3D01"/>
    <w:rsid w:val="004A48DD"/>
    <w:rsid w:val="004A48F9"/>
    <w:rsid w:val="004A593C"/>
    <w:rsid w:val="004A5A81"/>
    <w:rsid w:val="004A6010"/>
    <w:rsid w:val="004A6423"/>
    <w:rsid w:val="004A702B"/>
    <w:rsid w:val="004A7574"/>
    <w:rsid w:val="004A797F"/>
    <w:rsid w:val="004A7FE1"/>
    <w:rsid w:val="004B0820"/>
    <w:rsid w:val="004B0CE7"/>
    <w:rsid w:val="004B0DD7"/>
    <w:rsid w:val="004B11DA"/>
    <w:rsid w:val="004B14D6"/>
    <w:rsid w:val="004B1731"/>
    <w:rsid w:val="004B1782"/>
    <w:rsid w:val="004B1B9C"/>
    <w:rsid w:val="004B1C5C"/>
    <w:rsid w:val="004B2180"/>
    <w:rsid w:val="004B2511"/>
    <w:rsid w:val="004B2828"/>
    <w:rsid w:val="004B2AA7"/>
    <w:rsid w:val="004B2D1C"/>
    <w:rsid w:val="004B34FE"/>
    <w:rsid w:val="004B424E"/>
    <w:rsid w:val="004B42A3"/>
    <w:rsid w:val="004B48D2"/>
    <w:rsid w:val="004B48F5"/>
    <w:rsid w:val="004B4FAE"/>
    <w:rsid w:val="004B5265"/>
    <w:rsid w:val="004B531F"/>
    <w:rsid w:val="004B5615"/>
    <w:rsid w:val="004B5C23"/>
    <w:rsid w:val="004B5D57"/>
    <w:rsid w:val="004B5ED8"/>
    <w:rsid w:val="004B6C54"/>
    <w:rsid w:val="004B6DA5"/>
    <w:rsid w:val="004B78F1"/>
    <w:rsid w:val="004B7D7A"/>
    <w:rsid w:val="004C0523"/>
    <w:rsid w:val="004C06C6"/>
    <w:rsid w:val="004C0956"/>
    <w:rsid w:val="004C108E"/>
    <w:rsid w:val="004C1604"/>
    <w:rsid w:val="004C1613"/>
    <w:rsid w:val="004C1756"/>
    <w:rsid w:val="004C1A8F"/>
    <w:rsid w:val="004C2023"/>
    <w:rsid w:val="004C225A"/>
    <w:rsid w:val="004C242C"/>
    <w:rsid w:val="004C276E"/>
    <w:rsid w:val="004C3081"/>
    <w:rsid w:val="004C30B1"/>
    <w:rsid w:val="004C35E6"/>
    <w:rsid w:val="004C3FDE"/>
    <w:rsid w:val="004C40DD"/>
    <w:rsid w:val="004C507E"/>
    <w:rsid w:val="004C50F4"/>
    <w:rsid w:val="004C5211"/>
    <w:rsid w:val="004C5489"/>
    <w:rsid w:val="004C55D7"/>
    <w:rsid w:val="004C5892"/>
    <w:rsid w:val="004C591A"/>
    <w:rsid w:val="004C5EF6"/>
    <w:rsid w:val="004C6078"/>
    <w:rsid w:val="004C6A4C"/>
    <w:rsid w:val="004C6E46"/>
    <w:rsid w:val="004C6E4D"/>
    <w:rsid w:val="004C6E7A"/>
    <w:rsid w:val="004C6EF6"/>
    <w:rsid w:val="004C7030"/>
    <w:rsid w:val="004C782E"/>
    <w:rsid w:val="004D0F75"/>
    <w:rsid w:val="004D13A6"/>
    <w:rsid w:val="004D257B"/>
    <w:rsid w:val="004D3985"/>
    <w:rsid w:val="004D3B40"/>
    <w:rsid w:val="004D4041"/>
    <w:rsid w:val="004D40F5"/>
    <w:rsid w:val="004D46B5"/>
    <w:rsid w:val="004D4B0C"/>
    <w:rsid w:val="004D4E1E"/>
    <w:rsid w:val="004D4E47"/>
    <w:rsid w:val="004D5155"/>
    <w:rsid w:val="004D5CFA"/>
    <w:rsid w:val="004D5E2B"/>
    <w:rsid w:val="004D60F5"/>
    <w:rsid w:val="004D74F5"/>
    <w:rsid w:val="004D7AD3"/>
    <w:rsid w:val="004D7C41"/>
    <w:rsid w:val="004E075E"/>
    <w:rsid w:val="004E08C1"/>
    <w:rsid w:val="004E0A3F"/>
    <w:rsid w:val="004E0D9A"/>
    <w:rsid w:val="004E0EFB"/>
    <w:rsid w:val="004E116F"/>
    <w:rsid w:val="004E1AEA"/>
    <w:rsid w:val="004E250E"/>
    <w:rsid w:val="004E41C0"/>
    <w:rsid w:val="004E506C"/>
    <w:rsid w:val="004E58D7"/>
    <w:rsid w:val="004E59EC"/>
    <w:rsid w:val="004E5E21"/>
    <w:rsid w:val="004E5E59"/>
    <w:rsid w:val="004E6468"/>
    <w:rsid w:val="004E6824"/>
    <w:rsid w:val="004E6A55"/>
    <w:rsid w:val="004E6B53"/>
    <w:rsid w:val="004E7AAB"/>
    <w:rsid w:val="004F07CA"/>
    <w:rsid w:val="004F0952"/>
    <w:rsid w:val="004F1502"/>
    <w:rsid w:val="004F19AC"/>
    <w:rsid w:val="004F2856"/>
    <w:rsid w:val="004F2D98"/>
    <w:rsid w:val="004F2EEB"/>
    <w:rsid w:val="004F39D7"/>
    <w:rsid w:val="004F410A"/>
    <w:rsid w:val="004F438C"/>
    <w:rsid w:val="004F4744"/>
    <w:rsid w:val="004F5359"/>
    <w:rsid w:val="004F5A17"/>
    <w:rsid w:val="004F64BD"/>
    <w:rsid w:val="004F6AC6"/>
    <w:rsid w:val="00500067"/>
    <w:rsid w:val="00500AF8"/>
    <w:rsid w:val="00500E07"/>
    <w:rsid w:val="00501A7F"/>
    <w:rsid w:val="0050279C"/>
    <w:rsid w:val="00504321"/>
    <w:rsid w:val="0050533F"/>
    <w:rsid w:val="005056B4"/>
    <w:rsid w:val="00505C0E"/>
    <w:rsid w:val="005062E0"/>
    <w:rsid w:val="00506B42"/>
    <w:rsid w:val="00506B8F"/>
    <w:rsid w:val="00506FB8"/>
    <w:rsid w:val="00507B25"/>
    <w:rsid w:val="00507E26"/>
    <w:rsid w:val="00507F94"/>
    <w:rsid w:val="00510851"/>
    <w:rsid w:val="00510A1C"/>
    <w:rsid w:val="00512019"/>
    <w:rsid w:val="005121E8"/>
    <w:rsid w:val="00512382"/>
    <w:rsid w:val="005124FB"/>
    <w:rsid w:val="00512A19"/>
    <w:rsid w:val="00512F55"/>
    <w:rsid w:val="00513252"/>
    <w:rsid w:val="0051357C"/>
    <w:rsid w:val="00513EAF"/>
    <w:rsid w:val="00513FD3"/>
    <w:rsid w:val="00514712"/>
    <w:rsid w:val="00514F38"/>
    <w:rsid w:val="0051530A"/>
    <w:rsid w:val="00515504"/>
    <w:rsid w:val="00515F8D"/>
    <w:rsid w:val="0051680B"/>
    <w:rsid w:val="00516EDF"/>
    <w:rsid w:val="005171DC"/>
    <w:rsid w:val="00517D35"/>
    <w:rsid w:val="00517EFD"/>
    <w:rsid w:val="005204FB"/>
    <w:rsid w:val="00521007"/>
    <w:rsid w:val="00521525"/>
    <w:rsid w:val="005216C0"/>
    <w:rsid w:val="005216FF"/>
    <w:rsid w:val="00522175"/>
    <w:rsid w:val="00522287"/>
    <w:rsid w:val="005225E7"/>
    <w:rsid w:val="00522E6C"/>
    <w:rsid w:val="00523320"/>
    <w:rsid w:val="00523A68"/>
    <w:rsid w:val="00524522"/>
    <w:rsid w:val="00524548"/>
    <w:rsid w:val="00525402"/>
    <w:rsid w:val="0052569A"/>
    <w:rsid w:val="005257B9"/>
    <w:rsid w:val="00526E64"/>
    <w:rsid w:val="00527D15"/>
    <w:rsid w:val="005301F5"/>
    <w:rsid w:val="005305A0"/>
    <w:rsid w:val="00530B22"/>
    <w:rsid w:val="00530F37"/>
    <w:rsid w:val="00531067"/>
    <w:rsid w:val="005312D6"/>
    <w:rsid w:val="0053157C"/>
    <w:rsid w:val="00532223"/>
    <w:rsid w:val="005322D0"/>
    <w:rsid w:val="00532512"/>
    <w:rsid w:val="005326C1"/>
    <w:rsid w:val="00532745"/>
    <w:rsid w:val="00532B50"/>
    <w:rsid w:val="00533210"/>
    <w:rsid w:val="00534375"/>
    <w:rsid w:val="0053500A"/>
    <w:rsid w:val="00535643"/>
    <w:rsid w:val="00535F70"/>
    <w:rsid w:val="005364DC"/>
    <w:rsid w:val="00536821"/>
    <w:rsid w:val="005369D3"/>
    <w:rsid w:val="005371D8"/>
    <w:rsid w:val="00537CB7"/>
    <w:rsid w:val="00537E47"/>
    <w:rsid w:val="00540C55"/>
    <w:rsid w:val="0054119B"/>
    <w:rsid w:val="0054171B"/>
    <w:rsid w:val="00541942"/>
    <w:rsid w:val="00541AB3"/>
    <w:rsid w:val="00542814"/>
    <w:rsid w:val="00542C27"/>
    <w:rsid w:val="00542F24"/>
    <w:rsid w:val="0054338A"/>
    <w:rsid w:val="00543544"/>
    <w:rsid w:val="00543EC6"/>
    <w:rsid w:val="00543F39"/>
    <w:rsid w:val="005443BF"/>
    <w:rsid w:val="005444EA"/>
    <w:rsid w:val="00544674"/>
    <w:rsid w:val="00544CDC"/>
    <w:rsid w:val="00544F36"/>
    <w:rsid w:val="00545861"/>
    <w:rsid w:val="00545F94"/>
    <w:rsid w:val="00546096"/>
    <w:rsid w:val="0054645C"/>
    <w:rsid w:val="0054719D"/>
    <w:rsid w:val="00547846"/>
    <w:rsid w:val="005478C6"/>
    <w:rsid w:val="00547A8C"/>
    <w:rsid w:val="00547C6C"/>
    <w:rsid w:val="005505AB"/>
    <w:rsid w:val="005508AD"/>
    <w:rsid w:val="00550C8E"/>
    <w:rsid w:val="00550D25"/>
    <w:rsid w:val="00551335"/>
    <w:rsid w:val="00552B2F"/>
    <w:rsid w:val="00552B7F"/>
    <w:rsid w:val="00553281"/>
    <w:rsid w:val="0055393D"/>
    <w:rsid w:val="00553D6F"/>
    <w:rsid w:val="00554FF9"/>
    <w:rsid w:val="005552DA"/>
    <w:rsid w:val="00555656"/>
    <w:rsid w:val="0055648C"/>
    <w:rsid w:val="00556AD1"/>
    <w:rsid w:val="00560370"/>
    <w:rsid w:val="005607F9"/>
    <w:rsid w:val="00560D82"/>
    <w:rsid w:val="00560EBC"/>
    <w:rsid w:val="005619A9"/>
    <w:rsid w:val="00561EF8"/>
    <w:rsid w:val="005624A5"/>
    <w:rsid w:val="00562DB6"/>
    <w:rsid w:val="00563189"/>
    <w:rsid w:val="0056352A"/>
    <w:rsid w:val="00563694"/>
    <w:rsid w:val="00563793"/>
    <w:rsid w:val="005637E4"/>
    <w:rsid w:val="005638FD"/>
    <w:rsid w:val="00564127"/>
    <w:rsid w:val="00564E50"/>
    <w:rsid w:val="00564F70"/>
    <w:rsid w:val="0056519B"/>
    <w:rsid w:val="0056568D"/>
    <w:rsid w:val="005664BC"/>
    <w:rsid w:val="00567226"/>
    <w:rsid w:val="0056773B"/>
    <w:rsid w:val="00567791"/>
    <w:rsid w:val="005701A4"/>
    <w:rsid w:val="00570501"/>
    <w:rsid w:val="00570DD1"/>
    <w:rsid w:val="0057126F"/>
    <w:rsid w:val="005715BF"/>
    <w:rsid w:val="00571A5C"/>
    <w:rsid w:val="00571F8A"/>
    <w:rsid w:val="0057212B"/>
    <w:rsid w:val="005727E7"/>
    <w:rsid w:val="00572C90"/>
    <w:rsid w:val="00573303"/>
    <w:rsid w:val="00573AEF"/>
    <w:rsid w:val="00573B50"/>
    <w:rsid w:val="0057485F"/>
    <w:rsid w:val="00574AF8"/>
    <w:rsid w:val="00574C90"/>
    <w:rsid w:val="0057516A"/>
    <w:rsid w:val="00575DA7"/>
    <w:rsid w:val="0057647C"/>
    <w:rsid w:val="005772A5"/>
    <w:rsid w:val="0057737B"/>
    <w:rsid w:val="0057791F"/>
    <w:rsid w:val="00580203"/>
    <w:rsid w:val="0058181E"/>
    <w:rsid w:val="00581E67"/>
    <w:rsid w:val="00581F93"/>
    <w:rsid w:val="005820D2"/>
    <w:rsid w:val="005826F9"/>
    <w:rsid w:val="00582E28"/>
    <w:rsid w:val="00583A94"/>
    <w:rsid w:val="00583F9D"/>
    <w:rsid w:val="0058419E"/>
    <w:rsid w:val="005847C9"/>
    <w:rsid w:val="00584C9E"/>
    <w:rsid w:val="005853C7"/>
    <w:rsid w:val="00585D87"/>
    <w:rsid w:val="00585F94"/>
    <w:rsid w:val="00585FCD"/>
    <w:rsid w:val="00586A78"/>
    <w:rsid w:val="00586D7F"/>
    <w:rsid w:val="00587841"/>
    <w:rsid w:val="00587EB9"/>
    <w:rsid w:val="00587ECC"/>
    <w:rsid w:val="005902E8"/>
    <w:rsid w:val="005904B0"/>
    <w:rsid w:val="005907FF"/>
    <w:rsid w:val="00591C7A"/>
    <w:rsid w:val="005921A7"/>
    <w:rsid w:val="00592CED"/>
    <w:rsid w:val="0059371B"/>
    <w:rsid w:val="00593DE3"/>
    <w:rsid w:val="0059452D"/>
    <w:rsid w:val="00594D34"/>
    <w:rsid w:val="0059516C"/>
    <w:rsid w:val="00595AD7"/>
    <w:rsid w:val="005960CB"/>
    <w:rsid w:val="00596796"/>
    <w:rsid w:val="00596A39"/>
    <w:rsid w:val="00597F9C"/>
    <w:rsid w:val="005A00EB"/>
    <w:rsid w:val="005A019C"/>
    <w:rsid w:val="005A0AB8"/>
    <w:rsid w:val="005A0FA3"/>
    <w:rsid w:val="005A25E0"/>
    <w:rsid w:val="005A2BA5"/>
    <w:rsid w:val="005A31A1"/>
    <w:rsid w:val="005A41F4"/>
    <w:rsid w:val="005A4572"/>
    <w:rsid w:val="005A45A2"/>
    <w:rsid w:val="005A4AD8"/>
    <w:rsid w:val="005A4AD9"/>
    <w:rsid w:val="005A5793"/>
    <w:rsid w:val="005A72E4"/>
    <w:rsid w:val="005A73A9"/>
    <w:rsid w:val="005A7DE0"/>
    <w:rsid w:val="005A7FCC"/>
    <w:rsid w:val="005B0205"/>
    <w:rsid w:val="005B033B"/>
    <w:rsid w:val="005B0545"/>
    <w:rsid w:val="005B078B"/>
    <w:rsid w:val="005B1456"/>
    <w:rsid w:val="005B173D"/>
    <w:rsid w:val="005B19CD"/>
    <w:rsid w:val="005B1AA8"/>
    <w:rsid w:val="005B1AB5"/>
    <w:rsid w:val="005B1ECB"/>
    <w:rsid w:val="005B1F51"/>
    <w:rsid w:val="005B352E"/>
    <w:rsid w:val="005B38C8"/>
    <w:rsid w:val="005B40F1"/>
    <w:rsid w:val="005B461B"/>
    <w:rsid w:val="005B49A6"/>
    <w:rsid w:val="005B4AA5"/>
    <w:rsid w:val="005B4BD5"/>
    <w:rsid w:val="005B4D45"/>
    <w:rsid w:val="005B51BF"/>
    <w:rsid w:val="005B5705"/>
    <w:rsid w:val="005B5D01"/>
    <w:rsid w:val="005B63E7"/>
    <w:rsid w:val="005B67A3"/>
    <w:rsid w:val="005B6B55"/>
    <w:rsid w:val="005B7015"/>
    <w:rsid w:val="005B71A2"/>
    <w:rsid w:val="005B736A"/>
    <w:rsid w:val="005B759C"/>
    <w:rsid w:val="005B7E4B"/>
    <w:rsid w:val="005C02CA"/>
    <w:rsid w:val="005C065E"/>
    <w:rsid w:val="005C0798"/>
    <w:rsid w:val="005C1787"/>
    <w:rsid w:val="005C1AC3"/>
    <w:rsid w:val="005C1C50"/>
    <w:rsid w:val="005C1E94"/>
    <w:rsid w:val="005C1FCE"/>
    <w:rsid w:val="005C35A1"/>
    <w:rsid w:val="005C3A52"/>
    <w:rsid w:val="005C3F48"/>
    <w:rsid w:val="005C4D0E"/>
    <w:rsid w:val="005C6162"/>
    <w:rsid w:val="005C6797"/>
    <w:rsid w:val="005C7296"/>
    <w:rsid w:val="005C7337"/>
    <w:rsid w:val="005C7AD4"/>
    <w:rsid w:val="005C7C11"/>
    <w:rsid w:val="005D0317"/>
    <w:rsid w:val="005D0552"/>
    <w:rsid w:val="005D165A"/>
    <w:rsid w:val="005D165B"/>
    <w:rsid w:val="005D1ABF"/>
    <w:rsid w:val="005D1AE4"/>
    <w:rsid w:val="005D233D"/>
    <w:rsid w:val="005D3093"/>
    <w:rsid w:val="005D3AA0"/>
    <w:rsid w:val="005D40B0"/>
    <w:rsid w:val="005D4711"/>
    <w:rsid w:val="005D48F2"/>
    <w:rsid w:val="005D4DF2"/>
    <w:rsid w:val="005D508C"/>
    <w:rsid w:val="005D53EF"/>
    <w:rsid w:val="005D5552"/>
    <w:rsid w:val="005D56BA"/>
    <w:rsid w:val="005D60B4"/>
    <w:rsid w:val="005D7C02"/>
    <w:rsid w:val="005E01CD"/>
    <w:rsid w:val="005E0827"/>
    <w:rsid w:val="005E129B"/>
    <w:rsid w:val="005E2DA4"/>
    <w:rsid w:val="005E32BA"/>
    <w:rsid w:val="005E3969"/>
    <w:rsid w:val="005E3B74"/>
    <w:rsid w:val="005E3D4B"/>
    <w:rsid w:val="005E421F"/>
    <w:rsid w:val="005E485C"/>
    <w:rsid w:val="005E4E37"/>
    <w:rsid w:val="005E542B"/>
    <w:rsid w:val="005E5A77"/>
    <w:rsid w:val="005E6917"/>
    <w:rsid w:val="005E69DC"/>
    <w:rsid w:val="005E71D2"/>
    <w:rsid w:val="005E7274"/>
    <w:rsid w:val="005E7B5B"/>
    <w:rsid w:val="005E7BEB"/>
    <w:rsid w:val="005F05E8"/>
    <w:rsid w:val="005F0C93"/>
    <w:rsid w:val="005F10DC"/>
    <w:rsid w:val="005F1E1B"/>
    <w:rsid w:val="005F34B5"/>
    <w:rsid w:val="005F424D"/>
    <w:rsid w:val="005F466E"/>
    <w:rsid w:val="005F480B"/>
    <w:rsid w:val="005F4828"/>
    <w:rsid w:val="005F51D5"/>
    <w:rsid w:val="005F5AE6"/>
    <w:rsid w:val="005F5ECF"/>
    <w:rsid w:val="005F6137"/>
    <w:rsid w:val="005F66F2"/>
    <w:rsid w:val="005F6DEB"/>
    <w:rsid w:val="005F6E80"/>
    <w:rsid w:val="005F6F42"/>
    <w:rsid w:val="005F7576"/>
    <w:rsid w:val="005F7783"/>
    <w:rsid w:val="006005DC"/>
    <w:rsid w:val="006010FC"/>
    <w:rsid w:val="00601320"/>
    <w:rsid w:val="00601923"/>
    <w:rsid w:val="0060195C"/>
    <w:rsid w:val="00601AEF"/>
    <w:rsid w:val="006022C4"/>
    <w:rsid w:val="006022DC"/>
    <w:rsid w:val="00602BF0"/>
    <w:rsid w:val="00602C66"/>
    <w:rsid w:val="00602FD6"/>
    <w:rsid w:val="00603920"/>
    <w:rsid w:val="00604093"/>
    <w:rsid w:val="006042F9"/>
    <w:rsid w:val="006046F8"/>
    <w:rsid w:val="006050E9"/>
    <w:rsid w:val="00605E1F"/>
    <w:rsid w:val="006062C1"/>
    <w:rsid w:val="006067E0"/>
    <w:rsid w:val="00606F7F"/>
    <w:rsid w:val="00607400"/>
    <w:rsid w:val="006100A7"/>
    <w:rsid w:val="00610337"/>
    <w:rsid w:val="00610780"/>
    <w:rsid w:val="00611BEE"/>
    <w:rsid w:val="00611C7D"/>
    <w:rsid w:val="00611D71"/>
    <w:rsid w:val="00612A05"/>
    <w:rsid w:val="00613068"/>
    <w:rsid w:val="00613C30"/>
    <w:rsid w:val="006143BD"/>
    <w:rsid w:val="006145D7"/>
    <w:rsid w:val="0061505B"/>
    <w:rsid w:val="006152BE"/>
    <w:rsid w:val="0061568E"/>
    <w:rsid w:val="006157C0"/>
    <w:rsid w:val="00615B90"/>
    <w:rsid w:val="00615BA5"/>
    <w:rsid w:val="0061637A"/>
    <w:rsid w:val="006167C3"/>
    <w:rsid w:val="006168F9"/>
    <w:rsid w:val="00616983"/>
    <w:rsid w:val="006171FD"/>
    <w:rsid w:val="0061745E"/>
    <w:rsid w:val="006175A0"/>
    <w:rsid w:val="0061772A"/>
    <w:rsid w:val="00617D77"/>
    <w:rsid w:val="00620038"/>
    <w:rsid w:val="006202E1"/>
    <w:rsid w:val="006202E2"/>
    <w:rsid w:val="00620B6A"/>
    <w:rsid w:val="00620C56"/>
    <w:rsid w:val="00620E77"/>
    <w:rsid w:val="0062114B"/>
    <w:rsid w:val="0062155B"/>
    <w:rsid w:val="00621758"/>
    <w:rsid w:val="0062205E"/>
    <w:rsid w:val="00623910"/>
    <w:rsid w:val="006248E8"/>
    <w:rsid w:val="0062504F"/>
    <w:rsid w:val="006251FC"/>
    <w:rsid w:val="00625FED"/>
    <w:rsid w:val="00626120"/>
    <w:rsid w:val="0062627F"/>
    <w:rsid w:val="00626E39"/>
    <w:rsid w:val="006303D4"/>
    <w:rsid w:val="00630600"/>
    <w:rsid w:val="00631340"/>
    <w:rsid w:val="0063194B"/>
    <w:rsid w:val="00631A73"/>
    <w:rsid w:val="00631AB3"/>
    <w:rsid w:val="00631BF0"/>
    <w:rsid w:val="00631E81"/>
    <w:rsid w:val="00631F9C"/>
    <w:rsid w:val="006326C5"/>
    <w:rsid w:val="006327D8"/>
    <w:rsid w:val="00633472"/>
    <w:rsid w:val="0063419E"/>
    <w:rsid w:val="00635427"/>
    <w:rsid w:val="00635583"/>
    <w:rsid w:val="00635CF7"/>
    <w:rsid w:val="006365B3"/>
    <w:rsid w:val="006374BC"/>
    <w:rsid w:val="006376B6"/>
    <w:rsid w:val="00637AC9"/>
    <w:rsid w:val="00637B3F"/>
    <w:rsid w:val="006400BC"/>
    <w:rsid w:val="00640B9F"/>
    <w:rsid w:val="00641A83"/>
    <w:rsid w:val="00641E43"/>
    <w:rsid w:val="00641E4E"/>
    <w:rsid w:val="0064240C"/>
    <w:rsid w:val="006424EE"/>
    <w:rsid w:val="00643187"/>
    <w:rsid w:val="006432A0"/>
    <w:rsid w:val="006434EF"/>
    <w:rsid w:val="006436B6"/>
    <w:rsid w:val="00643970"/>
    <w:rsid w:val="0064492B"/>
    <w:rsid w:val="00644F89"/>
    <w:rsid w:val="00645174"/>
    <w:rsid w:val="00645219"/>
    <w:rsid w:val="006457E2"/>
    <w:rsid w:val="00646DCC"/>
    <w:rsid w:val="00647196"/>
    <w:rsid w:val="00647421"/>
    <w:rsid w:val="0064772B"/>
    <w:rsid w:val="00647901"/>
    <w:rsid w:val="0065020F"/>
    <w:rsid w:val="006502DC"/>
    <w:rsid w:val="00650566"/>
    <w:rsid w:val="00650924"/>
    <w:rsid w:val="006514D3"/>
    <w:rsid w:val="006518A1"/>
    <w:rsid w:val="00652223"/>
    <w:rsid w:val="006522E5"/>
    <w:rsid w:val="00652426"/>
    <w:rsid w:val="006524FC"/>
    <w:rsid w:val="00652820"/>
    <w:rsid w:val="00652D8A"/>
    <w:rsid w:val="00652EAF"/>
    <w:rsid w:val="00653C86"/>
    <w:rsid w:val="00653D85"/>
    <w:rsid w:val="0065410D"/>
    <w:rsid w:val="00654384"/>
    <w:rsid w:val="006546AD"/>
    <w:rsid w:val="00654BEE"/>
    <w:rsid w:val="00654C2C"/>
    <w:rsid w:val="006553D3"/>
    <w:rsid w:val="0065567B"/>
    <w:rsid w:val="00656743"/>
    <w:rsid w:val="00656770"/>
    <w:rsid w:val="00656A49"/>
    <w:rsid w:val="00656A6E"/>
    <w:rsid w:val="00656D4A"/>
    <w:rsid w:val="006574F8"/>
    <w:rsid w:val="00657DA6"/>
    <w:rsid w:val="00657E8D"/>
    <w:rsid w:val="006602CB"/>
    <w:rsid w:val="0066140C"/>
    <w:rsid w:val="006617C4"/>
    <w:rsid w:val="00662703"/>
    <w:rsid w:val="006636E1"/>
    <w:rsid w:val="006641BB"/>
    <w:rsid w:val="0066508D"/>
    <w:rsid w:val="00665576"/>
    <w:rsid w:val="00665609"/>
    <w:rsid w:val="00665A0D"/>
    <w:rsid w:val="00665BE9"/>
    <w:rsid w:val="00666225"/>
    <w:rsid w:val="00666774"/>
    <w:rsid w:val="00667AD0"/>
    <w:rsid w:val="00667E85"/>
    <w:rsid w:val="00667FA3"/>
    <w:rsid w:val="00671071"/>
    <w:rsid w:val="006713B7"/>
    <w:rsid w:val="0067176A"/>
    <w:rsid w:val="00671BA7"/>
    <w:rsid w:val="006725A0"/>
    <w:rsid w:val="00673F0D"/>
    <w:rsid w:val="006741AE"/>
    <w:rsid w:val="006746AA"/>
    <w:rsid w:val="00674706"/>
    <w:rsid w:val="00674AE1"/>
    <w:rsid w:val="00674B5C"/>
    <w:rsid w:val="006752F9"/>
    <w:rsid w:val="006762C8"/>
    <w:rsid w:val="00677DE5"/>
    <w:rsid w:val="00677F33"/>
    <w:rsid w:val="00680097"/>
    <w:rsid w:val="006801EC"/>
    <w:rsid w:val="0068044A"/>
    <w:rsid w:val="0068063B"/>
    <w:rsid w:val="006814A8"/>
    <w:rsid w:val="00681FEE"/>
    <w:rsid w:val="006822CC"/>
    <w:rsid w:val="0068232C"/>
    <w:rsid w:val="0068287E"/>
    <w:rsid w:val="00683184"/>
    <w:rsid w:val="00683A69"/>
    <w:rsid w:val="00684177"/>
    <w:rsid w:val="0068429C"/>
    <w:rsid w:val="00684637"/>
    <w:rsid w:val="00684C00"/>
    <w:rsid w:val="00684E28"/>
    <w:rsid w:val="00685E27"/>
    <w:rsid w:val="00685E69"/>
    <w:rsid w:val="00685EB9"/>
    <w:rsid w:val="00685F7B"/>
    <w:rsid w:val="006868CB"/>
    <w:rsid w:val="00686E95"/>
    <w:rsid w:val="00686F39"/>
    <w:rsid w:val="00687050"/>
    <w:rsid w:val="006872AB"/>
    <w:rsid w:val="0068764F"/>
    <w:rsid w:val="006878C9"/>
    <w:rsid w:val="006879AB"/>
    <w:rsid w:val="00690055"/>
    <w:rsid w:val="00690138"/>
    <w:rsid w:val="00690754"/>
    <w:rsid w:val="00690B0A"/>
    <w:rsid w:val="00690DC0"/>
    <w:rsid w:val="006915E7"/>
    <w:rsid w:val="00692D83"/>
    <w:rsid w:val="00692F18"/>
    <w:rsid w:val="00692FAD"/>
    <w:rsid w:val="0069344F"/>
    <w:rsid w:val="0069393F"/>
    <w:rsid w:val="0069396E"/>
    <w:rsid w:val="00694844"/>
    <w:rsid w:val="00694D05"/>
    <w:rsid w:val="00694E08"/>
    <w:rsid w:val="00695865"/>
    <w:rsid w:val="00695B6A"/>
    <w:rsid w:val="00695C86"/>
    <w:rsid w:val="00695D39"/>
    <w:rsid w:val="006963C9"/>
    <w:rsid w:val="00696584"/>
    <w:rsid w:val="00696A58"/>
    <w:rsid w:val="00696C1C"/>
    <w:rsid w:val="00697259"/>
    <w:rsid w:val="00697805"/>
    <w:rsid w:val="00697965"/>
    <w:rsid w:val="00697DC2"/>
    <w:rsid w:val="006A1134"/>
    <w:rsid w:val="006A14A2"/>
    <w:rsid w:val="006A1802"/>
    <w:rsid w:val="006A18FD"/>
    <w:rsid w:val="006A2105"/>
    <w:rsid w:val="006A253A"/>
    <w:rsid w:val="006A3021"/>
    <w:rsid w:val="006A320D"/>
    <w:rsid w:val="006A32A0"/>
    <w:rsid w:val="006A3C6A"/>
    <w:rsid w:val="006A3E4F"/>
    <w:rsid w:val="006A3F1C"/>
    <w:rsid w:val="006A408C"/>
    <w:rsid w:val="006A4156"/>
    <w:rsid w:val="006A422B"/>
    <w:rsid w:val="006A4720"/>
    <w:rsid w:val="006A49C3"/>
    <w:rsid w:val="006A5279"/>
    <w:rsid w:val="006A5A40"/>
    <w:rsid w:val="006A5D7C"/>
    <w:rsid w:val="006A6425"/>
    <w:rsid w:val="006A64E4"/>
    <w:rsid w:val="006A7686"/>
    <w:rsid w:val="006B1177"/>
    <w:rsid w:val="006B1B73"/>
    <w:rsid w:val="006B1D62"/>
    <w:rsid w:val="006B267F"/>
    <w:rsid w:val="006B3122"/>
    <w:rsid w:val="006B320B"/>
    <w:rsid w:val="006B3805"/>
    <w:rsid w:val="006B5119"/>
    <w:rsid w:val="006B57A5"/>
    <w:rsid w:val="006B6166"/>
    <w:rsid w:val="006B6384"/>
    <w:rsid w:val="006B6A0D"/>
    <w:rsid w:val="006B7EEB"/>
    <w:rsid w:val="006C0296"/>
    <w:rsid w:val="006C05BA"/>
    <w:rsid w:val="006C0CC8"/>
    <w:rsid w:val="006C0D0C"/>
    <w:rsid w:val="006C295C"/>
    <w:rsid w:val="006C2B95"/>
    <w:rsid w:val="006C2DCB"/>
    <w:rsid w:val="006C3087"/>
    <w:rsid w:val="006C3CF8"/>
    <w:rsid w:val="006C4272"/>
    <w:rsid w:val="006C4F07"/>
    <w:rsid w:val="006C5849"/>
    <w:rsid w:val="006C5BB7"/>
    <w:rsid w:val="006C5D05"/>
    <w:rsid w:val="006C5E74"/>
    <w:rsid w:val="006C610E"/>
    <w:rsid w:val="006C63AB"/>
    <w:rsid w:val="006C681B"/>
    <w:rsid w:val="006C6D1B"/>
    <w:rsid w:val="006C6EB2"/>
    <w:rsid w:val="006C7028"/>
    <w:rsid w:val="006C7092"/>
    <w:rsid w:val="006C72D9"/>
    <w:rsid w:val="006C7F1A"/>
    <w:rsid w:val="006D012B"/>
    <w:rsid w:val="006D05F6"/>
    <w:rsid w:val="006D07BC"/>
    <w:rsid w:val="006D156D"/>
    <w:rsid w:val="006D1700"/>
    <w:rsid w:val="006D1CD3"/>
    <w:rsid w:val="006D23A0"/>
    <w:rsid w:val="006D26A1"/>
    <w:rsid w:val="006D2BA0"/>
    <w:rsid w:val="006D3B28"/>
    <w:rsid w:val="006D57D9"/>
    <w:rsid w:val="006D5F53"/>
    <w:rsid w:val="006D619D"/>
    <w:rsid w:val="006D6999"/>
    <w:rsid w:val="006E0712"/>
    <w:rsid w:val="006E0983"/>
    <w:rsid w:val="006E09E4"/>
    <w:rsid w:val="006E2040"/>
    <w:rsid w:val="006E2259"/>
    <w:rsid w:val="006E257B"/>
    <w:rsid w:val="006E3085"/>
    <w:rsid w:val="006E3254"/>
    <w:rsid w:val="006E3A6C"/>
    <w:rsid w:val="006E3B9E"/>
    <w:rsid w:val="006E3E38"/>
    <w:rsid w:val="006E3E5E"/>
    <w:rsid w:val="006E3F82"/>
    <w:rsid w:val="006E445B"/>
    <w:rsid w:val="006E4774"/>
    <w:rsid w:val="006E491C"/>
    <w:rsid w:val="006E5A53"/>
    <w:rsid w:val="006E5ED8"/>
    <w:rsid w:val="006E6178"/>
    <w:rsid w:val="006E6395"/>
    <w:rsid w:val="006E6706"/>
    <w:rsid w:val="006E779D"/>
    <w:rsid w:val="006E77F0"/>
    <w:rsid w:val="006E79F3"/>
    <w:rsid w:val="006E7D23"/>
    <w:rsid w:val="006F08E3"/>
    <w:rsid w:val="006F0EB4"/>
    <w:rsid w:val="006F1451"/>
    <w:rsid w:val="006F1693"/>
    <w:rsid w:val="006F1D15"/>
    <w:rsid w:val="006F370C"/>
    <w:rsid w:val="006F398D"/>
    <w:rsid w:val="006F3AAB"/>
    <w:rsid w:val="006F3FCB"/>
    <w:rsid w:val="006F42B4"/>
    <w:rsid w:val="006F434D"/>
    <w:rsid w:val="006F485D"/>
    <w:rsid w:val="006F5628"/>
    <w:rsid w:val="006F676C"/>
    <w:rsid w:val="006F754D"/>
    <w:rsid w:val="006F7E38"/>
    <w:rsid w:val="00700F91"/>
    <w:rsid w:val="007019D0"/>
    <w:rsid w:val="00701F79"/>
    <w:rsid w:val="0070330F"/>
    <w:rsid w:val="0070338C"/>
    <w:rsid w:val="00703DC0"/>
    <w:rsid w:val="00703E02"/>
    <w:rsid w:val="00704035"/>
    <w:rsid w:val="007042C4"/>
    <w:rsid w:val="0070433F"/>
    <w:rsid w:val="007049A6"/>
    <w:rsid w:val="00704B0F"/>
    <w:rsid w:val="00704B99"/>
    <w:rsid w:val="00704B9D"/>
    <w:rsid w:val="00704EDD"/>
    <w:rsid w:val="00705C12"/>
    <w:rsid w:val="00705C54"/>
    <w:rsid w:val="00705E46"/>
    <w:rsid w:val="00706423"/>
    <w:rsid w:val="00706445"/>
    <w:rsid w:val="00706767"/>
    <w:rsid w:val="00706D30"/>
    <w:rsid w:val="0070722A"/>
    <w:rsid w:val="0070730C"/>
    <w:rsid w:val="00707F9F"/>
    <w:rsid w:val="0071054F"/>
    <w:rsid w:val="00710948"/>
    <w:rsid w:val="00710C30"/>
    <w:rsid w:val="00711082"/>
    <w:rsid w:val="00711861"/>
    <w:rsid w:val="007120C5"/>
    <w:rsid w:val="00713355"/>
    <w:rsid w:val="00713650"/>
    <w:rsid w:val="00713F8E"/>
    <w:rsid w:val="00714687"/>
    <w:rsid w:val="00714832"/>
    <w:rsid w:val="0071663A"/>
    <w:rsid w:val="00720AEC"/>
    <w:rsid w:val="00720C03"/>
    <w:rsid w:val="0072142D"/>
    <w:rsid w:val="00721636"/>
    <w:rsid w:val="00721814"/>
    <w:rsid w:val="00721A38"/>
    <w:rsid w:val="00721A8D"/>
    <w:rsid w:val="0072241A"/>
    <w:rsid w:val="0072283F"/>
    <w:rsid w:val="00722B58"/>
    <w:rsid w:val="00722C7B"/>
    <w:rsid w:val="0072316C"/>
    <w:rsid w:val="00723AB8"/>
    <w:rsid w:val="00723E3F"/>
    <w:rsid w:val="00724373"/>
    <w:rsid w:val="00724DDB"/>
    <w:rsid w:val="00725B3D"/>
    <w:rsid w:val="00725DC1"/>
    <w:rsid w:val="007261D8"/>
    <w:rsid w:val="007267F9"/>
    <w:rsid w:val="007268A6"/>
    <w:rsid w:val="00727574"/>
    <w:rsid w:val="007277DB"/>
    <w:rsid w:val="00727E0E"/>
    <w:rsid w:val="007300BC"/>
    <w:rsid w:val="007303F0"/>
    <w:rsid w:val="00730C8F"/>
    <w:rsid w:val="00730F03"/>
    <w:rsid w:val="00731829"/>
    <w:rsid w:val="007321AA"/>
    <w:rsid w:val="007322AA"/>
    <w:rsid w:val="00732CEE"/>
    <w:rsid w:val="00733C2C"/>
    <w:rsid w:val="00734BCB"/>
    <w:rsid w:val="007352A1"/>
    <w:rsid w:val="0073602F"/>
    <w:rsid w:val="00736985"/>
    <w:rsid w:val="00737820"/>
    <w:rsid w:val="00737B3B"/>
    <w:rsid w:val="00737BB9"/>
    <w:rsid w:val="00740108"/>
    <w:rsid w:val="00740193"/>
    <w:rsid w:val="00740CBD"/>
    <w:rsid w:val="0074151B"/>
    <w:rsid w:val="00741958"/>
    <w:rsid w:val="00741A2B"/>
    <w:rsid w:val="00741ACB"/>
    <w:rsid w:val="007424ED"/>
    <w:rsid w:val="007425AD"/>
    <w:rsid w:val="00742763"/>
    <w:rsid w:val="00743042"/>
    <w:rsid w:val="00744852"/>
    <w:rsid w:val="00745BFD"/>
    <w:rsid w:val="00745CFE"/>
    <w:rsid w:val="0074699E"/>
    <w:rsid w:val="007471AC"/>
    <w:rsid w:val="007471DB"/>
    <w:rsid w:val="0074752B"/>
    <w:rsid w:val="00747737"/>
    <w:rsid w:val="00747FBA"/>
    <w:rsid w:val="00750637"/>
    <w:rsid w:val="00750B2B"/>
    <w:rsid w:val="0075162B"/>
    <w:rsid w:val="007518B2"/>
    <w:rsid w:val="00751D58"/>
    <w:rsid w:val="0075229F"/>
    <w:rsid w:val="00752DD8"/>
    <w:rsid w:val="00753AFD"/>
    <w:rsid w:val="00753D40"/>
    <w:rsid w:val="0075440D"/>
    <w:rsid w:val="0075457E"/>
    <w:rsid w:val="007547EF"/>
    <w:rsid w:val="007555E3"/>
    <w:rsid w:val="00756258"/>
    <w:rsid w:val="0075690D"/>
    <w:rsid w:val="00756C82"/>
    <w:rsid w:val="00756D4A"/>
    <w:rsid w:val="00757115"/>
    <w:rsid w:val="00757C54"/>
    <w:rsid w:val="0076059B"/>
    <w:rsid w:val="00760923"/>
    <w:rsid w:val="007615F5"/>
    <w:rsid w:val="007623AF"/>
    <w:rsid w:val="007635D4"/>
    <w:rsid w:val="00763E35"/>
    <w:rsid w:val="00763F43"/>
    <w:rsid w:val="00764004"/>
    <w:rsid w:val="00764CE7"/>
    <w:rsid w:val="007652B1"/>
    <w:rsid w:val="007656C1"/>
    <w:rsid w:val="0076575A"/>
    <w:rsid w:val="00765F68"/>
    <w:rsid w:val="00766920"/>
    <w:rsid w:val="00767097"/>
    <w:rsid w:val="00767639"/>
    <w:rsid w:val="00767D95"/>
    <w:rsid w:val="007710AB"/>
    <w:rsid w:val="007710F5"/>
    <w:rsid w:val="00771F28"/>
    <w:rsid w:val="00771FD2"/>
    <w:rsid w:val="0077219E"/>
    <w:rsid w:val="00773920"/>
    <w:rsid w:val="00774819"/>
    <w:rsid w:val="00774C7B"/>
    <w:rsid w:val="00774E8C"/>
    <w:rsid w:val="007757B8"/>
    <w:rsid w:val="007757EB"/>
    <w:rsid w:val="00775C2B"/>
    <w:rsid w:val="00776548"/>
    <w:rsid w:val="00776B13"/>
    <w:rsid w:val="0077773F"/>
    <w:rsid w:val="007779A7"/>
    <w:rsid w:val="00777F8B"/>
    <w:rsid w:val="00780146"/>
    <w:rsid w:val="0078057B"/>
    <w:rsid w:val="00781B28"/>
    <w:rsid w:val="00781C64"/>
    <w:rsid w:val="007825CF"/>
    <w:rsid w:val="00782FD7"/>
    <w:rsid w:val="00783331"/>
    <w:rsid w:val="007834A3"/>
    <w:rsid w:val="00783B98"/>
    <w:rsid w:val="00784976"/>
    <w:rsid w:val="00784E43"/>
    <w:rsid w:val="00785906"/>
    <w:rsid w:val="00786864"/>
    <w:rsid w:val="00786958"/>
    <w:rsid w:val="007871EB"/>
    <w:rsid w:val="00790487"/>
    <w:rsid w:val="00792776"/>
    <w:rsid w:val="007933A5"/>
    <w:rsid w:val="0079385B"/>
    <w:rsid w:val="00793B32"/>
    <w:rsid w:val="00793E4E"/>
    <w:rsid w:val="00794266"/>
    <w:rsid w:val="007948C8"/>
    <w:rsid w:val="00794DE0"/>
    <w:rsid w:val="00794F9C"/>
    <w:rsid w:val="007953D1"/>
    <w:rsid w:val="007961F1"/>
    <w:rsid w:val="00796438"/>
    <w:rsid w:val="007965BE"/>
    <w:rsid w:val="007968F9"/>
    <w:rsid w:val="00797A48"/>
    <w:rsid w:val="00797EC1"/>
    <w:rsid w:val="007A037D"/>
    <w:rsid w:val="007A0EAF"/>
    <w:rsid w:val="007A1E10"/>
    <w:rsid w:val="007A275A"/>
    <w:rsid w:val="007A2FBD"/>
    <w:rsid w:val="007A2FCB"/>
    <w:rsid w:val="007A3300"/>
    <w:rsid w:val="007A3860"/>
    <w:rsid w:val="007A3F93"/>
    <w:rsid w:val="007A4220"/>
    <w:rsid w:val="007A4229"/>
    <w:rsid w:val="007A4CDB"/>
    <w:rsid w:val="007A52FF"/>
    <w:rsid w:val="007A5B3D"/>
    <w:rsid w:val="007A5BB8"/>
    <w:rsid w:val="007A60C8"/>
    <w:rsid w:val="007A6374"/>
    <w:rsid w:val="007A7552"/>
    <w:rsid w:val="007B01FB"/>
    <w:rsid w:val="007B052D"/>
    <w:rsid w:val="007B0C26"/>
    <w:rsid w:val="007B0D0C"/>
    <w:rsid w:val="007B1249"/>
    <w:rsid w:val="007B1D1E"/>
    <w:rsid w:val="007B1F8A"/>
    <w:rsid w:val="007B2202"/>
    <w:rsid w:val="007B22E8"/>
    <w:rsid w:val="007B25CF"/>
    <w:rsid w:val="007B29A6"/>
    <w:rsid w:val="007B3C0B"/>
    <w:rsid w:val="007B3C56"/>
    <w:rsid w:val="007B488E"/>
    <w:rsid w:val="007B4AA5"/>
    <w:rsid w:val="007B625C"/>
    <w:rsid w:val="007B6834"/>
    <w:rsid w:val="007B6F19"/>
    <w:rsid w:val="007B7973"/>
    <w:rsid w:val="007B7C4F"/>
    <w:rsid w:val="007B7ECF"/>
    <w:rsid w:val="007C0590"/>
    <w:rsid w:val="007C06C4"/>
    <w:rsid w:val="007C073C"/>
    <w:rsid w:val="007C0C80"/>
    <w:rsid w:val="007C109A"/>
    <w:rsid w:val="007C14F4"/>
    <w:rsid w:val="007C1541"/>
    <w:rsid w:val="007C15BA"/>
    <w:rsid w:val="007C1B3D"/>
    <w:rsid w:val="007C1C49"/>
    <w:rsid w:val="007C1F78"/>
    <w:rsid w:val="007C20F5"/>
    <w:rsid w:val="007C21B9"/>
    <w:rsid w:val="007C25F9"/>
    <w:rsid w:val="007C2DB5"/>
    <w:rsid w:val="007C2FF2"/>
    <w:rsid w:val="007C3C2A"/>
    <w:rsid w:val="007C45D8"/>
    <w:rsid w:val="007C5D68"/>
    <w:rsid w:val="007C5D74"/>
    <w:rsid w:val="007C6B01"/>
    <w:rsid w:val="007C705E"/>
    <w:rsid w:val="007D0532"/>
    <w:rsid w:val="007D08E4"/>
    <w:rsid w:val="007D1380"/>
    <w:rsid w:val="007D1DD6"/>
    <w:rsid w:val="007D35C0"/>
    <w:rsid w:val="007D36BC"/>
    <w:rsid w:val="007D3BE4"/>
    <w:rsid w:val="007D40F3"/>
    <w:rsid w:val="007D46DA"/>
    <w:rsid w:val="007D47C6"/>
    <w:rsid w:val="007D5CB2"/>
    <w:rsid w:val="007D5D5F"/>
    <w:rsid w:val="007D5E3F"/>
    <w:rsid w:val="007D63F8"/>
    <w:rsid w:val="007D6B58"/>
    <w:rsid w:val="007D720E"/>
    <w:rsid w:val="007D76E2"/>
    <w:rsid w:val="007E1449"/>
    <w:rsid w:val="007E15C7"/>
    <w:rsid w:val="007E1EA3"/>
    <w:rsid w:val="007E1F1A"/>
    <w:rsid w:val="007E2016"/>
    <w:rsid w:val="007E2A15"/>
    <w:rsid w:val="007E2BE4"/>
    <w:rsid w:val="007E2E35"/>
    <w:rsid w:val="007E3135"/>
    <w:rsid w:val="007E322D"/>
    <w:rsid w:val="007E3449"/>
    <w:rsid w:val="007E3B0D"/>
    <w:rsid w:val="007E3EC4"/>
    <w:rsid w:val="007E44F7"/>
    <w:rsid w:val="007E4634"/>
    <w:rsid w:val="007E46AB"/>
    <w:rsid w:val="007E5139"/>
    <w:rsid w:val="007E52F8"/>
    <w:rsid w:val="007E5E7E"/>
    <w:rsid w:val="007E5FA2"/>
    <w:rsid w:val="007E619D"/>
    <w:rsid w:val="007E7526"/>
    <w:rsid w:val="007E7801"/>
    <w:rsid w:val="007F0344"/>
    <w:rsid w:val="007F04C8"/>
    <w:rsid w:val="007F1DCC"/>
    <w:rsid w:val="007F21BF"/>
    <w:rsid w:val="007F24DA"/>
    <w:rsid w:val="007F25D8"/>
    <w:rsid w:val="007F26C7"/>
    <w:rsid w:val="007F3AA9"/>
    <w:rsid w:val="007F4908"/>
    <w:rsid w:val="007F54BF"/>
    <w:rsid w:val="007F5643"/>
    <w:rsid w:val="007F5B6D"/>
    <w:rsid w:val="007F7368"/>
    <w:rsid w:val="0080049A"/>
    <w:rsid w:val="00800BE9"/>
    <w:rsid w:val="00801BAD"/>
    <w:rsid w:val="00802059"/>
    <w:rsid w:val="008024D3"/>
    <w:rsid w:val="00802845"/>
    <w:rsid w:val="00802D25"/>
    <w:rsid w:val="00802F04"/>
    <w:rsid w:val="008044DB"/>
    <w:rsid w:val="008045CB"/>
    <w:rsid w:val="0080476B"/>
    <w:rsid w:val="008048D9"/>
    <w:rsid w:val="00804C6C"/>
    <w:rsid w:val="00805D1C"/>
    <w:rsid w:val="0080689F"/>
    <w:rsid w:val="00806A8E"/>
    <w:rsid w:val="00807A4F"/>
    <w:rsid w:val="00807E3F"/>
    <w:rsid w:val="008103FF"/>
    <w:rsid w:val="0081051F"/>
    <w:rsid w:val="00811135"/>
    <w:rsid w:val="008116B6"/>
    <w:rsid w:val="00811E7E"/>
    <w:rsid w:val="00812D0F"/>
    <w:rsid w:val="00813453"/>
    <w:rsid w:val="008135BF"/>
    <w:rsid w:val="00813AF0"/>
    <w:rsid w:val="00813B12"/>
    <w:rsid w:val="0081424A"/>
    <w:rsid w:val="00815EBD"/>
    <w:rsid w:val="00816726"/>
    <w:rsid w:val="008167E2"/>
    <w:rsid w:val="00816987"/>
    <w:rsid w:val="00816B5F"/>
    <w:rsid w:val="00816D93"/>
    <w:rsid w:val="008170E3"/>
    <w:rsid w:val="008201DF"/>
    <w:rsid w:val="00820AD4"/>
    <w:rsid w:val="008215C1"/>
    <w:rsid w:val="008224BE"/>
    <w:rsid w:val="00822683"/>
    <w:rsid w:val="00822B49"/>
    <w:rsid w:val="00822BFB"/>
    <w:rsid w:val="0082572E"/>
    <w:rsid w:val="0082609D"/>
    <w:rsid w:val="008268BC"/>
    <w:rsid w:val="00827348"/>
    <w:rsid w:val="00827483"/>
    <w:rsid w:val="008275BE"/>
    <w:rsid w:val="008300B9"/>
    <w:rsid w:val="00830E13"/>
    <w:rsid w:val="00830F8A"/>
    <w:rsid w:val="008313C1"/>
    <w:rsid w:val="0083217F"/>
    <w:rsid w:val="0083240C"/>
    <w:rsid w:val="0083271C"/>
    <w:rsid w:val="00833505"/>
    <w:rsid w:val="008337BE"/>
    <w:rsid w:val="008339C6"/>
    <w:rsid w:val="00833C38"/>
    <w:rsid w:val="00834ABF"/>
    <w:rsid w:val="00835199"/>
    <w:rsid w:val="00835A2A"/>
    <w:rsid w:val="00836698"/>
    <w:rsid w:val="00836C97"/>
    <w:rsid w:val="008370C9"/>
    <w:rsid w:val="008378BD"/>
    <w:rsid w:val="00837F7A"/>
    <w:rsid w:val="008401FA"/>
    <w:rsid w:val="00840F70"/>
    <w:rsid w:val="00841053"/>
    <w:rsid w:val="00841261"/>
    <w:rsid w:val="008418FB"/>
    <w:rsid w:val="00841E97"/>
    <w:rsid w:val="00841F38"/>
    <w:rsid w:val="008420BB"/>
    <w:rsid w:val="008421D0"/>
    <w:rsid w:val="00842FD4"/>
    <w:rsid w:val="008445B3"/>
    <w:rsid w:val="008446EE"/>
    <w:rsid w:val="00844896"/>
    <w:rsid w:val="00845116"/>
    <w:rsid w:val="00845B86"/>
    <w:rsid w:val="00845FDA"/>
    <w:rsid w:val="00846878"/>
    <w:rsid w:val="008468E5"/>
    <w:rsid w:val="00846A92"/>
    <w:rsid w:val="00846E17"/>
    <w:rsid w:val="008473D6"/>
    <w:rsid w:val="00847602"/>
    <w:rsid w:val="0084789C"/>
    <w:rsid w:val="00850085"/>
    <w:rsid w:val="00850F1B"/>
    <w:rsid w:val="0085100D"/>
    <w:rsid w:val="008514D5"/>
    <w:rsid w:val="008515F7"/>
    <w:rsid w:val="008525A8"/>
    <w:rsid w:val="00852C32"/>
    <w:rsid w:val="008530ED"/>
    <w:rsid w:val="008534F9"/>
    <w:rsid w:val="00853AD4"/>
    <w:rsid w:val="00854811"/>
    <w:rsid w:val="00854990"/>
    <w:rsid w:val="00855D88"/>
    <w:rsid w:val="00856FCE"/>
    <w:rsid w:val="00857349"/>
    <w:rsid w:val="00857747"/>
    <w:rsid w:val="00857C3B"/>
    <w:rsid w:val="00857D1A"/>
    <w:rsid w:val="00860302"/>
    <w:rsid w:val="0086058F"/>
    <w:rsid w:val="00860FCC"/>
    <w:rsid w:val="0086160F"/>
    <w:rsid w:val="00861F0E"/>
    <w:rsid w:val="008624F3"/>
    <w:rsid w:val="008628B0"/>
    <w:rsid w:val="00862A0C"/>
    <w:rsid w:val="00862E35"/>
    <w:rsid w:val="00862EDB"/>
    <w:rsid w:val="008641EC"/>
    <w:rsid w:val="008644B9"/>
    <w:rsid w:val="00865058"/>
    <w:rsid w:val="0086544F"/>
    <w:rsid w:val="008655B3"/>
    <w:rsid w:val="008658D5"/>
    <w:rsid w:val="00865C26"/>
    <w:rsid w:val="008661C7"/>
    <w:rsid w:val="00866699"/>
    <w:rsid w:val="00866853"/>
    <w:rsid w:val="00867285"/>
    <w:rsid w:val="008675C3"/>
    <w:rsid w:val="00867FF5"/>
    <w:rsid w:val="008703F1"/>
    <w:rsid w:val="008703F3"/>
    <w:rsid w:val="00870516"/>
    <w:rsid w:val="00870816"/>
    <w:rsid w:val="00870BAE"/>
    <w:rsid w:val="00872098"/>
    <w:rsid w:val="00872106"/>
    <w:rsid w:val="008727A0"/>
    <w:rsid w:val="008730E3"/>
    <w:rsid w:val="008734D3"/>
    <w:rsid w:val="008739CA"/>
    <w:rsid w:val="00873E79"/>
    <w:rsid w:val="00873E93"/>
    <w:rsid w:val="008746B8"/>
    <w:rsid w:val="008748E9"/>
    <w:rsid w:val="008752F3"/>
    <w:rsid w:val="00875F8C"/>
    <w:rsid w:val="0087615F"/>
    <w:rsid w:val="008773D9"/>
    <w:rsid w:val="008777F5"/>
    <w:rsid w:val="00877918"/>
    <w:rsid w:val="00877C5B"/>
    <w:rsid w:val="00877DA3"/>
    <w:rsid w:val="00877F86"/>
    <w:rsid w:val="00880041"/>
    <w:rsid w:val="0088063D"/>
    <w:rsid w:val="008806C0"/>
    <w:rsid w:val="00880BAD"/>
    <w:rsid w:val="00881432"/>
    <w:rsid w:val="00881A08"/>
    <w:rsid w:val="008826CB"/>
    <w:rsid w:val="008827CD"/>
    <w:rsid w:val="00882DA1"/>
    <w:rsid w:val="00882E77"/>
    <w:rsid w:val="00884592"/>
    <w:rsid w:val="00884D6F"/>
    <w:rsid w:val="008851EB"/>
    <w:rsid w:val="00885709"/>
    <w:rsid w:val="00885859"/>
    <w:rsid w:val="008858AE"/>
    <w:rsid w:val="00886334"/>
    <w:rsid w:val="008868DF"/>
    <w:rsid w:val="00886EBC"/>
    <w:rsid w:val="00887578"/>
    <w:rsid w:val="00887717"/>
    <w:rsid w:val="0088771F"/>
    <w:rsid w:val="00890C27"/>
    <w:rsid w:val="00890FC4"/>
    <w:rsid w:val="0089205E"/>
    <w:rsid w:val="00892305"/>
    <w:rsid w:val="008929FE"/>
    <w:rsid w:val="00893389"/>
    <w:rsid w:val="00893490"/>
    <w:rsid w:val="00893EDF"/>
    <w:rsid w:val="00893F9C"/>
    <w:rsid w:val="00894563"/>
    <w:rsid w:val="00894B7C"/>
    <w:rsid w:val="00895248"/>
    <w:rsid w:val="00895620"/>
    <w:rsid w:val="00895EBA"/>
    <w:rsid w:val="00895EDC"/>
    <w:rsid w:val="00896101"/>
    <w:rsid w:val="008964CF"/>
    <w:rsid w:val="00896702"/>
    <w:rsid w:val="00896EBE"/>
    <w:rsid w:val="00896FF4"/>
    <w:rsid w:val="0089732B"/>
    <w:rsid w:val="0089736E"/>
    <w:rsid w:val="0089780D"/>
    <w:rsid w:val="008A04D2"/>
    <w:rsid w:val="008A0A52"/>
    <w:rsid w:val="008A1120"/>
    <w:rsid w:val="008A1358"/>
    <w:rsid w:val="008A1E10"/>
    <w:rsid w:val="008A3800"/>
    <w:rsid w:val="008A398E"/>
    <w:rsid w:val="008A3B14"/>
    <w:rsid w:val="008A45D4"/>
    <w:rsid w:val="008A471C"/>
    <w:rsid w:val="008A478F"/>
    <w:rsid w:val="008A4B44"/>
    <w:rsid w:val="008A5526"/>
    <w:rsid w:val="008A5986"/>
    <w:rsid w:val="008A5CCE"/>
    <w:rsid w:val="008A60FB"/>
    <w:rsid w:val="008A62F5"/>
    <w:rsid w:val="008A6D81"/>
    <w:rsid w:val="008A6F00"/>
    <w:rsid w:val="008A7164"/>
    <w:rsid w:val="008A7DA7"/>
    <w:rsid w:val="008B1604"/>
    <w:rsid w:val="008B1D22"/>
    <w:rsid w:val="008B1DE4"/>
    <w:rsid w:val="008B21F8"/>
    <w:rsid w:val="008B2C1C"/>
    <w:rsid w:val="008B3121"/>
    <w:rsid w:val="008B370D"/>
    <w:rsid w:val="008B3AAA"/>
    <w:rsid w:val="008B41B2"/>
    <w:rsid w:val="008B41DC"/>
    <w:rsid w:val="008B475D"/>
    <w:rsid w:val="008B478E"/>
    <w:rsid w:val="008B4AD6"/>
    <w:rsid w:val="008B50EC"/>
    <w:rsid w:val="008B620B"/>
    <w:rsid w:val="008B647B"/>
    <w:rsid w:val="008B73F3"/>
    <w:rsid w:val="008B76E8"/>
    <w:rsid w:val="008B7BB7"/>
    <w:rsid w:val="008C0E34"/>
    <w:rsid w:val="008C10B3"/>
    <w:rsid w:val="008C12B1"/>
    <w:rsid w:val="008C15BC"/>
    <w:rsid w:val="008C196A"/>
    <w:rsid w:val="008C1B13"/>
    <w:rsid w:val="008C1C7B"/>
    <w:rsid w:val="008C2809"/>
    <w:rsid w:val="008C2E54"/>
    <w:rsid w:val="008C3BE0"/>
    <w:rsid w:val="008C3D64"/>
    <w:rsid w:val="008C3F1D"/>
    <w:rsid w:val="008C4169"/>
    <w:rsid w:val="008C426F"/>
    <w:rsid w:val="008C4F7F"/>
    <w:rsid w:val="008C60D1"/>
    <w:rsid w:val="008C63FB"/>
    <w:rsid w:val="008C646F"/>
    <w:rsid w:val="008C6B81"/>
    <w:rsid w:val="008C700C"/>
    <w:rsid w:val="008C723B"/>
    <w:rsid w:val="008C7845"/>
    <w:rsid w:val="008C7964"/>
    <w:rsid w:val="008C7C1C"/>
    <w:rsid w:val="008C7D35"/>
    <w:rsid w:val="008C7E8B"/>
    <w:rsid w:val="008D095B"/>
    <w:rsid w:val="008D14F5"/>
    <w:rsid w:val="008D1AFF"/>
    <w:rsid w:val="008D1DF3"/>
    <w:rsid w:val="008D1F8E"/>
    <w:rsid w:val="008D24B1"/>
    <w:rsid w:val="008D24E5"/>
    <w:rsid w:val="008D269F"/>
    <w:rsid w:val="008D2738"/>
    <w:rsid w:val="008D29F0"/>
    <w:rsid w:val="008D2FFA"/>
    <w:rsid w:val="008D319D"/>
    <w:rsid w:val="008D32F9"/>
    <w:rsid w:val="008D335F"/>
    <w:rsid w:val="008D338B"/>
    <w:rsid w:val="008D37EE"/>
    <w:rsid w:val="008D3944"/>
    <w:rsid w:val="008D4006"/>
    <w:rsid w:val="008D4378"/>
    <w:rsid w:val="008D4CC6"/>
    <w:rsid w:val="008D4EEA"/>
    <w:rsid w:val="008D5DE1"/>
    <w:rsid w:val="008D63B9"/>
    <w:rsid w:val="008D64B1"/>
    <w:rsid w:val="008D674A"/>
    <w:rsid w:val="008D6C9A"/>
    <w:rsid w:val="008D72C5"/>
    <w:rsid w:val="008D758F"/>
    <w:rsid w:val="008D766C"/>
    <w:rsid w:val="008E01CD"/>
    <w:rsid w:val="008E11A1"/>
    <w:rsid w:val="008E1234"/>
    <w:rsid w:val="008E1DF2"/>
    <w:rsid w:val="008E3009"/>
    <w:rsid w:val="008E5396"/>
    <w:rsid w:val="008E6A3A"/>
    <w:rsid w:val="008E6CA6"/>
    <w:rsid w:val="008E7168"/>
    <w:rsid w:val="008E793D"/>
    <w:rsid w:val="008F0167"/>
    <w:rsid w:val="008F050C"/>
    <w:rsid w:val="008F151E"/>
    <w:rsid w:val="008F1807"/>
    <w:rsid w:val="008F1B1F"/>
    <w:rsid w:val="008F1D78"/>
    <w:rsid w:val="008F2E24"/>
    <w:rsid w:val="008F35A7"/>
    <w:rsid w:val="008F40DA"/>
    <w:rsid w:val="008F53CD"/>
    <w:rsid w:val="008F649C"/>
    <w:rsid w:val="008F6609"/>
    <w:rsid w:val="008F6F60"/>
    <w:rsid w:val="008F7119"/>
    <w:rsid w:val="0090029E"/>
    <w:rsid w:val="00900696"/>
    <w:rsid w:val="00901057"/>
    <w:rsid w:val="009017AD"/>
    <w:rsid w:val="00901AA2"/>
    <w:rsid w:val="00902F89"/>
    <w:rsid w:val="00903AE8"/>
    <w:rsid w:val="00903C56"/>
    <w:rsid w:val="00904660"/>
    <w:rsid w:val="00904DD3"/>
    <w:rsid w:val="00905497"/>
    <w:rsid w:val="00905648"/>
    <w:rsid w:val="00905881"/>
    <w:rsid w:val="00906FD0"/>
    <w:rsid w:val="009070F9"/>
    <w:rsid w:val="0091106A"/>
    <w:rsid w:val="00911394"/>
    <w:rsid w:val="00912115"/>
    <w:rsid w:val="00912D6E"/>
    <w:rsid w:val="00913DDD"/>
    <w:rsid w:val="0091438E"/>
    <w:rsid w:val="009145A3"/>
    <w:rsid w:val="00914EC2"/>
    <w:rsid w:val="009152CA"/>
    <w:rsid w:val="009154B0"/>
    <w:rsid w:val="009154C3"/>
    <w:rsid w:val="009156E8"/>
    <w:rsid w:val="009161F1"/>
    <w:rsid w:val="0091642C"/>
    <w:rsid w:val="00916860"/>
    <w:rsid w:val="00916E15"/>
    <w:rsid w:val="00916FDA"/>
    <w:rsid w:val="00916FF9"/>
    <w:rsid w:val="009173B0"/>
    <w:rsid w:val="009178A0"/>
    <w:rsid w:val="009202CF"/>
    <w:rsid w:val="00921748"/>
    <w:rsid w:val="00922165"/>
    <w:rsid w:val="0092272E"/>
    <w:rsid w:val="009229C8"/>
    <w:rsid w:val="00922C40"/>
    <w:rsid w:val="009230C3"/>
    <w:rsid w:val="00923CE5"/>
    <w:rsid w:val="0092406D"/>
    <w:rsid w:val="00924139"/>
    <w:rsid w:val="00924D38"/>
    <w:rsid w:val="009258CF"/>
    <w:rsid w:val="0092596B"/>
    <w:rsid w:val="00925D99"/>
    <w:rsid w:val="00926847"/>
    <w:rsid w:val="009269DF"/>
    <w:rsid w:val="00927A49"/>
    <w:rsid w:val="00930126"/>
    <w:rsid w:val="00930697"/>
    <w:rsid w:val="00930DE8"/>
    <w:rsid w:val="00931010"/>
    <w:rsid w:val="00931028"/>
    <w:rsid w:val="0093106E"/>
    <w:rsid w:val="00931BCA"/>
    <w:rsid w:val="00932786"/>
    <w:rsid w:val="00932988"/>
    <w:rsid w:val="009332F6"/>
    <w:rsid w:val="00933735"/>
    <w:rsid w:val="0093381D"/>
    <w:rsid w:val="00933E63"/>
    <w:rsid w:val="009346C2"/>
    <w:rsid w:val="00934AE4"/>
    <w:rsid w:val="00936184"/>
    <w:rsid w:val="0093641D"/>
    <w:rsid w:val="00936DA3"/>
    <w:rsid w:val="00936E55"/>
    <w:rsid w:val="009372A7"/>
    <w:rsid w:val="00937410"/>
    <w:rsid w:val="009376D3"/>
    <w:rsid w:val="0093778D"/>
    <w:rsid w:val="009408D0"/>
    <w:rsid w:val="00940992"/>
    <w:rsid w:val="00940AA0"/>
    <w:rsid w:val="00940B9D"/>
    <w:rsid w:val="009411F9"/>
    <w:rsid w:val="009414ED"/>
    <w:rsid w:val="0094151B"/>
    <w:rsid w:val="00941692"/>
    <w:rsid w:val="00941696"/>
    <w:rsid w:val="00942079"/>
    <w:rsid w:val="00942299"/>
    <w:rsid w:val="009435CE"/>
    <w:rsid w:val="00944534"/>
    <w:rsid w:val="00944C4D"/>
    <w:rsid w:val="00944F26"/>
    <w:rsid w:val="00944FA7"/>
    <w:rsid w:val="0094501C"/>
    <w:rsid w:val="0094512B"/>
    <w:rsid w:val="00945137"/>
    <w:rsid w:val="00946733"/>
    <w:rsid w:val="009467F2"/>
    <w:rsid w:val="0094699B"/>
    <w:rsid w:val="009469C1"/>
    <w:rsid w:val="00950118"/>
    <w:rsid w:val="0095041B"/>
    <w:rsid w:val="00950810"/>
    <w:rsid w:val="00950DCB"/>
    <w:rsid w:val="00951088"/>
    <w:rsid w:val="00951577"/>
    <w:rsid w:val="00952A54"/>
    <w:rsid w:val="009535BF"/>
    <w:rsid w:val="009535D8"/>
    <w:rsid w:val="0095400A"/>
    <w:rsid w:val="00954057"/>
    <w:rsid w:val="00954338"/>
    <w:rsid w:val="009548B6"/>
    <w:rsid w:val="0095499C"/>
    <w:rsid w:val="00955837"/>
    <w:rsid w:val="00955A2A"/>
    <w:rsid w:val="00955C94"/>
    <w:rsid w:val="00955CBE"/>
    <w:rsid w:val="00955E51"/>
    <w:rsid w:val="00957050"/>
    <w:rsid w:val="009572D9"/>
    <w:rsid w:val="00957811"/>
    <w:rsid w:val="00957B2B"/>
    <w:rsid w:val="00961AEF"/>
    <w:rsid w:val="00961CD4"/>
    <w:rsid w:val="00961EC2"/>
    <w:rsid w:val="00961FB9"/>
    <w:rsid w:val="0096256D"/>
    <w:rsid w:val="00962940"/>
    <w:rsid w:val="009642DF"/>
    <w:rsid w:val="00964BA3"/>
    <w:rsid w:val="009653BA"/>
    <w:rsid w:val="009653F4"/>
    <w:rsid w:val="00965659"/>
    <w:rsid w:val="00965F78"/>
    <w:rsid w:val="009665E9"/>
    <w:rsid w:val="0096699E"/>
    <w:rsid w:val="00966D44"/>
    <w:rsid w:val="00966F68"/>
    <w:rsid w:val="009679EE"/>
    <w:rsid w:val="00967C90"/>
    <w:rsid w:val="00967E33"/>
    <w:rsid w:val="00970113"/>
    <w:rsid w:val="009711EF"/>
    <w:rsid w:val="009712BE"/>
    <w:rsid w:val="0097132D"/>
    <w:rsid w:val="00971A02"/>
    <w:rsid w:val="00971B40"/>
    <w:rsid w:val="00971DB5"/>
    <w:rsid w:val="0097298F"/>
    <w:rsid w:val="00973468"/>
    <w:rsid w:val="009736B6"/>
    <w:rsid w:val="009738A9"/>
    <w:rsid w:val="00973B8F"/>
    <w:rsid w:val="00974008"/>
    <w:rsid w:val="009744E8"/>
    <w:rsid w:val="0097462E"/>
    <w:rsid w:val="009748F9"/>
    <w:rsid w:val="00974ACF"/>
    <w:rsid w:val="00975B6F"/>
    <w:rsid w:val="00975D56"/>
    <w:rsid w:val="00975F2C"/>
    <w:rsid w:val="00976178"/>
    <w:rsid w:val="00976C7D"/>
    <w:rsid w:val="0098029A"/>
    <w:rsid w:val="00980A72"/>
    <w:rsid w:val="00980DA5"/>
    <w:rsid w:val="00981AD1"/>
    <w:rsid w:val="009821A4"/>
    <w:rsid w:val="009826C7"/>
    <w:rsid w:val="00982807"/>
    <w:rsid w:val="00982930"/>
    <w:rsid w:val="00982A1C"/>
    <w:rsid w:val="00982B47"/>
    <w:rsid w:val="00982C12"/>
    <w:rsid w:val="00982E45"/>
    <w:rsid w:val="00982FF5"/>
    <w:rsid w:val="00983518"/>
    <w:rsid w:val="00983936"/>
    <w:rsid w:val="009840E6"/>
    <w:rsid w:val="00984513"/>
    <w:rsid w:val="009848DC"/>
    <w:rsid w:val="00984A14"/>
    <w:rsid w:val="0098529A"/>
    <w:rsid w:val="0098572F"/>
    <w:rsid w:val="00986730"/>
    <w:rsid w:val="00986C52"/>
    <w:rsid w:val="009872FF"/>
    <w:rsid w:val="009902B4"/>
    <w:rsid w:val="009903CA"/>
    <w:rsid w:val="00990578"/>
    <w:rsid w:val="00990726"/>
    <w:rsid w:val="00990776"/>
    <w:rsid w:val="009908D6"/>
    <w:rsid w:val="00991005"/>
    <w:rsid w:val="00991991"/>
    <w:rsid w:val="00991A1F"/>
    <w:rsid w:val="00991DA4"/>
    <w:rsid w:val="009922C4"/>
    <w:rsid w:val="00992330"/>
    <w:rsid w:val="00992814"/>
    <w:rsid w:val="009936BA"/>
    <w:rsid w:val="00993B23"/>
    <w:rsid w:val="00994231"/>
    <w:rsid w:val="00994F09"/>
    <w:rsid w:val="009956A3"/>
    <w:rsid w:val="00995AB7"/>
    <w:rsid w:val="00995D93"/>
    <w:rsid w:val="00996D1F"/>
    <w:rsid w:val="00997385"/>
    <w:rsid w:val="00997868"/>
    <w:rsid w:val="009A009B"/>
    <w:rsid w:val="009A03B6"/>
    <w:rsid w:val="009A0526"/>
    <w:rsid w:val="009A0635"/>
    <w:rsid w:val="009A11A2"/>
    <w:rsid w:val="009A12DE"/>
    <w:rsid w:val="009A26A1"/>
    <w:rsid w:val="009A2F1E"/>
    <w:rsid w:val="009A3428"/>
    <w:rsid w:val="009A38F6"/>
    <w:rsid w:val="009A39F9"/>
    <w:rsid w:val="009A3CE2"/>
    <w:rsid w:val="009A4612"/>
    <w:rsid w:val="009A4D1F"/>
    <w:rsid w:val="009A5232"/>
    <w:rsid w:val="009A54D7"/>
    <w:rsid w:val="009A5E02"/>
    <w:rsid w:val="009A6E11"/>
    <w:rsid w:val="009A7104"/>
    <w:rsid w:val="009B22CE"/>
    <w:rsid w:val="009B230B"/>
    <w:rsid w:val="009B254A"/>
    <w:rsid w:val="009B27A8"/>
    <w:rsid w:val="009B2ACE"/>
    <w:rsid w:val="009B2FCD"/>
    <w:rsid w:val="009B3942"/>
    <w:rsid w:val="009B3B91"/>
    <w:rsid w:val="009B3BDE"/>
    <w:rsid w:val="009B46BB"/>
    <w:rsid w:val="009B4778"/>
    <w:rsid w:val="009B48AA"/>
    <w:rsid w:val="009B57CA"/>
    <w:rsid w:val="009B5EE6"/>
    <w:rsid w:val="009B643A"/>
    <w:rsid w:val="009B6F29"/>
    <w:rsid w:val="009C0076"/>
    <w:rsid w:val="009C04D9"/>
    <w:rsid w:val="009C06C7"/>
    <w:rsid w:val="009C0B72"/>
    <w:rsid w:val="009C1657"/>
    <w:rsid w:val="009C1796"/>
    <w:rsid w:val="009C18B2"/>
    <w:rsid w:val="009C2A38"/>
    <w:rsid w:val="009C2C82"/>
    <w:rsid w:val="009C2DDB"/>
    <w:rsid w:val="009C35A5"/>
    <w:rsid w:val="009C37FB"/>
    <w:rsid w:val="009C3A06"/>
    <w:rsid w:val="009C400C"/>
    <w:rsid w:val="009C4604"/>
    <w:rsid w:val="009C5C8B"/>
    <w:rsid w:val="009C5E43"/>
    <w:rsid w:val="009C6294"/>
    <w:rsid w:val="009C65EA"/>
    <w:rsid w:val="009C6E27"/>
    <w:rsid w:val="009C72AC"/>
    <w:rsid w:val="009C7403"/>
    <w:rsid w:val="009C7966"/>
    <w:rsid w:val="009D067C"/>
    <w:rsid w:val="009D17E9"/>
    <w:rsid w:val="009D192A"/>
    <w:rsid w:val="009D2903"/>
    <w:rsid w:val="009D3444"/>
    <w:rsid w:val="009D45C1"/>
    <w:rsid w:val="009D616C"/>
    <w:rsid w:val="009D6603"/>
    <w:rsid w:val="009D6D0F"/>
    <w:rsid w:val="009D71D1"/>
    <w:rsid w:val="009D7B52"/>
    <w:rsid w:val="009D7BCA"/>
    <w:rsid w:val="009D7C4F"/>
    <w:rsid w:val="009E01F7"/>
    <w:rsid w:val="009E0ABE"/>
    <w:rsid w:val="009E1568"/>
    <w:rsid w:val="009E243B"/>
    <w:rsid w:val="009E2921"/>
    <w:rsid w:val="009E3D52"/>
    <w:rsid w:val="009E4395"/>
    <w:rsid w:val="009E4F2F"/>
    <w:rsid w:val="009E55C2"/>
    <w:rsid w:val="009E607F"/>
    <w:rsid w:val="009E61C5"/>
    <w:rsid w:val="009E68B5"/>
    <w:rsid w:val="009E697C"/>
    <w:rsid w:val="009E7B7B"/>
    <w:rsid w:val="009E7CA3"/>
    <w:rsid w:val="009F077F"/>
    <w:rsid w:val="009F07AB"/>
    <w:rsid w:val="009F1A8E"/>
    <w:rsid w:val="009F1F60"/>
    <w:rsid w:val="009F210A"/>
    <w:rsid w:val="009F2861"/>
    <w:rsid w:val="009F38BA"/>
    <w:rsid w:val="009F52E1"/>
    <w:rsid w:val="009F5732"/>
    <w:rsid w:val="009F6324"/>
    <w:rsid w:val="009F6461"/>
    <w:rsid w:val="009F6D34"/>
    <w:rsid w:val="00A011E0"/>
    <w:rsid w:val="00A018AF"/>
    <w:rsid w:val="00A02029"/>
    <w:rsid w:val="00A02FA2"/>
    <w:rsid w:val="00A039B0"/>
    <w:rsid w:val="00A03D4E"/>
    <w:rsid w:val="00A04B5D"/>
    <w:rsid w:val="00A04C0B"/>
    <w:rsid w:val="00A04D79"/>
    <w:rsid w:val="00A05F28"/>
    <w:rsid w:val="00A0680B"/>
    <w:rsid w:val="00A06BEC"/>
    <w:rsid w:val="00A073D1"/>
    <w:rsid w:val="00A07D46"/>
    <w:rsid w:val="00A10A15"/>
    <w:rsid w:val="00A11616"/>
    <w:rsid w:val="00A1239E"/>
    <w:rsid w:val="00A12C72"/>
    <w:rsid w:val="00A1350A"/>
    <w:rsid w:val="00A13565"/>
    <w:rsid w:val="00A13FBF"/>
    <w:rsid w:val="00A14630"/>
    <w:rsid w:val="00A147A1"/>
    <w:rsid w:val="00A14F9C"/>
    <w:rsid w:val="00A156C9"/>
    <w:rsid w:val="00A15931"/>
    <w:rsid w:val="00A15B86"/>
    <w:rsid w:val="00A15EEB"/>
    <w:rsid w:val="00A16043"/>
    <w:rsid w:val="00A1646E"/>
    <w:rsid w:val="00A16E0E"/>
    <w:rsid w:val="00A17459"/>
    <w:rsid w:val="00A17990"/>
    <w:rsid w:val="00A20DF7"/>
    <w:rsid w:val="00A20F1B"/>
    <w:rsid w:val="00A210ED"/>
    <w:rsid w:val="00A2146C"/>
    <w:rsid w:val="00A21EB6"/>
    <w:rsid w:val="00A22563"/>
    <w:rsid w:val="00A2333C"/>
    <w:rsid w:val="00A2374C"/>
    <w:rsid w:val="00A23786"/>
    <w:rsid w:val="00A23898"/>
    <w:rsid w:val="00A23FDB"/>
    <w:rsid w:val="00A244B3"/>
    <w:rsid w:val="00A244ED"/>
    <w:rsid w:val="00A247EE"/>
    <w:rsid w:val="00A24A4F"/>
    <w:rsid w:val="00A25172"/>
    <w:rsid w:val="00A253A5"/>
    <w:rsid w:val="00A267FA"/>
    <w:rsid w:val="00A27C3B"/>
    <w:rsid w:val="00A27C84"/>
    <w:rsid w:val="00A27DC0"/>
    <w:rsid w:val="00A301A9"/>
    <w:rsid w:val="00A31F62"/>
    <w:rsid w:val="00A321E3"/>
    <w:rsid w:val="00A32F70"/>
    <w:rsid w:val="00A3364A"/>
    <w:rsid w:val="00A33750"/>
    <w:rsid w:val="00A341AA"/>
    <w:rsid w:val="00A34753"/>
    <w:rsid w:val="00A34789"/>
    <w:rsid w:val="00A351C1"/>
    <w:rsid w:val="00A35D11"/>
    <w:rsid w:val="00A36A56"/>
    <w:rsid w:val="00A36A78"/>
    <w:rsid w:val="00A372DC"/>
    <w:rsid w:val="00A37D7B"/>
    <w:rsid w:val="00A37FDF"/>
    <w:rsid w:val="00A408F3"/>
    <w:rsid w:val="00A40DE3"/>
    <w:rsid w:val="00A411AF"/>
    <w:rsid w:val="00A41B11"/>
    <w:rsid w:val="00A41E33"/>
    <w:rsid w:val="00A426C7"/>
    <w:rsid w:val="00A42C29"/>
    <w:rsid w:val="00A43479"/>
    <w:rsid w:val="00A43639"/>
    <w:rsid w:val="00A44452"/>
    <w:rsid w:val="00A44487"/>
    <w:rsid w:val="00A44874"/>
    <w:rsid w:val="00A44A4A"/>
    <w:rsid w:val="00A45605"/>
    <w:rsid w:val="00A45711"/>
    <w:rsid w:val="00A45B3A"/>
    <w:rsid w:val="00A45F17"/>
    <w:rsid w:val="00A46F8E"/>
    <w:rsid w:val="00A473E7"/>
    <w:rsid w:val="00A51FD4"/>
    <w:rsid w:val="00A529BB"/>
    <w:rsid w:val="00A540CA"/>
    <w:rsid w:val="00A547C1"/>
    <w:rsid w:val="00A54880"/>
    <w:rsid w:val="00A54E22"/>
    <w:rsid w:val="00A55582"/>
    <w:rsid w:val="00A55695"/>
    <w:rsid w:val="00A56211"/>
    <w:rsid w:val="00A5680D"/>
    <w:rsid w:val="00A56CC5"/>
    <w:rsid w:val="00A57E1E"/>
    <w:rsid w:val="00A57EE4"/>
    <w:rsid w:val="00A60C3D"/>
    <w:rsid w:val="00A611FC"/>
    <w:rsid w:val="00A6151D"/>
    <w:rsid w:val="00A61A17"/>
    <w:rsid w:val="00A61AFA"/>
    <w:rsid w:val="00A61BA0"/>
    <w:rsid w:val="00A6236C"/>
    <w:rsid w:val="00A62847"/>
    <w:rsid w:val="00A629BA"/>
    <w:rsid w:val="00A62AC5"/>
    <w:rsid w:val="00A62B97"/>
    <w:rsid w:val="00A62C89"/>
    <w:rsid w:val="00A63B91"/>
    <w:rsid w:val="00A64731"/>
    <w:rsid w:val="00A64FA6"/>
    <w:rsid w:val="00A653C0"/>
    <w:rsid w:val="00A65C59"/>
    <w:rsid w:val="00A66360"/>
    <w:rsid w:val="00A667C6"/>
    <w:rsid w:val="00A67EB5"/>
    <w:rsid w:val="00A7071D"/>
    <w:rsid w:val="00A70DD0"/>
    <w:rsid w:val="00A71548"/>
    <w:rsid w:val="00A716AA"/>
    <w:rsid w:val="00A717E2"/>
    <w:rsid w:val="00A7245A"/>
    <w:rsid w:val="00A73202"/>
    <w:rsid w:val="00A7332F"/>
    <w:rsid w:val="00A73389"/>
    <w:rsid w:val="00A736BE"/>
    <w:rsid w:val="00A73905"/>
    <w:rsid w:val="00A73951"/>
    <w:rsid w:val="00A74C9D"/>
    <w:rsid w:val="00A77192"/>
    <w:rsid w:val="00A77A1D"/>
    <w:rsid w:val="00A806A9"/>
    <w:rsid w:val="00A80751"/>
    <w:rsid w:val="00A82364"/>
    <w:rsid w:val="00A824FE"/>
    <w:rsid w:val="00A82515"/>
    <w:rsid w:val="00A8321C"/>
    <w:rsid w:val="00A8365A"/>
    <w:rsid w:val="00A8523D"/>
    <w:rsid w:val="00A85E73"/>
    <w:rsid w:val="00A864ED"/>
    <w:rsid w:val="00A86540"/>
    <w:rsid w:val="00A86575"/>
    <w:rsid w:val="00A86CC5"/>
    <w:rsid w:val="00A87A24"/>
    <w:rsid w:val="00A905C1"/>
    <w:rsid w:val="00A90D0F"/>
    <w:rsid w:val="00A91C98"/>
    <w:rsid w:val="00A92A71"/>
    <w:rsid w:val="00A92EDB"/>
    <w:rsid w:val="00A92F3A"/>
    <w:rsid w:val="00A93DC6"/>
    <w:rsid w:val="00A948E2"/>
    <w:rsid w:val="00A951AF"/>
    <w:rsid w:val="00A95F89"/>
    <w:rsid w:val="00A96EE4"/>
    <w:rsid w:val="00A97323"/>
    <w:rsid w:val="00A97496"/>
    <w:rsid w:val="00A97994"/>
    <w:rsid w:val="00AA0D6B"/>
    <w:rsid w:val="00AA1079"/>
    <w:rsid w:val="00AA1689"/>
    <w:rsid w:val="00AA1AE6"/>
    <w:rsid w:val="00AA2044"/>
    <w:rsid w:val="00AA30F5"/>
    <w:rsid w:val="00AA38F1"/>
    <w:rsid w:val="00AA4A0D"/>
    <w:rsid w:val="00AA4B2D"/>
    <w:rsid w:val="00AA546B"/>
    <w:rsid w:val="00AA6397"/>
    <w:rsid w:val="00AA68F4"/>
    <w:rsid w:val="00AA7375"/>
    <w:rsid w:val="00AA79C0"/>
    <w:rsid w:val="00AA79C2"/>
    <w:rsid w:val="00AA7ADB"/>
    <w:rsid w:val="00AB00CE"/>
    <w:rsid w:val="00AB018C"/>
    <w:rsid w:val="00AB0449"/>
    <w:rsid w:val="00AB125F"/>
    <w:rsid w:val="00AB1823"/>
    <w:rsid w:val="00AB210D"/>
    <w:rsid w:val="00AB21B2"/>
    <w:rsid w:val="00AB23F4"/>
    <w:rsid w:val="00AB2D95"/>
    <w:rsid w:val="00AB2E29"/>
    <w:rsid w:val="00AB3611"/>
    <w:rsid w:val="00AB3B06"/>
    <w:rsid w:val="00AB4870"/>
    <w:rsid w:val="00AB5911"/>
    <w:rsid w:val="00AB6059"/>
    <w:rsid w:val="00AB6133"/>
    <w:rsid w:val="00AB7BC6"/>
    <w:rsid w:val="00AC0072"/>
    <w:rsid w:val="00AC088B"/>
    <w:rsid w:val="00AC1CFF"/>
    <w:rsid w:val="00AC2B18"/>
    <w:rsid w:val="00AC3F50"/>
    <w:rsid w:val="00AC47A1"/>
    <w:rsid w:val="00AC4906"/>
    <w:rsid w:val="00AC4F86"/>
    <w:rsid w:val="00AC5402"/>
    <w:rsid w:val="00AC602E"/>
    <w:rsid w:val="00AC646C"/>
    <w:rsid w:val="00AC7571"/>
    <w:rsid w:val="00AC78E2"/>
    <w:rsid w:val="00AD09F4"/>
    <w:rsid w:val="00AD0A80"/>
    <w:rsid w:val="00AD0DA3"/>
    <w:rsid w:val="00AD1425"/>
    <w:rsid w:val="00AD1481"/>
    <w:rsid w:val="00AD2998"/>
    <w:rsid w:val="00AD2E41"/>
    <w:rsid w:val="00AD407E"/>
    <w:rsid w:val="00AD4240"/>
    <w:rsid w:val="00AD4432"/>
    <w:rsid w:val="00AD4BE8"/>
    <w:rsid w:val="00AD4DB4"/>
    <w:rsid w:val="00AD5AF1"/>
    <w:rsid w:val="00AD5F7B"/>
    <w:rsid w:val="00AD64B1"/>
    <w:rsid w:val="00AD66E6"/>
    <w:rsid w:val="00AD676A"/>
    <w:rsid w:val="00AD772E"/>
    <w:rsid w:val="00AD7BCF"/>
    <w:rsid w:val="00AD7E71"/>
    <w:rsid w:val="00AE039F"/>
    <w:rsid w:val="00AE04E3"/>
    <w:rsid w:val="00AE0BC6"/>
    <w:rsid w:val="00AE0D58"/>
    <w:rsid w:val="00AE0E64"/>
    <w:rsid w:val="00AE1758"/>
    <w:rsid w:val="00AE2A41"/>
    <w:rsid w:val="00AE2CCE"/>
    <w:rsid w:val="00AE2DAB"/>
    <w:rsid w:val="00AE313E"/>
    <w:rsid w:val="00AE3180"/>
    <w:rsid w:val="00AE360A"/>
    <w:rsid w:val="00AE3AB0"/>
    <w:rsid w:val="00AE3BE4"/>
    <w:rsid w:val="00AE40D7"/>
    <w:rsid w:val="00AE40EE"/>
    <w:rsid w:val="00AE4211"/>
    <w:rsid w:val="00AE49E4"/>
    <w:rsid w:val="00AE5277"/>
    <w:rsid w:val="00AE69D6"/>
    <w:rsid w:val="00AE776B"/>
    <w:rsid w:val="00AE79A0"/>
    <w:rsid w:val="00AF0312"/>
    <w:rsid w:val="00AF066A"/>
    <w:rsid w:val="00AF0B14"/>
    <w:rsid w:val="00AF0DEF"/>
    <w:rsid w:val="00AF129D"/>
    <w:rsid w:val="00AF1479"/>
    <w:rsid w:val="00AF14B3"/>
    <w:rsid w:val="00AF1610"/>
    <w:rsid w:val="00AF1AD5"/>
    <w:rsid w:val="00AF1B0F"/>
    <w:rsid w:val="00AF2568"/>
    <w:rsid w:val="00AF2AD3"/>
    <w:rsid w:val="00AF3AAA"/>
    <w:rsid w:val="00AF4190"/>
    <w:rsid w:val="00AF4502"/>
    <w:rsid w:val="00AF4656"/>
    <w:rsid w:val="00AF46F3"/>
    <w:rsid w:val="00AF4DBD"/>
    <w:rsid w:val="00AF56F4"/>
    <w:rsid w:val="00AF5804"/>
    <w:rsid w:val="00AF5AF4"/>
    <w:rsid w:val="00AF619E"/>
    <w:rsid w:val="00AF76A9"/>
    <w:rsid w:val="00AF7A69"/>
    <w:rsid w:val="00AF7CDB"/>
    <w:rsid w:val="00B006AA"/>
    <w:rsid w:val="00B0173D"/>
    <w:rsid w:val="00B01E34"/>
    <w:rsid w:val="00B01F65"/>
    <w:rsid w:val="00B030B7"/>
    <w:rsid w:val="00B03516"/>
    <w:rsid w:val="00B03895"/>
    <w:rsid w:val="00B038F6"/>
    <w:rsid w:val="00B043BA"/>
    <w:rsid w:val="00B046F7"/>
    <w:rsid w:val="00B04DC5"/>
    <w:rsid w:val="00B0579B"/>
    <w:rsid w:val="00B06267"/>
    <w:rsid w:val="00B0696F"/>
    <w:rsid w:val="00B07CBB"/>
    <w:rsid w:val="00B103C5"/>
    <w:rsid w:val="00B1093C"/>
    <w:rsid w:val="00B11168"/>
    <w:rsid w:val="00B114E6"/>
    <w:rsid w:val="00B11766"/>
    <w:rsid w:val="00B11C86"/>
    <w:rsid w:val="00B11DF5"/>
    <w:rsid w:val="00B12471"/>
    <w:rsid w:val="00B12D20"/>
    <w:rsid w:val="00B12E29"/>
    <w:rsid w:val="00B1383E"/>
    <w:rsid w:val="00B140A4"/>
    <w:rsid w:val="00B14862"/>
    <w:rsid w:val="00B15A3F"/>
    <w:rsid w:val="00B15B6A"/>
    <w:rsid w:val="00B1622E"/>
    <w:rsid w:val="00B16298"/>
    <w:rsid w:val="00B16AD2"/>
    <w:rsid w:val="00B16C56"/>
    <w:rsid w:val="00B176B4"/>
    <w:rsid w:val="00B17E71"/>
    <w:rsid w:val="00B2024F"/>
    <w:rsid w:val="00B2052D"/>
    <w:rsid w:val="00B20DDB"/>
    <w:rsid w:val="00B20EBE"/>
    <w:rsid w:val="00B228C7"/>
    <w:rsid w:val="00B22901"/>
    <w:rsid w:val="00B22A60"/>
    <w:rsid w:val="00B2309B"/>
    <w:rsid w:val="00B23600"/>
    <w:rsid w:val="00B23679"/>
    <w:rsid w:val="00B23A92"/>
    <w:rsid w:val="00B24208"/>
    <w:rsid w:val="00B24439"/>
    <w:rsid w:val="00B2530D"/>
    <w:rsid w:val="00B25636"/>
    <w:rsid w:val="00B25F3D"/>
    <w:rsid w:val="00B26C7F"/>
    <w:rsid w:val="00B27B22"/>
    <w:rsid w:val="00B314EC"/>
    <w:rsid w:val="00B318F8"/>
    <w:rsid w:val="00B31906"/>
    <w:rsid w:val="00B32106"/>
    <w:rsid w:val="00B33D8D"/>
    <w:rsid w:val="00B345AC"/>
    <w:rsid w:val="00B34D64"/>
    <w:rsid w:val="00B35338"/>
    <w:rsid w:val="00B3545C"/>
    <w:rsid w:val="00B3602E"/>
    <w:rsid w:val="00B3674A"/>
    <w:rsid w:val="00B3702C"/>
    <w:rsid w:val="00B37083"/>
    <w:rsid w:val="00B3713F"/>
    <w:rsid w:val="00B379D8"/>
    <w:rsid w:val="00B37AB7"/>
    <w:rsid w:val="00B40B38"/>
    <w:rsid w:val="00B41F27"/>
    <w:rsid w:val="00B4281E"/>
    <w:rsid w:val="00B42FB8"/>
    <w:rsid w:val="00B435DF"/>
    <w:rsid w:val="00B437A4"/>
    <w:rsid w:val="00B44791"/>
    <w:rsid w:val="00B4479D"/>
    <w:rsid w:val="00B447BE"/>
    <w:rsid w:val="00B44CC4"/>
    <w:rsid w:val="00B452D1"/>
    <w:rsid w:val="00B46037"/>
    <w:rsid w:val="00B465EB"/>
    <w:rsid w:val="00B46A95"/>
    <w:rsid w:val="00B46D69"/>
    <w:rsid w:val="00B46EBF"/>
    <w:rsid w:val="00B47FF4"/>
    <w:rsid w:val="00B50CD2"/>
    <w:rsid w:val="00B51CB9"/>
    <w:rsid w:val="00B52556"/>
    <w:rsid w:val="00B52C26"/>
    <w:rsid w:val="00B53253"/>
    <w:rsid w:val="00B53BC3"/>
    <w:rsid w:val="00B53D59"/>
    <w:rsid w:val="00B54081"/>
    <w:rsid w:val="00B542AE"/>
    <w:rsid w:val="00B54E6A"/>
    <w:rsid w:val="00B559AD"/>
    <w:rsid w:val="00B560C8"/>
    <w:rsid w:val="00B565C5"/>
    <w:rsid w:val="00B56BE1"/>
    <w:rsid w:val="00B56E97"/>
    <w:rsid w:val="00B57035"/>
    <w:rsid w:val="00B57443"/>
    <w:rsid w:val="00B575C7"/>
    <w:rsid w:val="00B6075B"/>
    <w:rsid w:val="00B61133"/>
    <w:rsid w:val="00B6189F"/>
    <w:rsid w:val="00B6215E"/>
    <w:rsid w:val="00B62E1C"/>
    <w:rsid w:val="00B63237"/>
    <w:rsid w:val="00B63307"/>
    <w:rsid w:val="00B63E05"/>
    <w:rsid w:val="00B64012"/>
    <w:rsid w:val="00B647A8"/>
    <w:rsid w:val="00B6486F"/>
    <w:rsid w:val="00B6497D"/>
    <w:rsid w:val="00B64A24"/>
    <w:rsid w:val="00B64B9A"/>
    <w:rsid w:val="00B65018"/>
    <w:rsid w:val="00B65C14"/>
    <w:rsid w:val="00B65F0D"/>
    <w:rsid w:val="00B669F9"/>
    <w:rsid w:val="00B66C77"/>
    <w:rsid w:val="00B66DFF"/>
    <w:rsid w:val="00B67213"/>
    <w:rsid w:val="00B674D1"/>
    <w:rsid w:val="00B6787A"/>
    <w:rsid w:val="00B678E2"/>
    <w:rsid w:val="00B705BB"/>
    <w:rsid w:val="00B708CA"/>
    <w:rsid w:val="00B70BCF"/>
    <w:rsid w:val="00B70D4D"/>
    <w:rsid w:val="00B710B5"/>
    <w:rsid w:val="00B71D62"/>
    <w:rsid w:val="00B72581"/>
    <w:rsid w:val="00B727F3"/>
    <w:rsid w:val="00B734C4"/>
    <w:rsid w:val="00B73930"/>
    <w:rsid w:val="00B73EED"/>
    <w:rsid w:val="00B7449F"/>
    <w:rsid w:val="00B74E7F"/>
    <w:rsid w:val="00B75A8F"/>
    <w:rsid w:val="00B75FBA"/>
    <w:rsid w:val="00B7699B"/>
    <w:rsid w:val="00B76B32"/>
    <w:rsid w:val="00B76FFD"/>
    <w:rsid w:val="00B77182"/>
    <w:rsid w:val="00B77484"/>
    <w:rsid w:val="00B77615"/>
    <w:rsid w:val="00B77664"/>
    <w:rsid w:val="00B7777F"/>
    <w:rsid w:val="00B77E79"/>
    <w:rsid w:val="00B8060C"/>
    <w:rsid w:val="00B807C3"/>
    <w:rsid w:val="00B80A1E"/>
    <w:rsid w:val="00B80F16"/>
    <w:rsid w:val="00B80F38"/>
    <w:rsid w:val="00B81A5C"/>
    <w:rsid w:val="00B81C7C"/>
    <w:rsid w:val="00B81E5F"/>
    <w:rsid w:val="00B81E83"/>
    <w:rsid w:val="00B82804"/>
    <w:rsid w:val="00B82C72"/>
    <w:rsid w:val="00B83E23"/>
    <w:rsid w:val="00B8406D"/>
    <w:rsid w:val="00B84120"/>
    <w:rsid w:val="00B8465C"/>
    <w:rsid w:val="00B85FE2"/>
    <w:rsid w:val="00B86AD3"/>
    <w:rsid w:val="00B86F37"/>
    <w:rsid w:val="00B87251"/>
    <w:rsid w:val="00B8736D"/>
    <w:rsid w:val="00B90436"/>
    <w:rsid w:val="00B9091F"/>
    <w:rsid w:val="00B90BAD"/>
    <w:rsid w:val="00B9156B"/>
    <w:rsid w:val="00B919E2"/>
    <w:rsid w:val="00B9265A"/>
    <w:rsid w:val="00B928CF"/>
    <w:rsid w:val="00B92E12"/>
    <w:rsid w:val="00B93604"/>
    <w:rsid w:val="00B93D9A"/>
    <w:rsid w:val="00B93E59"/>
    <w:rsid w:val="00B947B9"/>
    <w:rsid w:val="00B94A9E"/>
    <w:rsid w:val="00B94B37"/>
    <w:rsid w:val="00B962F0"/>
    <w:rsid w:val="00B9684A"/>
    <w:rsid w:val="00B96F37"/>
    <w:rsid w:val="00B97156"/>
    <w:rsid w:val="00B9772D"/>
    <w:rsid w:val="00B979D3"/>
    <w:rsid w:val="00BA0047"/>
    <w:rsid w:val="00BA01B9"/>
    <w:rsid w:val="00BA0B39"/>
    <w:rsid w:val="00BA124B"/>
    <w:rsid w:val="00BA1DE2"/>
    <w:rsid w:val="00BA1F57"/>
    <w:rsid w:val="00BA2B24"/>
    <w:rsid w:val="00BA2E96"/>
    <w:rsid w:val="00BA3075"/>
    <w:rsid w:val="00BA3A81"/>
    <w:rsid w:val="00BA4190"/>
    <w:rsid w:val="00BA43D7"/>
    <w:rsid w:val="00BA49C8"/>
    <w:rsid w:val="00BA4C8A"/>
    <w:rsid w:val="00BA4F4E"/>
    <w:rsid w:val="00BA58F0"/>
    <w:rsid w:val="00BA59A4"/>
    <w:rsid w:val="00BA5DC4"/>
    <w:rsid w:val="00BA66B0"/>
    <w:rsid w:val="00BA6C9B"/>
    <w:rsid w:val="00BB3006"/>
    <w:rsid w:val="00BB3081"/>
    <w:rsid w:val="00BB33CA"/>
    <w:rsid w:val="00BB362F"/>
    <w:rsid w:val="00BB3643"/>
    <w:rsid w:val="00BB3696"/>
    <w:rsid w:val="00BB3D18"/>
    <w:rsid w:val="00BB41D1"/>
    <w:rsid w:val="00BB43AD"/>
    <w:rsid w:val="00BB4AD3"/>
    <w:rsid w:val="00BB4CD3"/>
    <w:rsid w:val="00BB53C9"/>
    <w:rsid w:val="00BB554D"/>
    <w:rsid w:val="00BB5783"/>
    <w:rsid w:val="00BB615C"/>
    <w:rsid w:val="00BB643E"/>
    <w:rsid w:val="00BB7041"/>
    <w:rsid w:val="00BB7429"/>
    <w:rsid w:val="00BB7644"/>
    <w:rsid w:val="00BC0DF0"/>
    <w:rsid w:val="00BC1120"/>
    <w:rsid w:val="00BC12A9"/>
    <w:rsid w:val="00BC1DCD"/>
    <w:rsid w:val="00BC20AC"/>
    <w:rsid w:val="00BC284A"/>
    <w:rsid w:val="00BC3162"/>
    <w:rsid w:val="00BC4FC2"/>
    <w:rsid w:val="00BC572B"/>
    <w:rsid w:val="00BC5E67"/>
    <w:rsid w:val="00BC6157"/>
    <w:rsid w:val="00BC6B2F"/>
    <w:rsid w:val="00BC71DF"/>
    <w:rsid w:val="00BC72C0"/>
    <w:rsid w:val="00BC7959"/>
    <w:rsid w:val="00BD00E3"/>
    <w:rsid w:val="00BD0738"/>
    <w:rsid w:val="00BD095A"/>
    <w:rsid w:val="00BD0A33"/>
    <w:rsid w:val="00BD1736"/>
    <w:rsid w:val="00BD29F7"/>
    <w:rsid w:val="00BD34E3"/>
    <w:rsid w:val="00BD3594"/>
    <w:rsid w:val="00BD4636"/>
    <w:rsid w:val="00BD5A2C"/>
    <w:rsid w:val="00BD60D3"/>
    <w:rsid w:val="00BD6893"/>
    <w:rsid w:val="00BD6D01"/>
    <w:rsid w:val="00BD7069"/>
    <w:rsid w:val="00BE03E3"/>
    <w:rsid w:val="00BE07C4"/>
    <w:rsid w:val="00BE113F"/>
    <w:rsid w:val="00BE1D85"/>
    <w:rsid w:val="00BE25A8"/>
    <w:rsid w:val="00BE25FB"/>
    <w:rsid w:val="00BE3A13"/>
    <w:rsid w:val="00BE4C3B"/>
    <w:rsid w:val="00BE4F09"/>
    <w:rsid w:val="00BE5115"/>
    <w:rsid w:val="00BE548E"/>
    <w:rsid w:val="00BE54FE"/>
    <w:rsid w:val="00BE55AE"/>
    <w:rsid w:val="00BE57EC"/>
    <w:rsid w:val="00BE59BB"/>
    <w:rsid w:val="00BE5E08"/>
    <w:rsid w:val="00BE6089"/>
    <w:rsid w:val="00BE62F1"/>
    <w:rsid w:val="00BE6861"/>
    <w:rsid w:val="00BE729A"/>
    <w:rsid w:val="00BE73E0"/>
    <w:rsid w:val="00BE7F3E"/>
    <w:rsid w:val="00BF08CE"/>
    <w:rsid w:val="00BF0CCB"/>
    <w:rsid w:val="00BF0FD0"/>
    <w:rsid w:val="00BF15B6"/>
    <w:rsid w:val="00BF1B79"/>
    <w:rsid w:val="00BF25B5"/>
    <w:rsid w:val="00BF2DDF"/>
    <w:rsid w:val="00BF49DD"/>
    <w:rsid w:val="00BF4C63"/>
    <w:rsid w:val="00BF52D9"/>
    <w:rsid w:val="00BF5A65"/>
    <w:rsid w:val="00BF6402"/>
    <w:rsid w:val="00BF6AA3"/>
    <w:rsid w:val="00BF6BB7"/>
    <w:rsid w:val="00BF7191"/>
    <w:rsid w:val="00BF7706"/>
    <w:rsid w:val="00C00B0F"/>
    <w:rsid w:val="00C00B96"/>
    <w:rsid w:val="00C03A6D"/>
    <w:rsid w:val="00C03B62"/>
    <w:rsid w:val="00C048A2"/>
    <w:rsid w:val="00C056B1"/>
    <w:rsid w:val="00C05C1E"/>
    <w:rsid w:val="00C05D86"/>
    <w:rsid w:val="00C05FF5"/>
    <w:rsid w:val="00C0601E"/>
    <w:rsid w:val="00C067C7"/>
    <w:rsid w:val="00C06A38"/>
    <w:rsid w:val="00C06F49"/>
    <w:rsid w:val="00C106C8"/>
    <w:rsid w:val="00C10B3D"/>
    <w:rsid w:val="00C10D94"/>
    <w:rsid w:val="00C1295C"/>
    <w:rsid w:val="00C12CC1"/>
    <w:rsid w:val="00C1344E"/>
    <w:rsid w:val="00C13466"/>
    <w:rsid w:val="00C13A21"/>
    <w:rsid w:val="00C14003"/>
    <w:rsid w:val="00C142FA"/>
    <w:rsid w:val="00C14616"/>
    <w:rsid w:val="00C1467E"/>
    <w:rsid w:val="00C149BE"/>
    <w:rsid w:val="00C14B0A"/>
    <w:rsid w:val="00C14D01"/>
    <w:rsid w:val="00C14F56"/>
    <w:rsid w:val="00C15403"/>
    <w:rsid w:val="00C154F5"/>
    <w:rsid w:val="00C15A05"/>
    <w:rsid w:val="00C15DC3"/>
    <w:rsid w:val="00C16A61"/>
    <w:rsid w:val="00C17202"/>
    <w:rsid w:val="00C17702"/>
    <w:rsid w:val="00C20226"/>
    <w:rsid w:val="00C206DB"/>
    <w:rsid w:val="00C20EED"/>
    <w:rsid w:val="00C2130B"/>
    <w:rsid w:val="00C214B4"/>
    <w:rsid w:val="00C23371"/>
    <w:rsid w:val="00C236CA"/>
    <w:rsid w:val="00C241C3"/>
    <w:rsid w:val="00C247D1"/>
    <w:rsid w:val="00C24900"/>
    <w:rsid w:val="00C255B3"/>
    <w:rsid w:val="00C25E95"/>
    <w:rsid w:val="00C267C8"/>
    <w:rsid w:val="00C2776C"/>
    <w:rsid w:val="00C27E32"/>
    <w:rsid w:val="00C30C9F"/>
    <w:rsid w:val="00C3169F"/>
    <w:rsid w:val="00C317B8"/>
    <w:rsid w:val="00C32367"/>
    <w:rsid w:val="00C324DE"/>
    <w:rsid w:val="00C32EFE"/>
    <w:rsid w:val="00C331D7"/>
    <w:rsid w:val="00C334DF"/>
    <w:rsid w:val="00C335B3"/>
    <w:rsid w:val="00C337CB"/>
    <w:rsid w:val="00C34B32"/>
    <w:rsid w:val="00C34DD5"/>
    <w:rsid w:val="00C34DE2"/>
    <w:rsid w:val="00C35336"/>
    <w:rsid w:val="00C355BE"/>
    <w:rsid w:val="00C3596B"/>
    <w:rsid w:val="00C3690E"/>
    <w:rsid w:val="00C36BD1"/>
    <w:rsid w:val="00C36CC7"/>
    <w:rsid w:val="00C375DF"/>
    <w:rsid w:val="00C37E39"/>
    <w:rsid w:val="00C40236"/>
    <w:rsid w:val="00C40279"/>
    <w:rsid w:val="00C40846"/>
    <w:rsid w:val="00C41C44"/>
    <w:rsid w:val="00C42802"/>
    <w:rsid w:val="00C42930"/>
    <w:rsid w:val="00C42B27"/>
    <w:rsid w:val="00C436FD"/>
    <w:rsid w:val="00C43759"/>
    <w:rsid w:val="00C45387"/>
    <w:rsid w:val="00C46053"/>
    <w:rsid w:val="00C4623B"/>
    <w:rsid w:val="00C463C2"/>
    <w:rsid w:val="00C47576"/>
    <w:rsid w:val="00C504FB"/>
    <w:rsid w:val="00C509ED"/>
    <w:rsid w:val="00C511F4"/>
    <w:rsid w:val="00C51B4F"/>
    <w:rsid w:val="00C52CC5"/>
    <w:rsid w:val="00C5354F"/>
    <w:rsid w:val="00C53A1A"/>
    <w:rsid w:val="00C53F80"/>
    <w:rsid w:val="00C54EFF"/>
    <w:rsid w:val="00C55402"/>
    <w:rsid w:val="00C556A3"/>
    <w:rsid w:val="00C55BA8"/>
    <w:rsid w:val="00C565CB"/>
    <w:rsid w:val="00C56D90"/>
    <w:rsid w:val="00C5701C"/>
    <w:rsid w:val="00C57334"/>
    <w:rsid w:val="00C578B1"/>
    <w:rsid w:val="00C57FE3"/>
    <w:rsid w:val="00C60148"/>
    <w:rsid w:val="00C60829"/>
    <w:rsid w:val="00C61D2C"/>
    <w:rsid w:val="00C62A0C"/>
    <w:rsid w:val="00C648AD"/>
    <w:rsid w:val="00C653C9"/>
    <w:rsid w:val="00C657EC"/>
    <w:rsid w:val="00C65A9B"/>
    <w:rsid w:val="00C6627A"/>
    <w:rsid w:val="00C67A13"/>
    <w:rsid w:val="00C70253"/>
    <w:rsid w:val="00C7034A"/>
    <w:rsid w:val="00C705AE"/>
    <w:rsid w:val="00C71888"/>
    <w:rsid w:val="00C71B0D"/>
    <w:rsid w:val="00C71BDB"/>
    <w:rsid w:val="00C7299C"/>
    <w:rsid w:val="00C72A00"/>
    <w:rsid w:val="00C7306F"/>
    <w:rsid w:val="00C7370B"/>
    <w:rsid w:val="00C73D69"/>
    <w:rsid w:val="00C7424D"/>
    <w:rsid w:val="00C74350"/>
    <w:rsid w:val="00C7453B"/>
    <w:rsid w:val="00C74B55"/>
    <w:rsid w:val="00C74EFC"/>
    <w:rsid w:val="00C75850"/>
    <w:rsid w:val="00C7598A"/>
    <w:rsid w:val="00C75CAA"/>
    <w:rsid w:val="00C75D88"/>
    <w:rsid w:val="00C76B47"/>
    <w:rsid w:val="00C77AAC"/>
    <w:rsid w:val="00C77D62"/>
    <w:rsid w:val="00C77FE5"/>
    <w:rsid w:val="00C8033C"/>
    <w:rsid w:val="00C80F7C"/>
    <w:rsid w:val="00C81402"/>
    <w:rsid w:val="00C81730"/>
    <w:rsid w:val="00C817D6"/>
    <w:rsid w:val="00C824C6"/>
    <w:rsid w:val="00C82A17"/>
    <w:rsid w:val="00C82CAD"/>
    <w:rsid w:val="00C83688"/>
    <w:rsid w:val="00C83B05"/>
    <w:rsid w:val="00C840BE"/>
    <w:rsid w:val="00C84FDC"/>
    <w:rsid w:val="00C8543C"/>
    <w:rsid w:val="00C8631C"/>
    <w:rsid w:val="00C8652D"/>
    <w:rsid w:val="00C868B2"/>
    <w:rsid w:val="00C8754D"/>
    <w:rsid w:val="00C903DD"/>
    <w:rsid w:val="00C9046D"/>
    <w:rsid w:val="00C907B3"/>
    <w:rsid w:val="00C90B51"/>
    <w:rsid w:val="00C90EA9"/>
    <w:rsid w:val="00C91C04"/>
    <w:rsid w:val="00C91DEB"/>
    <w:rsid w:val="00C92E9E"/>
    <w:rsid w:val="00C92EA3"/>
    <w:rsid w:val="00C9318A"/>
    <w:rsid w:val="00C931EE"/>
    <w:rsid w:val="00C93239"/>
    <w:rsid w:val="00C932D9"/>
    <w:rsid w:val="00C9434A"/>
    <w:rsid w:val="00C9474A"/>
    <w:rsid w:val="00C94EB0"/>
    <w:rsid w:val="00C95112"/>
    <w:rsid w:val="00C95156"/>
    <w:rsid w:val="00C957E9"/>
    <w:rsid w:val="00C96F90"/>
    <w:rsid w:val="00C96FBF"/>
    <w:rsid w:val="00C9747C"/>
    <w:rsid w:val="00C97746"/>
    <w:rsid w:val="00C97A0C"/>
    <w:rsid w:val="00CA0113"/>
    <w:rsid w:val="00CA0597"/>
    <w:rsid w:val="00CA0BDC"/>
    <w:rsid w:val="00CA0D0F"/>
    <w:rsid w:val="00CA1357"/>
    <w:rsid w:val="00CA146E"/>
    <w:rsid w:val="00CA164E"/>
    <w:rsid w:val="00CA20B2"/>
    <w:rsid w:val="00CA2FD1"/>
    <w:rsid w:val="00CA351E"/>
    <w:rsid w:val="00CA36BC"/>
    <w:rsid w:val="00CA44A7"/>
    <w:rsid w:val="00CA44AA"/>
    <w:rsid w:val="00CA4FEE"/>
    <w:rsid w:val="00CA5068"/>
    <w:rsid w:val="00CA5476"/>
    <w:rsid w:val="00CA5C4D"/>
    <w:rsid w:val="00CA66CF"/>
    <w:rsid w:val="00CA6F6B"/>
    <w:rsid w:val="00CA76D8"/>
    <w:rsid w:val="00CB0CCA"/>
    <w:rsid w:val="00CB16FC"/>
    <w:rsid w:val="00CB1739"/>
    <w:rsid w:val="00CB1908"/>
    <w:rsid w:val="00CB20D7"/>
    <w:rsid w:val="00CB2517"/>
    <w:rsid w:val="00CB260E"/>
    <w:rsid w:val="00CB26E2"/>
    <w:rsid w:val="00CB28C3"/>
    <w:rsid w:val="00CB2B4A"/>
    <w:rsid w:val="00CB3084"/>
    <w:rsid w:val="00CB3256"/>
    <w:rsid w:val="00CB361B"/>
    <w:rsid w:val="00CB386C"/>
    <w:rsid w:val="00CB4B6A"/>
    <w:rsid w:val="00CB55DD"/>
    <w:rsid w:val="00CB5824"/>
    <w:rsid w:val="00CB5929"/>
    <w:rsid w:val="00CB5B89"/>
    <w:rsid w:val="00CB602B"/>
    <w:rsid w:val="00CB6210"/>
    <w:rsid w:val="00CB63EE"/>
    <w:rsid w:val="00CB6761"/>
    <w:rsid w:val="00CB7BD8"/>
    <w:rsid w:val="00CC0B90"/>
    <w:rsid w:val="00CC0FB1"/>
    <w:rsid w:val="00CC1BD1"/>
    <w:rsid w:val="00CC2584"/>
    <w:rsid w:val="00CC282B"/>
    <w:rsid w:val="00CC53DF"/>
    <w:rsid w:val="00CC54AB"/>
    <w:rsid w:val="00CC6718"/>
    <w:rsid w:val="00CC68FD"/>
    <w:rsid w:val="00CC6B0D"/>
    <w:rsid w:val="00CC6BE4"/>
    <w:rsid w:val="00CC78FF"/>
    <w:rsid w:val="00CC79E0"/>
    <w:rsid w:val="00CC7F71"/>
    <w:rsid w:val="00CD045D"/>
    <w:rsid w:val="00CD0B85"/>
    <w:rsid w:val="00CD10E2"/>
    <w:rsid w:val="00CD1DB5"/>
    <w:rsid w:val="00CD2085"/>
    <w:rsid w:val="00CD215D"/>
    <w:rsid w:val="00CD22A5"/>
    <w:rsid w:val="00CD28F4"/>
    <w:rsid w:val="00CD2E1E"/>
    <w:rsid w:val="00CD312C"/>
    <w:rsid w:val="00CD34CB"/>
    <w:rsid w:val="00CD3788"/>
    <w:rsid w:val="00CD3CC5"/>
    <w:rsid w:val="00CD4763"/>
    <w:rsid w:val="00CD4A36"/>
    <w:rsid w:val="00CD4E2D"/>
    <w:rsid w:val="00CD5E0E"/>
    <w:rsid w:val="00CD6253"/>
    <w:rsid w:val="00CD677B"/>
    <w:rsid w:val="00CD7150"/>
    <w:rsid w:val="00CD73CC"/>
    <w:rsid w:val="00CD772A"/>
    <w:rsid w:val="00CE0419"/>
    <w:rsid w:val="00CE0818"/>
    <w:rsid w:val="00CE16CA"/>
    <w:rsid w:val="00CE24AB"/>
    <w:rsid w:val="00CE2817"/>
    <w:rsid w:val="00CE28A7"/>
    <w:rsid w:val="00CE2C02"/>
    <w:rsid w:val="00CE2D05"/>
    <w:rsid w:val="00CE3DD5"/>
    <w:rsid w:val="00CE4845"/>
    <w:rsid w:val="00CE4B3E"/>
    <w:rsid w:val="00CE65C1"/>
    <w:rsid w:val="00CE6967"/>
    <w:rsid w:val="00CE72E2"/>
    <w:rsid w:val="00CE73AE"/>
    <w:rsid w:val="00CE7492"/>
    <w:rsid w:val="00CE787D"/>
    <w:rsid w:val="00CE7B83"/>
    <w:rsid w:val="00CE7D33"/>
    <w:rsid w:val="00CE7EBF"/>
    <w:rsid w:val="00CF091C"/>
    <w:rsid w:val="00CF0FD5"/>
    <w:rsid w:val="00CF12E6"/>
    <w:rsid w:val="00CF15DE"/>
    <w:rsid w:val="00CF1E27"/>
    <w:rsid w:val="00CF2006"/>
    <w:rsid w:val="00CF271D"/>
    <w:rsid w:val="00CF2C2C"/>
    <w:rsid w:val="00CF2FDD"/>
    <w:rsid w:val="00CF3D12"/>
    <w:rsid w:val="00CF41C9"/>
    <w:rsid w:val="00CF4444"/>
    <w:rsid w:val="00CF4487"/>
    <w:rsid w:val="00CF4D44"/>
    <w:rsid w:val="00CF6853"/>
    <w:rsid w:val="00CF6C73"/>
    <w:rsid w:val="00CF7161"/>
    <w:rsid w:val="00CF71CE"/>
    <w:rsid w:val="00CF7287"/>
    <w:rsid w:val="00CF755C"/>
    <w:rsid w:val="00D00B41"/>
    <w:rsid w:val="00D00F07"/>
    <w:rsid w:val="00D017FA"/>
    <w:rsid w:val="00D02CDE"/>
    <w:rsid w:val="00D02FF3"/>
    <w:rsid w:val="00D034B5"/>
    <w:rsid w:val="00D03C25"/>
    <w:rsid w:val="00D0490F"/>
    <w:rsid w:val="00D04E15"/>
    <w:rsid w:val="00D0550D"/>
    <w:rsid w:val="00D058B6"/>
    <w:rsid w:val="00D05F01"/>
    <w:rsid w:val="00D06319"/>
    <w:rsid w:val="00D0631E"/>
    <w:rsid w:val="00D07415"/>
    <w:rsid w:val="00D076DD"/>
    <w:rsid w:val="00D07850"/>
    <w:rsid w:val="00D0788A"/>
    <w:rsid w:val="00D07EA5"/>
    <w:rsid w:val="00D11272"/>
    <w:rsid w:val="00D121A6"/>
    <w:rsid w:val="00D1271E"/>
    <w:rsid w:val="00D13351"/>
    <w:rsid w:val="00D13D5D"/>
    <w:rsid w:val="00D154C1"/>
    <w:rsid w:val="00D16140"/>
    <w:rsid w:val="00D17308"/>
    <w:rsid w:val="00D175EC"/>
    <w:rsid w:val="00D1794F"/>
    <w:rsid w:val="00D17D41"/>
    <w:rsid w:val="00D17DF6"/>
    <w:rsid w:val="00D2027E"/>
    <w:rsid w:val="00D20B98"/>
    <w:rsid w:val="00D20C8B"/>
    <w:rsid w:val="00D20E11"/>
    <w:rsid w:val="00D21A86"/>
    <w:rsid w:val="00D222C0"/>
    <w:rsid w:val="00D228ED"/>
    <w:rsid w:val="00D22B8E"/>
    <w:rsid w:val="00D22D57"/>
    <w:rsid w:val="00D2338C"/>
    <w:rsid w:val="00D242D1"/>
    <w:rsid w:val="00D24945"/>
    <w:rsid w:val="00D2595A"/>
    <w:rsid w:val="00D26136"/>
    <w:rsid w:val="00D2643A"/>
    <w:rsid w:val="00D266B6"/>
    <w:rsid w:val="00D26BF4"/>
    <w:rsid w:val="00D2715B"/>
    <w:rsid w:val="00D27993"/>
    <w:rsid w:val="00D27F92"/>
    <w:rsid w:val="00D30020"/>
    <w:rsid w:val="00D30325"/>
    <w:rsid w:val="00D30FA1"/>
    <w:rsid w:val="00D310B4"/>
    <w:rsid w:val="00D315C8"/>
    <w:rsid w:val="00D33B28"/>
    <w:rsid w:val="00D33B5D"/>
    <w:rsid w:val="00D3426C"/>
    <w:rsid w:val="00D346CB"/>
    <w:rsid w:val="00D3495D"/>
    <w:rsid w:val="00D349CF"/>
    <w:rsid w:val="00D352C2"/>
    <w:rsid w:val="00D354EB"/>
    <w:rsid w:val="00D3552A"/>
    <w:rsid w:val="00D35E2F"/>
    <w:rsid w:val="00D35FD2"/>
    <w:rsid w:val="00D360D8"/>
    <w:rsid w:val="00D36592"/>
    <w:rsid w:val="00D3673A"/>
    <w:rsid w:val="00D4033F"/>
    <w:rsid w:val="00D40C14"/>
    <w:rsid w:val="00D40D04"/>
    <w:rsid w:val="00D4102A"/>
    <w:rsid w:val="00D41484"/>
    <w:rsid w:val="00D41875"/>
    <w:rsid w:val="00D419A6"/>
    <w:rsid w:val="00D4212F"/>
    <w:rsid w:val="00D42661"/>
    <w:rsid w:val="00D429F0"/>
    <w:rsid w:val="00D43189"/>
    <w:rsid w:val="00D435A8"/>
    <w:rsid w:val="00D436BE"/>
    <w:rsid w:val="00D4376D"/>
    <w:rsid w:val="00D43BB6"/>
    <w:rsid w:val="00D43C47"/>
    <w:rsid w:val="00D43DBE"/>
    <w:rsid w:val="00D440AE"/>
    <w:rsid w:val="00D442E7"/>
    <w:rsid w:val="00D4436A"/>
    <w:rsid w:val="00D44836"/>
    <w:rsid w:val="00D448E6"/>
    <w:rsid w:val="00D449C8"/>
    <w:rsid w:val="00D45148"/>
    <w:rsid w:val="00D45741"/>
    <w:rsid w:val="00D45BF3"/>
    <w:rsid w:val="00D45E13"/>
    <w:rsid w:val="00D46246"/>
    <w:rsid w:val="00D4660C"/>
    <w:rsid w:val="00D4676B"/>
    <w:rsid w:val="00D46774"/>
    <w:rsid w:val="00D467BB"/>
    <w:rsid w:val="00D46B4D"/>
    <w:rsid w:val="00D46BA9"/>
    <w:rsid w:val="00D4738D"/>
    <w:rsid w:val="00D476B6"/>
    <w:rsid w:val="00D47DE0"/>
    <w:rsid w:val="00D47F69"/>
    <w:rsid w:val="00D47F6B"/>
    <w:rsid w:val="00D50431"/>
    <w:rsid w:val="00D50767"/>
    <w:rsid w:val="00D5144B"/>
    <w:rsid w:val="00D51F1D"/>
    <w:rsid w:val="00D53000"/>
    <w:rsid w:val="00D53BAA"/>
    <w:rsid w:val="00D53E97"/>
    <w:rsid w:val="00D543EC"/>
    <w:rsid w:val="00D54AE5"/>
    <w:rsid w:val="00D55680"/>
    <w:rsid w:val="00D5574D"/>
    <w:rsid w:val="00D557BA"/>
    <w:rsid w:val="00D56030"/>
    <w:rsid w:val="00D56ACB"/>
    <w:rsid w:val="00D56C8F"/>
    <w:rsid w:val="00D570EE"/>
    <w:rsid w:val="00D5741D"/>
    <w:rsid w:val="00D57A9D"/>
    <w:rsid w:val="00D60405"/>
    <w:rsid w:val="00D608BD"/>
    <w:rsid w:val="00D609CE"/>
    <w:rsid w:val="00D60C2A"/>
    <w:rsid w:val="00D61D13"/>
    <w:rsid w:val="00D61FCC"/>
    <w:rsid w:val="00D63643"/>
    <w:rsid w:val="00D637F6"/>
    <w:rsid w:val="00D63EFE"/>
    <w:rsid w:val="00D63F3A"/>
    <w:rsid w:val="00D649F5"/>
    <w:rsid w:val="00D64C91"/>
    <w:rsid w:val="00D65730"/>
    <w:rsid w:val="00D6582B"/>
    <w:rsid w:val="00D65B53"/>
    <w:rsid w:val="00D65F10"/>
    <w:rsid w:val="00D66521"/>
    <w:rsid w:val="00D66993"/>
    <w:rsid w:val="00D669E2"/>
    <w:rsid w:val="00D66D4E"/>
    <w:rsid w:val="00D67088"/>
    <w:rsid w:val="00D673F2"/>
    <w:rsid w:val="00D67486"/>
    <w:rsid w:val="00D70091"/>
    <w:rsid w:val="00D70176"/>
    <w:rsid w:val="00D704C7"/>
    <w:rsid w:val="00D70966"/>
    <w:rsid w:val="00D70F10"/>
    <w:rsid w:val="00D7266F"/>
    <w:rsid w:val="00D7274E"/>
    <w:rsid w:val="00D7285D"/>
    <w:rsid w:val="00D72D2A"/>
    <w:rsid w:val="00D73213"/>
    <w:rsid w:val="00D735D9"/>
    <w:rsid w:val="00D73900"/>
    <w:rsid w:val="00D73D86"/>
    <w:rsid w:val="00D73D9B"/>
    <w:rsid w:val="00D751C5"/>
    <w:rsid w:val="00D75761"/>
    <w:rsid w:val="00D75823"/>
    <w:rsid w:val="00D76AE2"/>
    <w:rsid w:val="00D7739D"/>
    <w:rsid w:val="00D77556"/>
    <w:rsid w:val="00D77AC1"/>
    <w:rsid w:val="00D77D7D"/>
    <w:rsid w:val="00D808FD"/>
    <w:rsid w:val="00D81215"/>
    <w:rsid w:val="00D81273"/>
    <w:rsid w:val="00D81A23"/>
    <w:rsid w:val="00D820EB"/>
    <w:rsid w:val="00D82C12"/>
    <w:rsid w:val="00D83553"/>
    <w:rsid w:val="00D8513C"/>
    <w:rsid w:val="00D85471"/>
    <w:rsid w:val="00D855D6"/>
    <w:rsid w:val="00D85BB0"/>
    <w:rsid w:val="00D862F7"/>
    <w:rsid w:val="00D86971"/>
    <w:rsid w:val="00D8761E"/>
    <w:rsid w:val="00D87875"/>
    <w:rsid w:val="00D90397"/>
    <w:rsid w:val="00D90796"/>
    <w:rsid w:val="00D90F9A"/>
    <w:rsid w:val="00D92682"/>
    <w:rsid w:val="00D929BB"/>
    <w:rsid w:val="00D92D1E"/>
    <w:rsid w:val="00D92EFB"/>
    <w:rsid w:val="00D92FD0"/>
    <w:rsid w:val="00D9379E"/>
    <w:rsid w:val="00D938FA"/>
    <w:rsid w:val="00D93A3D"/>
    <w:rsid w:val="00D93E42"/>
    <w:rsid w:val="00D9469D"/>
    <w:rsid w:val="00D94948"/>
    <w:rsid w:val="00D9654C"/>
    <w:rsid w:val="00D9712C"/>
    <w:rsid w:val="00D977F3"/>
    <w:rsid w:val="00D97F5F"/>
    <w:rsid w:val="00DA0317"/>
    <w:rsid w:val="00DA15B4"/>
    <w:rsid w:val="00DA1889"/>
    <w:rsid w:val="00DA207C"/>
    <w:rsid w:val="00DA2371"/>
    <w:rsid w:val="00DA243D"/>
    <w:rsid w:val="00DA2671"/>
    <w:rsid w:val="00DA26DA"/>
    <w:rsid w:val="00DA27F2"/>
    <w:rsid w:val="00DA2B8C"/>
    <w:rsid w:val="00DA30A9"/>
    <w:rsid w:val="00DA3141"/>
    <w:rsid w:val="00DA3AE5"/>
    <w:rsid w:val="00DA3CC8"/>
    <w:rsid w:val="00DA3EC4"/>
    <w:rsid w:val="00DA400E"/>
    <w:rsid w:val="00DA4655"/>
    <w:rsid w:val="00DA4670"/>
    <w:rsid w:val="00DA49C3"/>
    <w:rsid w:val="00DA4D02"/>
    <w:rsid w:val="00DA5542"/>
    <w:rsid w:val="00DA6802"/>
    <w:rsid w:val="00DA684C"/>
    <w:rsid w:val="00DA6DB6"/>
    <w:rsid w:val="00DB02AC"/>
    <w:rsid w:val="00DB044B"/>
    <w:rsid w:val="00DB0A34"/>
    <w:rsid w:val="00DB1006"/>
    <w:rsid w:val="00DB15EF"/>
    <w:rsid w:val="00DB1DAF"/>
    <w:rsid w:val="00DB1F3E"/>
    <w:rsid w:val="00DB275A"/>
    <w:rsid w:val="00DB28E3"/>
    <w:rsid w:val="00DB2F05"/>
    <w:rsid w:val="00DB3A93"/>
    <w:rsid w:val="00DB3FD7"/>
    <w:rsid w:val="00DB4834"/>
    <w:rsid w:val="00DB5CF5"/>
    <w:rsid w:val="00DB5EC5"/>
    <w:rsid w:val="00DB625A"/>
    <w:rsid w:val="00DB67DC"/>
    <w:rsid w:val="00DB6C34"/>
    <w:rsid w:val="00DB6CEC"/>
    <w:rsid w:val="00DB7453"/>
    <w:rsid w:val="00DB76AD"/>
    <w:rsid w:val="00DB7A1C"/>
    <w:rsid w:val="00DB7D09"/>
    <w:rsid w:val="00DB7D45"/>
    <w:rsid w:val="00DC0227"/>
    <w:rsid w:val="00DC0EE6"/>
    <w:rsid w:val="00DC1084"/>
    <w:rsid w:val="00DC1109"/>
    <w:rsid w:val="00DC1775"/>
    <w:rsid w:val="00DC19A3"/>
    <w:rsid w:val="00DC2D10"/>
    <w:rsid w:val="00DC400A"/>
    <w:rsid w:val="00DC40C4"/>
    <w:rsid w:val="00DC4103"/>
    <w:rsid w:val="00DC44DF"/>
    <w:rsid w:val="00DC4A39"/>
    <w:rsid w:val="00DC4E24"/>
    <w:rsid w:val="00DC5182"/>
    <w:rsid w:val="00DC533A"/>
    <w:rsid w:val="00DC57F3"/>
    <w:rsid w:val="00DC61FF"/>
    <w:rsid w:val="00DC6AE8"/>
    <w:rsid w:val="00DC7294"/>
    <w:rsid w:val="00DC78F2"/>
    <w:rsid w:val="00DC7AC5"/>
    <w:rsid w:val="00DD05A6"/>
    <w:rsid w:val="00DD12F6"/>
    <w:rsid w:val="00DD1BAD"/>
    <w:rsid w:val="00DD2C31"/>
    <w:rsid w:val="00DD2FB6"/>
    <w:rsid w:val="00DD3201"/>
    <w:rsid w:val="00DD345B"/>
    <w:rsid w:val="00DD3F41"/>
    <w:rsid w:val="00DD4380"/>
    <w:rsid w:val="00DD4391"/>
    <w:rsid w:val="00DD4886"/>
    <w:rsid w:val="00DD4F45"/>
    <w:rsid w:val="00DD5DC0"/>
    <w:rsid w:val="00DD5E25"/>
    <w:rsid w:val="00DD628D"/>
    <w:rsid w:val="00DD67A4"/>
    <w:rsid w:val="00DD6C3F"/>
    <w:rsid w:val="00DD6E15"/>
    <w:rsid w:val="00DD702C"/>
    <w:rsid w:val="00DD7145"/>
    <w:rsid w:val="00DE04CE"/>
    <w:rsid w:val="00DE06A2"/>
    <w:rsid w:val="00DE1485"/>
    <w:rsid w:val="00DE176D"/>
    <w:rsid w:val="00DE1E9A"/>
    <w:rsid w:val="00DE263E"/>
    <w:rsid w:val="00DE2764"/>
    <w:rsid w:val="00DE2924"/>
    <w:rsid w:val="00DE2994"/>
    <w:rsid w:val="00DE3AB5"/>
    <w:rsid w:val="00DE41DF"/>
    <w:rsid w:val="00DE4349"/>
    <w:rsid w:val="00DE45E5"/>
    <w:rsid w:val="00DE461E"/>
    <w:rsid w:val="00DE4C48"/>
    <w:rsid w:val="00DE4D29"/>
    <w:rsid w:val="00DE589C"/>
    <w:rsid w:val="00DE59BB"/>
    <w:rsid w:val="00DE697E"/>
    <w:rsid w:val="00DE6B41"/>
    <w:rsid w:val="00DE6B9D"/>
    <w:rsid w:val="00DE73AA"/>
    <w:rsid w:val="00DE77EE"/>
    <w:rsid w:val="00DE7A1C"/>
    <w:rsid w:val="00DE7FB3"/>
    <w:rsid w:val="00DF08E5"/>
    <w:rsid w:val="00DF0FE4"/>
    <w:rsid w:val="00DF104B"/>
    <w:rsid w:val="00DF10C6"/>
    <w:rsid w:val="00DF1531"/>
    <w:rsid w:val="00DF15CE"/>
    <w:rsid w:val="00DF26A4"/>
    <w:rsid w:val="00DF2D3B"/>
    <w:rsid w:val="00DF2F7F"/>
    <w:rsid w:val="00DF317E"/>
    <w:rsid w:val="00DF33E8"/>
    <w:rsid w:val="00DF36A3"/>
    <w:rsid w:val="00DF38C9"/>
    <w:rsid w:val="00DF3996"/>
    <w:rsid w:val="00DF3CAF"/>
    <w:rsid w:val="00DF3F6E"/>
    <w:rsid w:val="00DF4658"/>
    <w:rsid w:val="00DF47AC"/>
    <w:rsid w:val="00DF5C26"/>
    <w:rsid w:val="00DF5D42"/>
    <w:rsid w:val="00DF737C"/>
    <w:rsid w:val="00DF758A"/>
    <w:rsid w:val="00E000A2"/>
    <w:rsid w:val="00E002A2"/>
    <w:rsid w:val="00E006C6"/>
    <w:rsid w:val="00E00A9F"/>
    <w:rsid w:val="00E00D36"/>
    <w:rsid w:val="00E00DE3"/>
    <w:rsid w:val="00E01A7A"/>
    <w:rsid w:val="00E01A7D"/>
    <w:rsid w:val="00E0279C"/>
    <w:rsid w:val="00E02D7C"/>
    <w:rsid w:val="00E02F8C"/>
    <w:rsid w:val="00E036B3"/>
    <w:rsid w:val="00E03998"/>
    <w:rsid w:val="00E03FAB"/>
    <w:rsid w:val="00E0457C"/>
    <w:rsid w:val="00E0516C"/>
    <w:rsid w:val="00E05EB9"/>
    <w:rsid w:val="00E0660B"/>
    <w:rsid w:val="00E06A0B"/>
    <w:rsid w:val="00E06AB2"/>
    <w:rsid w:val="00E06B01"/>
    <w:rsid w:val="00E06B54"/>
    <w:rsid w:val="00E07026"/>
    <w:rsid w:val="00E07328"/>
    <w:rsid w:val="00E10650"/>
    <w:rsid w:val="00E10997"/>
    <w:rsid w:val="00E109F5"/>
    <w:rsid w:val="00E10DE5"/>
    <w:rsid w:val="00E10F6C"/>
    <w:rsid w:val="00E113F3"/>
    <w:rsid w:val="00E1179C"/>
    <w:rsid w:val="00E120C6"/>
    <w:rsid w:val="00E12169"/>
    <w:rsid w:val="00E12393"/>
    <w:rsid w:val="00E123A4"/>
    <w:rsid w:val="00E1294D"/>
    <w:rsid w:val="00E12AD9"/>
    <w:rsid w:val="00E13192"/>
    <w:rsid w:val="00E13352"/>
    <w:rsid w:val="00E13415"/>
    <w:rsid w:val="00E13A2C"/>
    <w:rsid w:val="00E13E1B"/>
    <w:rsid w:val="00E14B41"/>
    <w:rsid w:val="00E152D7"/>
    <w:rsid w:val="00E15846"/>
    <w:rsid w:val="00E1591D"/>
    <w:rsid w:val="00E15936"/>
    <w:rsid w:val="00E15BE7"/>
    <w:rsid w:val="00E16B4E"/>
    <w:rsid w:val="00E177C2"/>
    <w:rsid w:val="00E17A7C"/>
    <w:rsid w:val="00E17D33"/>
    <w:rsid w:val="00E204A0"/>
    <w:rsid w:val="00E20E02"/>
    <w:rsid w:val="00E21A57"/>
    <w:rsid w:val="00E22A04"/>
    <w:rsid w:val="00E234CD"/>
    <w:rsid w:val="00E239CC"/>
    <w:rsid w:val="00E23F72"/>
    <w:rsid w:val="00E246E0"/>
    <w:rsid w:val="00E24CAA"/>
    <w:rsid w:val="00E255AA"/>
    <w:rsid w:val="00E260C6"/>
    <w:rsid w:val="00E26415"/>
    <w:rsid w:val="00E26648"/>
    <w:rsid w:val="00E26ABE"/>
    <w:rsid w:val="00E26CD5"/>
    <w:rsid w:val="00E26D71"/>
    <w:rsid w:val="00E272A9"/>
    <w:rsid w:val="00E27C5F"/>
    <w:rsid w:val="00E27CEB"/>
    <w:rsid w:val="00E27E2F"/>
    <w:rsid w:val="00E303E9"/>
    <w:rsid w:val="00E304BD"/>
    <w:rsid w:val="00E30B51"/>
    <w:rsid w:val="00E310D5"/>
    <w:rsid w:val="00E313EE"/>
    <w:rsid w:val="00E3249F"/>
    <w:rsid w:val="00E33142"/>
    <w:rsid w:val="00E33156"/>
    <w:rsid w:val="00E331CC"/>
    <w:rsid w:val="00E33ED4"/>
    <w:rsid w:val="00E34976"/>
    <w:rsid w:val="00E35031"/>
    <w:rsid w:val="00E3537F"/>
    <w:rsid w:val="00E360E4"/>
    <w:rsid w:val="00E36196"/>
    <w:rsid w:val="00E37287"/>
    <w:rsid w:val="00E37368"/>
    <w:rsid w:val="00E378BD"/>
    <w:rsid w:val="00E3795F"/>
    <w:rsid w:val="00E40504"/>
    <w:rsid w:val="00E41CCD"/>
    <w:rsid w:val="00E42E10"/>
    <w:rsid w:val="00E430B7"/>
    <w:rsid w:val="00E448FB"/>
    <w:rsid w:val="00E454DA"/>
    <w:rsid w:val="00E464B4"/>
    <w:rsid w:val="00E4659A"/>
    <w:rsid w:val="00E46AC9"/>
    <w:rsid w:val="00E473A4"/>
    <w:rsid w:val="00E47EF4"/>
    <w:rsid w:val="00E50307"/>
    <w:rsid w:val="00E505A5"/>
    <w:rsid w:val="00E510A0"/>
    <w:rsid w:val="00E512BC"/>
    <w:rsid w:val="00E52955"/>
    <w:rsid w:val="00E52BF8"/>
    <w:rsid w:val="00E5398D"/>
    <w:rsid w:val="00E5455A"/>
    <w:rsid w:val="00E547B6"/>
    <w:rsid w:val="00E547E2"/>
    <w:rsid w:val="00E552D3"/>
    <w:rsid w:val="00E552E2"/>
    <w:rsid w:val="00E555F7"/>
    <w:rsid w:val="00E557E1"/>
    <w:rsid w:val="00E557F1"/>
    <w:rsid w:val="00E56729"/>
    <w:rsid w:val="00E56A81"/>
    <w:rsid w:val="00E57696"/>
    <w:rsid w:val="00E57BE3"/>
    <w:rsid w:val="00E57D7B"/>
    <w:rsid w:val="00E6074B"/>
    <w:rsid w:val="00E60A59"/>
    <w:rsid w:val="00E60B10"/>
    <w:rsid w:val="00E61A36"/>
    <w:rsid w:val="00E61C50"/>
    <w:rsid w:val="00E6249F"/>
    <w:rsid w:val="00E62A04"/>
    <w:rsid w:val="00E62BCC"/>
    <w:rsid w:val="00E62F52"/>
    <w:rsid w:val="00E6371D"/>
    <w:rsid w:val="00E641E4"/>
    <w:rsid w:val="00E646EB"/>
    <w:rsid w:val="00E647FC"/>
    <w:rsid w:val="00E6490A"/>
    <w:rsid w:val="00E64B62"/>
    <w:rsid w:val="00E64FB6"/>
    <w:rsid w:val="00E65488"/>
    <w:rsid w:val="00E6681E"/>
    <w:rsid w:val="00E669A7"/>
    <w:rsid w:val="00E66EB4"/>
    <w:rsid w:val="00E70274"/>
    <w:rsid w:val="00E70866"/>
    <w:rsid w:val="00E70DEF"/>
    <w:rsid w:val="00E71069"/>
    <w:rsid w:val="00E71B7C"/>
    <w:rsid w:val="00E720E9"/>
    <w:rsid w:val="00E7258C"/>
    <w:rsid w:val="00E727D6"/>
    <w:rsid w:val="00E7483E"/>
    <w:rsid w:val="00E749EA"/>
    <w:rsid w:val="00E74B20"/>
    <w:rsid w:val="00E74CDD"/>
    <w:rsid w:val="00E7638F"/>
    <w:rsid w:val="00E768AA"/>
    <w:rsid w:val="00E76AB5"/>
    <w:rsid w:val="00E76D83"/>
    <w:rsid w:val="00E77134"/>
    <w:rsid w:val="00E77166"/>
    <w:rsid w:val="00E778D5"/>
    <w:rsid w:val="00E77CD8"/>
    <w:rsid w:val="00E77D15"/>
    <w:rsid w:val="00E77D6C"/>
    <w:rsid w:val="00E8134C"/>
    <w:rsid w:val="00E81717"/>
    <w:rsid w:val="00E81968"/>
    <w:rsid w:val="00E81ED0"/>
    <w:rsid w:val="00E82470"/>
    <w:rsid w:val="00E82A86"/>
    <w:rsid w:val="00E82C5B"/>
    <w:rsid w:val="00E82D2F"/>
    <w:rsid w:val="00E83B94"/>
    <w:rsid w:val="00E83E3C"/>
    <w:rsid w:val="00E83E6A"/>
    <w:rsid w:val="00E84B40"/>
    <w:rsid w:val="00E85A07"/>
    <w:rsid w:val="00E85ECB"/>
    <w:rsid w:val="00E86F67"/>
    <w:rsid w:val="00E874E3"/>
    <w:rsid w:val="00E87814"/>
    <w:rsid w:val="00E87A68"/>
    <w:rsid w:val="00E87BBC"/>
    <w:rsid w:val="00E90524"/>
    <w:rsid w:val="00E91433"/>
    <w:rsid w:val="00E91B24"/>
    <w:rsid w:val="00E91BB6"/>
    <w:rsid w:val="00E922D3"/>
    <w:rsid w:val="00E92394"/>
    <w:rsid w:val="00E923FF"/>
    <w:rsid w:val="00E92456"/>
    <w:rsid w:val="00E9260B"/>
    <w:rsid w:val="00E926E5"/>
    <w:rsid w:val="00E93D5A"/>
    <w:rsid w:val="00E9459F"/>
    <w:rsid w:val="00E948DD"/>
    <w:rsid w:val="00E951C2"/>
    <w:rsid w:val="00E9571B"/>
    <w:rsid w:val="00E965F2"/>
    <w:rsid w:val="00E9718A"/>
    <w:rsid w:val="00E97220"/>
    <w:rsid w:val="00EA01EB"/>
    <w:rsid w:val="00EA06C9"/>
    <w:rsid w:val="00EA088B"/>
    <w:rsid w:val="00EA165A"/>
    <w:rsid w:val="00EA1A7D"/>
    <w:rsid w:val="00EA1C14"/>
    <w:rsid w:val="00EA3B3E"/>
    <w:rsid w:val="00EA43DA"/>
    <w:rsid w:val="00EA4F5F"/>
    <w:rsid w:val="00EA53E9"/>
    <w:rsid w:val="00EA54B2"/>
    <w:rsid w:val="00EA5AD1"/>
    <w:rsid w:val="00EA5B15"/>
    <w:rsid w:val="00EA5B62"/>
    <w:rsid w:val="00EA5E66"/>
    <w:rsid w:val="00EA6368"/>
    <w:rsid w:val="00EA6C19"/>
    <w:rsid w:val="00EA7474"/>
    <w:rsid w:val="00EA7D61"/>
    <w:rsid w:val="00EB12E7"/>
    <w:rsid w:val="00EB19C6"/>
    <w:rsid w:val="00EB2301"/>
    <w:rsid w:val="00EB2923"/>
    <w:rsid w:val="00EB2C61"/>
    <w:rsid w:val="00EB2FFD"/>
    <w:rsid w:val="00EB3F9C"/>
    <w:rsid w:val="00EB4B4D"/>
    <w:rsid w:val="00EC0F41"/>
    <w:rsid w:val="00EC102C"/>
    <w:rsid w:val="00EC124D"/>
    <w:rsid w:val="00EC2A47"/>
    <w:rsid w:val="00EC2A4A"/>
    <w:rsid w:val="00EC2B46"/>
    <w:rsid w:val="00EC2D30"/>
    <w:rsid w:val="00EC2FAD"/>
    <w:rsid w:val="00EC32F5"/>
    <w:rsid w:val="00EC4069"/>
    <w:rsid w:val="00EC46F3"/>
    <w:rsid w:val="00EC4AD6"/>
    <w:rsid w:val="00EC51F7"/>
    <w:rsid w:val="00EC5845"/>
    <w:rsid w:val="00EC58AF"/>
    <w:rsid w:val="00EC666E"/>
    <w:rsid w:val="00EC6810"/>
    <w:rsid w:val="00EC6D00"/>
    <w:rsid w:val="00EC6DFF"/>
    <w:rsid w:val="00EC7A30"/>
    <w:rsid w:val="00EC7EF1"/>
    <w:rsid w:val="00ED0608"/>
    <w:rsid w:val="00ED0DAD"/>
    <w:rsid w:val="00ED169D"/>
    <w:rsid w:val="00ED1846"/>
    <w:rsid w:val="00ED1FAD"/>
    <w:rsid w:val="00ED220F"/>
    <w:rsid w:val="00ED24AE"/>
    <w:rsid w:val="00ED26A7"/>
    <w:rsid w:val="00ED2AE2"/>
    <w:rsid w:val="00ED2B45"/>
    <w:rsid w:val="00ED2CB8"/>
    <w:rsid w:val="00ED3EFC"/>
    <w:rsid w:val="00ED4030"/>
    <w:rsid w:val="00ED41DC"/>
    <w:rsid w:val="00ED4CDF"/>
    <w:rsid w:val="00ED7A4C"/>
    <w:rsid w:val="00ED7DD2"/>
    <w:rsid w:val="00EE0487"/>
    <w:rsid w:val="00EE0A3F"/>
    <w:rsid w:val="00EE0B0D"/>
    <w:rsid w:val="00EE2B07"/>
    <w:rsid w:val="00EE2DD3"/>
    <w:rsid w:val="00EE3628"/>
    <w:rsid w:val="00EE377B"/>
    <w:rsid w:val="00EE3F90"/>
    <w:rsid w:val="00EE4353"/>
    <w:rsid w:val="00EE4946"/>
    <w:rsid w:val="00EE5304"/>
    <w:rsid w:val="00EE5949"/>
    <w:rsid w:val="00EE65DC"/>
    <w:rsid w:val="00EE6DC5"/>
    <w:rsid w:val="00EE6E62"/>
    <w:rsid w:val="00EE713B"/>
    <w:rsid w:val="00EE71C8"/>
    <w:rsid w:val="00EE79AB"/>
    <w:rsid w:val="00EE7E77"/>
    <w:rsid w:val="00EF0591"/>
    <w:rsid w:val="00EF0998"/>
    <w:rsid w:val="00EF0ECC"/>
    <w:rsid w:val="00EF199F"/>
    <w:rsid w:val="00EF237A"/>
    <w:rsid w:val="00EF23DF"/>
    <w:rsid w:val="00EF26AA"/>
    <w:rsid w:val="00EF28F1"/>
    <w:rsid w:val="00EF3968"/>
    <w:rsid w:val="00EF3B43"/>
    <w:rsid w:val="00EF42B0"/>
    <w:rsid w:val="00EF4934"/>
    <w:rsid w:val="00EF52F5"/>
    <w:rsid w:val="00EF5E30"/>
    <w:rsid w:val="00EF6F79"/>
    <w:rsid w:val="00EF788B"/>
    <w:rsid w:val="00EF7C81"/>
    <w:rsid w:val="00EF7FD4"/>
    <w:rsid w:val="00F0036E"/>
    <w:rsid w:val="00F0039D"/>
    <w:rsid w:val="00F0051D"/>
    <w:rsid w:val="00F007EB"/>
    <w:rsid w:val="00F00B27"/>
    <w:rsid w:val="00F00BF2"/>
    <w:rsid w:val="00F00F24"/>
    <w:rsid w:val="00F010E3"/>
    <w:rsid w:val="00F019D9"/>
    <w:rsid w:val="00F01FDC"/>
    <w:rsid w:val="00F02569"/>
    <w:rsid w:val="00F028DC"/>
    <w:rsid w:val="00F036B5"/>
    <w:rsid w:val="00F03932"/>
    <w:rsid w:val="00F0428C"/>
    <w:rsid w:val="00F044B6"/>
    <w:rsid w:val="00F0465C"/>
    <w:rsid w:val="00F04C36"/>
    <w:rsid w:val="00F060A1"/>
    <w:rsid w:val="00F06142"/>
    <w:rsid w:val="00F062F4"/>
    <w:rsid w:val="00F06888"/>
    <w:rsid w:val="00F06AEF"/>
    <w:rsid w:val="00F06E5F"/>
    <w:rsid w:val="00F07D5B"/>
    <w:rsid w:val="00F07F7F"/>
    <w:rsid w:val="00F1027A"/>
    <w:rsid w:val="00F1035D"/>
    <w:rsid w:val="00F10AA8"/>
    <w:rsid w:val="00F10D57"/>
    <w:rsid w:val="00F1199E"/>
    <w:rsid w:val="00F11BB3"/>
    <w:rsid w:val="00F11BE1"/>
    <w:rsid w:val="00F1232C"/>
    <w:rsid w:val="00F12365"/>
    <w:rsid w:val="00F12B5F"/>
    <w:rsid w:val="00F137D4"/>
    <w:rsid w:val="00F139FA"/>
    <w:rsid w:val="00F13A4D"/>
    <w:rsid w:val="00F1405B"/>
    <w:rsid w:val="00F14821"/>
    <w:rsid w:val="00F14D9D"/>
    <w:rsid w:val="00F161E5"/>
    <w:rsid w:val="00F1677C"/>
    <w:rsid w:val="00F1699B"/>
    <w:rsid w:val="00F172F2"/>
    <w:rsid w:val="00F17A8C"/>
    <w:rsid w:val="00F17FB9"/>
    <w:rsid w:val="00F20311"/>
    <w:rsid w:val="00F21E3D"/>
    <w:rsid w:val="00F220CA"/>
    <w:rsid w:val="00F234D6"/>
    <w:rsid w:val="00F23747"/>
    <w:rsid w:val="00F23A81"/>
    <w:rsid w:val="00F23FE2"/>
    <w:rsid w:val="00F243BA"/>
    <w:rsid w:val="00F25065"/>
    <w:rsid w:val="00F25667"/>
    <w:rsid w:val="00F25A3F"/>
    <w:rsid w:val="00F2662B"/>
    <w:rsid w:val="00F270C9"/>
    <w:rsid w:val="00F27323"/>
    <w:rsid w:val="00F278BB"/>
    <w:rsid w:val="00F300C0"/>
    <w:rsid w:val="00F30956"/>
    <w:rsid w:val="00F30986"/>
    <w:rsid w:val="00F30B4B"/>
    <w:rsid w:val="00F30C1B"/>
    <w:rsid w:val="00F30C6C"/>
    <w:rsid w:val="00F318C6"/>
    <w:rsid w:val="00F318E6"/>
    <w:rsid w:val="00F31B7B"/>
    <w:rsid w:val="00F336D5"/>
    <w:rsid w:val="00F33BD2"/>
    <w:rsid w:val="00F34381"/>
    <w:rsid w:val="00F34FD7"/>
    <w:rsid w:val="00F35323"/>
    <w:rsid w:val="00F358CD"/>
    <w:rsid w:val="00F36344"/>
    <w:rsid w:val="00F365BF"/>
    <w:rsid w:val="00F36BDF"/>
    <w:rsid w:val="00F36CB4"/>
    <w:rsid w:val="00F36CD5"/>
    <w:rsid w:val="00F37552"/>
    <w:rsid w:val="00F37EA1"/>
    <w:rsid w:val="00F425B8"/>
    <w:rsid w:val="00F42CC3"/>
    <w:rsid w:val="00F4377D"/>
    <w:rsid w:val="00F43837"/>
    <w:rsid w:val="00F43F5F"/>
    <w:rsid w:val="00F44800"/>
    <w:rsid w:val="00F448EE"/>
    <w:rsid w:val="00F44B13"/>
    <w:rsid w:val="00F44C9B"/>
    <w:rsid w:val="00F44CD3"/>
    <w:rsid w:val="00F45936"/>
    <w:rsid w:val="00F45FA3"/>
    <w:rsid w:val="00F46063"/>
    <w:rsid w:val="00F46581"/>
    <w:rsid w:val="00F476E7"/>
    <w:rsid w:val="00F47A01"/>
    <w:rsid w:val="00F50754"/>
    <w:rsid w:val="00F528FF"/>
    <w:rsid w:val="00F532B2"/>
    <w:rsid w:val="00F5409C"/>
    <w:rsid w:val="00F54C4B"/>
    <w:rsid w:val="00F54FDB"/>
    <w:rsid w:val="00F55673"/>
    <w:rsid w:val="00F55701"/>
    <w:rsid w:val="00F55F37"/>
    <w:rsid w:val="00F56215"/>
    <w:rsid w:val="00F56EF0"/>
    <w:rsid w:val="00F5739F"/>
    <w:rsid w:val="00F573EC"/>
    <w:rsid w:val="00F57F07"/>
    <w:rsid w:val="00F57F45"/>
    <w:rsid w:val="00F601CF"/>
    <w:rsid w:val="00F6045C"/>
    <w:rsid w:val="00F60AC5"/>
    <w:rsid w:val="00F60DB2"/>
    <w:rsid w:val="00F60EFD"/>
    <w:rsid w:val="00F617FE"/>
    <w:rsid w:val="00F61BB4"/>
    <w:rsid w:val="00F61C59"/>
    <w:rsid w:val="00F62AE0"/>
    <w:rsid w:val="00F633A6"/>
    <w:rsid w:val="00F64192"/>
    <w:rsid w:val="00F643E9"/>
    <w:rsid w:val="00F64D11"/>
    <w:rsid w:val="00F652BD"/>
    <w:rsid w:val="00F65E0C"/>
    <w:rsid w:val="00F66210"/>
    <w:rsid w:val="00F66941"/>
    <w:rsid w:val="00F67106"/>
    <w:rsid w:val="00F70F37"/>
    <w:rsid w:val="00F71459"/>
    <w:rsid w:val="00F7164F"/>
    <w:rsid w:val="00F72B69"/>
    <w:rsid w:val="00F73005"/>
    <w:rsid w:val="00F73080"/>
    <w:rsid w:val="00F73BC9"/>
    <w:rsid w:val="00F73F6E"/>
    <w:rsid w:val="00F74479"/>
    <w:rsid w:val="00F7503E"/>
    <w:rsid w:val="00F75443"/>
    <w:rsid w:val="00F75E06"/>
    <w:rsid w:val="00F7643E"/>
    <w:rsid w:val="00F76834"/>
    <w:rsid w:val="00F768A6"/>
    <w:rsid w:val="00F77CB8"/>
    <w:rsid w:val="00F77D84"/>
    <w:rsid w:val="00F80312"/>
    <w:rsid w:val="00F8079A"/>
    <w:rsid w:val="00F80829"/>
    <w:rsid w:val="00F8082C"/>
    <w:rsid w:val="00F80D94"/>
    <w:rsid w:val="00F815A6"/>
    <w:rsid w:val="00F815FA"/>
    <w:rsid w:val="00F834A3"/>
    <w:rsid w:val="00F838BD"/>
    <w:rsid w:val="00F8435C"/>
    <w:rsid w:val="00F848E5"/>
    <w:rsid w:val="00F84B5B"/>
    <w:rsid w:val="00F8503A"/>
    <w:rsid w:val="00F8506A"/>
    <w:rsid w:val="00F852F5"/>
    <w:rsid w:val="00F85830"/>
    <w:rsid w:val="00F85864"/>
    <w:rsid w:val="00F8608D"/>
    <w:rsid w:val="00F8688A"/>
    <w:rsid w:val="00F8702D"/>
    <w:rsid w:val="00F871FA"/>
    <w:rsid w:val="00F875D8"/>
    <w:rsid w:val="00F8775C"/>
    <w:rsid w:val="00F87EA0"/>
    <w:rsid w:val="00F903FE"/>
    <w:rsid w:val="00F90DA2"/>
    <w:rsid w:val="00F91470"/>
    <w:rsid w:val="00F9181A"/>
    <w:rsid w:val="00F918EB"/>
    <w:rsid w:val="00F91E39"/>
    <w:rsid w:val="00F9258E"/>
    <w:rsid w:val="00F92615"/>
    <w:rsid w:val="00F92858"/>
    <w:rsid w:val="00F92879"/>
    <w:rsid w:val="00F92E08"/>
    <w:rsid w:val="00F935B8"/>
    <w:rsid w:val="00F94C19"/>
    <w:rsid w:val="00F95723"/>
    <w:rsid w:val="00F95E4C"/>
    <w:rsid w:val="00F9619A"/>
    <w:rsid w:val="00F9640D"/>
    <w:rsid w:val="00F96654"/>
    <w:rsid w:val="00F96781"/>
    <w:rsid w:val="00F97B6E"/>
    <w:rsid w:val="00FA0022"/>
    <w:rsid w:val="00FA15F6"/>
    <w:rsid w:val="00FA18CE"/>
    <w:rsid w:val="00FA19D8"/>
    <w:rsid w:val="00FA1AEB"/>
    <w:rsid w:val="00FA2099"/>
    <w:rsid w:val="00FA26FF"/>
    <w:rsid w:val="00FA2F29"/>
    <w:rsid w:val="00FA32DD"/>
    <w:rsid w:val="00FA3A3A"/>
    <w:rsid w:val="00FA46F1"/>
    <w:rsid w:val="00FA50A6"/>
    <w:rsid w:val="00FA5318"/>
    <w:rsid w:val="00FA56BA"/>
    <w:rsid w:val="00FA5935"/>
    <w:rsid w:val="00FA5D76"/>
    <w:rsid w:val="00FA5D88"/>
    <w:rsid w:val="00FA5E76"/>
    <w:rsid w:val="00FA60B3"/>
    <w:rsid w:val="00FA65D3"/>
    <w:rsid w:val="00FA6809"/>
    <w:rsid w:val="00FA7674"/>
    <w:rsid w:val="00FA7848"/>
    <w:rsid w:val="00FA7E19"/>
    <w:rsid w:val="00FB0908"/>
    <w:rsid w:val="00FB0EDD"/>
    <w:rsid w:val="00FB0F34"/>
    <w:rsid w:val="00FB111C"/>
    <w:rsid w:val="00FB1F47"/>
    <w:rsid w:val="00FB1FA3"/>
    <w:rsid w:val="00FB26F2"/>
    <w:rsid w:val="00FB29E4"/>
    <w:rsid w:val="00FB2F3D"/>
    <w:rsid w:val="00FB3769"/>
    <w:rsid w:val="00FB4B41"/>
    <w:rsid w:val="00FB4FA9"/>
    <w:rsid w:val="00FB5ACD"/>
    <w:rsid w:val="00FB5C5D"/>
    <w:rsid w:val="00FB5E2E"/>
    <w:rsid w:val="00FB60E2"/>
    <w:rsid w:val="00FB6154"/>
    <w:rsid w:val="00FB62C5"/>
    <w:rsid w:val="00FB7B6E"/>
    <w:rsid w:val="00FB7BCF"/>
    <w:rsid w:val="00FC06AC"/>
    <w:rsid w:val="00FC0CD2"/>
    <w:rsid w:val="00FC1511"/>
    <w:rsid w:val="00FC1601"/>
    <w:rsid w:val="00FC17C7"/>
    <w:rsid w:val="00FC19C5"/>
    <w:rsid w:val="00FC221D"/>
    <w:rsid w:val="00FC2B48"/>
    <w:rsid w:val="00FC2E15"/>
    <w:rsid w:val="00FC3260"/>
    <w:rsid w:val="00FC37BC"/>
    <w:rsid w:val="00FC4115"/>
    <w:rsid w:val="00FC4125"/>
    <w:rsid w:val="00FC44C3"/>
    <w:rsid w:val="00FC4894"/>
    <w:rsid w:val="00FC48B5"/>
    <w:rsid w:val="00FC4BFA"/>
    <w:rsid w:val="00FC50E8"/>
    <w:rsid w:val="00FC5178"/>
    <w:rsid w:val="00FC53A3"/>
    <w:rsid w:val="00FC5653"/>
    <w:rsid w:val="00FC5825"/>
    <w:rsid w:val="00FC58D4"/>
    <w:rsid w:val="00FC5EFB"/>
    <w:rsid w:val="00FC67A9"/>
    <w:rsid w:val="00FC70B8"/>
    <w:rsid w:val="00FC7302"/>
    <w:rsid w:val="00FC7C54"/>
    <w:rsid w:val="00FD092C"/>
    <w:rsid w:val="00FD0B86"/>
    <w:rsid w:val="00FD0BEF"/>
    <w:rsid w:val="00FD15B7"/>
    <w:rsid w:val="00FD27A4"/>
    <w:rsid w:val="00FD2DF5"/>
    <w:rsid w:val="00FD3AA9"/>
    <w:rsid w:val="00FD3FF1"/>
    <w:rsid w:val="00FD4340"/>
    <w:rsid w:val="00FD4820"/>
    <w:rsid w:val="00FD4B68"/>
    <w:rsid w:val="00FD4B8A"/>
    <w:rsid w:val="00FD71F5"/>
    <w:rsid w:val="00FD742A"/>
    <w:rsid w:val="00FD754A"/>
    <w:rsid w:val="00FD7842"/>
    <w:rsid w:val="00FD7E29"/>
    <w:rsid w:val="00FD7F9C"/>
    <w:rsid w:val="00FE0528"/>
    <w:rsid w:val="00FE0B65"/>
    <w:rsid w:val="00FE1FFC"/>
    <w:rsid w:val="00FE2F9E"/>
    <w:rsid w:val="00FE3000"/>
    <w:rsid w:val="00FE32B7"/>
    <w:rsid w:val="00FE341D"/>
    <w:rsid w:val="00FE3573"/>
    <w:rsid w:val="00FE359E"/>
    <w:rsid w:val="00FE3A0B"/>
    <w:rsid w:val="00FE3A22"/>
    <w:rsid w:val="00FE46CC"/>
    <w:rsid w:val="00FE4D40"/>
    <w:rsid w:val="00FE4EB2"/>
    <w:rsid w:val="00FE51C7"/>
    <w:rsid w:val="00FE5C05"/>
    <w:rsid w:val="00FE60F4"/>
    <w:rsid w:val="00FE6964"/>
    <w:rsid w:val="00FF0605"/>
    <w:rsid w:val="00FF0B18"/>
    <w:rsid w:val="00FF0D60"/>
    <w:rsid w:val="00FF151D"/>
    <w:rsid w:val="00FF171B"/>
    <w:rsid w:val="00FF193B"/>
    <w:rsid w:val="00FF21AE"/>
    <w:rsid w:val="00FF2C64"/>
    <w:rsid w:val="00FF33AA"/>
    <w:rsid w:val="00FF3CA3"/>
    <w:rsid w:val="00FF48C8"/>
    <w:rsid w:val="00FF49EC"/>
    <w:rsid w:val="00FF775E"/>
    <w:rsid w:val="00FF7B7C"/>
    <w:rsid w:val="00FF7CBB"/>
    <w:rsid w:val="00FF7D3E"/>
    <w:rsid w:val="00FF7DFC"/>
    <w:rsid w:val="013C5693"/>
    <w:rsid w:val="02BE7F37"/>
    <w:rsid w:val="04587E10"/>
    <w:rsid w:val="0557F339"/>
    <w:rsid w:val="05D93383"/>
    <w:rsid w:val="0861C236"/>
    <w:rsid w:val="09503BBB"/>
    <w:rsid w:val="09657EF3"/>
    <w:rsid w:val="0AF18392"/>
    <w:rsid w:val="0BE6E319"/>
    <w:rsid w:val="0BF700C9"/>
    <w:rsid w:val="0C79212F"/>
    <w:rsid w:val="0C884D9A"/>
    <w:rsid w:val="0D02D3C1"/>
    <w:rsid w:val="0D46A4BC"/>
    <w:rsid w:val="0D5313FB"/>
    <w:rsid w:val="0E4058A9"/>
    <w:rsid w:val="0E41DBE5"/>
    <w:rsid w:val="0ECB89CE"/>
    <w:rsid w:val="0EE463D1"/>
    <w:rsid w:val="0EE60F26"/>
    <w:rsid w:val="0F2C50B9"/>
    <w:rsid w:val="0F6FFF59"/>
    <w:rsid w:val="0FC89A62"/>
    <w:rsid w:val="0FE24381"/>
    <w:rsid w:val="1025511E"/>
    <w:rsid w:val="10A73996"/>
    <w:rsid w:val="11DC030C"/>
    <w:rsid w:val="126B5FDA"/>
    <w:rsid w:val="1316FF26"/>
    <w:rsid w:val="13F855A2"/>
    <w:rsid w:val="1411B7BD"/>
    <w:rsid w:val="14864A1C"/>
    <w:rsid w:val="165183F2"/>
    <w:rsid w:val="17433FB7"/>
    <w:rsid w:val="178636BA"/>
    <w:rsid w:val="1793FA10"/>
    <w:rsid w:val="17F4F748"/>
    <w:rsid w:val="188CDA95"/>
    <w:rsid w:val="19ADBDA4"/>
    <w:rsid w:val="19B8235E"/>
    <w:rsid w:val="1B14AAA0"/>
    <w:rsid w:val="1B63F9F9"/>
    <w:rsid w:val="1CB4818C"/>
    <w:rsid w:val="1DDF73DD"/>
    <w:rsid w:val="1E2ED513"/>
    <w:rsid w:val="1F40FF0E"/>
    <w:rsid w:val="20863D93"/>
    <w:rsid w:val="21C95B52"/>
    <w:rsid w:val="2467F953"/>
    <w:rsid w:val="2490220F"/>
    <w:rsid w:val="27081851"/>
    <w:rsid w:val="2743430E"/>
    <w:rsid w:val="27B9B79A"/>
    <w:rsid w:val="2B921A95"/>
    <w:rsid w:val="2C30BFC4"/>
    <w:rsid w:val="2DAED66E"/>
    <w:rsid w:val="2E79DF14"/>
    <w:rsid w:val="2FD03F1C"/>
    <w:rsid w:val="2FEE9E7A"/>
    <w:rsid w:val="300B0B91"/>
    <w:rsid w:val="31E6A9EA"/>
    <w:rsid w:val="31FA7C5F"/>
    <w:rsid w:val="31FD1ECD"/>
    <w:rsid w:val="32521145"/>
    <w:rsid w:val="336E2D71"/>
    <w:rsid w:val="33750E9F"/>
    <w:rsid w:val="34899D06"/>
    <w:rsid w:val="34C2E7BE"/>
    <w:rsid w:val="3779A2F8"/>
    <w:rsid w:val="381A0AA7"/>
    <w:rsid w:val="393F8036"/>
    <w:rsid w:val="3963D57C"/>
    <w:rsid w:val="398CD519"/>
    <w:rsid w:val="39D634A6"/>
    <w:rsid w:val="3AB5043D"/>
    <w:rsid w:val="3C4A5B43"/>
    <w:rsid w:val="3DB6A9FC"/>
    <w:rsid w:val="3FA359FC"/>
    <w:rsid w:val="40A5673F"/>
    <w:rsid w:val="4250088D"/>
    <w:rsid w:val="426857DB"/>
    <w:rsid w:val="43F567F1"/>
    <w:rsid w:val="4464C6EA"/>
    <w:rsid w:val="44C600BA"/>
    <w:rsid w:val="467ACD48"/>
    <w:rsid w:val="46EA152C"/>
    <w:rsid w:val="4737B2A0"/>
    <w:rsid w:val="476FE0EC"/>
    <w:rsid w:val="47A5566E"/>
    <w:rsid w:val="481D0D7C"/>
    <w:rsid w:val="4898ADAF"/>
    <w:rsid w:val="48A13A8D"/>
    <w:rsid w:val="491534C6"/>
    <w:rsid w:val="49918A8A"/>
    <w:rsid w:val="49E8907D"/>
    <w:rsid w:val="4C940C0E"/>
    <w:rsid w:val="4EADDA47"/>
    <w:rsid w:val="4F22A9C3"/>
    <w:rsid w:val="4FFCB392"/>
    <w:rsid w:val="51A3A66D"/>
    <w:rsid w:val="5316A6A6"/>
    <w:rsid w:val="547B5B9F"/>
    <w:rsid w:val="54933DB2"/>
    <w:rsid w:val="54FCD0C6"/>
    <w:rsid w:val="55E3DAE7"/>
    <w:rsid w:val="560C335C"/>
    <w:rsid w:val="566C92DB"/>
    <w:rsid w:val="57A409E5"/>
    <w:rsid w:val="57C4AD71"/>
    <w:rsid w:val="583695FA"/>
    <w:rsid w:val="5855B807"/>
    <w:rsid w:val="595D5440"/>
    <w:rsid w:val="5A57AE84"/>
    <w:rsid w:val="5AAEFBCA"/>
    <w:rsid w:val="5ADCDA2B"/>
    <w:rsid w:val="5B361249"/>
    <w:rsid w:val="5B94FB37"/>
    <w:rsid w:val="5BB190D7"/>
    <w:rsid w:val="5C1BA069"/>
    <w:rsid w:val="5CC0FEC9"/>
    <w:rsid w:val="5D30B2CF"/>
    <w:rsid w:val="5D50D872"/>
    <w:rsid w:val="5D833D9E"/>
    <w:rsid w:val="5E4363D6"/>
    <w:rsid w:val="5F04CFB7"/>
    <w:rsid w:val="6068B8EB"/>
    <w:rsid w:val="60D9726F"/>
    <w:rsid w:val="628A5DAA"/>
    <w:rsid w:val="63156A87"/>
    <w:rsid w:val="63A86489"/>
    <w:rsid w:val="648EEEA9"/>
    <w:rsid w:val="64B4A0BD"/>
    <w:rsid w:val="66AD23B5"/>
    <w:rsid w:val="68942321"/>
    <w:rsid w:val="692A8807"/>
    <w:rsid w:val="6989ADFE"/>
    <w:rsid w:val="6D170F7F"/>
    <w:rsid w:val="6E6942EB"/>
    <w:rsid w:val="6F42A1E6"/>
    <w:rsid w:val="6F5B144A"/>
    <w:rsid w:val="6F75CEB0"/>
    <w:rsid w:val="7004D736"/>
    <w:rsid w:val="702EFF3A"/>
    <w:rsid w:val="70995B3B"/>
    <w:rsid w:val="7100C0BE"/>
    <w:rsid w:val="71B31CEA"/>
    <w:rsid w:val="7246F374"/>
    <w:rsid w:val="7338C6DF"/>
    <w:rsid w:val="73DD75C8"/>
    <w:rsid w:val="7427D76C"/>
    <w:rsid w:val="746C0996"/>
    <w:rsid w:val="74D85E08"/>
    <w:rsid w:val="74D9E0D1"/>
    <w:rsid w:val="75359025"/>
    <w:rsid w:val="7BE5D9A5"/>
    <w:rsid w:val="7C0BD7FC"/>
    <w:rsid w:val="7CD4E8E5"/>
    <w:rsid w:val="7D8D72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553AC843-B72C-4F0E-B051-DC1DC833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2"/>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3"/>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CAB - List Bullet,List Bullet Cab,Resume Title,heading 4,Citation List,Ha,Recommendation,L,List Paragraph1,List Paragraph11,NFP GP Bulleted List,FooterText,numbered,Paragraphe de liste1,Bulletr List Paragraph,列出段落,列出段落1,List Paragraph2"/>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6"/>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732CEE"/>
    <w:rPr>
      <w:color w:val="605E5C"/>
      <w:shd w:val="clear" w:color="auto" w:fill="E1DFDD"/>
    </w:rPr>
  </w:style>
  <w:style w:type="paragraph" w:styleId="HTMLPreformatted">
    <w:name w:val="HTML Preformatted"/>
    <w:basedOn w:val="Normal"/>
    <w:link w:val="HTMLPreformattedChar"/>
    <w:uiPriority w:val="99"/>
    <w:semiHidden/>
    <w:unhideWhenUsed/>
    <w:rsid w:val="00AC4F86"/>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C4F86"/>
    <w:rPr>
      <w:rFonts w:ascii="Consolas" w:hAnsi="Consolas"/>
    </w:rPr>
  </w:style>
  <w:style w:type="character" w:customStyle="1" w:styleId="ListParagraphChar">
    <w:name w:val="List Paragraph Char"/>
    <w:aliases w:val="CAB - List Bullet Char,List Bullet Cab Char,Resume Title Char,heading 4 Char,Citation List Char,Ha Char,Recommendation Char,L Char,List Paragraph1 Char,List Paragraph11 Char,NFP GP Bulleted List Char,FooterText Char,numbered Char"/>
    <w:link w:val="ListParagraph"/>
    <w:uiPriority w:val="34"/>
    <w:locked/>
    <w:rsid w:val="00E82470"/>
  </w:style>
  <w:style w:type="paragraph" w:customStyle="1" w:styleId="Bullet">
    <w:name w:val="Bullet"/>
    <w:aliases w:val="b"/>
    <w:basedOn w:val="Normal"/>
    <w:qFormat/>
    <w:rsid w:val="00A93DC6"/>
    <w:pPr>
      <w:numPr>
        <w:numId w:val="32"/>
      </w:numPr>
      <w:spacing w:before="120" w:line="276" w:lineRule="auto"/>
    </w:pPr>
    <w:rPr>
      <w:rFonts w:ascii="Calibri" w:eastAsia="Times New Roman" w:hAnsi="Calibri" w:cs="Times New Roman"/>
      <w:sz w:val="22"/>
      <w:szCs w:val="22"/>
    </w:rPr>
  </w:style>
  <w:style w:type="paragraph" w:customStyle="1" w:styleId="DoubleDot">
    <w:name w:val="Double Dot"/>
    <w:basedOn w:val="Normal"/>
    <w:rsid w:val="00A93DC6"/>
    <w:pPr>
      <w:numPr>
        <w:ilvl w:val="2"/>
        <w:numId w:val="32"/>
      </w:numPr>
      <w:spacing w:before="120" w:line="276" w:lineRule="auto"/>
    </w:pPr>
    <w:rPr>
      <w:rFonts w:ascii="Calibri" w:eastAsia="Times New Roman" w:hAnsi="Calibri" w:cs="Times New Roman"/>
      <w:sz w:val="22"/>
      <w:szCs w:val="22"/>
    </w:rPr>
  </w:style>
  <w:style w:type="paragraph" w:customStyle="1" w:styleId="h5Section">
    <w:name w:val="h5_Section"/>
    <w:aliases w:val="ActHead 5,s"/>
    <w:basedOn w:val="Normal"/>
    <w:next w:val="Normal"/>
    <w:qFormat/>
    <w:rsid w:val="007B0C26"/>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paragraph" w:customStyle="1" w:styleId="Dot">
    <w:name w:val="Dot"/>
    <w:basedOn w:val="Normal"/>
    <w:rsid w:val="000024D4"/>
    <w:pPr>
      <w:spacing w:before="120" w:after="0" w:line="276" w:lineRule="auto"/>
    </w:pPr>
    <w:rPr>
      <w:rFonts w:ascii="Times New Roman" w:eastAsia="Calibri" w:hAnsi="Times New Roman" w:cs="Times New Roman"/>
      <w:sz w:val="24"/>
      <w:szCs w:val="24"/>
    </w:rPr>
  </w:style>
  <w:style w:type="character" w:styleId="Mention">
    <w:name w:val="Mention"/>
    <w:basedOn w:val="DefaultParagraphFont"/>
    <w:uiPriority w:val="99"/>
    <w:unhideWhenUsed/>
    <w:rsid w:val="00F036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7876">
      <w:bodyDiv w:val="1"/>
      <w:marLeft w:val="0"/>
      <w:marRight w:val="0"/>
      <w:marTop w:val="0"/>
      <w:marBottom w:val="0"/>
      <w:divBdr>
        <w:top w:val="none" w:sz="0" w:space="0" w:color="auto"/>
        <w:left w:val="none" w:sz="0" w:space="0" w:color="auto"/>
        <w:bottom w:val="none" w:sz="0" w:space="0" w:color="auto"/>
        <w:right w:val="none" w:sz="0" w:space="0" w:color="auto"/>
      </w:divBdr>
    </w:div>
    <w:div w:id="54203045">
      <w:bodyDiv w:val="1"/>
      <w:marLeft w:val="0"/>
      <w:marRight w:val="0"/>
      <w:marTop w:val="0"/>
      <w:marBottom w:val="0"/>
      <w:divBdr>
        <w:top w:val="none" w:sz="0" w:space="0" w:color="auto"/>
        <w:left w:val="none" w:sz="0" w:space="0" w:color="auto"/>
        <w:bottom w:val="none" w:sz="0" w:space="0" w:color="auto"/>
        <w:right w:val="none" w:sz="0" w:space="0" w:color="auto"/>
      </w:divBdr>
    </w:div>
    <w:div w:id="57287180">
      <w:bodyDiv w:val="1"/>
      <w:marLeft w:val="0"/>
      <w:marRight w:val="0"/>
      <w:marTop w:val="0"/>
      <w:marBottom w:val="0"/>
      <w:divBdr>
        <w:top w:val="none" w:sz="0" w:space="0" w:color="auto"/>
        <w:left w:val="none" w:sz="0" w:space="0" w:color="auto"/>
        <w:bottom w:val="none" w:sz="0" w:space="0" w:color="auto"/>
        <w:right w:val="none" w:sz="0" w:space="0" w:color="auto"/>
      </w:divBdr>
    </w:div>
    <w:div w:id="68382768">
      <w:bodyDiv w:val="1"/>
      <w:marLeft w:val="0"/>
      <w:marRight w:val="0"/>
      <w:marTop w:val="0"/>
      <w:marBottom w:val="0"/>
      <w:divBdr>
        <w:top w:val="none" w:sz="0" w:space="0" w:color="auto"/>
        <w:left w:val="none" w:sz="0" w:space="0" w:color="auto"/>
        <w:bottom w:val="none" w:sz="0" w:space="0" w:color="auto"/>
        <w:right w:val="none" w:sz="0" w:space="0" w:color="auto"/>
      </w:divBdr>
    </w:div>
    <w:div w:id="69811575">
      <w:bodyDiv w:val="1"/>
      <w:marLeft w:val="0"/>
      <w:marRight w:val="0"/>
      <w:marTop w:val="0"/>
      <w:marBottom w:val="0"/>
      <w:divBdr>
        <w:top w:val="none" w:sz="0" w:space="0" w:color="auto"/>
        <w:left w:val="none" w:sz="0" w:space="0" w:color="auto"/>
        <w:bottom w:val="none" w:sz="0" w:space="0" w:color="auto"/>
        <w:right w:val="none" w:sz="0" w:space="0" w:color="auto"/>
      </w:divBdr>
    </w:div>
    <w:div w:id="78529913">
      <w:bodyDiv w:val="1"/>
      <w:marLeft w:val="0"/>
      <w:marRight w:val="0"/>
      <w:marTop w:val="0"/>
      <w:marBottom w:val="0"/>
      <w:divBdr>
        <w:top w:val="none" w:sz="0" w:space="0" w:color="auto"/>
        <w:left w:val="none" w:sz="0" w:space="0" w:color="auto"/>
        <w:bottom w:val="none" w:sz="0" w:space="0" w:color="auto"/>
        <w:right w:val="none" w:sz="0" w:space="0" w:color="auto"/>
      </w:divBdr>
      <w:divsChild>
        <w:div w:id="318774231">
          <w:marLeft w:val="0"/>
          <w:marRight w:val="0"/>
          <w:marTop w:val="0"/>
          <w:marBottom w:val="0"/>
          <w:divBdr>
            <w:top w:val="none" w:sz="0" w:space="0" w:color="auto"/>
            <w:left w:val="none" w:sz="0" w:space="0" w:color="auto"/>
            <w:bottom w:val="none" w:sz="0" w:space="0" w:color="auto"/>
            <w:right w:val="none" w:sz="0" w:space="0" w:color="auto"/>
          </w:divBdr>
        </w:div>
      </w:divsChild>
    </w:div>
    <w:div w:id="96828475">
      <w:bodyDiv w:val="1"/>
      <w:marLeft w:val="0"/>
      <w:marRight w:val="0"/>
      <w:marTop w:val="0"/>
      <w:marBottom w:val="0"/>
      <w:divBdr>
        <w:top w:val="none" w:sz="0" w:space="0" w:color="auto"/>
        <w:left w:val="none" w:sz="0" w:space="0" w:color="auto"/>
        <w:bottom w:val="none" w:sz="0" w:space="0" w:color="auto"/>
        <w:right w:val="none" w:sz="0" w:space="0" w:color="auto"/>
      </w:divBdr>
    </w:div>
    <w:div w:id="112016579">
      <w:bodyDiv w:val="1"/>
      <w:marLeft w:val="0"/>
      <w:marRight w:val="0"/>
      <w:marTop w:val="0"/>
      <w:marBottom w:val="0"/>
      <w:divBdr>
        <w:top w:val="none" w:sz="0" w:space="0" w:color="auto"/>
        <w:left w:val="none" w:sz="0" w:space="0" w:color="auto"/>
        <w:bottom w:val="none" w:sz="0" w:space="0" w:color="auto"/>
        <w:right w:val="none" w:sz="0" w:space="0" w:color="auto"/>
      </w:divBdr>
    </w:div>
    <w:div w:id="120854252">
      <w:bodyDiv w:val="1"/>
      <w:marLeft w:val="0"/>
      <w:marRight w:val="0"/>
      <w:marTop w:val="0"/>
      <w:marBottom w:val="0"/>
      <w:divBdr>
        <w:top w:val="none" w:sz="0" w:space="0" w:color="auto"/>
        <w:left w:val="none" w:sz="0" w:space="0" w:color="auto"/>
        <w:bottom w:val="none" w:sz="0" w:space="0" w:color="auto"/>
        <w:right w:val="none" w:sz="0" w:space="0" w:color="auto"/>
      </w:divBdr>
    </w:div>
    <w:div w:id="131215873">
      <w:bodyDiv w:val="1"/>
      <w:marLeft w:val="0"/>
      <w:marRight w:val="0"/>
      <w:marTop w:val="0"/>
      <w:marBottom w:val="0"/>
      <w:divBdr>
        <w:top w:val="none" w:sz="0" w:space="0" w:color="auto"/>
        <w:left w:val="none" w:sz="0" w:space="0" w:color="auto"/>
        <w:bottom w:val="none" w:sz="0" w:space="0" w:color="auto"/>
        <w:right w:val="none" w:sz="0" w:space="0" w:color="auto"/>
      </w:divBdr>
      <w:divsChild>
        <w:div w:id="184750301">
          <w:marLeft w:val="0"/>
          <w:marRight w:val="0"/>
          <w:marTop w:val="0"/>
          <w:marBottom w:val="0"/>
          <w:divBdr>
            <w:top w:val="none" w:sz="0" w:space="0" w:color="auto"/>
            <w:left w:val="none" w:sz="0" w:space="0" w:color="auto"/>
            <w:bottom w:val="none" w:sz="0" w:space="0" w:color="auto"/>
            <w:right w:val="none" w:sz="0" w:space="0" w:color="auto"/>
          </w:divBdr>
        </w:div>
        <w:div w:id="966593400">
          <w:marLeft w:val="0"/>
          <w:marRight w:val="0"/>
          <w:marTop w:val="0"/>
          <w:marBottom w:val="0"/>
          <w:divBdr>
            <w:top w:val="none" w:sz="0" w:space="0" w:color="auto"/>
            <w:left w:val="none" w:sz="0" w:space="0" w:color="auto"/>
            <w:bottom w:val="none" w:sz="0" w:space="0" w:color="auto"/>
            <w:right w:val="none" w:sz="0" w:space="0" w:color="auto"/>
          </w:divBdr>
        </w:div>
        <w:div w:id="981732629">
          <w:marLeft w:val="0"/>
          <w:marRight w:val="0"/>
          <w:marTop w:val="0"/>
          <w:marBottom w:val="0"/>
          <w:divBdr>
            <w:top w:val="none" w:sz="0" w:space="0" w:color="auto"/>
            <w:left w:val="none" w:sz="0" w:space="0" w:color="auto"/>
            <w:bottom w:val="none" w:sz="0" w:space="0" w:color="auto"/>
            <w:right w:val="none" w:sz="0" w:space="0" w:color="auto"/>
          </w:divBdr>
        </w:div>
        <w:div w:id="1527868937">
          <w:marLeft w:val="0"/>
          <w:marRight w:val="0"/>
          <w:marTop w:val="0"/>
          <w:marBottom w:val="0"/>
          <w:divBdr>
            <w:top w:val="none" w:sz="0" w:space="0" w:color="auto"/>
            <w:left w:val="none" w:sz="0" w:space="0" w:color="auto"/>
            <w:bottom w:val="none" w:sz="0" w:space="0" w:color="auto"/>
            <w:right w:val="none" w:sz="0" w:space="0" w:color="auto"/>
          </w:divBdr>
        </w:div>
        <w:div w:id="1869876441">
          <w:marLeft w:val="0"/>
          <w:marRight w:val="0"/>
          <w:marTop w:val="0"/>
          <w:marBottom w:val="0"/>
          <w:divBdr>
            <w:top w:val="none" w:sz="0" w:space="0" w:color="auto"/>
            <w:left w:val="none" w:sz="0" w:space="0" w:color="auto"/>
            <w:bottom w:val="none" w:sz="0" w:space="0" w:color="auto"/>
            <w:right w:val="none" w:sz="0" w:space="0" w:color="auto"/>
          </w:divBdr>
        </w:div>
        <w:div w:id="1921678036">
          <w:marLeft w:val="0"/>
          <w:marRight w:val="0"/>
          <w:marTop w:val="0"/>
          <w:marBottom w:val="0"/>
          <w:divBdr>
            <w:top w:val="none" w:sz="0" w:space="0" w:color="auto"/>
            <w:left w:val="none" w:sz="0" w:space="0" w:color="auto"/>
            <w:bottom w:val="none" w:sz="0" w:space="0" w:color="auto"/>
            <w:right w:val="none" w:sz="0" w:space="0" w:color="auto"/>
          </w:divBdr>
        </w:div>
        <w:div w:id="1960143404">
          <w:marLeft w:val="0"/>
          <w:marRight w:val="0"/>
          <w:marTop w:val="0"/>
          <w:marBottom w:val="0"/>
          <w:divBdr>
            <w:top w:val="none" w:sz="0" w:space="0" w:color="auto"/>
            <w:left w:val="none" w:sz="0" w:space="0" w:color="auto"/>
            <w:bottom w:val="none" w:sz="0" w:space="0" w:color="auto"/>
            <w:right w:val="none" w:sz="0" w:space="0" w:color="auto"/>
          </w:divBdr>
        </w:div>
      </w:divsChild>
    </w:div>
    <w:div w:id="168908792">
      <w:bodyDiv w:val="1"/>
      <w:marLeft w:val="0"/>
      <w:marRight w:val="0"/>
      <w:marTop w:val="0"/>
      <w:marBottom w:val="0"/>
      <w:divBdr>
        <w:top w:val="none" w:sz="0" w:space="0" w:color="auto"/>
        <w:left w:val="none" w:sz="0" w:space="0" w:color="auto"/>
        <w:bottom w:val="none" w:sz="0" w:space="0" w:color="auto"/>
        <w:right w:val="none" w:sz="0" w:space="0" w:color="auto"/>
      </w:divBdr>
      <w:divsChild>
        <w:div w:id="532117844">
          <w:marLeft w:val="0"/>
          <w:marRight w:val="0"/>
          <w:marTop w:val="0"/>
          <w:marBottom w:val="0"/>
          <w:divBdr>
            <w:top w:val="none" w:sz="0" w:space="0" w:color="auto"/>
            <w:left w:val="none" w:sz="0" w:space="0" w:color="auto"/>
            <w:bottom w:val="none" w:sz="0" w:space="0" w:color="auto"/>
            <w:right w:val="none" w:sz="0" w:space="0" w:color="auto"/>
          </w:divBdr>
        </w:div>
        <w:div w:id="1290210869">
          <w:marLeft w:val="0"/>
          <w:marRight w:val="0"/>
          <w:marTop w:val="0"/>
          <w:marBottom w:val="0"/>
          <w:divBdr>
            <w:top w:val="none" w:sz="0" w:space="0" w:color="auto"/>
            <w:left w:val="none" w:sz="0" w:space="0" w:color="auto"/>
            <w:bottom w:val="none" w:sz="0" w:space="0" w:color="auto"/>
            <w:right w:val="none" w:sz="0" w:space="0" w:color="auto"/>
          </w:divBdr>
        </w:div>
      </w:divsChild>
    </w:div>
    <w:div w:id="200360712">
      <w:bodyDiv w:val="1"/>
      <w:marLeft w:val="0"/>
      <w:marRight w:val="0"/>
      <w:marTop w:val="0"/>
      <w:marBottom w:val="0"/>
      <w:divBdr>
        <w:top w:val="none" w:sz="0" w:space="0" w:color="auto"/>
        <w:left w:val="none" w:sz="0" w:space="0" w:color="auto"/>
        <w:bottom w:val="none" w:sz="0" w:space="0" w:color="auto"/>
        <w:right w:val="none" w:sz="0" w:space="0" w:color="auto"/>
      </w:divBdr>
    </w:div>
    <w:div w:id="203980703">
      <w:bodyDiv w:val="1"/>
      <w:marLeft w:val="0"/>
      <w:marRight w:val="0"/>
      <w:marTop w:val="0"/>
      <w:marBottom w:val="0"/>
      <w:divBdr>
        <w:top w:val="none" w:sz="0" w:space="0" w:color="auto"/>
        <w:left w:val="none" w:sz="0" w:space="0" w:color="auto"/>
        <w:bottom w:val="none" w:sz="0" w:space="0" w:color="auto"/>
        <w:right w:val="none" w:sz="0" w:space="0" w:color="auto"/>
      </w:divBdr>
    </w:div>
    <w:div w:id="205678599">
      <w:bodyDiv w:val="1"/>
      <w:marLeft w:val="0"/>
      <w:marRight w:val="0"/>
      <w:marTop w:val="0"/>
      <w:marBottom w:val="0"/>
      <w:divBdr>
        <w:top w:val="none" w:sz="0" w:space="0" w:color="auto"/>
        <w:left w:val="none" w:sz="0" w:space="0" w:color="auto"/>
        <w:bottom w:val="none" w:sz="0" w:space="0" w:color="auto"/>
        <w:right w:val="none" w:sz="0" w:space="0" w:color="auto"/>
      </w:divBdr>
    </w:div>
    <w:div w:id="206914130">
      <w:bodyDiv w:val="1"/>
      <w:marLeft w:val="0"/>
      <w:marRight w:val="0"/>
      <w:marTop w:val="0"/>
      <w:marBottom w:val="0"/>
      <w:divBdr>
        <w:top w:val="none" w:sz="0" w:space="0" w:color="auto"/>
        <w:left w:val="none" w:sz="0" w:space="0" w:color="auto"/>
        <w:bottom w:val="none" w:sz="0" w:space="0" w:color="auto"/>
        <w:right w:val="none" w:sz="0" w:space="0" w:color="auto"/>
      </w:divBdr>
    </w:div>
    <w:div w:id="279268558">
      <w:bodyDiv w:val="1"/>
      <w:marLeft w:val="0"/>
      <w:marRight w:val="0"/>
      <w:marTop w:val="0"/>
      <w:marBottom w:val="0"/>
      <w:divBdr>
        <w:top w:val="none" w:sz="0" w:space="0" w:color="auto"/>
        <w:left w:val="none" w:sz="0" w:space="0" w:color="auto"/>
        <w:bottom w:val="none" w:sz="0" w:space="0" w:color="auto"/>
        <w:right w:val="none" w:sz="0" w:space="0" w:color="auto"/>
      </w:divBdr>
    </w:div>
    <w:div w:id="290939484">
      <w:bodyDiv w:val="1"/>
      <w:marLeft w:val="0"/>
      <w:marRight w:val="0"/>
      <w:marTop w:val="0"/>
      <w:marBottom w:val="0"/>
      <w:divBdr>
        <w:top w:val="none" w:sz="0" w:space="0" w:color="auto"/>
        <w:left w:val="none" w:sz="0" w:space="0" w:color="auto"/>
        <w:bottom w:val="none" w:sz="0" w:space="0" w:color="auto"/>
        <w:right w:val="none" w:sz="0" w:space="0" w:color="auto"/>
      </w:divBdr>
    </w:div>
    <w:div w:id="336808438">
      <w:bodyDiv w:val="1"/>
      <w:marLeft w:val="0"/>
      <w:marRight w:val="0"/>
      <w:marTop w:val="0"/>
      <w:marBottom w:val="0"/>
      <w:divBdr>
        <w:top w:val="none" w:sz="0" w:space="0" w:color="auto"/>
        <w:left w:val="none" w:sz="0" w:space="0" w:color="auto"/>
        <w:bottom w:val="none" w:sz="0" w:space="0" w:color="auto"/>
        <w:right w:val="none" w:sz="0" w:space="0" w:color="auto"/>
      </w:divBdr>
    </w:div>
    <w:div w:id="355809888">
      <w:bodyDiv w:val="1"/>
      <w:marLeft w:val="0"/>
      <w:marRight w:val="0"/>
      <w:marTop w:val="0"/>
      <w:marBottom w:val="0"/>
      <w:divBdr>
        <w:top w:val="none" w:sz="0" w:space="0" w:color="auto"/>
        <w:left w:val="none" w:sz="0" w:space="0" w:color="auto"/>
        <w:bottom w:val="none" w:sz="0" w:space="0" w:color="auto"/>
        <w:right w:val="none" w:sz="0" w:space="0" w:color="auto"/>
      </w:divBdr>
    </w:div>
    <w:div w:id="362678446">
      <w:bodyDiv w:val="1"/>
      <w:marLeft w:val="0"/>
      <w:marRight w:val="0"/>
      <w:marTop w:val="0"/>
      <w:marBottom w:val="0"/>
      <w:divBdr>
        <w:top w:val="none" w:sz="0" w:space="0" w:color="auto"/>
        <w:left w:val="none" w:sz="0" w:space="0" w:color="auto"/>
        <w:bottom w:val="none" w:sz="0" w:space="0" w:color="auto"/>
        <w:right w:val="none" w:sz="0" w:space="0" w:color="auto"/>
      </w:divBdr>
    </w:div>
    <w:div w:id="396168436">
      <w:bodyDiv w:val="1"/>
      <w:marLeft w:val="0"/>
      <w:marRight w:val="0"/>
      <w:marTop w:val="0"/>
      <w:marBottom w:val="0"/>
      <w:divBdr>
        <w:top w:val="none" w:sz="0" w:space="0" w:color="auto"/>
        <w:left w:val="none" w:sz="0" w:space="0" w:color="auto"/>
        <w:bottom w:val="none" w:sz="0" w:space="0" w:color="auto"/>
        <w:right w:val="none" w:sz="0" w:space="0" w:color="auto"/>
      </w:divBdr>
    </w:div>
    <w:div w:id="437676047">
      <w:bodyDiv w:val="1"/>
      <w:marLeft w:val="0"/>
      <w:marRight w:val="0"/>
      <w:marTop w:val="0"/>
      <w:marBottom w:val="0"/>
      <w:divBdr>
        <w:top w:val="none" w:sz="0" w:space="0" w:color="auto"/>
        <w:left w:val="none" w:sz="0" w:space="0" w:color="auto"/>
        <w:bottom w:val="none" w:sz="0" w:space="0" w:color="auto"/>
        <w:right w:val="none" w:sz="0" w:space="0" w:color="auto"/>
      </w:divBdr>
    </w:div>
    <w:div w:id="442115083">
      <w:bodyDiv w:val="1"/>
      <w:marLeft w:val="0"/>
      <w:marRight w:val="0"/>
      <w:marTop w:val="0"/>
      <w:marBottom w:val="0"/>
      <w:divBdr>
        <w:top w:val="none" w:sz="0" w:space="0" w:color="auto"/>
        <w:left w:val="none" w:sz="0" w:space="0" w:color="auto"/>
        <w:bottom w:val="none" w:sz="0" w:space="0" w:color="auto"/>
        <w:right w:val="none" w:sz="0" w:space="0" w:color="auto"/>
      </w:divBdr>
      <w:divsChild>
        <w:div w:id="655261425">
          <w:marLeft w:val="0"/>
          <w:marRight w:val="0"/>
          <w:marTop w:val="0"/>
          <w:marBottom w:val="0"/>
          <w:divBdr>
            <w:top w:val="none" w:sz="0" w:space="0" w:color="auto"/>
            <w:left w:val="none" w:sz="0" w:space="0" w:color="auto"/>
            <w:bottom w:val="none" w:sz="0" w:space="0" w:color="auto"/>
            <w:right w:val="none" w:sz="0" w:space="0" w:color="auto"/>
          </w:divBdr>
        </w:div>
        <w:div w:id="1541089571">
          <w:marLeft w:val="0"/>
          <w:marRight w:val="0"/>
          <w:marTop w:val="0"/>
          <w:marBottom w:val="0"/>
          <w:divBdr>
            <w:top w:val="none" w:sz="0" w:space="0" w:color="auto"/>
            <w:left w:val="none" w:sz="0" w:space="0" w:color="auto"/>
            <w:bottom w:val="none" w:sz="0" w:space="0" w:color="auto"/>
            <w:right w:val="none" w:sz="0" w:space="0" w:color="auto"/>
          </w:divBdr>
        </w:div>
      </w:divsChild>
    </w:div>
    <w:div w:id="448160881">
      <w:bodyDiv w:val="1"/>
      <w:marLeft w:val="0"/>
      <w:marRight w:val="0"/>
      <w:marTop w:val="0"/>
      <w:marBottom w:val="0"/>
      <w:divBdr>
        <w:top w:val="none" w:sz="0" w:space="0" w:color="auto"/>
        <w:left w:val="none" w:sz="0" w:space="0" w:color="auto"/>
        <w:bottom w:val="none" w:sz="0" w:space="0" w:color="auto"/>
        <w:right w:val="none" w:sz="0" w:space="0" w:color="auto"/>
      </w:divBdr>
    </w:div>
    <w:div w:id="452557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7051">
          <w:marLeft w:val="0"/>
          <w:marRight w:val="0"/>
          <w:marTop w:val="0"/>
          <w:marBottom w:val="0"/>
          <w:divBdr>
            <w:top w:val="none" w:sz="0" w:space="0" w:color="auto"/>
            <w:left w:val="none" w:sz="0" w:space="0" w:color="auto"/>
            <w:bottom w:val="none" w:sz="0" w:space="0" w:color="auto"/>
            <w:right w:val="none" w:sz="0" w:space="0" w:color="auto"/>
          </w:divBdr>
        </w:div>
        <w:div w:id="1264731256">
          <w:marLeft w:val="0"/>
          <w:marRight w:val="0"/>
          <w:marTop w:val="0"/>
          <w:marBottom w:val="0"/>
          <w:divBdr>
            <w:top w:val="none" w:sz="0" w:space="0" w:color="auto"/>
            <w:left w:val="none" w:sz="0" w:space="0" w:color="auto"/>
            <w:bottom w:val="none" w:sz="0" w:space="0" w:color="auto"/>
            <w:right w:val="none" w:sz="0" w:space="0" w:color="auto"/>
          </w:divBdr>
        </w:div>
      </w:divsChild>
    </w:div>
    <w:div w:id="470438418">
      <w:bodyDiv w:val="1"/>
      <w:marLeft w:val="0"/>
      <w:marRight w:val="0"/>
      <w:marTop w:val="0"/>
      <w:marBottom w:val="0"/>
      <w:divBdr>
        <w:top w:val="none" w:sz="0" w:space="0" w:color="auto"/>
        <w:left w:val="none" w:sz="0" w:space="0" w:color="auto"/>
        <w:bottom w:val="none" w:sz="0" w:space="0" w:color="auto"/>
        <w:right w:val="none" w:sz="0" w:space="0" w:color="auto"/>
      </w:divBdr>
    </w:div>
    <w:div w:id="487329529">
      <w:bodyDiv w:val="1"/>
      <w:marLeft w:val="0"/>
      <w:marRight w:val="0"/>
      <w:marTop w:val="0"/>
      <w:marBottom w:val="0"/>
      <w:divBdr>
        <w:top w:val="none" w:sz="0" w:space="0" w:color="auto"/>
        <w:left w:val="none" w:sz="0" w:space="0" w:color="auto"/>
        <w:bottom w:val="none" w:sz="0" w:space="0" w:color="auto"/>
        <w:right w:val="none" w:sz="0" w:space="0" w:color="auto"/>
      </w:divBdr>
    </w:div>
    <w:div w:id="531653830">
      <w:bodyDiv w:val="1"/>
      <w:marLeft w:val="0"/>
      <w:marRight w:val="0"/>
      <w:marTop w:val="0"/>
      <w:marBottom w:val="0"/>
      <w:divBdr>
        <w:top w:val="none" w:sz="0" w:space="0" w:color="auto"/>
        <w:left w:val="none" w:sz="0" w:space="0" w:color="auto"/>
        <w:bottom w:val="none" w:sz="0" w:space="0" w:color="auto"/>
        <w:right w:val="none" w:sz="0" w:space="0" w:color="auto"/>
      </w:divBdr>
    </w:div>
    <w:div w:id="558830124">
      <w:bodyDiv w:val="1"/>
      <w:marLeft w:val="0"/>
      <w:marRight w:val="0"/>
      <w:marTop w:val="0"/>
      <w:marBottom w:val="0"/>
      <w:divBdr>
        <w:top w:val="none" w:sz="0" w:space="0" w:color="auto"/>
        <w:left w:val="none" w:sz="0" w:space="0" w:color="auto"/>
        <w:bottom w:val="none" w:sz="0" w:space="0" w:color="auto"/>
        <w:right w:val="none" w:sz="0" w:space="0" w:color="auto"/>
      </w:divBdr>
    </w:div>
    <w:div w:id="567418621">
      <w:bodyDiv w:val="1"/>
      <w:marLeft w:val="0"/>
      <w:marRight w:val="0"/>
      <w:marTop w:val="0"/>
      <w:marBottom w:val="0"/>
      <w:divBdr>
        <w:top w:val="none" w:sz="0" w:space="0" w:color="auto"/>
        <w:left w:val="none" w:sz="0" w:space="0" w:color="auto"/>
        <w:bottom w:val="none" w:sz="0" w:space="0" w:color="auto"/>
        <w:right w:val="none" w:sz="0" w:space="0" w:color="auto"/>
      </w:divBdr>
    </w:div>
    <w:div w:id="600532520">
      <w:bodyDiv w:val="1"/>
      <w:marLeft w:val="0"/>
      <w:marRight w:val="0"/>
      <w:marTop w:val="0"/>
      <w:marBottom w:val="0"/>
      <w:divBdr>
        <w:top w:val="none" w:sz="0" w:space="0" w:color="auto"/>
        <w:left w:val="none" w:sz="0" w:space="0" w:color="auto"/>
        <w:bottom w:val="none" w:sz="0" w:space="0" w:color="auto"/>
        <w:right w:val="none" w:sz="0" w:space="0" w:color="auto"/>
      </w:divBdr>
    </w:div>
    <w:div w:id="615210245">
      <w:bodyDiv w:val="1"/>
      <w:marLeft w:val="0"/>
      <w:marRight w:val="0"/>
      <w:marTop w:val="0"/>
      <w:marBottom w:val="0"/>
      <w:divBdr>
        <w:top w:val="none" w:sz="0" w:space="0" w:color="auto"/>
        <w:left w:val="none" w:sz="0" w:space="0" w:color="auto"/>
        <w:bottom w:val="none" w:sz="0" w:space="0" w:color="auto"/>
        <w:right w:val="none" w:sz="0" w:space="0" w:color="auto"/>
      </w:divBdr>
    </w:div>
    <w:div w:id="650793937">
      <w:bodyDiv w:val="1"/>
      <w:marLeft w:val="0"/>
      <w:marRight w:val="0"/>
      <w:marTop w:val="0"/>
      <w:marBottom w:val="0"/>
      <w:divBdr>
        <w:top w:val="none" w:sz="0" w:space="0" w:color="auto"/>
        <w:left w:val="none" w:sz="0" w:space="0" w:color="auto"/>
        <w:bottom w:val="none" w:sz="0" w:space="0" w:color="auto"/>
        <w:right w:val="none" w:sz="0" w:space="0" w:color="auto"/>
      </w:divBdr>
    </w:div>
    <w:div w:id="683214759">
      <w:bodyDiv w:val="1"/>
      <w:marLeft w:val="0"/>
      <w:marRight w:val="0"/>
      <w:marTop w:val="0"/>
      <w:marBottom w:val="0"/>
      <w:divBdr>
        <w:top w:val="none" w:sz="0" w:space="0" w:color="auto"/>
        <w:left w:val="none" w:sz="0" w:space="0" w:color="auto"/>
        <w:bottom w:val="none" w:sz="0" w:space="0" w:color="auto"/>
        <w:right w:val="none" w:sz="0" w:space="0" w:color="auto"/>
      </w:divBdr>
    </w:div>
    <w:div w:id="690492952">
      <w:bodyDiv w:val="1"/>
      <w:marLeft w:val="0"/>
      <w:marRight w:val="0"/>
      <w:marTop w:val="0"/>
      <w:marBottom w:val="0"/>
      <w:divBdr>
        <w:top w:val="none" w:sz="0" w:space="0" w:color="auto"/>
        <w:left w:val="none" w:sz="0" w:space="0" w:color="auto"/>
        <w:bottom w:val="none" w:sz="0" w:space="0" w:color="auto"/>
        <w:right w:val="none" w:sz="0" w:space="0" w:color="auto"/>
      </w:divBdr>
    </w:div>
    <w:div w:id="696196203">
      <w:bodyDiv w:val="1"/>
      <w:marLeft w:val="0"/>
      <w:marRight w:val="0"/>
      <w:marTop w:val="0"/>
      <w:marBottom w:val="0"/>
      <w:divBdr>
        <w:top w:val="none" w:sz="0" w:space="0" w:color="auto"/>
        <w:left w:val="none" w:sz="0" w:space="0" w:color="auto"/>
        <w:bottom w:val="none" w:sz="0" w:space="0" w:color="auto"/>
        <w:right w:val="none" w:sz="0" w:space="0" w:color="auto"/>
      </w:divBdr>
    </w:div>
    <w:div w:id="708605794">
      <w:bodyDiv w:val="1"/>
      <w:marLeft w:val="0"/>
      <w:marRight w:val="0"/>
      <w:marTop w:val="0"/>
      <w:marBottom w:val="0"/>
      <w:divBdr>
        <w:top w:val="none" w:sz="0" w:space="0" w:color="auto"/>
        <w:left w:val="none" w:sz="0" w:space="0" w:color="auto"/>
        <w:bottom w:val="none" w:sz="0" w:space="0" w:color="auto"/>
        <w:right w:val="none" w:sz="0" w:space="0" w:color="auto"/>
      </w:divBdr>
      <w:divsChild>
        <w:div w:id="527959396">
          <w:marLeft w:val="-180"/>
          <w:marRight w:val="-180"/>
          <w:marTop w:val="0"/>
          <w:marBottom w:val="0"/>
          <w:divBdr>
            <w:top w:val="none" w:sz="0" w:space="0" w:color="auto"/>
            <w:left w:val="none" w:sz="0" w:space="0" w:color="auto"/>
            <w:bottom w:val="none" w:sz="0" w:space="0" w:color="auto"/>
            <w:right w:val="none" w:sz="0" w:space="0" w:color="auto"/>
          </w:divBdr>
          <w:divsChild>
            <w:div w:id="83966217">
              <w:marLeft w:val="0"/>
              <w:marRight w:val="0"/>
              <w:marTop w:val="0"/>
              <w:marBottom w:val="0"/>
              <w:divBdr>
                <w:top w:val="none" w:sz="0" w:space="0" w:color="auto"/>
                <w:left w:val="none" w:sz="0" w:space="0" w:color="auto"/>
                <w:bottom w:val="none" w:sz="0" w:space="0" w:color="auto"/>
                <w:right w:val="none" w:sz="0" w:space="0" w:color="auto"/>
              </w:divBdr>
            </w:div>
            <w:div w:id="2027320328">
              <w:marLeft w:val="0"/>
              <w:marRight w:val="0"/>
              <w:marTop w:val="0"/>
              <w:marBottom w:val="0"/>
              <w:divBdr>
                <w:top w:val="none" w:sz="0" w:space="0" w:color="auto"/>
                <w:left w:val="none" w:sz="0" w:space="0" w:color="auto"/>
                <w:bottom w:val="none" w:sz="0" w:space="0" w:color="auto"/>
                <w:right w:val="none" w:sz="0" w:space="0" w:color="auto"/>
              </w:divBdr>
              <w:divsChild>
                <w:div w:id="15277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5610">
          <w:marLeft w:val="-180"/>
          <w:marRight w:val="-180"/>
          <w:marTop w:val="0"/>
          <w:marBottom w:val="0"/>
          <w:divBdr>
            <w:top w:val="none" w:sz="0" w:space="0" w:color="auto"/>
            <w:left w:val="none" w:sz="0" w:space="0" w:color="auto"/>
            <w:bottom w:val="none" w:sz="0" w:space="0" w:color="auto"/>
            <w:right w:val="none" w:sz="0" w:space="0" w:color="auto"/>
          </w:divBdr>
          <w:divsChild>
            <w:div w:id="185994860">
              <w:marLeft w:val="0"/>
              <w:marRight w:val="0"/>
              <w:marTop w:val="0"/>
              <w:marBottom w:val="0"/>
              <w:divBdr>
                <w:top w:val="none" w:sz="0" w:space="0" w:color="auto"/>
                <w:left w:val="none" w:sz="0" w:space="0" w:color="auto"/>
                <w:bottom w:val="none" w:sz="0" w:space="0" w:color="auto"/>
                <w:right w:val="none" w:sz="0" w:space="0" w:color="auto"/>
              </w:divBdr>
              <w:divsChild>
                <w:div w:id="634718502">
                  <w:marLeft w:val="-180"/>
                  <w:marRight w:val="-180"/>
                  <w:marTop w:val="0"/>
                  <w:marBottom w:val="0"/>
                  <w:divBdr>
                    <w:top w:val="none" w:sz="0" w:space="0" w:color="auto"/>
                    <w:left w:val="none" w:sz="0" w:space="0" w:color="auto"/>
                    <w:bottom w:val="none" w:sz="0" w:space="0" w:color="auto"/>
                    <w:right w:val="none" w:sz="0" w:space="0" w:color="auto"/>
                  </w:divBdr>
                  <w:divsChild>
                    <w:div w:id="1255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4716">
          <w:marLeft w:val="0"/>
          <w:marRight w:val="0"/>
          <w:marTop w:val="0"/>
          <w:marBottom w:val="0"/>
          <w:divBdr>
            <w:top w:val="none" w:sz="0" w:space="0" w:color="auto"/>
            <w:left w:val="none" w:sz="0" w:space="0" w:color="auto"/>
            <w:bottom w:val="none" w:sz="0" w:space="0" w:color="auto"/>
            <w:right w:val="none" w:sz="0" w:space="0" w:color="auto"/>
          </w:divBdr>
          <w:divsChild>
            <w:div w:id="180361891">
              <w:marLeft w:val="0"/>
              <w:marRight w:val="0"/>
              <w:marTop w:val="0"/>
              <w:marBottom w:val="0"/>
              <w:divBdr>
                <w:top w:val="none" w:sz="0" w:space="0" w:color="auto"/>
                <w:left w:val="none" w:sz="0" w:space="0" w:color="auto"/>
                <w:bottom w:val="none" w:sz="0" w:space="0" w:color="auto"/>
                <w:right w:val="none" w:sz="0" w:space="0" w:color="auto"/>
              </w:divBdr>
              <w:divsChild>
                <w:div w:id="17375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3603">
          <w:marLeft w:val="0"/>
          <w:marRight w:val="0"/>
          <w:marTop w:val="0"/>
          <w:marBottom w:val="0"/>
          <w:divBdr>
            <w:top w:val="none" w:sz="0" w:space="0" w:color="auto"/>
            <w:left w:val="none" w:sz="0" w:space="0" w:color="auto"/>
            <w:bottom w:val="none" w:sz="0" w:space="0" w:color="auto"/>
            <w:right w:val="none" w:sz="0" w:space="0" w:color="auto"/>
          </w:divBdr>
          <w:divsChild>
            <w:div w:id="6761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3572">
      <w:bodyDiv w:val="1"/>
      <w:marLeft w:val="0"/>
      <w:marRight w:val="0"/>
      <w:marTop w:val="0"/>
      <w:marBottom w:val="0"/>
      <w:divBdr>
        <w:top w:val="none" w:sz="0" w:space="0" w:color="auto"/>
        <w:left w:val="none" w:sz="0" w:space="0" w:color="auto"/>
        <w:bottom w:val="none" w:sz="0" w:space="0" w:color="auto"/>
        <w:right w:val="none" w:sz="0" w:space="0" w:color="auto"/>
      </w:divBdr>
      <w:divsChild>
        <w:div w:id="801112760">
          <w:marLeft w:val="0"/>
          <w:marRight w:val="0"/>
          <w:marTop w:val="0"/>
          <w:marBottom w:val="0"/>
          <w:divBdr>
            <w:top w:val="none" w:sz="0" w:space="0" w:color="auto"/>
            <w:left w:val="none" w:sz="0" w:space="0" w:color="auto"/>
            <w:bottom w:val="none" w:sz="0" w:space="0" w:color="auto"/>
            <w:right w:val="none" w:sz="0" w:space="0" w:color="auto"/>
          </w:divBdr>
        </w:div>
        <w:div w:id="1527866029">
          <w:marLeft w:val="0"/>
          <w:marRight w:val="0"/>
          <w:marTop w:val="0"/>
          <w:marBottom w:val="0"/>
          <w:divBdr>
            <w:top w:val="none" w:sz="0" w:space="0" w:color="auto"/>
            <w:left w:val="none" w:sz="0" w:space="0" w:color="auto"/>
            <w:bottom w:val="none" w:sz="0" w:space="0" w:color="auto"/>
            <w:right w:val="none" w:sz="0" w:space="0" w:color="auto"/>
          </w:divBdr>
        </w:div>
      </w:divsChild>
    </w:div>
    <w:div w:id="723480292">
      <w:bodyDiv w:val="1"/>
      <w:marLeft w:val="0"/>
      <w:marRight w:val="0"/>
      <w:marTop w:val="0"/>
      <w:marBottom w:val="0"/>
      <w:divBdr>
        <w:top w:val="none" w:sz="0" w:space="0" w:color="auto"/>
        <w:left w:val="none" w:sz="0" w:space="0" w:color="auto"/>
        <w:bottom w:val="none" w:sz="0" w:space="0" w:color="auto"/>
        <w:right w:val="none" w:sz="0" w:space="0" w:color="auto"/>
      </w:divBdr>
    </w:div>
    <w:div w:id="758985795">
      <w:bodyDiv w:val="1"/>
      <w:marLeft w:val="0"/>
      <w:marRight w:val="0"/>
      <w:marTop w:val="0"/>
      <w:marBottom w:val="0"/>
      <w:divBdr>
        <w:top w:val="none" w:sz="0" w:space="0" w:color="auto"/>
        <w:left w:val="none" w:sz="0" w:space="0" w:color="auto"/>
        <w:bottom w:val="none" w:sz="0" w:space="0" w:color="auto"/>
        <w:right w:val="none" w:sz="0" w:space="0" w:color="auto"/>
      </w:divBdr>
    </w:div>
    <w:div w:id="759182884">
      <w:bodyDiv w:val="1"/>
      <w:marLeft w:val="0"/>
      <w:marRight w:val="0"/>
      <w:marTop w:val="0"/>
      <w:marBottom w:val="0"/>
      <w:divBdr>
        <w:top w:val="none" w:sz="0" w:space="0" w:color="auto"/>
        <w:left w:val="none" w:sz="0" w:space="0" w:color="auto"/>
        <w:bottom w:val="none" w:sz="0" w:space="0" w:color="auto"/>
        <w:right w:val="none" w:sz="0" w:space="0" w:color="auto"/>
      </w:divBdr>
    </w:div>
    <w:div w:id="826241974">
      <w:bodyDiv w:val="1"/>
      <w:marLeft w:val="0"/>
      <w:marRight w:val="0"/>
      <w:marTop w:val="0"/>
      <w:marBottom w:val="0"/>
      <w:divBdr>
        <w:top w:val="none" w:sz="0" w:space="0" w:color="auto"/>
        <w:left w:val="none" w:sz="0" w:space="0" w:color="auto"/>
        <w:bottom w:val="none" w:sz="0" w:space="0" w:color="auto"/>
        <w:right w:val="none" w:sz="0" w:space="0" w:color="auto"/>
      </w:divBdr>
    </w:div>
    <w:div w:id="831288435">
      <w:bodyDiv w:val="1"/>
      <w:marLeft w:val="0"/>
      <w:marRight w:val="0"/>
      <w:marTop w:val="0"/>
      <w:marBottom w:val="0"/>
      <w:divBdr>
        <w:top w:val="none" w:sz="0" w:space="0" w:color="auto"/>
        <w:left w:val="none" w:sz="0" w:space="0" w:color="auto"/>
        <w:bottom w:val="none" w:sz="0" w:space="0" w:color="auto"/>
        <w:right w:val="none" w:sz="0" w:space="0" w:color="auto"/>
      </w:divBdr>
    </w:div>
    <w:div w:id="831679504">
      <w:bodyDiv w:val="1"/>
      <w:marLeft w:val="0"/>
      <w:marRight w:val="0"/>
      <w:marTop w:val="0"/>
      <w:marBottom w:val="0"/>
      <w:divBdr>
        <w:top w:val="none" w:sz="0" w:space="0" w:color="auto"/>
        <w:left w:val="none" w:sz="0" w:space="0" w:color="auto"/>
        <w:bottom w:val="none" w:sz="0" w:space="0" w:color="auto"/>
        <w:right w:val="none" w:sz="0" w:space="0" w:color="auto"/>
      </w:divBdr>
    </w:div>
    <w:div w:id="851574973">
      <w:bodyDiv w:val="1"/>
      <w:marLeft w:val="0"/>
      <w:marRight w:val="0"/>
      <w:marTop w:val="0"/>
      <w:marBottom w:val="0"/>
      <w:divBdr>
        <w:top w:val="none" w:sz="0" w:space="0" w:color="auto"/>
        <w:left w:val="none" w:sz="0" w:space="0" w:color="auto"/>
        <w:bottom w:val="none" w:sz="0" w:space="0" w:color="auto"/>
        <w:right w:val="none" w:sz="0" w:space="0" w:color="auto"/>
      </w:divBdr>
      <w:divsChild>
        <w:div w:id="266425668">
          <w:marLeft w:val="0"/>
          <w:marRight w:val="0"/>
          <w:marTop w:val="0"/>
          <w:marBottom w:val="0"/>
          <w:divBdr>
            <w:top w:val="none" w:sz="0" w:space="0" w:color="auto"/>
            <w:left w:val="none" w:sz="0" w:space="0" w:color="auto"/>
            <w:bottom w:val="none" w:sz="0" w:space="0" w:color="auto"/>
            <w:right w:val="none" w:sz="0" w:space="0" w:color="auto"/>
          </w:divBdr>
        </w:div>
        <w:div w:id="624585875">
          <w:marLeft w:val="0"/>
          <w:marRight w:val="0"/>
          <w:marTop w:val="0"/>
          <w:marBottom w:val="0"/>
          <w:divBdr>
            <w:top w:val="none" w:sz="0" w:space="0" w:color="auto"/>
            <w:left w:val="none" w:sz="0" w:space="0" w:color="auto"/>
            <w:bottom w:val="none" w:sz="0" w:space="0" w:color="auto"/>
            <w:right w:val="none" w:sz="0" w:space="0" w:color="auto"/>
          </w:divBdr>
        </w:div>
        <w:div w:id="1116605284">
          <w:marLeft w:val="0"/>
          <w:marRight w:val="0"/>
          <w:marTop w:val="0"/>
          <w:marBottom w:val="0"/>
          <w:divBdr>
            <w:top w:val="none" w:sz="0" w:space="0" w:color="auto"/>
            <w:left w:val="none" w:sz="0" w:space="0" w:color="auto"/>
            <w:bottom w:val="none" w:sz="0" w:space="0" w:color="auto"/>
            <w:right w:val="none" w:sz="0" w:space="0" w:color="auto"/>
          </w:divBdr>
        </w:div>
        <w:div w:id="1257130244">
          <w:marLeft w:val="0"/>
          <w:marRight w:val="0"/>
          <w:marTop w:val="0"/>
          <w:marBottom w:val="0"/>
          <w:divBdr>
            <w:top w:val="none" w:sz="0" w:space="0" w:color="auto"/>
            <w:left w:val="none" w:sz="0" w:space="0" w:color="auto"/>
            <w:bottom w:val="none" w:sz="0" w:space="0" w:color="auto"/>
            <w:right w:val="none" w:sz="0" w:space="0" w:color="auto"/>
          </w:divBdr>
        </w:div>
        <w:div w:id="1741634854">
          <w:marLeft w:val="0"/>
          <w:marRight w:val="0"/>
          <w:marTop w:val="0"/>
          <w:marBottom w:val="0"/>
          <w:divBdr>
            <w:top w:val="none" w:sz="0" w:space="0" w:color="auto"/>
            <w:left w:val="none" w:sz="0" w:space="0" w:color="auto"/>
            <w:bottom w:val="none" w:sz="0" w:space="0" w:color="auto"/>
            <w:right w:val="none" w:sz="0" w:space="0" w:color="auto"/>
          </w:divBdr>
        </w:div>
        <w:div w:id="1806505263">
          <w:marLeft w:val="0"/>
          <w:marRight w:val="0"/>
          <w:marTop w:val="0"/>
          <w:marBottom w:val="0"/>
          <w:divBdr>
            <w:top w:val="none" w:sz="0" w:space="0" w:color="auto"/>
            <w:left w:val="none" w:sz="0" w:space="0" w:color="auto"/>
            <w:bottom w:val="none" w:sz="0" w:space="0" w:color="auto"/>
            <w:right w:val="none" w:sz="0" w:space="0" w:color="auto"/>
          </w:divBdr>
        </w:div>
        <w:div w:id="2122726805">
          <w:marLeft w:val="0"/>
          <w:marRight w:val="0"/>
          <w:marTop w:val="0"/>
          <w:marBottom w:val="0"/>
          <w:divBdr>
            <w:top w:val="none" w:sz="0" w:space="0" w:color="auto"/>
            <w:left w:val="none" w:sz="0" w:space="0" w:color="auto"/>
            <w:bottom w:val="none" w:sz="0" w:space="0" w:color="auto"/>
            <w:right w:val="none" w:sz="0" w:space="0" w:color="auto"/>
          </w:divBdr>
        </w:div>
      </w:divsChild>
    </w:div>
    <w:div w:id="855922941">
      <w:bodyDiv w:val="1"/>
      <w:marLeft w:val="0"/>
      <w:marRight w:val="0"/>
      <w:marTop w:val="0"/>
      <w:marBottom w:val="0"/>
      <w:divBdr>
        <w:top w:val="none" w:sz="0" w:space="0" w:color="auto"/>
        <w:left w:val="none" w:sz="0" w:space="0" w:color="auto"/>
        <w:bottom w:val="none" w:sz="0" w:space="0" w:color="auto"/>
        <w:right w:val="none" w:sz="0" w:space="0" w:color="auto"/>
      </w:divBdr>
    </w:div>
    <w:div w:id="868184147">
      <w:bodyDiv w:val="1"/>
      <w:marLeft w:val="0"/>
      <w:marRight w:val="0"/>
      <w:marTop w:val="0"/>
      <w:marBottom w:val="0"/>
      <w:divBdr>
        <w:top w:val="none" w:sz="0" w:space="0" w:color="auto"/>
        <w:left w:val="none" w:sz="0" w:space="0" w:color="auto"/>
        <w:bottom w:val="none" w:sz="0" w:space="0" w:color="auto"/>
        <w:right w:val="none" w:sz="0" w:space="0" w:color="auto"/>
      </w:divBdr>
    </w:div>
    <w:div w:id="892931614">
      <w:bodyDiv w:val="1"/>
      <w:marLeft w:val="0"/>
      <w:marRight w:val="0"/>
      <w:marTop w:val="0"/>
      <w:marBottom w:val="0"/>
      <w:divBdr>
        <w:top w:val="none" w:sz="0" w:space="0" w:color="auto"/>
        <w:left w:val="none" w:sz="0" w:space="0" w:color="auto"/>
        <w:bottom w:val="none" w:sz="0" w:space="0" w:color="auto"/>
        <w:right w:val="none" w:sz="0" w:space="0" w:color="auto"/>
      </w:divBdr>
    </w:div>
    <w:div w:id="897786035">
      <w:bodyDiv w:val="1"/>
      <w:marLeft w:val="0"/>
      <w:marRight w:val="0"/>
      <w:marTop w:val="0"/>
      <w:marBottom w:val="0"/>
      <w:divBdr>
        <w:top w:val="none" w:sz="0" w:space="0" w:color="auto"/>
        <w:left w:val="none" w:sz="0" w:space="0" w:color="auto"/>
        <w:bottom w:val="none" w:sz="0" w:space="0" w:color="auto"/>
        <w:right w:val="none" w:sz="0" w:space="0" w:color="auto"/>
      </w:divBdr>
    </w:div>
    <w:div w:id="913275931">
      <w:bodyDiv w:val="1"/>
      <w:marLeft w:val="0"/>
      <w:marRight w:val="0"/>
      <w:marTop w:val="0"/>
      <w:marBottom w:val="0"/>
      <w:divBdr>
        <w:top w:val="none" w:sz="0" w:space="0" w:color="auto"/>
        <w:left w:val="none" w:sz="0" w:space="0" w:color="auto"/>
        <w:bottom w:val="none" w:sz="0" w:space="0" w:color="auto"/>
        <w:right w:val="none" w:sz="0" w:space="0" w:color="auto"/>
      </w:divBdr>
    </w:div>
    <w:div w:id="924655188">
      <w:bodyDiv w:val="1"/>
      <w:marLeft w:val="0"/>
      <w:marRight w:val="0"/>
      <w:marTop w:val="0"/>
      <w:marBottom w:val="0"/>
      <w:divBdr>
        <w:top w:val="none" w:sz="0" w:space="0" w:color="auto"/>
        <w:left w:val="none" w:sz="0" w:space="0" w:color="auto"/>
        <w:bottom w:val="none" w:sz="0" w:space="0" w:color="auto"/>
        <w:right w:val="none" w:sz="0" w:space="0" w:color="auto"/>
      </w:divBdr>
    </w:div>
    <w:div w:id="936208678">
      <w:bodyDiv w:val="1"/>
      <w:marLeft w:val="0"/>
      <w:marRight w:val="0"/>
      <w:marTop w:val="0"/>
      <w:marBottom w:val="0"/>
      <w:divBdr>
        <w:top w:val="none" w:sz="0" w:space="0" w:color="auto"/>
        <w:left w:val="none" w:sz="0" w:space="0" w:color="auto"/>
        <w:bottom w:val="none" w:sz="0" w:space="0" w:color="auto"/>
        <w:right w:val="none" w:sz="0" w:space="0" w:color="auto"/>
      </w:divBdr>
    </w:div>
    <w:div w:id="937297776">
      <w:bodyDiv w:val="1"/>
      <w:marLeft w:val="0"/>
      <w:marRight w:val="0"/>
      <w:marTop w:val="0"/>
      <w:marBottom w:val="0"/>
      <w:divBdr>
        <w:top w:val="none" w:sz="0" w:space="0" w:color="auto"/>
        <w:left w:val="none" w:sz="0" w:space="0" w:color="auto"/>
        <w:bottom w:val="none" w:sz="0" w:space="0" w:color="auto"/>
        <w:right w:val="none" w:sz="0" w:space="0" w:color="auto"/>
      </w:divBdr>
    </w:div>
    <w:div w:id="990594834">
      <w:bodyDiv w:val="1"/>
      <w:marLeft w:val="0"/>
      <w:marRight w:val="0"/>
      <w:marTop w:val="0"/>
      <w:marBottom w:val="0"/>
      <w:divBdr>
        <w:top w:val="none" w:sz="0" w:space="0" w:color="auto"/>
        <w:left w:val="none" w:sz="0" w:space="0" w:color="auto"/>
        <w:bottom w:val="none" w:sz="0" w:space="0" w:color="auto"/>
        <w:right w:val="none" w:sz="0" w:space="0" w:color="auto"/>
      </w:divBdr>
    </w:div>
    <w:div w:id="997853660">
      <w:bodyDiv w:val="1"/>
      <w:marLeft w:val="0"/>
      <w:marRight w:val="0"/>
      <w:marTop w:val="0"/>
      <w:marBottom w:val="0"/>
      <w:divBdr>
        <w:top w:val="none" w:sz="0" w:space="0" w:color="auto"/>
        <w:left w:val="none" w:sz="0" w:space="0" w:color="auto"/>
        <w:bottom w:val="none" w:sz="0" w:space="0" w:color="auto"/>
        <w:right w:val="none" w:sz="0" w:space="0" w:color="auto"/>
      </w:divBdr>
    </w:div>
    <w:div w:id="1002977874">
      <w:bodyDiv w:val="1"/>
      <w:marLeft w:val="0"/>
      <w:marRight w:val="0"/>
      <w:marTop w:val="0"/>
      <w:marBottom w:val="0"/>
      <w:divBdr>
        <w:top w:val="none" w:sz="0" w:space="0" w:color="auto"/>
        <w:left w:val="none" w:sz="0" w:space="0" w:color="auto"/>
        <w:bottom w:val="none" w:sz="0" w:space="0" w:color="auto"/>
        <w:right w:val="none" w:sz="0" w:space="0" w:color="auto"/>
      </w:divBdr>
    </w:div>
    <w:div w:id="1004474090">
      <w:bodyDiv w:val="1"/>
      <w:marLeft w:val="0"/>
      <w:marRight w:val="0"/>
      <w:marTop w:val="0"/>
      <w:marBottom w:val="0"/>
      <w:divBdr>
        <w:top w:val="none" w:sz="0" w:space="0" w:color="auto"/>
        <w:left w:val="none" w:sz="0" w:space="0" w:color="auto"/>
        <w:bottom w:val="none" w:sz="0" w:space="0" w:color="auto"/>
        <w:right w:val="none" w:sz="0" w:space="0" w:color="auto"/>
      </w:divBdr>
    </w:div>
    <w:div w:id="1028527703">
      <w:bodyDiv w:val="1"/>
      <w:marLeft w:val="0"/>
      <w:marRight w:val="0"/>
      <w:marTop w:val="0"/>
      <w:marBottom w:val="0"/>
      <w:divBdr>
        <w:top w:val="none" w:sz="0" w:space="0" w:color="auto"/>
        <w:left w:val="none" w:sz="0" w:space="0" w:color="auto"/>
        <w:bottom w:val="none" w:sz="0" w:space="0" w:color="auto"/>
        <w:right w:val="none" w:sz="0" w:space="0" w:color="auto"/>
      </w:divBdr>
    </w:div>
    <w:div w:id="1032615031">
      <w:bodyDiv w:val="1"/>
      <w:marLeft w:val="0"/>
      <w:marRight w:val="0"/>
      <w:marTop w:val="0"/>
      <w:marBottom w:val="0"/>
      <w:divBdr>
        <w:top w:val="none" w:sz="0" w:space="0" w:color="auto"/>
        <w:left w:val="none" w:sz="0" w:space="0" w:color="auto"/>
        <w:bottom w:val="none" w:sz="0" w:space="0" w:color="auto"/>
        <w:right w:val="none" w:sz="0" w:space="0" w:color="auto"/>
      </w:divBdr>
    </w:div>
    <w:div w:id="1076900822">
      <w:bodyDiv w:val="1"/>
      <w:marLeft w:val="0"/>
      <w:marRight w:val="0"/>
      <w:marTop w:val="0"/>
      <w:marBottom w:val="0"/>
      <w:divBdr>
        <w:top w:val="none" w:sz="0" w:space="0" w:color="auto"/>
        <w:left w:val="none" w:sz="0" w:space="0" w:color="auto"/>
        <w:bottom w:val="none" w:sz="0" w:space="0" w:color="auto"/>
        <w:right w:val="none" w:sz="0" w:space="0" w:color="auto"/>
      </w:divBdr>
    </w:div>
    <w:div w:id="1103451371">
      <w:bodyDiv w:val="1"/>
      <w:marLeft w:val="0"/>
      <w:marRight w:val="0"/>
      <w:marTop w:val="0"/>
      <w:marBottom w:val="0"/>
      <w:divBdr>
        <w:top w:val="none" w:sz="0" w:space="0" w:color="auto"/>
        <w:left w:val="none" w:sz="0" w:space="0" w:color="auto"/>
        <w:bottom w:val="none" w:sz="0" w:space="0" w:color="auto"/>
        <w:right w:val="none" w:sz="0" w:space="0" w:color="auto"/>
      </w:divBdr>
    </w:div>
    <w:div w:id="1104690165">
      <w:bodyDiv w:val="1"/>
      <w:marLeft w:val="0"/>
      <w:marRight w:val="0"/>
      <w:marTop w:val="0"/>
      <w:marBottom w:val="0"/>
      <w:divBdr>
        <w:top w:val="none" w:sz="0" w:space="0" w:color="auto"/>
        <w:left w:val="none" w:sz="0" w:space="0" w:color="auto"/>
        <w:bottom w:val="none" w:sz="0" w:space="0" w:color="auto"/>
        <w:right w:val="none" w:sz="0" w:space="0" w:color="auto"/>
      </w:divBdr>
      <w:divsChild>
        <w:div w:id="957838719">
          <w:marLeft w:val="0"/>
          <w:marRight w:val="0"/>
          <w:marTop w:val="0"/>
          <w:marBottom w:val="0"/>
          <w:divBdr>
            <w:top w:val="none" w:sz="0" w:space="0" w:color="auto"/>
            <w:left w:val="none" w:sz="0" w:space="0" w:color="auto"/>
            <w:bottom w:val="none" w:sz="0" w:space="0" w:color="auto"/>
            <w:right w:val="none" w:sz="0" w:space="0" w:color="auto"/>
          </w:divBdr>
        </w:div>
        <w:div w:id="1189873826">
          <w:marLeft w:val="0"/>
          <w:marRight w:val="0"/>
          <w:marTop w:val="0"/>
          <w:marBottom w:val="0"/>
          <w:divBdr>
            <w:top w:val="none" w:sz="0" w:space="0" w:color="auto"/>
            <w:left w:val="none" w:sz="0" w:space="0" w:color="auto"/>
            <w:bottom w:val="none" w:sz="0" w:space="0" w:color="auto"/>
            <w:right w:val="none" w:sz="0" w:space="0" w:color="auto"/>
          </w:divBdr>
        </w:div>
      </w:divsChild>
    </w:div>
    <w:div w:id="1110933402">
      <w:bodyDiv w:val="1"/>
      <w:marLeft w:val="0"/>
      <w:marRight w:val="0"/>
      <w:marTop w:val="0"/>
      <w:marBottom w:val="0"/>
      <w:divBdr>
        <w:top w:val="none" w:sz="0" w:space="0" w:color="auto"/>
        <w:left w:val="none" w:sz="0" w:space="0" w:color="auto"/>
        <w:bottom w:val="none" w:sz="0" w:space="0" w:color="auto"/>
        <w:right w:val="none" w:sz="0" w:space="0" w:color="auto"/>
      </w:divBdr>
    </w:div>
    <w:div w:id="1114137876">
      <w:bodyDiv w:val="1"/>
      <w:marLeft w:val="0"/>
      <w:marRight w:val="0"/>
      <w:marTop w:val="0"/>
      <w:marBottom w:val="0"/>
      <w:divBdr>
        <w:top w:val="none" w:sz="0" w:space="0" w:color="auto"/>
        <w:left w:val="none" w:sz="0" w:space="0" w:color="auto"/>
        <w:bottom w:val="none" w:sz="0" w:space="0" w:color="auto"/>
        <w:right w:val="none" w:sz="0" w:space="0" w:color="auto"/>
      </w:divBdr>
    </w:div>
    <w:div w:id="1120077432">
      <w:bodyDiv w:val="1"/>
      <w:marLeft w:val="0"/>
      <w:marRight w:val="0"/>
      <w:marTop w:val="0"/>
      <w:marBottom w:val="0"/>
      <w:divBdr>
        <w:top w:val="none" w:sz="0" w:space="0" w:color="auto"/>
        <w:left w:val="none" w:sz="0" w:space="0" w:color="auto"/>
        <w:bottom w:val="none" w:sz="0" w:space="0" w:color="auto"/>
        <w:right w:val="none" w:sz="0" w:space="0" w:color="auto"/>
      </w:divBdr>
    </w:div>
    <w:div w:id="1120221486">
      <w:bodyDiv w:val="1"/>
      <w:marLeft w:val="0"/>
      <w:marRight w:val="0"/>
      <w:marTop w:val="0"/>
      <w:marBottom w:val="0"/>
      <w:divBdr>
        <w:top w:val="none" w:sz="0" w:space="0" w:color="auto"/>
        <w:left w:val="none" w:sz="0" w:space="0" w:color="auto"/>
        <w:bottom w:val="none" w:sz="0" w:space="0" w:color="auto"/>
        <w:right w:val="none" w:sz="0" w:space="0" w:color="auto"/>
      </w:divBdr>
    </w:div>
    <w:div w:id="1128469314">
      <w:bodyDiv w:val="1"/>
      <w:marLeft w:val="0"/>
      <w:marRight w:val="0"/>
      <w:marTop w:val="0"/>
      <w:marBottom w:val="0"/>
      <w:divBdr>
        <w:top w:val="none" w:sz="0" w:space="0" w:color="auto"/>
        <w:left w:val="none" w:sz="0" w:space="0" w:color="auto"/>
        <w:bottom w:val="none" w:sz="0" w:space="0" w:color="auto"/>
        <w:right w:val="none" w:sz="0" w:space="0" w:color="auto"/>
      </w:divBdr>
    </w:div>
    <w:div w:id="1130901562">
      <w:bodyDiv w:val="1"/>
      <w:marLeft w:val="0"/>
      <w:marRight w:val="0"/>
      <w:marTop w:val="0"/>
      <w:marBottom w:val="0"/>
      <w:divBdr>
        <w:top w:val="none" w:sz="0" w:space="0" w:color="auto"/>
        <w:left w:val="none" w:sz="0" w:space="0" w:color="auto"/>
        <w:bottom w:val="none" w:sz="0" w:space="0" w:color="auto"/>
        <w:right w:val="none" w:sz="0" w:space="0" w:color="auto"/>
      </w:divBdr>
    </w:div>
    <w:div w:id="1134446531">
      <w:bodyDiv w:val="1"/>
      <w:marLeft w:val="0"/>
      <w:marRight w:val="0"/>
      <w:marTop w:val="0"/>
      <w:marBottom w:val="0"/>
      <w:divBdr>
        <w:top w:val="none" w:sz="0" w:space="0" w:color="auto"/>
        <w:left w:val="none" w:sz="0" w:space="0" w:color="auto"/>
        <w:bottom w:val="none" w:sz="0" w:space="0" w:color="auto"/>
        <w:right w:val="none" w:sz="0" w:space="0" w:color="auto"/>
      </w:divBdr>
      <w:divsChild>
        <w:div w:id="238829668">
          <w:marLeft w:val="0"/>
          <w:marRight w:val="0"/>
          <w:marTop w:val="0"/>
          <w:marBottom w:val="0"/>
          <w:divBdr>
            <w:top w:val="none" w:sz="0" w:space="0" w:color="auto"/>
            <w:left w:val="none" w:sz="0" w:space="0" w:color="auto"/>
            <w:bottom w:val="none" w:sz="0" w:space="0" w:color="auto"/>
            <w:right w:val="none" w:sz="0" w:space="0" w:color="auto"/>
          </w:divBdr>
        </w:div>
        <w:div w:id="1520464682">
          <w:marLeft w:val="0"/>
          <w:marRight w:val="0"/>
          <w:marTop w:val="0"/>
          <w:marBottom w:val="0"/>
          <w:divBdr>
            <w:top w:val="none" w:sz="0" w:space="0" w:color="auto"/>
            <w:left w:val="none" w:sz="0" w:space="0" w:color="auto"/>
            <w:bottom w:val="none" w:sz="0" w:space="0" w:color="auto"/>
            <w:right w:val="none" w:sz="0" w:space="0" w:color="auto"/>
          </w:divBdr>
        </w:div>
      </w:divsChild>
    </w:div>
    <w:div w:id="1179927693">
      <w:bodyDiv w:val="1"/>
      <w:marLeft w:val="0"/>
      <w:marRight w:val="0"/>
      <w:marTop w:val="0"/>
      <w:marBottom w:val="0"/>
      <w:divBdr>
        <w:top w:val="none" w:sz="0" w:space="0" w:color="auto"/>
        <w:left w:val="none" w:sz="0" w:space="0" w:color="auto"/>
        <w:bottom w:val="none" w:sz="0" w:space="0" w:color="auto"/>
        <w:right w:val="none" w:sz="0" w:space="0" w:color="auto"/>
      </w:divBdr>
    </w:div>
    <w:div w:id="1184905114">
      <w:bodyDiv w:val="1"/>
      <w:marLeft w:val="0"/>
      <w:marRight w:val="0"/>
      <w:marTop w:val="0"/>
      <w:marBottom w:val="0"/>
      <w:divBdr>
        <w:top w:val="none" w:sz="0" w:space="0" w:color="auto"/>
        <w:left w:val="none" w:sz="0" w:space="0" w:color="auto"/>
        <w:bottom w:val="none" w:sz="0" w:space="0" w:color="auto"/>
        <w:right w:val="none" w:sz="0" w:space="0" w:color="auto"/>
      </w:divBdr>
      <w:divsChild>
        <w:div w:id="90395882">
          <w:marLeft w:val="-180"/>
          <w:marRight w:val="-180"/>
          <w:marTop w:val="0"/>
          <w:marBottom w:val="0"/>
          <w:divBdr>
            <w:top w:val="none" w:sz="0" w:space="0" w:color="auto"/>
            <w:left w:val="none" w:sz="0" w:space="0" w:color="auto"/>
            <w:bottom w:val="none" w:sz="0" w:space="0" w:color="auto"/>
            <w:right w:val="none" w:sz="0" w:space="0" w:color="auto"/>
          </w:divBdr>
          <w:divsChild>
            <w:div w:id="749693909">
              <w:marLeft w:val="0"/>
              <w:marRight w:val="0"/>
              <w:marTop w:val="0"/>
              <w:marBottom w:val="0"/>
              <w:divBdr>
                <w:top w:val="none" w:sz="0" w:space="0" w:color="auto"/>
                <w:left w:val="none" w:sz="0" w:space="0" w:color="auto"/>
                <w:bottom w:val="none" w:sz="0" w:space="0" w:color="auto"/>
                <w:right w:val="none" w:sz="0" w:space="0" w:color="auto"/>
              </w:divBdr>
            </w:div>
            <w:div w:id="966273610">
              <w:marLeft w:val="0"/>
              <w:marRight w:val="0"/>
              <w:marTop w:val="0"/>
              <w:marBottom w:val="0"/>
              <w:divBdr>
                <w:top w:val="none" w:sz="0" w:space="0" w:color="auto"/>
                <w:left w:val="none" w:sz="0" w:space="0" w:color="auto"/>
                <w:bottom w:val="none" w:sz="0" w:space="0" w:color="auto"/>
                <w:right w:val="none" w:sz="0" w:space="0" w:color="auto"/>
              </w:divBdr>
              <w:divsChild>
                <w:div w:id="14127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0566">
          <w:marLeft w:val="0"/>
          <w:marRight w:val="0"/>
          <w:marTop w:val="0"/>
          <w:marBottom w:val="0"/>
          <w:divBdr>
            <w:top w:val="none" w:sz="0" w:space="0" w:color="auto"/>
            <w:left w:val="none" w:sz="0" w:space="0" w:color="auto"/>
            <w:bottom w:val="none" w:sz="0" w:space="0" w:color="auto"/>
            <w:right w:val="none" w:sz="0" w:space="0" w:color="auto"/>
          </w:divBdr>
          <w:divsChild>
            <w:div w:id="1027293927">
              <w:marLeft w:val="0"/>
              <w:marRight w:val="0"/>
              <w:marTop w:val="0"/>
              <w:marBottom w:val="0"/>
              <w:divBdr>
                <w:top w:val="none" w:sz="0" w:space="0" w:color="auto"/>
                <w:left w:val="none" w:sz="0" w:space="0" w:color="auto"/>
                <w:bottom w:val="none" w:sz="0" w:space="0" w:color="auto"/>
                <w:right w:val="none" w:sz="0" w:space="0" w:color="auto"/>
              </w:divBdr>
            </w:div>
          </w:divsChild>
        </w:div>
        <w:div w:id="1315792617">
          <w:marLeft w:val="0"/>
          <w:marRight w:val="0"/>
          <w:marTop w:val="0"/>
          <w:marBottom w:val="0"/>
          <w:divBdr>
            <w:top w:val="none" w:sz="0" w:space="0" w:color="auto"/>
            <w:left w:val="none" w:sz="0" w:space="0" w:color="auto"/>
            <w:bottom w:val="none" w:sz="0" w:space="0" w:color="auto"/>
            <w:right w:val="none" w:sz="0" w:space="0" w:color="auto"/>
          </w:divBdr>
          <w:divsChild>
            <w:div w:id="319043076">
              <w:marLeft w:val="0"/>
              <w:marRight w:val="0"/>
              <w:marTop w:val="0"/>
              <w:marBottom w:val="0"/>
              <w:divBdr>
                <w:top w:val="none" w:sz="0" w:space="0" w:color="auto"/>
                <w:left w:val="none" w:sz="0" w:space="0" w:color="auto"/>
                <w:bottom w:val="none" w:sz="0" w:space="0" w:color="auto"/>
                <w:right w:val="none" w:sz="0" w:space="0" w:color="auto"/>
              </w:divBdr>
              <w:divsChild>
                <w:div w:id="738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9672">
          <w:marLeft w:val="-180"/>
          <w:marRight w:val="-180"/>
          <w:marTop w:val="0"/>
          <w:marBottom w:val="0"/>
          <w:divBdr>
            <w:top w:val="none" w:sz="0" w:space="0" w:color="auto"/>
            <w:left w:val="none" w:sz="0" w:space="0" w:color="auto"/>
            <w:bottom w:val="none" w:sz="0" w:space="0" w:color="auto"/>
            <w:right w:val="none" w:sz="0" w:space="0" w:color="auto"/>
          </w:divBdr>
          <w:divsChild>
            <w:div w:id="564147212">
              <w:marLeft w:val="0"/>
              <w:marRight w:val="0"/>
              <w:marTop w:val="0"/>
              <w:marBottom w:val="0"/>
              <w:divBdr>
                <w:top w:val="none" w:sz="0" w:space="0" w:color="auto"/>
                <w:left w:val="none" w:sz="0" w:space="0" w:color="auto"/>
                <w:bottom w:val="none" w:sz="0" w:space="0" w:color="auto"/>
                <w:right w:val="none" w:sz="0" w:space="0" w:color="auto"/>
              </w:divBdr>
              <w:divsChild>
                <w:div w:id="885025420">
                  <w:marLeft w:val="-180"/>
                  <w:marRight w:val="-180"/>
                  <w:marTop w:val="0"/>
                  <w:marBottom w:val="0"/>
                  <w:divBdr>
                    <w:top w:val="none" w:sz="0" w:space="0" w:color="auto"/>
                    <w:left w:val="none" w:sz="0" w:space="0" w:color="auto"/>
                    <w:bottom w:val="none" w:sz="0" w:space="0" w:color="auto"/>
                    <w:right w:val="none" w:sz="0" w:space="0" w:color="auto"/>
                  </w:divBdr>
                  <w:divsChild>
                    <w:div w:id="10605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6890">
      <w:bodyDiv w:val="1"/>
      <w:marLeft w:val="0"/>
      <w:marRight w:val="0"/>
      <w:marTop w:val="0"/>
      <w:marBottom w:val="0"/>
      <w:divBdr>
        <w:top w:val="none" w:sz="0" w:space="0" w:color="auto"/>
        <w:left w:val="none" w:sz="0" w:space="0" w:color="auto"/>
        <w:bottom w:val="none" w:sz="0" w:space="0" w:color="auto"/>
        <w:right w:val="none" w:sz="0" w:space="0" w:color="auto"/>
      </w:divBdr>
    </w:div>
    <w:div w:id="1188984012">
      <w:bodyDiv w:val="1"/>
      <w:marLeft w:val="0"/>
      <w:marRight w:val="0"/>
      <w:marTop w:val="0"/>
      <w:marBottom w:val="0"/>
      <w:divBdr>
        <w:top w:val="none" w:sz="0" w:space="0" w:color="auto"/>
        <w:left w:val="none" w:sz="0" w:space="0" w:color="auto"/>
        <w:bottom w:val="none" w:sz="0" w:space="0" w:color="auto"/>
        <w:right w:val="none" w:sz="0" w:space="0" w:color="auto"/>
      </w:divBdr>
    </w:div>
    <w:div w:id="1189173932">
      <w:bodyDiv w:val="1"/>
      <w:marLeft w:val="0"/>
      <w:marRight w:val="0"/>
      <w:marTop w:val="0"/>
      <w:marBottom w:val="0"/>
      <w:divBdr>
        <w:top w:val="none" w:sz="0" w:space="0" w:color="auto"/>
        <w:left w:val="none" w:sz="0" w:space="0" w:color="auto"/>
        <w:bottom w:val="none" w:sz="0" w:space="0" w:color="auto"/>
        <w:right w:val="none" w:sz="0" w:space="0" w:color="auto"/>
      </w:divBdr>
      <w:divsChild>
        <w:div w:id="767391074">
          <w:marLeft w:val="0"/>
          <w:marRight w:val="0"/>
          <w:marTop w:val="0"/>
          <w:marBottom w:val="0"/>
          <w:divBdr>
            <w:top w:val="none" w:sz="0" w:space="0" w:color="auto"/>
            <w:left w:val="none" w:sz="0" w:space="0" w:color="auto"/>
            <w:bottom w:val="none" w:sz="0" w:space="0" w:color="auto"/>
            <w:right w:val="none" w:sz="0" w:space="0" w:color="auto"/>
          </w:divBdr>
        </w:div>
        <w:div w:id="887768168">
          <w:marLeft w:val="0"/>
          <w:marRight w:val="0"/>
          <w:marTop w:val="0"/>
          <w:marBottom w:val="0"/>
          <w:divBdr>
            <w:top w:val="none" w:sz="0" w:space="0" w:color="auto"/>
            <w:left w:val="none" w:sz="0" w:space="0" w:color="auto"/>
            <w:bottom w:val="none" w:sz="0" w:space="0" w:color="auto"/>
            <w:right w:val="none" w:sz="0" w:space="0" w:color="auto"/>
          </w:divBdr>
        </w:div>
        <w:div w:id="958797647">
          <w:marLeft w:val="0"/>
          <w:marRight w:val="0"/>
          <w:marTop w:val="0"/>
          <w:marBottom w:val="0"/>
          <w:divBdr>
            <w:top w:val="none" w:sz="0" w:space="0" w:color="auto"/>
            <w:left w:val="none" w:sz="0" w:space="0" w:color="auto"/>
            <w:bottom w:val="none" w:sz="0" w:space="0" w:color="auto"/>
            <w:right w:val="none" w:sz="0" w:space="0" w:color="auto"/>
          </w:divBdr>
        </w:div>
        <w:div w:id="1505776254">
          <w:marLeft w:val="0"/>
          <w:marRight w:val="0"/>
          <w:marTop w:val="0"/>
          <w:marBottom w:val="0"/>
          <w:divBdr>
            <w:top w:val="none" w:sz="0" w:space="0" w:color="auto"/>
            <w:left w:val="none" w:sz="0" w:space="0" w:color="auto"/>
            <w:bottom w:val="none" w:sz="0" w:space="0" w:color="auto"/>
            <w:right w:val="none" w:sz="0" w:space="0" w:color="auto"/>
          </w:divBdr>
        </w:div>
        <w:div w:id="1522550233">
          <w:marLeft w:val="0"/>
          <w:marRight w:val="0"/>
          <w:marTop w:val="0"/>
          <w:marBottom w:val="0"/>
          <w:divBdr>
            <w:top w:val="none" w:sz="0" w:space="0" w:color="auto"/>
            <w:left w:val="none" w:sz="0" w:space="0" w:color="auto"/>
            <w:bottom w:val="none" w:sz="0" w:space="0" w:color="auto"/>
            <w:right w:val="none" w:sz="0" w:space="0" w:color="auto"/>
          </w:divBdr>
        </w:div>
        <w:div w:id="1713114936">
          <w:marLeft w:val="0"/>
          <w:marRight w:val="0"/>
          <w:marTop w:val="0"/>
          <w:marBottom w:val="0"/>
          <w:divBdr>
            <w:top w:val="none" w:sz="0" w:space="0" w:color="auto"/>
            <w:left w:val="none" w:sz="0" w:space="0" w:color="auto"/>
            <w:bottom w:val="none" w:sz="0" w:space="0" w:color="auto"/>
            <w:right w:val="none" w:sz="0" w:space="0" w:color="auto"/>
          </w:divBdr>
        </w:div>
        <w:div w:id="1912079693">
          <w:marLeft w:val="0"/>
          <w:marRight w:val="0"/>
          <w:marTop w:val="0"/>
          <w:marBottom w:val="0"/>
          <w:divBdr>
            <w:top w:val="none" w:sz="0" w:space="0" w:color="auto"/>
            <w:left w:val="none" w:sz="0" w:space="0" w:color="auto"/>
            <w:bottom w:val="none" w:sz="0" w:space="0" w:color="auto"/>
            <w:right w:val="none" w:sz="0" w:space="0" w:color="auto"/>
          </w:divBdr>
        </w:div>
      </w:divsChild>
    </w:div>
    <w:div w:id="1192376548">
      <w:bodyDiv w:val="1"/>
      <w:marLeft w:val="0"/>
      <w:marRight w:val="0"/>
      <w:marTop w:val="0"/>
      <w:marBottom w:val="0"/>
      <w:divBdr>
        <w:top w:val="none" w:sz="0" w:space="0" w:color="auto"/>
        <w:left w:val="none" w:sz="0" w:space="0" w:color="auto"/>
        <w:bottom w:val="none" w:sz="0" w:space="0" w:color="auto"/>
        <w:right w:val="none" w:sz="0" w:space="0" w:color="auto"/>
      </w:divBdr>
      <w:divsChild>
        <w:div w:id="1308625933">
          <w:marLeft w:val="0"/>
          <w:marRight w:val="0"/>
          <w:marTop w:val="0"/>
          <w:marBottom w:val="0"/>
          <w:divBdr>
            <w:top w:val="none" w:sz="0" w:space="0" w:color="auto"/>
            <w:left w:val="none" w:sz="0" w:space="0" w:color="auto"/>
            <w:bottom w:val="none" w:sz="0" w:space="0" w:color="auto"/>
            <w:right w:val="none" w:sz="0" w:space="0" w:color="auto"/>
          </w:divBdr>
        </w:div>
        <w:div w:id="1778866784">
          <w:marLeft w:val="0"/>
          <w:marRight w:val="0"/>
          <w:marTop w:val="0"/>
          <w:marBottom w:val="0"/>
          <w:divBdr>
            <w:top w:val="none" w:sz="0" w:space="0" w:color="auto"/>
            <w:left w:val="none" w:sz="0" w:space="0" w:color="auto"/>
            <w:bottom w:val="none" w:sz="0" w:space="0" w:color="auto"/>
            <w:right w:val="none" w:sz="0" w:space="0" w:color="auto"/>
          </w:divBdr>
        </w:div>
      </w:divsChild>
    </w:div>
    <w:div w:id="1227912664">
      <w:bodyDiv w:val="1"/>
      <w:marLeft w:val="0"/>
      <w:marRight w:val="0"/>
      <w:marTop w:val="0"/>
      <w:marBottom w:val="0"/>
      <w:divBdr>
        <w:top w:val="none" w:sz="0" w:space="0" w:color="auto"/>
        <w:left w:val="none" w:sz="0" w:space="0" w:color="auto"/>
        <w:bottom w:val="none" w:sz="0" w:space="0" w:color="auto"/>
        <w:right w:val="none" w:sz="0" w:space="0" w:color="auto"/>
      </w:divBdr>
    </w:div>
    <w:div w:id="1248268822">
      <w:bodyDiv w:val="1"/>
      <w:marLeft w:val="0"/>
      <w:marRight w:val="0"/>
      <w:marTop w:val="0"/>
      <w:marBottom w:val="0"/>
      <w:divBdr>
        <w:top w:val="none" w:sz="0" w:space="0" w:color="auto"/>
        <w:left w:val="none" w:sz="0" w:space="0" w:color="auto"/>
        <w:bottom w:val="none" w:sz="0" w:space="0" w:color="auto"/>
        <w:right w:val="none" w:sz="0" w:space="0" w:color="auto"/>
      </w:divBdr>
    </w:div>
    <w:div w:id="1281952509">
      <w:bodyDiv w:val="1"/>
      <w:marLeft w:val="0"/>
      <w:marRight w:val="0"/>
      <w:marTop w:val="0"/>
      <w:marBottom w:val="0"/>
      <w:divBdr>
        <w:top w:val="none" w:sz="0" w:space="0" w:color="auto"/>
        <w:left w:val="none" w:sz="0" w:space="0" w:color="auto"/>
        <w:bottom w:val="none" w:sz="0" w:space="0" w:color="auto"/>
        <w:right w:val="none" w:sz="0" w:space="0" w:color="auto"/>
      </w:divBdr>
    </w:div>
    <w:div w:id="1285232121">
      <w:bodyDiv w:val="1"/>
      <w:marLeft w:val="0"/>
      <w:marRight w:val="0"/>
      <w:marTop w:val="0"/>
      <w:marBottom w:val="0"/>
      <w:divBdr>
        <w:top w:val="none" w:sz="0" w:space="0" w:color="auto"/>
        <w:left w:val="none" w:sz="0" w:space="0" w:color="auto"/>
        <w:bottom w:val="none" w:sz="0" w:space="0" w:color="auto"/>
        <w:right w:val="none" w:sz="0" w:space="0" w:color="auto"/>
      </w:divBdr>
    </w:div>
    <w:div w:id="1291326636">
      <w:bodyDiv w:val="1"/>
      <w:marLeft w:val="0"/>
      <w:marRight w:val="0"/>
      <w:marTop w:val="0"/>
      <w:marBottom w:val="0"/>
      <w:divBdr>
        <w:top w:val="none" w:sz="0" w:space="0" w:color="auto"/>
        <w:left w:val="none" w:sz="0" w:space="0" w:color="auto"/>
        <w:bottom w:val="none" w:sz="0" w:space="0" w:color="auto"/>
        <w:right w:val="none" w:sz="0" w:space="0" w:color="auto"/>
      </w:divBdr>
    </w:div>
    <w:div w:id="1310592504">
      <w:bodyDiv w:val="1"/>
      <w:marLeft w:val="0"/>
      <w:marRight w:val="0"/>
      <w:marTop w:val="0"/>
      <w:marBottom w:val="0"/>
      <w:divBdr>
        <w:top w:val="none" w:sz="0" w:space="0" w:color="auto"/>
        <w:left w:val="none" w:sz="0" w:space="0" w:color="auto"/>
        <w:bottom w:val="none" w:sz="0" w:space="0" w:color="auto"/>
        <w:right w:val="none" w:sz="0" w:space="0" w:color="auto"/>
      </w:divBdr>
    </w:div>
    <w:div w:id="1310594583">
      <w:bodyDiv w:val="1"/>
      <w:marLeft w:val="0"/>
      <w:marRight w:val="0"/>
      <w:marTop w:val="0"/>
      <w:marBottom w:val="0"/>
      <w:divBdr>
        <w:top w:val="none" w:sz="0" w:space="0" w:color="auto"/>
        <w:left w:val="none" w:sz="0" w:space="0" w:color="auto"/>
        <w:bottom w:val="none" w:sz="0" w:space="0" w:color="auto"/>
        <w:right w:val="none" w:sz="0" w:space="0" w:color="auto"/>
      </w:divBdr>
    </w:div>
    <w:div w:id="1313831603">
      <w:bodyDiv w:val="1"/>
      <w:marLeft w:val="0"/>
      <w:marRight w:val="0"/>
      <w:marTop w:val="0"/>
      <w:marBottom w:val="0"/>
      <w:divBdr>
        <w:top w:val="none" w:sz="0" w:space="0" w:color="auto"/>
        <w:left w:val="none" w:sz="0" w:space="0" w:color="auto"/>
        <w:bottom w:val="none" w:sz="0" w:space="0" w:color="auto"/>
        <w:right w:val="none" w:sz="0" w:space="0" w:color="auto"/>
      </w:divBdr>
    </w:div>
    <w:div w:id="1320420016">
      <w:bodyDiv w:val="1"/>
      <w:marLeft w:val="0"/>
      <w:marRight w:val="0"/>
      <w:marTop w:val="0"/>
      <w:marBottom w:val="0"/>
      <w:divBdr>
        <w:top w:val="none" w:sz="0" w:space="0" w:color="auto"/>
        <w:left w:val="none" w:sz="0" w:space="0" w:color="auto"/>
        <w:bottom w:val="none" w:sz="0" w:space="0" w:color="auto"/>
        <w:right w:val="none" w:sz="0" w:space="0" w:color="auto"/>
      </w:divBdr>
    </w:div>
    <w:div w:id="1372266065">
      <w:bodyDiv w:val="1"/>
      <w:marLeft w:val="0"/>
      <w:marRight w:val="0"/>
      <w:marTop w:val="0"/>
      <w:marBottom w:val="0"/>
      <w:divBdr>
        <w:top w:val="none" w:sz="0" w:space="0" w:color="auto"/>
        <w:left w:val="none" w:sz="0" w:space="0" w:color="auto"/>
        <w:bottom w:val="none" w:sz="0" w:space="0" w:color="auto"/>
        <w:right w:val="none" w:sz="0" w:space="0" w:color="auto"/>
      </w:divBdr>
    </w:div>
    <w:div w:id="1386028748">
      <w:bodyDiv w:val="1"/>
      <w:marLeft w:val="0"/>
      <w:marRight w:val="0"/>
      <w:marTop w:val="0"/>
      <w:marBottom w:val="0"/>
      <w:divBdr>
        <w:top w:val="none" w:sz="0" w:space="0" w:color="auto"/>
        <w:left w:val="none" w:sz="0" w:space="0" w:color="auto"/>
        <w:bottom w:val="none" w:sz="0" w:space="0" w:color="auto"/>
        <w:right w:val="none" w:sz="0" w:space="0" w:color="auto"/>
      </w:divBdr>
    </w:div>
    <w:div w:id="1396202322">
      <w:bodyDiv w:val="1"/>
      <w:marLeft w:val="0"/>
      <w:marRight w:val="0"/>
      <w:marTop w:val="0"/>
      <w:marBottom w:val="0"/>
      <w:divBdr>
        <w:top w:val="none" w:sz="0" w:space="0" w:color="auto"/>
        <w:left w:val="none" w:sz="0" w:space="0" w:color="auto"/>
        <w:bottom w:val="none" w:sz="0" w:space="0" w:color="auto"/>
        <w:right w:val="none" w:sz="0" w:space="0" w:color="auto"/>
      </w:divBdr>
    </w:div>
    <w:div w:id="1405569151">
      <w:bodyDiv w:val="1"/>
      <w:marLeft w:val="0"/>
      <w:marRight w:val="0"/>
      <w:marTop w:val="0"/>
      <w:marBottom w:val="0"/>
      <w:divBdr>
        <w:top w:val="none" w:sz="0" w:space="0" w:color="auto"/>
        <w:left w:val="none" w:sz="0" w:space="0" w:color="auto"/>
        <w:bottom w:val="none" w:sz="0" w:space="0" w:color="auto"/>
        <w:right w:val="none" w:sz="0" w:space="0" w:color="auto"/>
      </w:divBdr>
    </w:div>
    <w:div w:id="1406149282">
      <w:bodyDiv w:val="1"/>
      <w:marLeft w:val="0"/>
      <w:marRight w:val="0"/>
      <w:marTop w:val="0"/>
      <w:marBottom w:val="0"/>
      <w:divBdr>
        <w:top w:val="none" w:sz="0" w:space="0" w:color="auto"/>
        <w:left w:val="none" w:sz="0" w:space="0" w:color="auto"/>
        <w:bottom w:val="none" w:sz="0" w:space="0" w:color="auto"/>
        <w:right w:val="none" w:sz="0" w:space="0" w:color="auto"/>
      </w:divBdr>
      <w:divsChild>
        <w:div w:id="74783852">
          <w:marLeft w:val="0"/>
          <w:marRight w:val="0"/>
          <w:marTop w:val="0"/>
          <w:marBottom w:val="0"/>
          <w:divBdr>
            <w:top w:val="none" w:sz="0" w:space="0" w:color="auto"/>
            <w:left w:val="none" w:sz="0" w:space="0" w:color="auto"/>
            <w:bottom w:val="none" w:sz="0" w:space="0" w:color="auto"/>
            <w:right w:val="none" w:sz="0" w:space="0" w:color="auto"/>
          </w:divBdr>
        </w:div>
        <w:div w:id="507329095">
          <w:marLeft w:val="0"/>
          <w:marRight w:val="0"/>
          <w:marTop w:val="0"/>
          <w:marBottom w:val="0"/>
          <w:divBdr>
            <w:top w:val="none" w:sz="0" w:space="0" w:color="auto"/>
            <w:left w:val="none" w:sz="0" w:space="0" w:color="auto"/>
            <w:bottom w:val="none" w:sz="0" w:space="0" w:color="auto"/>
            <w:right w:val="none" w:sz="0" w:space="0" w:color="auto"/>
          </w:divBdr>
        </w:div>
        <w:div w:id="1145077265">
          <w:marLeft w:val="0"/>
          <w:marRight w:val="0"/>
          <w:marTop w:val="0"/>
          <w:marBottom w:val="0"/>
          <w:divBdr>
            <w:top w:val="none" w:sz="0" w:space="0" w:color="auto"/>
            <w:left w:val="none" w:sz="0" w:space="0" w:color="auto"/>
            <w:bottom w:val="none" w:sz="0" w:space="0" w:color="auto"/>
            <w:right w:val="none" w:sz="0" w:space="0" w:color="auto"/>
          </w:divBdr>
        </w:div>
        <w:div w:id="1147551400">
          <w:marLeft w:val="0"/>
          <w:marRight w:val="0"/>
          <w:marTop w:val="0"/>
          <w:marBottom w:val="0"/>
          <w:divBdr>
            <w:top w:val="none" w:sz="0" w:space="0" w:color="auto"/>
            <w:left w:val="none" w:sz="0" w:space="0" w:color="auto"/>
            <w:bottom w:val="none" w:sz="0" w:space="0" w:color="auto"/>
            <w:right w:val="none" w:sz="0" w:space="0" w:color="auto"/>
          </w:divBdr>
        </w:div>
        <w:div w:id="1944799624">
          <w:marLeft w:val="0"/>
          <w:marRight w:val="0"/>
          <w:marTop w:val="0"/>
          <w:marBottom w:val="0"/>
          <w:divBdr>
            <w:top w:val="none" w:sz="0" w:space="0" w:color="auto"/>
            <w:left w:val="none" w:sz="0" w:space="0" w:color="auto"/>
            <w:bottom w:val="none" w:sz="0" w:space="0" w:color="auto"/>
            <w:right w:val="none" w:sz="0" w:space="0" w:color="auto"/>
          </w:divBdr>
        </w:div>
        <w:div w:id="1947618674">
          <w:marLeft w:val="0"/>
          <w:marRight w:val="0"/>
          <w:marTop w:val="0"/>
          <w:marBottom w:val="0"/>
          <w:divBdr>
            <w:top w:val="none" w:sz="0" w:space="0" w:color="auto"/>
            <w:left w:val="none" w:sz="0" w:space="0" w:color="auto"/>
            <w:bottom w:val="none" w:sz="0" w:space="0" w:color="auto"/>
            <w:right w:val="none" w:sz="0" w:space="0" w:color="auto"/>
          </w:divBdr>
        </w:div>
        <w:div w:id="2111850151">
          <w:marLeft w:val="0"/>
          <w:marRight w:val="0"/>
          <w:marTop w:val="0"/>
          <w:marBottom w:val="0"/>
          <w:divBdr>
            <w:top w:val="none" w:sz="0" w:space="0" w:color="auto"/>
            <w:left w:val="none" w:sz="0" w:space="0" w:color="auto"/>
            <w:bottom w:val="none" w:sz="0" w:space="0" w:color="auto"/>
            <w:right w:val="none" w:sz="0" w:space="0" w:color="auto"/>
          </w:divBdr>
        </w:div>
      </w:divsChild>
    </w:div>
    <w:div w:id="1417090479">
      <w:bodyDiv w:val="1"/>
      <w:marLeft w:val="0"/>
      <w:marRight w:val="0"/>
      <w:marTop w:val="0"/>
      <w:marBottom w:val="0"/>
      <w:divBdr>
        <w:top w:val="none" w:sz="0" w:space="0" w:color="auto"/>
        <w:left w:val="none" w:sz="0" w:space="0" w:color="auto"/>
        <w:bottom w:val="none" w:sz="0" w:space="0" w:color="auto"/>
        <w:right w:val="none" w:sz="0" w:space="0" w:color="auto"/>
      </w:divBdr>
    </w:div>
    <w:div w:id="1452628878">
      <w:bodyDiv w:val="1"/>
      <w:marLeft w:val="0"/>
      <w:marRight w:val="0"/>
      <w:marTop w:val="0"/>
      <w:marBottom w:val="0"/>
      <w:divBdr>
        <w:top w:val="none" w:sz="0" w:space="0" w:color="auto"/>
        <w:left w:val="none" w:sz="0" w:space="0" w:color="auto"/>
        <w:bottom w:val="none" w:sz="0" w:space="0" w:color="auto"/>
        <w:right w:val="none" w:sz="0" w:space="0" w:color="auto"/>
      </w:divBdr>
    </w:div>
    <w:div w:id="1462575265">
      <w:bodyDiv w:val="1"/>
      <w:marLeft w:val="0"/>
      <w:marRight w:val="0"/>
      <w:marTop w:val="0"/>
      <w:marBottom w:val="0"/>
      <w:divBdr>
        <w:top w:val="none" w:sz="0" w:space="0" w:color="auto"/>
        <w:left w:val="none" w:sz="0" w:space="0" w:color="auto"/>
        <w:bottom w:val="none" w:sz="0" w:space="0" w:color="auto"/>
        <w:right w:val="none" w:sz="0" w:space="0" w:color="auto"/>
      </w:divBdr>
    </w:div>
    <w:div w:id="1477800051">
      <w:bodyDiv w:val="1"/>
      <w:marLeft w:val="0"/>
      <w:marRight w:val="0"/>
      <w:marTop w:val="0"/>
      <w:marBottom w:val="0"/>
      <w:divBdr>
        <w:top w:val="none" w:sz="0" w:space="0" w:color="auto"/>
        <w:left w:val="none" w:sz="0" w:space="0" w:color="auto"/>
        <w:bottom w:val="none" w:sz="0" w:space="0" w:color="auto"/>
        <w:right w:val="none" w:sz="0" w:space="0" w:color="auto"/>
      </w:divBdr>
    </w:div>
    <w:div w:id="1549607447">
      <w:bodyDiv w:val="1"/>
      <w:marLeft w:val="0"/>
      <w:marRight w:val="0"/>
      <w:marTop w:val="0"/>
      <w:marBottom w:val="0"/>
      <w:divBdr>
        <w:top w:val="none" w:sz="0" w:space="0" w:color="auto"/>
        <w:left w:val="none" w:sz="0" w:space="0" w:color="auto"/>
        <w:bottom w:val="none" w:sz="0" w:space="0" w:color="auto"/>
        <w:right w:val="none" w:sz="0" w:space="0" w:color="auto"/>
      </w:divBdr>
    </w:div>
    <w:div w:id="1584799013">
      <w:bodyDiv w:val="1"/>
      <w:marLeft w:val="0"/>
      <w:marRight w:val="0"/>
      <w:marTop w:val="0"/>
      <w:marBottom w:val="0"/>
      <w:divBdr>
        <w:top w:val="none" w:sz="0" w:space="0" w:color="auto"/>
        <w:left w:val="none" w:sz="0" w:space="0" w:color="auto"/>
        <w:bottom w:val="none" w:sz="0" w:space="0" w:color="auto"/>
        <w:right w:val="none" w:sz="0" w:space="0" w:color="auto"/>
      </w:divBdr>
      <w:divsChild>
        <w:div w:id="430248897">
          <w:marLeft w:val="0"/>
          <w:marRight w:val="0"/>
          <w:marTop w:val="0"/>
          <w:marBottom w:val="0"/>
          <w:divBdr>
            <w:top w:val="none" w:sz="0" w:space="0" w:color="auto"/>
            <w:left w:val="none" w:sz="0" w:space="0" w:color="auto"/>
            <w:bottom w:val="none" w:sz="0" w:space="0" w:color="auto"/>
            <w:right w:val="none" w:sz="0" w:space="0" w:color="auto"/>
          </w:divBdr>
        </w:div>
        <w:div w:id="1708993865">
          <w:marLeft w:val="0"/>
          <w:marRight w:val="0"/>
          <w:marTop w:val="0"/>
          <w:marBottom w:val="0"/>
          <w:divBdr>
            <w:top w:val="none" w:sz="0" w:space="0" w:color="auto"/>
            <w:left w:val="none" w:sz="0" w:space="0" w:color="auto"/>
            <w:bottom w:val="none" w:sz="0" w:space="0" w:color="auto"/>
            <w:right w:val="none" w:sz="0" w:space="0" w:color="auto"/>
          </w:divBdr>
        </w:div>
      </w:divsChild>
    </w:div>
    <w:div w:id="1602758693">
      <w:bodyDiv w:val="1"/>
      <w:marLeft w:val="0"/>
      <w:marRight w:val="0"/>
      <w:marTop w:val="0"/>
      <w:marBottom w:val="0"/>
      <w:divBdr>
        <w:top w:val="none" w:sz="0" w:space="0" w:color="auto"/>
        <w:left w:val="none" w:sz="0" w:space="0" w:color="auto"/>
        <w:bottom w:val="none" w:sz="0" w:space="0" w:color="auto"/>
        <w:right w:val="none" w:sz="0" w:space="0" w:color="auto"/>
      </w:divBdr>
      <w:divsChild>
        <w:div w:id="604270715">
          <w:marLeft w:val="0"/>
          <w:marRight w:val="0"/>
          <w:marTop w:val="0"/>
          <w:marBottom w:val="0"/>
          <w:divBdr>
            <w:top w:val="none" w:sz="0" w:space="0" w:color="auto"/>
            <w:left w:val="none" w:sz="0" w:space="0" w:color="auto"/>
            <w:bottom w:val="none" w:sz="0" w:space="0" w:color="auto"/>
            <w:right w:val="none" w:sz="0" w:space="0" w:color="auto"/>
          </w:divBdr>
        </w:div>
        <w:div w:id="1326084573">
          <w:marLeft w:val="0"/>
          <w:marRight w:val="0"/>
          <w:marTop w:val="0"/>
          <w:marBottom w:val="0"/>
          <w:divBdr>
            <w:top w:val="none" w:sz="0" w:space="0" w:color="auto"/>
            <w:left w:val="none" w:sz="0" w:space="0" w:color="auto"/>
            <w:bottom w:val="none" w:sz="0" w:space="0" w:color="auto"/>
            <w:right w:val="none" w:sz="0" w:space="0" w:color="auto"/>
          </w:divBdr>
        </w:div>
      </w:divsChild>
    </w:div>
    <w:div w:id="1623145769">
      <w:bodyDiv w:val="1"/>
      <w:marLeft w:val="0"/>
      <w:marRight w:val="0"/>
      <w:marTop w:val="0"/>
      <w:marBottom w:val="0"/>
      <w:divBdr>
        <w:top w:val="none" w:sz="0" w:space="0" w:color="auto"/>
        <w:left w:val="none" w:sz="0" w:space="0" w:color="auto"/>
        <w:bottom w:val="none" w:sz="0" w:space="0" w:color="auto"/>
        <w:right w:val="none" w:sz="0" w:space="0" w:color="auto"/>
      </w:divBdr>
    </w:div>
    <w:div w:id="1634601842">
      <w:bodyDiv w:val="1"/>
      <w:marLeft w:val="0"/>
      <w:marRight w:val="0"/>
      <w:marTop w:val="0"/>
      <w:marBottom w:val="0"/>
      <w:divBdr>
        <w:top w:val="none" w:sz="0" w:space="0" w:color="auto"/>
        <w:left w:val="none" w:sz="0" w:space="0" w:color="auto"/>
        <w:bottom w:val="none" w:sz="0" w:space="0" w:color="auto"/>
        <w:right w:val="none" w:sz="0" w:space="0" w:color="auto"/>
      </w:divBdr>
    </w:div>
    <w:div w:id="1635987625">
      <w:bodyDiv w:val="1"/>
      <w:marLeft w:val="0"/>
      <w:marRight w:val="0"/>
      <w:marTop w:val="0"/>
      <w:marBottom w:val="0"/>
      <w:divBdr>
        <w:top w:val="none" w:sz="0" w:space="0" w:color="auto"/>
        <w:left w:val="none" w:sz="0" w:space="0" w:color="auto"/>
        <w:bottom w:val="none" w:sz="0" w:space="0" w:color="auto"/>
        <w:right w:val="none" w:sz="0" w:space="0" w:color="auto"/>
      </w:divBdr>
    </w:div>
    <w:div w:id="1655647130">
      <w:bodyDiv w:val="1"/>
      <w:marLeft w:val="0"/>
      <w:marRight w:val="0"/>
      <w:marTop w:val="0"/>
      <w:marBottom w:val="0"/>
      <w:divBdr>
        <w:top w:val="none" w:sz="0" w:space="0" w:color="auto"/>
        <w:left w:val="none" w:sz="0" w:space="0" w:color="auto"/>
        <w:bottom w:val="none" w:sz="0" w:space="0" w:color="auto"/>
        <w:right w:val="none" w:sz="0" w:space="0" w:color="auto"/>
      </w:divBdr>
      <w:divsChild>
        <w:div w:id="372313238">
          <w:marLeft w:val="0"/>
          <w:marRight w:val="0"/>
          <w:marTop w:val="0"/>
          <w:marBottom w:val="0"/>
          <w:divBdr>
            <w:top w:val="none" w:sz="0" w:space="0" w:color="auto"/>
            <w:left w:val="none" w:sz="0" w:space="0" w:color="auto"/>
            <w:bottom w:val="none" w:sz="0" w:space="0" w:color="auto"/>
            <w:right w:val="none" w:sz="0" w:space="0" w:color="auto"/>
          </w:divBdr>
        </w:div>
      </w:divsChild>
    </w:div>
    <w:div w:id="1656641839">
      <w:bodyDiv w:val="1"/>
      <w:marLeft w:val="0"/>
      <w:marRight w:val="0"/>
      <w:marTop w:val="0"/>
      <w:marBottom w:val="0"/>
      <w:divBdr>
        <w:top w:val="none" w:sz="0" w:space="0" w:color="auto"/>
        <w:left w:val="none" w:sz="0" w:space="0" w:color="auto"/>
        <w:bottom w:val="none" w:sz="0" w:space="0" w:color="auto"/>
        <w:right w:val="none" w:sz="0" w:space="0" w:color="auto"/>
      </w:divBdr>
    </w:div>
    <w:div w:id="1666857357">
      <w:bodyDiv w:val="1"/>
      <w:marLeft w:val="0"/>
      <w:marRight w:val="0"/>
      <w:marTop w:val="0"/>
      <w:marBottom w:val="0"/>
      <w:divBdr>
        <w:top w:val="none" w:sz="0" w:space="0" w:color="auto"/>
        <w:left w:val="none" w:sz="0" w:space="0" w:color="auto"/>
        <w:bottom w:val="none" w:sz="0" w:space="0" w:color="auto"/>
        <w:right w:val="none" w:sz="0" w:space="0" w:color="auto"/>
      </w:divBdr>
    </w:div>
    <w:div w:id="1692560655">
      <w:bodyDiv w:val="1"/>
      <w:marLeft w:val="0"/>
      <w:marRight w:val="0"/>
      <w:marTop w:val="0"/>
      <w:marBottom w:val="0"/>
      <w:divBdr>
        <w:top w:val="none" w:sz="0" w:space="0" w:color="auto"/>
        <w:left w:val="none" w:sz="0" w:space="0" w:color="auto"/>
        <w:bottom w:val="none" w:sz="0" w:space="0" w:color="auto"/>
        <w:right w:val="none" w:sz="0" w:space="0" w:color="auto"/>
      </w:divBdr>
    </w:div>
    <w:div w:id="1697391221">
      <w:bodyDiv w:val="1"/>
      <w:marLeft w:val="0"/>
      <w:marRight w:val="0"/>
      <w:marTop w:val="0"/>
      <w:marBottom w:val="0"/>
      <w:divBdr>
        <w:top w:val="none" w:sz="0" w:space="0" w:color="auto"/>
        <w:left w:val="none" w:sz="0" w:space="0" w:color="auto"/>
        <w:bottom w:val="none" w:sz="0" w:space="0" w:color="auto"/>
        <w:right w:val="none" w:sz="0" w:space="0" w:color="auto"/>
      </w:divBdr>
    </w:div>
    <w:div w:id="1711027170">
      <w:bodyDiv w:val="1"/>
      <w:marLeft w:val="0"/>
      <w:marRight w:val="0"/>
      <w:marTop w:val="0"/>
      <w:marBottom w:val="0"/>
      <w:divBdr>
        <w:top w:val="none" w:sz="0" w:space="0" w:color="auto"/>
        <w:left w:val="none" w:sz="0" w:space="0" w:color="auto"/>
        <w:bottom w:val="none" w:sz="0" w:space="0" w:color="auto"/>
        <w:right w:val="none" w:sz="0" w:space="0" w:color="auto"/>
      </w:divBdr>
    </w:div>
    <w:div w:id="1720006755">
      <w:bodyDiv w:val="1"/>
      <w:marLeft w:val="0"/>
      <w:marRight w:val="0"/>
      <w:marTop w:val="0"/>
      <w:marBottom w:val="0"/>
      <w:divBdr>
        <w:top w:val="none" w:sz="0" w:space="0" w:color="auto"/>
        <w:left w:val="none" w:sz="0" w:space="0" w:color="auto"/>
        <w:bottom w:val="none" w:sz="0" w:space="0" w:color="auto"/>
        <w:right w:val="none" w:sz="0" w:space="0" w:color="auto"/>
      </w:divBdr>
    </w:div>
    <w:div w:id="1752119067">
      <w:bodyDiv w:val="1"/>
      <w:marLeft w:val="0"/>
      <w:marRight w:val="0"/>
      <w:marTop w:val="0"/>
      <w:marBottom w:val="0"/>
      <w:divBdr>
        <w:top w:val="none" w:sz="0" w:space="0" w:color="auto"/>
        <w:left w:val="none" w:sz="0" w:space="0" w:color="auto"/>
        <w:bottom w:val="none" w:sz="0" w:space="0" w:color="auto"/>
        <w:right w:val="none" w:sz="0" w:space="0" w:color="auto"/>
      </w:divBdr>
    </w:div>
    <w:div w:id="1775394527">
      <w:bodyDiv w:val="1"/>
      <w:marLeft w:val="0"/>
      <w:marRight w:val="0"/>
      <w:marTop w:val="0"/>
      <w:marBottom w:val="0"/>
      <w:divBdr>
        <w:top w:val="none" w:sz="0" w:space="0" w:color="auto"/>
        <w:left w:val="none" w:sz="0" w:space="0" w:color="auto"/>
        <w:bottom w:val="none" w:sz="0" w:space="0" w:color="auto"/>
        <w:right w:val="none" w:sz="0" w:space="0" w:color="auto"/>
      </w:divBdr>
    </w:div>
    <w:div w:id="1845853253">
      <w:bodyDiv w:val="1"/>
      <w:marLeft w:val="0"/>
      <w:marRight w:val="0"/>
      <w:marTop w:val="0"/>
      <w:marBottom w:val="0"/>
      <w:divBdr>
        <w:top w:val="none" w:sz="0" w:space="0" w:color="auto"/>
        <w:left w:val="none" w:sz="0" w:space="0" w:color="auto"/>
        <w:bottom w:val="none" w:sz="0" w:space="0" w:color="auto"/>
        <w:right w:val="none" w:sz="0" w:space="0" w:color="auto"/>
      </w:divBdr>
    </w:div>
    <w:div w:id="1862427899">
      <w:bodyDiv w:val="1"/>
      <w:marLeft w:val="0"/>
      <w:marRight w:val="0"/>
      <w:marTop w:val="0"/>
      <w:marBottom w:val="0"/>
      <w:divBdr>
        <w:top w:val="none" w:sz="0" w:space="0" w:color="auto"/>
        <w:left w:val="none" w:sz="0" w:space="0" w:color="auto"/>
        <w:bottom w:val="none" w:sz="0" w:space="0" w:color="auto"/>
        <w:right w:val="none" w:sz="0" w:space="0" w:color="auto"/>
      </w:divBdr>
    </w:div>
    <w:div w:id="1875732272">
      <w:bodyDiv w:val="1"/>
      <w:marLeft w:val="0"/>
      <w:marRight w:val="0"/>
      <w:marTop w:val="0"/>
      <w:marBottom w:val="0"/>
      <w:divBdr>
        <w:top w:val="none" w:sz="0" w:space="0" w:color="auto"/>
        <w:left w:val="none" w:sz="0" w:space="0" w:color="auto"/>
        <w:bottom w:val="none" w:sz="0" w:space="0" w:color="auto"/>
        <w:right w:val="none" w:sz="0" w:space="0" w:color="auto"/>
      </w:divBdr>
    </w:div>
    <w:div w:id="1879975111">
      <w:bodyDiv w:val="1"/>
      <w:marLeft w:val="0"/>
      <w:marRight w:val="0"/>
      <w:marTop w:val="0"/>
      <w:marBottom w:val="0"/>
      <w:divBdr>
        <w:top w:val="none" w:sz="0" w:space="0" w:color="auto"/>
        <w:left w:val="none" w:sz="0" w:space="0" w:color="auto"/>
        <w:bottom w:val="none" w:sz="0" w:space="0" w:color="auto"/>
        <w:right w:val="none" w:sz="0" w:space="0" w:color="auto"/>
      </w:divBdr>
    </w:div>
    <w:div w:id="1911960679">
      <w:bodyDiv w:val="1"/>
      <w:marLeft w:val="0"/>
      <w:marRight w:val="0"/>
      <w:marTop w:val="0"/>
      <w:marBottom w:val="0"/>
      <w:divBdr>
        <w:top w:val="none" w:sz="0" w:space="0" w:color="auto"/>
        <w:left w:val="none" w:sz="0" w:space="0" w:color="auto"/>
        <w:bottom w:val="none" w:sz="0" w:space="0" w:color="auto"/>
        <w:right w:val="none" w:sz="0" w:space="0" w:color="auto"/>
      </w:divBdr>
    </w:div>
    <w:div w:id="1913192852">
      <w:bodyDiv w:val="1"/>
      <w:marLeft w:val="0"/>
      <w:marRight w:val="0"/>
      <w:marTop w:val="0"/>
      <w:marBottom w:val="0"/>
      <w:divBdr>
        <w:top w:val="none" w:sz="0" w:space="0" w:color="auto"/>
        <w:left w:val="none" w:sz="0" w:space="0" w:color="auto"/>
        <w:bottom w:val="none" w:sz="0" w:space="0" w:color="auto"/>
        <w:right w:val="none" w:sz="0" w:space="0" w:color="auto"/>
      </w:divBdr>
    </w:div>
    <w:div w:id="1921938449">
      <w:bodyDiv w:val="1"/>
      <w:marLeft w:val="0"/>
      <w:marRight w:val="0"/>
      <w:marTop w:val="0"/>
      <w:marBottom w:val="0"/>
      <w:divBdr>
        <w:top w:val="none" w:sz="0" w:space="0" w:color="auto"/>
        <w:left w:val="none" w:sz="0" w:space="0" w:color="auto"/>
        <w:bottom w:val="none" w:sz="0" w:space="0" w:color="auto"/>
        <w:right w:val="none" w:sz="0" w:space="0" w:color="auto"/>
      </w:divBdr>
      <w:divsChild>
        <w:div w:id="203564473">
          <w:marLeft w:val="0"/>
          <w:marRight w:val="0"/>
          <w:marTop w:val="0"/>
          <w:marBottom w:val="0"/>
          <w:divBdr>
            <w:top w:val="none" w:sz="0" w:space="0" w:color="auto"/>
            <w:left w:val="none" w:sz="0" w:space="0" w:color="auto"/>
            <w:bottom w:val="none" w:sz="0" w:space="0" w:color="auto"/>
            <w:right w:val="none" w:sz="0" w:space="0" w:color="auto"/>
          </w:divBdr>
        </w:div>
        <w:div w:id="1546260868">
          <w:marLeft w:val="0"/>
          <w:marRight w:val="0"/>
          <w:marTop w:val="0"/>
          <w:marBottom w:val="0"/>
          <w:divBdr>
            <w:top w:val="none" w:sz="0" w:space="0" w:color="auto"/>
            <w:left w:val="none" w:sz="0" w:space="0" w:color="auto"/>
            <w:bottom w:val="none" w:sz="0" w:space="0" w:color="auto"/>
            <w:right w:val="none" w:sz="0" w:space="0" w:color="auto"/>
          </w:divBdr>
        </w:div>
      </w:divsChild>
    </w:div>
    <w:div w:id="1978560487">
      <w:bodyDiv w:val="1"/>
      <w:marLeft w:val="0"/>
      <w:marRight w:val="0"/>
      <w:marTop w:val="0"/>
      <w:marBottom w:val="0"/>
      <w:divBdr>
        <w:top w:val="none" w:sz="0" w:space="0" w:color="auto"/>
        <w:left w:val="none" w:sz="0" w:space="0" w:color="auto"/>
        <w:bottom w:val="none" w:sz="0" w:space="0" w:color="auto"/>
        <w:right w:val="none" w:sz="0" w:space="0" w:color="auto"/>
      </w:divBdr>
    </w:div>
    <w:div w:id="2015566579">
      <w:bodyDiv w:val="1"/>
      <w:marLeft w:val="0"/>
      <w:marRight w:val="0"/>
      <w:marTop w:val="0"/>
      <w:marBottom w:val="0"/>
      <w:divBdr>
        <w:top w:val="none" w:sz="0" w:space="0" w:color="auto"/>
        <w:left w:val="none" w:sz="0" w:space="0" w:color="auto"/>
        <w:bottom w:val="none" w:sz="0" w:space="0" w:color="auto"/>
        <w:right w:val="none" w:sz="0" w:space="0" w:color="auto"/>
      </w:divBdr>
    </w:div>
    <w:div w:id="2016036903">
      <w:bodyDiv w:val="1"/>
      <w:marLeft w:val="0"/>
      <w:marRight w:val="0"/>
      <w:marTop w:val="0"/>
      <w:marBottom w:val="0"/>
      <w:divBdr>
        <w:top w:val="none" w:sz="0" w:space="0" w:color="auto"/>
        <w:left w:val="none" w:sz="0" w:space="0" w:color="auto"/>
        <w:bottom w:val="none" w:sz="0" w:space="0" w:color="auto"/>
        <w:right w:val="none" w:sz="0" w:space="0" w:color="auto"/>
      </w:divBdr>
    </w:div>
    <w:div w:id="2019042248">
      <w:bodyDiv w:val="1"/>
      <w:marLeft w:val="0"/>
      <w:marRight w:val="0"/>
      <w:marTop w:val="0"/>
      <w:marBottom w:val="0"/>
      <w:divBdr>
        <w:top w:val="none" w:sz="0" w:space="0" w:color="auto"/>
        <w:left w:val="none" w:sz="0" w:space="0" w:color="auto"/>
        <w:bottom w:val="none" w:sz="0" w:space="0" w:color="auto"/>
        <w:right w:val="none" w:sz="0" w:space="0" w:color="auto"/>
      </w:divBdr>
    </w:div>
    <w:div w:id="2064207965">
      <w:bodyDiv w:val="1"/>
      <w:marLeft w:val="0"/>
      <w:marRight w:val="0"/>
      <w:marTop w:val="0"/>
      <w:marBottom w:val="0"/>
      <w:divBdr>
        <w:top w:val="none" w:sz="0" w:space="0" w:color="auto"/>
        <w:left w:val="none" w:sz="0" w:space="0" w:color="auto"/>
        <w:bottom w:val="none" w:sz="0" w:space="0" w:color="auto"/>
        <w:right w:val="none" w:sz="0" w:space="0" w:color="auto"/>
      </w:divBdr>
    </w:div>
    <w:div w:id="2080133037">
      <w:bodyDiv w:val="1"/>
      <w:marLeft w:val="0"/>
      <w:marRight w:val="0"/>
      <w:marTop w:val="0"/>
      <w:marBottom w:val="0"/>
      <w:divBdr>
        <w:top w:val="none" w:sz="0" w:space="0" w:color="auto"/>
        <w:left w:val="none" w:sz="0" w:space="0" w:color="auto"/>
        <w:bottom w:val="none" w:sz="0" w:space="0" w:color="auto"/>
        <w:right w:val="none" w:sz="0" w:space="0" w:color="auto"/>
      </w:divBdr>
    </w:div>
    <w:div w:id="2090346212">
      <w:bodyDiv w:val="1"/>
      <w:marLeft w:val="0"/>
      <w:marRight w:val="0"/>
      <w:marTop w:val="0"/>
      <w:marBottom w:val="0"/>
      <w:divBdr>
        <w:top w:val="none" w:sz="0" w:space="0" w:color="auto"/>
        <w:left w:val="none" w:sz="0" w:space="0" w:color="auto"/>
        <w:bottom w:val="none" w:sz="0" w:space="0" w:color="auto"/>
        <w:right w:val="none" w:sz="0" w:space="0" w:color="auto"/>
      </w:divBdr>
    </w:div>
    <w:div w:id="2112623944">
      <w:bodyDiv w:val="1"/>
      <w:marLeft w:val="0"/>
      <w:marRight w:val="0"/>
      <w:marTop w:val="0"/>
      <w:marBottom w:val="0"/>
      <w:divBdr>
        <w:top w:val="none" w:sz="0" w:space="0" w:color="auto"/>
        <w:left w:val="none" w:sz="0" w:space="0" w:color="auto"/>
        <w:bottom w:val="none" w:sz="0" w:space="0" w:color="auto"/>
        <w:right w:val="none" w:sz="0" w:space="0" w:color="auto"/>
      </w:divBdr>
    </w:div>
    <w:div w:id="2117020457">
      <w:bodyDiv w:val="1"/>
      <w:marLeft w:val="0"/>
      <w:marRight w:val="0"/>
      <w:marTop w:val="0"/>
      <w:marBottom w:val="0"/>
      <w:divBdr>
        <w:top w:val="none" w:sz="0" w:space="0" w:color="auto"/>
        <w:left w:val="none" w:sz="0" w:space="0" w:color="auto"/>
        <w:bottom w:val="none" w:sz="0" w:space="0" w:color="auto"/>
        <w:right w:val="none" w:sz="0" w:space="0" w:color="auto"/>
      </w:divBdr>
    </w:div>
    <w:div w:id="2119178629">
      <w:bodyDiv w:val="1"/>
      <w:marLeft w:val="0"/>
      <w:marRight w:val="0"/>
      <w:marTop w:val="0"/>
      <w:marBottom w:val="0"/>
      <w:divBdr>
        <w:top w:val="none" w:sz="0" w:space="0" w:color="auto"/>
        <w:left w:val="none" w:sz="0" w:space="0" w:color="auto"/>
        <w:bottom w:val="none" w:sz="0" w:space="0" w:color="auto"/>
        <w:right w:val="none" w:sz="0" w:space="0" w:color="auto"/>
      </w:divBdr>
    </w:div>
    <w:div w:id="2128429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8B4EF60-7396-4DCF-AC3B-3FB368BAE0D5}">
    <t:Anchor>
      <t:Comment id="2062590059"/>
    </t:Anchor>
    <t:History>
      <t:Event id="{421D3B68-FAF0-485B-838C-B92065531B94}" time="2025-07-08T23:34:37.726Z">
        <t:Attribution userId="S::Verena.Pichler@dcceew.gov.au::dd666dcb-7ee5-425c-b38b-8c519d639f4a" userProvider="AD" userName="Verena PICHLER"/>
        <t:Anchor>
          <t:Comment id="1703525067"/>
        </t:Anchor>
        <t:Create/>
      </t:Event>
      <t:Event id="{5EC5794E-AC18-4682-98FF-075650548AD8}" time="2025-07-08T23:34:37.726Z">
        <t:Attribution userId="S::Verena.Pichler@dcceew.gov.au::dd666dcb-7ee5-425c-b38b-8c519d639f4a" userProvider="AD" userName="Verena PICHLER"/>
        <t:Anchor>
          <t:Comment id="1703525067"/>
        </t:Anchor>
        <t:Assign userId="S::Kirsten.Knox@dcceew.gov.au::da7bbbbd-676d-40dd-b871-68f32bd3f12b" userProvider="AD" userName="Kirsten KNOX"/>
      </t:Event>
      <t:Event id="{7AEE02A9-216B-4281-8DCF-8F5CDA7496C0}" time="2025-07-08T23:34:37.726Z">
        <t:Attribution userId="S::Verena.Pichler@dcceew.gov.au::dd666dcb-7ee5-425c-b38b-8c519d639f4a" userProvider="AD" userName="Verena PICHLER"/>
        <t:Anchor>
          <t:Comment id="1703525067"/>
        </t:Anchor>
        <t:SetTitle title="Assume of biomass? @Kirsten KNOX , can you confirm?"/>
      </t:Event>
      <t:Event id="{B59EBAD7-FC6F-4FF5-89B7-75F28230509A}" time="2025-07-09T07:20:10.464Z">
        <t:Attribution userId="S::Verena.Pichler@dcceew.gov.au::dd666dcb-7ee5-425c-b38b-8c519d639f4a" userProvider="AD" userName="Verena PICHL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95247a4-6a6b-40fb-87b6-0fb2f012c536" xsi:nil="true"/>
    <SharedWithUsers xmlns="0802d0eb-7bad-4cd2-a72b-adb0d3226537">
      <UserInfo>
        <DisplayName>Kwan, Kelvin</DisplayName>
        <AccountId>14</AccountId>
        <AccountType/>
      </UserInfo>
    </SharedWithUsers>
    <lcf76f155ced4ddcb4097134ff3c332f xmlns="33864d81-0e7d-42cc-b679-620ae13cfe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FBFD73CF21D64D83DD0F1D704C5864" ma:contentTypeVersion="6" ma:contentTypeDescription="Create a new document." ma:contentTypeScope="" ma:versionID="7e2b02e22489ccdce5a39760dff7969d">
  <xsd:schema xmlns:xsd="http://www.w3.org/2001/XMLSchema" xmlns:xs="http://www.w3.org/2001/XMLSchema" xmlns:p="http://schemas.microsoft.com/office/2006/metadata/properties" xmlns:ns1="http://schemas.microsoft.com/sharepoint/v3" xmlns:ns2="e8957c0a-88f0-48d8-84e6-1717e1b58c1a" xmlns:ns3="0802d0eb-7bad-4cd2-a72b-adb0d3226537" xmlns:ns4="33864d81-0e7d-42cc-b679-620ae13cfe5e" xmlns:ns5="a95247a4-6a6b-40fb-87b6-0fb2f012c536" targetNamespace="http://schemas.microsoft.com/office/2006/metadata/properties" ma:root="true" ma:fieldsID="7c52ff43481d9b10f667fd29741296af" ns1:_="" ns2:_="" ns3:_="" ns4:_="" ns5:_="">
    <xsd:import namespace="http://schemas.microsoft.com/sharepoint/v3"/>
    <xsd:import namespace="e8957c0a-88f0-48d8-84e6-1717e1b58c1a"/>
    <xsd:import namespace="0802d0eb-7bad-4cd2-a72b-adb0d3226537"/>
    <xsd:import namespace="33864d81-0e7d-42cc-b679-620ae13cfe5e"/>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57c0a-88f0-48d8-84e6-1717e1b58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64d81-0e7d-42cc-b679-620ae13cfe5e"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ea3b9d-704c-401e-861c-cb41707da411}"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2.xml><?xml version="1.0" encoding="utf-8"?>
<ds:datastoreItem xmlns:ds="http://schemas.openxmlformats.org/officeDocument/2006/customXml" ds:itemID="{AFFE9F61-AE24-4AFB-9460-F472018D9A4F}">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95247a4-6a6b-40fb-87b6-0fb2f012c536"/>
    <ds:schemaRef ds:uri="33864d81-0e7d-42cc-b679-620ae13cfe5e"/>
    <ds:schemaRef ds:uri="0802d0eb-7bad-4cd2-a72b-adb0d3226537"/>
    <ds:schemaRef ds:uri="http://purl.org/dc/dcmitype/"/>
    <ds:schemaRef ds:uri="e8957c0a-88f0-48d8-84e6-1717e1b58c1a"/>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A09CE6F0-B9CF-4F45-8905-BB28E877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57c0a-88f0-48d8-84e6-1717e1b58c1a"/>
    <ds:schemaRef ds:uri="0802d0eb-7bad-4cd2-a72b-adb0d3226537"/>
    <ds:schemaRef ds:uri="33864d81-0e7d-42cc-b679-620ae13cfe5e"/>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52</Pages>
  <Words>18645</Words>
  <Characters>106280</Characters>
  <Application>Microsoft Office Word</Application>
  <DocSecurity>4</DocSecurity>
  <Lines>885</Lines>
  <Paragraphs>249</Paragraphs>
  <ScaleCrop>false</ScaleCrop>
  <Company>Department of Agriculture Fisheries &amp; Forestry</Company>
  <LinksUpToDate>false</LinksUpToDate>
  <CharactersWithSpaces>124676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Verena PICHLER</cp:lastModifiedBy>
  <cp:revision>2</cp:revision>
  <cp:lastPrinted>2020-02-17T02:53:00Z</cp:lastPrinted>
  <dcterms:created xsi:type="dcterms:W3CDTF">2025-08-08T05:15:00Z</dcterms:created>
  <dcterms:modified xsi:type="dcterms:W3CDTF">2025-08-08T05:15:00Z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0x0101006EFBFD73CF21D64D83DD0F1D704C5864</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8,9,a,b,c,d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y fmtid="{D5CDD505-2E9C-101B-9397-08002B2CF9AE}" pid="9" name="Allocatedto">
    <vt:lpwstr/>
  </property>
  <property fmtid="{D5CDD505-2E9C-101B-9397-08002B2CF9AE}" pid="10" name="MediaServiceImageTags">
    <vt:lpwstr/>
  </property>
</Properties>
</file>