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0C620" w14:textId="0AA296EA" w:rsidR="00715914" w:rsidRPr="005F1388" w:rsidRDefault="00DA186E" w:rsidP="0056443E">
      <w:pPr>
        <w:tabs>
          <w:tab w:val="left" w:pos="2552"/>
        </w:tabs>
        <w:rPr>
          <w:sz w:val="28"/>
        </w:rPr>
      </w:pPr>
      <w:r>
        <w:rPr>
          <w:noProof/>
          <w:lang w:eastAsia="en-AU"/>
        </w:rPr>
        <w:drawing>
          <wp:inline distT="0" distB="0" distL="0" distR="0" wp14:anchorId="382BAAC4" wp14:editId="72E5B6C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B5D9A5B" w14:textId="77777777" w:rsidR="00715914" w:rsidRPr="00E500D4" w:rsidRDefault="00715914" w:rsidP="00715914">
      <w:pPr>
        <w:rPr>
          <w:sz w:val="19"/>
        </w:rPr>
      </w:pPr>
    </w:p>
    <w:p w14:paraId="49B42E4D" w14:textId="16045E58" w:rsidR="005B672D" w:rsidRDefault="005B672D" w:rsidP="00554826">
      <w:pPr>
        <w:pStyle w:val="ShortT"/>
      </w:pPr>
      <w:r w:rsidRPr="008A7B5D">
        <w:rPr>
          <w:noProof/>
          <w:sz w:val="26"/>
          <w:szCs w:val="26"/>
        </w:rPr>
        <mc:AlternateContent>
          <mc:Choice Requires="wps">
            <w:drawing>
              <wp:inline distT="0" distB="0" distL="0" distR="0" wp14:anchorId="40A411E9" wp14:editId="714FFD78">
                <wp:extent cx="5220000" cy="1090930"/>
                <wp:effectExtent l="19050" t="1905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000" cy="1090930"/>
                        </a:xfrm>
                        <a:prstGeom prst="rect">
                          <a:avLst/>
                        </a:prstGeom>
                        <a:solidFill>
                          <a:srgbClr val="FFFFFF"/>
                        </a:solidFill>
                        <a:ln w="28575">
                          <a:solidFill>
                            <a:srgbClr val="000000"/>
                          </a:solidFill>
                          <a:miter lim="800000"/>
                          <a:headEnd/>
                          <a:tailEnd/>
                        </a:ln>
                      </wps:spPr>
                      <wps:txbx>
                        <w:txbxContent>
                          <w:p w14:paraId="3B01CD06" w14:textId="77777777" w:rsidR="005B672D" w:rsidRPr="008A7B5D" w:rsidRDefault="005B672D" w:rsidP="005B672D">
                            <w:pPr>
                              <w:jc w:val="center"/>
                              <w:rPr>
                                <w:b/>
                                <w:bCs/>
                                <w:sz w:val="28"/>
                                <w:szCs w:val="24"/>
                              </w:rPr>
                            </w:pPr>
                            <w:r w:rsidRPr="008A7B5D">
                              <w:rPr>
                                <w:b/>
                                <w:bCs/>
                                <w:sz w:val="28"/>
                                <w:szCs w:val="24"/>
                              </w:rPr>
                              <w:t>EXPOSURE DRAFT</w:t>
                            </w:r>
                          </w:p>
                        </w:txbxContent>
                      </wps:txbx>
                      <wps:bodyPr rot="0" vert="horz" wrap="square" lIns="91440" tIns="45720" rIns="91440" bIns="45720" anchor="t" anchorCtr="0">
                        <a:spAutoFit/>
                      </wps:bodyPr>
                    </wps:wsp>
                  </a:graphicData>
                </a:graphic>
              </wp:inline>
            </w:drawing>
          </mc:Choice>
          <mc:Fallback>
            <w:pict>
              <v:shapetype w14:anchorId="40A411E9" id="_x0000_t202" coordsize="21600,21600" o:spt="202" path="m,l,21600r21600,l21600,xe">
                <v:stroke joinstyle="miter"/>
                <v:path gradientshapeok="t" o:connecttype="rect"/>
              </v:shapetype>
              <v:shape id="Text Box 2" o:spid="_x0000_s1026" type="#_x0000_t202" style="width:411pt;height:8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" strokeweight="2.25pt">
                <v:textbox style="mso-fit-shape-to-text:t">
                  <w:txbxContent>
                    <w:p w14:paraId="3B01CD06" w14:textId="77777777" w:rsidR="005B672D" w:rsidRPr="008A7B5D" w:rsidRDefault="005B672D" w:rsidP="005B672D">
                      <w:pPr>
                        <w:jc w:val="center"/>
                        <w:rPr>
                          <w:b/>
                          <w:bCs/>
                          <w:sz w:val="28"/>
                          <w:szCs w:val="24"/>
                        </w:rPr>
                      </w:pPr>
                      <w:r w:rsidRPr="008A7B5D">
                        <w:rPr>
                          <w:b/>
                          <w:bCs/>
                          <w:sz w:val="28"/>
                          <w:szCs w:val="24"/>
                        </w:rPr>
                        <w:t>EXPOSURE DRAFT</w:t>
                      </w:r>
                    </w:p>
                  </w:txbxContent>
                </v:textbox>
                <w10:anchorlock/>
              </v:shape>
            </w:pict>
          </mc:Fallback>
        </mc:AlternateContent>
      </w:r>
    </w:p>
    <w:p w14:paraId="50F78201" w14:textId="6D7557BF" w:rsidR="00554826" w:rsidRPr="00E500D4" w:rsidRDefault="000F58A5" w:rsidP="00554826">
      <w:pPr>
        <w:pStyle w:val="ShortT"/>
      </w:pPr>
      <w:r w:rsidRPr="000F58A5">
        <w:t>Carbon Credits (Carbon Farming Initiative—Savanna Fire Management—</w:t>
      </w:r>
      <w:r w:rsidR="005A59BF" w:rsidRPr="005A59BF">
        <w:rPr>
          <w:bCs/>
        </w:rPr>
        <w:t>Sequestration and Emissions Avoidance</w:t>
      </w:r>
      <w:r w:rsidRPr="000F58A5">
        <w:t>) Methodology Determination 2025</w:t>
      </w:r>
    </w:p>
    <w:p w14:paraId="42433E66" w14:textId="4172F892" w:rsidR="00554826" w:rsidRPr="00DA182D" w:rsidRDefault="00554826" w:rsidP="00554826">
      <w:pPr>
        <w:pStyle w:val="SignCoverPageStart"/>
        <w:spacing w:before="240"/>
        <w:ind w:right="91"/>
        <w:rPr>
          <w:szCs w:val="22"/>
        </w:rPr>
      </w:pPr>
      <w:r w:rsidRPr="00DA182D">
        <w:rPr>
          <w:szCs w:val="22"/>
        </w:rPr>
        <w:t xml:space="preserve">I, </w:t>
      </w:r>
      <w:r w:rsidR="008C5FCE" w:rsidRPr="008C5FCE">
        <w:rPr>
          <w:szCs w:val="22"/>
        </w:rPr>
        <w:t>Josh Wilson, Assistant Minister for Climate Change and Energy</w:t>
      </w:r>
      <w:r w:rsidR="008C5FCE">
        <w:rPr>
          <w:szCs w:val="22"/>
        </w:rPr>
        <w:t xml:space="preserve">, </w:t>
      </w:r>
      <w:r>
        <w:rPr>
          <w:szCs w:val="22"/>
        </w:rPr>
        <w:t xml:space="preserve">make the following </w:t>
      </w:r>
      <w:r w:rsidR="00E06F76">
        <w:rPr>
          <w:szCs w:val="22"/>
        </w:rPr>
        <w:t>methodology determination</w:t>
      </w:r>
      <w:r w:rsidRPr="00DA182D">
        <w:rPr>
          <w:szCs w:val="22"/>
        </w:rPr>
        <w:t>.</w:t>
      </w:r>
    </w:p>
    <w:p w14:paraId="28BDA752" w14:textId="77777777"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ab/>
      </w:r>
      <w:r w:rsidRPr="00001A63">
        <w:rPr>
          <w:szCs w:val="22"/>
        </w:rPr>
        <w:tab/>
      </w:r>
    </w:p>
    <w:p w14:paraId="0EC8CD95" w14:textId="4DA8D22F" w:rsidR="00554826" w:rsidRDefault="003E7FF7" w:rsidP="00554826">
      <w:pPr>
        <w:keepNext/>
        <w:tabs>
          <w:tab w:val="left" w:pos="3402"/>
        </w:tabs>
        <w:spacing w:before="1440" w:line="300" w:lineRule="atLeast"/>
        <w:ind w:right="397"/>
        <w:rPr>
          <w:b/>
          <w:szCs w:val="22"/>
        </w:rPr>
      </w:pPr>
      <w:r w:rsidRPr="008C5FCE">
        <w:rPr>
          <w:szCs w:val="22"/>
        </w:rPr>
        <w:t>Josh Wilson</w:t>
      </w:r>
      <w:r>
        <w:rPr>
          <w:szCs w:val="22"/>
        </w:rPr>
        <w:t xml:space="preserve"> </w:t>
      </w:r>
      <w:r w:rsidR="00554826" w:rsidRPr="00911BA0">
        <w:rPr>
          <w:b/>
          <w:szCs w:val="22"/>
          <w:highlight w:val="lightGray"/>
        </w:rPr>
        <w:t>DRAFT ONLY—NOT FOR</w:t>
      </w:r>
      <w:r w:rsidR="00554826">
        <w:rPr>
          <w:b/>
          <w:szCs w:val="22"/>
          <w:highlight w:val="lightGray"/>
        </w:rPr>
        <w:t xml:space="preserve"> SIGNATURE</w:t>
      </w:r>
    </w:p>
    <w:p w14:paraId="488389F8" w14:textId="741D6766" w:rsidR="00554826" w:rsidRPr="003E7FF7" w:rsidRDefault="003E7FF7" w:rsidP="00554826">
      <w:pPr>
        <w:pStyle w:val="SignCoverPageEnd"/>
        <w:ind w:right="91"/>
        <w:rPr>
          <w:sz w:val="22"/>
          <w:szCs w:val="22"/>
        </w:rPr>
      </w:pPr>
      <w:r w:rsidRPr="003E7FF7">
        <w:rPr>
          <w:sz w:val="22"/>
          <w:szCs w:val="22"/>
        </w:rPr>
        <w:t>Assistant Minister for Climate Change and Energy</w:t>
      </w:r>
    </w:p>
    <w:p w14:paraId="7950DBD0" w14:textId="77777777" w:rsidR="00554826" w:rsidRDefault="00554826" w:rsidP="00554826"/>
    <w:p w14:paraId="2E0DA9E8" w14:textId="77777777" w:rsidR="00554826" w:rsidRPr="00ED79B6" w:rsidRDefault="00554826" w:rsidP="00554826"/>
    <w:p w14:paraId="5D3C001F" w14:textId="77777777" w:rsidR="00F6696E" w:rsidRDefault="00F6696E" w:rsidP="00F6696E"/>
    <w:p w14:paraId="61DD931B" w14:textId="77777777" w:rsidR="00F6696E" w:rsidRDefault="00F6696E" w:rsidP="00F6696E">
      <w:pPr>
        <w:sectPr w:rsidR="00F6696E" w:rsidSect="00F6696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720" w:footer="989" w:gutter="0"/>
          <w:pgNumType w:start="1"/>
          <w:cols w:space="708"/>
          <w:titlePg/>
          <w:docGrid w:linePitch="360"/>
        </w:sectPr>
      </w:pPr>
    </w:p>
    <w:p w14:paraId="0C615797" w14:textId="77777777" w:rsidR="007500C8" w:rsidRDefault="00715914" w:rsidP="00715914">
      <w:pPr>
        <w:outlineLvl w:val="0"/>
        <w:rPr>
          <w:sz w:val="36"/>
        </w:rPr>
      </w:pPr>
      <w:r w:rsidRPr="007A1328">
        <w:rPr>
          <w:sz w:val="36"/>
        </w:rPr>
        <w:lastRenderedPageBreak/>
        <w:t>Contents</w:t>
      </w:r>
    </w:p>
    <w:p w14:paraId="47611215" w14:textId="09BF7BFE" w:rsidR="00EC67DC" w:rsidRDefault="00B418CB">
      <w:pPr>
        <w:pStyle w:val="TOC2"/>
        <w:rPr>
          <w:rFonts w:asciiTheme="minorHAnsi" w:eastAsiaTheme="minorEastAsia" w:hAnsiTheme="minorHAnsi" w:cstheme="minorBidi"/>
          <w:b w:val="0"/>
          <w:noProof/>
          <w:kern w:val="2"/>
          <w:szCs w:val="24"/>
          <w14:ligatures w14:val="standardContextual"/>
        </w:rPr>
      </w:pPr>
      <w:r>
        <w:rPr>
          <w:sz w:val="18"/>
        </w:rPr>
        <w:fldChar w:fldCharType="begin"/>
      </w:r>
      <w:r>
        <w:instrText xml:space="preserve"> TOC \o "1-9" </w:instrText>
      </w:r>
      <w:r>
        <w:rPr>
          <w:sz w:val="18"/>
        </w:rPr>
        <w:fldChar w:fldCharType="separate"/>
      </w:r>
      <w:r w:rsidR="00EC67DC">
        <w:rPr>
          <w:noProof/>
        </w:rPr>
        <w:t>Part 1—Preliminary</w:t>
      </w:r>
      <w:r w:rsidR="00EC67DC">
        <w:rPr>
          <w:noProof/>
        </w:rPr>
        <w:tab/>
      </w:r>
      <w:r w:rsidR="00EC67DC">
        <w:rPr>
          <w:noProof/>
        </w:rPr>
        <w:fldChar w:fldCharType="begin"/>
      </w:r>
      <w:r w:rsidR="00EC67DC">
        <w:rPr>
          <w:noProof/>
        </w:rPr>
        <w:instrText xml:space="preserve"> PAGEREF _Toc202953782 \h </w:instrText>
      </w:r>
      <w:r w:rsidR="00EC67DC">
        <w:rPr>
          <w:noProof/>
        </w:rPr>
      </w:r>
      <w:r w:rsidR="00EC67DC">
        <w:rPr>
          <w:noProof/>
        </w:rPr>
        <w:fldChar w:fldCharType="separate"/>
      </w:r>
      <w:r w:rsidR="00105D2E">
        <w:rPr>
          <w:noProof/>
        </w:rPr>
        <w:t>1</w:t>
      </w:r>
      <w:r w:rsidR="00EC67DC">
        <w:rPr>
          <w:noProof/>
        </w:rPr>
        <w:fldChar w:fldCharType="end"/>
      </w:r>
    </w:p>
    <w:p w14:paraId="71FF7A2E" w14:textId="4FDB3F9C"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1  Name</w:t>
      </w:r>
      <w:r>
        <w:rPr>
          <w:noProof/>
        </w:rPr>
        <w:tab/>
      </w:r>
      <w:r>
        <w:rPr>
          <w:noProof/>
        </w:rPr>
        <w:fldChar w:fldCharType="begin"/>
      </w:r>
      <w:r>
        <w:rPr>
          <w:noProof/>
        </w:rPr>
        <w:instrText xml:space="preserve"> PAGEREF _Toc202953783 \h </w:instrText>
      </w:r>
      <w:r>
        <w:rPr>
          <w:noProof/>
        </w:rPr>
      </w:r>
      <w:r>
        <w:rPr>
          <w:noProof/>
        </w:rPr>
        <w:fldChar w:fldCharType="separate"/>
      </w:r>
      <w:r w:rsidR="00105D2E">
        <w:rPr>
          <w:noProof/>
        </w:rPr>
        <w:t>1</w:t>
      </w:r>
      <w:r>
        <w:rPr>
          <w:noProof/>
        </w:rPr>
        <w:fldChar w:fldCharType="end"/>
      </w:r>
    </w:p>
    <w:p w14:paraId="70FF2CA5" w14:textId="6C55DC30"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_Toc202953784 \h </w:instrText>
      </w:r>
      <w:r>
        <w:rPr>
          <w:noProof/>
        </w:rPr>
      </w:r>
      <w:r>
        <w:rPr>
          <w:noProof/>
        </w:rPr>
        <w:fldChar w:fldCharType="separate"/>
      </w:r>
      <w:r w:rsidR="00105D2E">
        <w:rPr>
          <w:noProof/>
        </w:rPr>
        <w:t>1</w:t>
      </w:r>
      <w:r>
        <w:rPr>
          <w:noProof/>
        </w:rPr>
        <w:fldChar w:fldCharType="end"/>
      </w:r>
    </w:p>
    <w:p w14:paraId="0860B28D" w14:textId="03D6D986"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_Toc202953785 \h </w:instrText>
      </w:r>
      <w:r>
        <w:rPr>
          <w:noProof/>
        </w:rPr>
      </w:r>
      <w:r>
        <w:rPr>
          <w:noProof/>
        </w:rPr>
        <w:fldChar w:fldCharType="separate"/>
      </w:r>
      <w:r w:rsidR="00105D2E">
        <w:rPr>
          <w:noProof/>
        </w:rPr>
        <w:t>1</w:t>
      </w:r>
      <w:r>
        <w:rPr>
          <w:noProof/>
        </w:rPr>
        <w:fldChar w:fldCharType="end"/>
      </w:r>
    </w:p>
    <w:p w14:paraId="00AE8166" w14:textId="5CD8B5F8"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3A  Schedules</w:t>
      </w:r>
      <w:r>
        <w:rPr>
          <w:noProof/>
        </w:rPr>
        <w:tab/>
      </w:r>
      <w:r>
        <w:rPr>
          <w:noProof/>
        </w:rPr>
        <w:fldChar w:fldCharType="begin"/>
      </w:r>
      <w:r>
        <w:rPr>
          <w:noProof/>
        </w:rPr>
        <w:instrText xml:space="preserve"> PAGEREF _Toc202953786 \h </w:instrText>
      </w:r>
      <w:r>
        <w:rPr>
          <w:noProof/>
        </w:rPr>
      </w:r>
      <w:r>
        <w:rPr>
          <w:noProof/>
        </w:rPr>
        <w:fldChar w:fldCharType="separate"/>
      </w:r>
      <w:r w:rsidR="00105D2E">
        <w:rPr>
          <w:noProof/>
        </w:rPr>
        <w:t>1</w:t>
      </w:r>
      <w:r>
        <w:rPr>
          <w:noProof/>
        </w:rPr>
        <w:fldChar w:fldCharType="end"/>
      </w:r>
    </w:p>
    <w:p w14:paraId="41A6E60B" w14:textId="59526273"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4  Duration</w:t>
      </w:r>
      <w:r>
        <w:rPr>
          <w:noProof/>
        </w:rPr>
        <w:tab/>
      </w:r>
      <w:r>
        <w:rPr>
          <w:noProof/>
        </w:rPr>
        <w:fldChar w:fldCharType="begin"/>
      </w:r>
      <w:r>
        <w:rPr>
          <w:noProof/>
        </w:rPr>
        <w:instrText xml:space="preserve"> PAGEREF _Toc202953787 \h </w:instrText>
      </w:r>
      <w:r>
        <w:rPr>
          <w:noProof/>
        </w:rPr>
      </w:r>
      <w:r>
        <w:rPr>
          <w:noProof/>
        </w:rPr>
        <w:fldChar w:fldCharType="separate"/>
      </w:r>
      <w:r w:rsidR="00105D2E">
        <w:rPr>
          <w:noProof/>
        </w:rPr>
        <w:t>1</w:t>
      </w:r>
      <w:r>
        <w:rPr>
          <w:noProof/>
        </w:rPr>
        <w:fldChar w:fldCharType="end"/>
      </w:r>
    </w:p>
    <w:p w14:paraId="3AD4127C" w14:textId="002A672A"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5  Definitions</w:t>
      </w:r>
      <w:r>
        <w:rPr>
          <w:noProof/>
        </w:rPr>
        <w:tab/>
      </w:r>
      <w:r>
        <w:rPr>
          <w:noProof/>
        </w:rPr>
        <w:fldChar w:fldCharType="begin"/>
      </w:r>
      <w:r>
        <w:rPr>
          <w:noProof/>
        </w:rPr>
        <w:instrText xml:space="preserve"> PAGEREF _Toc202953788 \h </w:instrText>
      </w:r>
      <w:r>
        <w:rPr>
          <w:noProof/>
        </w:rPr>
      </w:r>
      <w:r>
        <w:rPr>
          <w:noProof/>
        </w:rPr>
        <w:fldChar w:fldCharType="separate"/>
      </w:r>
      <w:r w:rsidR="00105D2E">
        <w:rPr>
          <w:noProof/>
        </w:rPr>
        <w:t>2</w:t>
      </w:r>
      <w:r>
        <w:rPr>
          <w:noProof/>
        </w:rPr>
        <w:fldChar w:fldCharType="end"/>
      </w:r>
    </w:p>
    <w:p w14:paraId="74D5DFDB" w14:textId="0C38960B"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6  Meaning of </w:t>
      </w:r>
      <w:r w:rsidRPr="001E2337">
        <w:rPr>
          <w:i/>
          <w:iCs/>
          <w:noProof/>
        </w:rPr>
        <w:t>fire season</w:t>
      </w:r>
      <w:r w:rsidRPr="001E2337">
        <w:rPr>
          <w:bCs/>
          <w:noProof/>
        </w:rPr>
        <w:t>,</w:t>
      </w:r>
      <w:r>
        <w:rPr>
          <w:noProof/>
        </w:rPr>
        <w:t> </w:t>
      </w:r>
      <w:r w:rsidRPr="001E2337">
        <w:rPr>
          <w:i/>
          <w:iCs/>
          <w:noProof/>
        </w:rPr>
        <w:t>early dry season</w:t>
      </w:r>
      <w:r>
        <w:rPr>
          <w:noProof/>
        </w:rPr>
        <w:t> </w:t>
      </w:r>
      <w:r w:rsidRPr="001E2337">
        <w:rPr>
          <w:bCs/>
          <w:noProof/>
        </w:rPr>
        <w:t>and</w:t>
      </w:r>
      <w:r>
        <w:rPr>
          <w:noProof/>
        </w:rPr>
        <w:t> </w:t>
      </w:r>
      <w:r w:rsidRPr="001E2337">
        <w:rPr>
          <w:i/>
          <w:iCs/>
          <w:noProof/>
        </w:rPr>
        <w:t>late dry season</w:t>
      </w:r>
      <w:r>
        <w:rPr>
          <w:noProof/>
        </w:rPr>
        <w:tab/>
      </w:r>
      <w:r>
        <w:rPr>
          <w:noProof/>
        </w:rPr>
        <w:fldChar w:fldCharType="begin"/>
      </w:r>
      <w:r>
        <w:rPr>
          <w:noProof/>
        </w:rPr>
        <w:instrText xml:space="preserve"> PAGEREF _Toc202953789 \h </w:instrText>
      </w:r>
      <w:r>
        <w:rPr>
          <w:noProof/>
        </w:rPr>
      </w:r>
      <w:r>
        <w:rPr>
          <w:noProof/>
        </w:rPr>
        <w:fldChar w:fldCharType="separate"/>
      </w:r>
      <w:r w:rsidR="00105D2E">
        <w:rPr>
          <w:noProof/>
        </w:rPr>
        <w:t>5</w:t>
      </w:r>
      <w:r>
        <w:rPr>
          <w:noProof/>
        </w:rPr>
        <w:fldChar w:fldCharType="end"/>
      </w:r>
    </w:p>
    <w:p w14:paraId="4BF9D955" w14:textId="578967B8"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7  Meaning of </w:t>
      </w:r>
      <w:r w:rsidRPr="001E2337">
        <w:rPr>
          <w:i/>
          <w:iCs/>
          <w:noProof/>
        </w:rPr>
        <w:t>baseline period</w:t>
      </w:r>
      <w:r>
        <w:rPr>
          <w:noProof/>
        </w:rPr>
        <w:tab/>
      </w:r>
      <w:r>
        <w:rPr>
          <w:noProof/>
        </w:rPr>
        <w:fldChar w:fldCharType="begin"/>
      </w:r>
      <w:r>
        <w:rPr>
          <w:noProof/>
        </w:rPr>
        <w:instrText xml:space="preserve"> PAGEREF _Toc202953790 \h </w:instrText>
      </w:r>
      <w:r>
        <w:rPr>
          <w:noProof/>
        </w:rPr>
      </w:r>
      <w:r>
        <w:rPr>
          <w:noProof/>
        </w:rPr>
        <w:fldChar w:fldCharType="separate"/>
      </w:r>
      <w:r w:rsidR="00105D2E">
        <w:rPr>
          <w:noProof/>
        </w:rPr>
        <w:t>6</w:t>
      </w:r>
      <w:r>
        <w:rPr>
          <w:noProof/>
        </w:rPr>
        <w:fldChar w:fldCharType="end"/>
      </w:r>
    </w:p>
    <w:p w14:paraId="4B13669F" w14:textId="7CCE31A0"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8  Updates to external documents as in force from time to time</w:t>
      </w:r>
      <w:r>
        <w:rPr>
          <w:noProof/>
        </w:rPr>
        <w:tab/>
      </w:r>
      <w:r>
        <w:rPr>
          <w:noProof/>
        </w:rPr>
        <w:fldChar w:fldCharType="begin"/>
      </w:r>
      <w:r>
        <w:rPr>
          <w:noProof/>
        </w:rPr>
        <w:instrText xml:space="preserve"> PAGEREF _Toc202953791 \h </w:instrText>
      </w:r>
      <w:r>
        <w:rPr>
          <w:noProof/>
        </w:rPr>
      </w:r>
      <w:r>
        <w:rPr>
          <w:noProof/>
        </w:rPr>
        <w:fldChar w:fldCharType="separate"/>
      </w:r>
      <w:r w:rsidR="00105D2E">
        <w:rPr>
          <w:noProof/>
        </w:rPr>
        <w:t>6</w:t>
      </w:r>
      <w:r>
        <w:rPr>
          <w:noProof/>
        </w:rPr>
        <w:fldChar w:fldCharType="end"/>
      </w:r>
    </w:p>
    <w:p w14:paraId="4254CC4F" w14:textId="387F9840"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9  Factors and parameters from external sources</w:t>
      </w:r>
      <w:r>
        <w:rPr>
          <w:noProof/>
        </w:rPr>
        <w:tab/>
      </w:r>
      <w:r>
        <w:rPr>
          <w:noProof/>
        </w:rPr>
        <w:fldChar w:fldCharType="begin"/>
      </w:r>
      <w:r>
        <w:rPr>
          <w:noProof/>
        </w:rPr>
        <w:instrText xml:space="preserve"> PAGEREF _Toc202953792 \h </w:instrText>
      </w:r>
      <w:r>
        <w:rPr>
          <w:noProof/>
        </w:rPr>
      </w:r>
      <w:r>
        <w:rPr>
          <w:noProof/>
        </w:rPr>
        <w:fldChar w:fldCharType="separate"/>
      </w:r>
      <w:r w:rsidR="00105D2E">
        <w:rPr>
          <w:noProof/>
        </w:rPr>
        <w:t>7</w:t>
      </w:r>
      <w:r>
        <w:rPr>
          <w:noProof/>
        </w:rPr>
        <w:fldChar w:fldCharType="end"/>
      </w:r>
    </w:p>
    <w:p w14:paraId="4A2ED7C7" w14:textId="3DC59024" w:rsidR="00EC67DC" w:rsidRDefault="00EC67DC">
      <w:pPr>
        <w:pStyle w:val="TOC2"/>
        <w:rPr>
          <w:rFonts w:asciiTheme="minorHAnsi" w:eastAsiaTheme="minorEastAsia" w:hAnsiTheme="minorHAnsi" w:cstheme="minorBidi"/>
          <w:b w:val="0"/>
          <w:noProof/>
          <w:kern w:val="2"/>
          <w:szCs w:val="24"/>
          <w14:ligatures w14:val="standardContextual"/>
        </w:rPr>
      </w:pPr>
      <w:r>
        <w:rPr>
          <w:noProof/>
        </w:rPr>
        <w:t>Part 2—</w:t>
      </w:r>
      <w:r w:rsidRPr="001E2337">
        <w:rPr>
          <w:rFonts w:eastAsiaTheme="minorHAnsi" w:cstheme="minorBidi"/>
          <w:b w:val="0"/>
          <w:noProof/>
          <w:kern w:val="0"/>
          <w:lang w:eastAsia="en-US"/>
        </w:rPr>
        <w:t xml:space="preserve"> </w:t>
      </w:r>
      <w:r>
        <w:rPr>
          <w:noProof/>
        </w:rPr>
        <w:t>Savanna sequestration projects</w:t>
      </w:r>
      <w:r>
        <w:rPr>
          <w:noProof/>
        </w:rPr>
        <w:tab/>
      </w:r>
      <w:r>
        <w:rPr>
          <w:noProof/>
        </w:rPr>
        <w:fldChar w:fldCharType="begin"/>
      </w:r>
      <w:r>
        <w:rPr>
          <w:noProof/>
        </w:rPr>
        <w:instrText xml:space="preserve"> PAGEREF _Toc202953793 \h </w:instrText>
      </w:r>
      <w:r>
        <w:rPr>
          <w:noProof/>
        </w:rPr>
      </w:r>
      <w:r>
        <w:rPr>
          <w:noProof/>
        </w:rPr>
        <w:fldChar w:fldCharType="separate"/>
      </w:r>
      <w:r w:rsidR="00105D2E">
        <w:rPr>
          <w:noProof/>
        </w:rPr>
        <w:t>7</w:t>
      </w:r>
      <w:r>
        <w:rPr>
          <w:noProof/>
        </w:rPr>
        <w:fldChar w:fldCharType="end"/>
      </w:r>
    </w:p>
    <w:p w14:paraId="0218C869" w14:textId="70DA45E5"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10  Savanna sequestration projects</w:t>
      </w:r>
      <w:r>
        <w:rPr>
          <w:noProof/>
        </w:rPr>
        <w:tab/>
      </w:r>
      <w:r>
        <w:rPr>
          <w:noProof/>
        </w:rPr>
        <w:fldChar w:fldCharType="begin"/>
      </w:r>
      <w:r>
        <w:rPr>
          <w:noProof/>
        </w:rPr>
        <w:instrText xml:space="preserve"> PAGEREF _Toc202953794 \h </w:instrText>
      </w:r>
      <w:r>
        <w:rPr>
          <w:noProof/>
        </w:rPr>
      </w:r>
      <w:r>
        <w:rPr>
          <w:noProof/>
        </w:rPr>
        <w:fldChar w:fldCharType="separate"/>
      </w:r>
      <w:r w:rsidR="00105D2E">
        <w:rPr>
          <w:noProof/>
        </w:rPr>
        <w:t>7</w:t>
      </w:r>
      <w:r>
        <w:rPr>
          <w:noProof/>
        </w:rPr>
        <w:fldChar w:fldCharType="end"/>
      </w:r>
    </w:p>
    <w:p w14:paraId="0BCD12D4" w14:textId="3ACF0372" w:rsidR="00EC67DC" w:rsidRDefault="00EC67DC">
      <w:pPr>
        <w:pStyle w:val="TOC2"/>
        <w:rPr>
          <w:rFonts w:asciiTheme="minorHAnsi" w:eastAsiaTheme="minorEastAsia" w:hAnsiTheme="minorHAnsi" w:cstheme="minorBidi"/>
          <w:b w:val="0"/>
          <w:noProof/>
          <w:kern w:val="2"/>
          <w:szCs w:val="24"/>
          <w14:ligatures w14:val="standardContextual"/>
        </w:rPr>
      </w:pPr>
      <w:r>
        <w:rPr>
          <w:noProof/>
        </w:rPr>
        <w:t>Part 3—Project requirements</w:t>
      </w:r>
      <w:r>
        <w:rPr>
          <w:noProof/>
        </w:rPr>
        <w:tab/>
      </w:r>
      <w:r>
        <w:rPr>
          <w:noProof/>
        </w:rPr>
        <w:fldChar w:fldCharType="begin"/>
      </w:r>
      <w:r>
        <w:rPr>
          <w:noProof/>
        </w:rPr>
        <w:instrText xml:space="preserve"> PAGEREF _Toc202953795 \h </w:instrText>
      </w:r>
      <w:r>
        <w:rPr>
          <w:noProof/>
        </w:rPr>
      </w:r>
      <w:r>
        <w:rPr>
          <w:noProof/>
        </w:rPr>
        <w:fldChar w:fldCharType="separate"/>
      </w:r>
      <w:r w:rsidR="00105D2E">
        <w:rPr>
          <w:noProof/>
        </w:rPr>
        <w:t>8</w:t>
      </w:r>
      <w:r>
        <w:rPr>
          <w:noProof/>
        </w:rPr>
        <w:fldChar w:fldCharType="end"/>
      </w:r>
    </w:p>
    <w:p w14:paraId="555808B6" w14:textId="224E09FD" w:rsidR="00EC67DC" w:rsidRDefault="00EC67DC">
      <w:pPr>
        <w:pStyle w:val="TOC3"/>
        <w:rPr>
          <w:rFonts w:asciiTheme="minorHAnsi" w:eastAsiaTheme="minorEastAsia" w:hAnsiTheme="minorHAnsi" w:cstheme="minorBidi"/>
          <w:b w:val="0"/>
          <w:noProof/>
          <w:kern w:val="2"/>
          <w:sz w:val="24"/>
          <w:szCs w:val="24"/>
          <w14:ligatures w14:val="standardContextual"/>
        </w:rPr>
      </w:pPr>
      <w:r>
        <w:rPr>
          <w:noProof/>
        </w:rPr>
        <w:t>Division 1—General</w:t>
      </w:r>
      <w:r>
        <w:rPr>
          <w:noProof/>
        </w:rPr>
        <w:tab/>
      </w:r>
      <w:r>
        <w:rPr>
          <w:noProof/>
        </w:rPr>
        <w:fldChar w:fldCharType="begin"/>
      </w:r>
      <w:r>
        <w:rPr>
          <w:noProof/>
        </w:rPr>
        <w:instrText xml:space="preserve"> PAGEREF _Toc202953796 \h </w:instrText>
      </w:r>
      <w:r>
        <w:rPr>
          <w:noProof/>
        </w:rPr>
      </w:r>
      <w:r>
        <w:rPr>
          <w:noProof/>
        </w:rPr>
        <w:fldChar w:fldCharType="separate"/>
      </w:r>
      <w:r w:rsidR="00105D2E">
        <w:rPr>
          <w:noProof/>
        </w:rPr>
        <w:t>8</w:t>
      </w:r>
      <w:r>
        <w:rPr>
          <w:noProof/>
        </w:rPr>
        <w:fldChar w:fldCharType="end"/>
      </w:r>
    </w:p>
    <w:p w14:paraId="2D5319B5" w14:textId="44EFE808"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11  Operation of this Part</w:t>
      </w:r>
      <w:r>
        <w:rPr>
          <w:noProof/>
        </w:rPr>
        <w:tab/>
      </w:r>
      <w:r>
        <w:rPr>
          <w:noProof/>
        </w:rPr>
        <w:fldChar w:fldCharType="begin"/>
      </w:r>
      <w:r>
        <w:rPr>
          <w:noProof/>
        </w:rPr>
        <w:instrText xml:space="preserve"> PAGEREF _Toc202953797 \h </w:instrText>
      </w:r>
      <w:r>
        <w:rPr>
          <w:noProof/>
        </w:rPr>
      </w:r>
      <w:r>
        <w:rPr>
          <w:noProof/>
        </w:rPr>
        <w:fldChar w:fldCharType="separate"/>
      </w:r>
      <w:r w:rsidR="00105D2E">
        <w:rPr>
          <w:noProof/>
        </w:rPr>
        <w:t>8</w:t>
      </w:r>
      <w:r>
        <w:rPr>
          <w:noProof/>
        </w:rPr>
        <w:fldChar w:fldCharType="end"/>
      </w:r>
    </w:p>
    <w:p w14:paraId="680DF903" w14:textId="5A1307AE" w:rsidR="00EC67DC" w:rsidRDefault="00EC67DC">
      <w:pPr>
        <w:pStyle w:val="TOC3"/>
        <w:rPr>
          <w:rFonts w:asciiTheme="minorHAnsi" w:eastAsiaTheme="minorEastAsia" w:hAnsiTheme="minorHAnsi" w:cstheme="minorBidi"/>
          <w:b w:val="0"/>
          <w:noProof/>
          <w:kern w:val="2"/>
          <w:sz w:val="24"/>
          <w:szCs w:val="24"/>
          <w14:ligatures w14:val="standardContextual"/>
        </w:rPr>
      </w:pPr>
      <w:r>
        <w:rPr>
          <w:noProof/>
        </w:rPr>
        <w:t>Division 2—Project area</w:t>
      </w:r>
      <w:r>
        <w:rPr>
          <w:noProof/>
        </w:rPr>
        <w:tab/>
      </w:r>
      <w:r>
        <w:rPr>
          <w:noProof/>
        </w:rPr>
        <w:fldChar w:fldCharType="begin"/>
      </w:r>
      <w:r>
        <w:rPr>
          <w:noProof/>
        </w:rPr>
        <w:instrText xml:space="preserve"> PAGEREF _Toc202953798 \h </w:instrText>
      </w:r>
      <w:r>
        <w:rPr>
          <w:noProof/>
        </w:rPr>
      </w:r>
      <w:r>
        <w:rPr>
          <w:noProof/>
        </w:rPr>
        <w:fldChar w:fldCharType="separate"/>
      </w:r>
      <w:r w:rsidR="00105D2E">
        <w:rPr>
          <w:noProof/>
        </w:rPr>
        <w:t>8</w:t>
      </w:r>
      <w:r>
        <w:rPr>
          <w:noProof/>
        </w:rPr>
        <w:fldChar w:fldCharType="end"/>
      </w:r>
    </w:p>
    <w:p w14:paraId="7B16D422" w14:textId="401CFE22"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 xml:space="preserve">12  </w:t>
      </w:r>
      <w:r w:rsidRPr="001E2337">
        <w:rPr>
          <w:bCs/>
          <w:noProof/>
        </w:rPr>
        <w:t>Requirement to be in high or low rainfall zone</w:t>
      </w:r>
      <w:r>
        <w:rPr>
          <w:noProof/>
        </w:rPr>
        <w:tab/>
      </w:r>
      <w:r>
        <w:rPr>
          <w:noProof/>
        </w:rPr>
        <w:fldChar w:fldCharType="begin"/>
      </w:r>
      <w:r>
        <w:rPr>
          <w:noProof/>
        </w:rPr>
        <w:instrText xml:space="preserve"> PAGEREF _Toc202953799 \h </w:instrText>
      </w:r>
      <w:r>
        <w:rPr>
          <w:noProof/>
        </w:rPr>
      </w:r>
      <w:r>
        <w:rPr>
          <w:noProof/>
        </w:rPr>
        <w:fldChar w:fldCharType="separate"/>
      </w:r>
      <w:r w:rsidR="00105D2E">
        <w:rPr>
          <w:noProof/>
        </w:rPr>
        <w:t>8</w:t>
      </w:r>
      <w:r>
        <w:rPr>
          <w:noProof/>
        </w:rPr>
        <w:fldChar w:fldCharType="end"/>
      </w:r>
    </w:p>
    <w:p w14:paraId="35D519B5" w14:textId="59F40B4D"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 xml:space="preserve">13  </w:t>
      </w:r>
      <w:r w:rsidRPr="001E2337">
        <w:rPr>
          <w:bCs/>
          <w:noProof/>
        </w:rPr>
        <w:t>Requirement to maintain vegetation fuel types</w:t>
      </w:r>
      <w:r>
        <w:rPr>
          <w:noProof/>
        </w:rPr>
        <w:tab/>
      </w:r>
      <w:r>
        <w:rPr>
          <w:noProof/>
        </w:rPr>
        <w:fldChar w:fldCharType="begin"/>
      </w:r>
      <w:r>
        <w:rPr>
          <w:noProof/>
        </w:rPr>
        <w:instrText xml:space="preserve"> PAGEREF _Toc202953800 \h </w:instrText>
      </w:r>
      <w:r>
        <w:rPr>
          <w:noProof/>
        </w:rPr>
      </w:r>
      <w:r>
        <w:rPr>
          <w:noProof/>
        </w:rPr>
        <w:fldChar w:fldCharType="separate"/>
      </w:r>
      <w:r w:rsidR="00105D2E">
        <w:rPr>
          <w:noProof/>
        </w:rPr>
        <w:t>8</w:t>
      </w:r>
      <w:r>
        <w:rPr>
          <w:noProof/>
        </w:rPr>
        <w:fldChar w:fldCharType="end"/>
      </w:r>
    </w:p>
    <w:p w14:paraId="4B480A3F" w14:textId="1455CD26"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14  Requirement to manage relevant weed species</w:t>
      </w:r>
      <w:r>
        <w:rPr>
          <w:noProof/>
        </w:rPr>
        <w:tab/>
      </w:r>
      <w:r>
        <w:rPr>
          <w:noProof/>
        </w:rPr>
        <w:fldChar w:fldCharType="begin"/>
      </w:r>
      <w:r>
        <w:rPr>
          <w:noProof/>
        </w:rPr>
        <w:instrText xml:space="preserve"> PAGEREF _Toc202953801 \h </w:instrText>
      </w:r>
      <w:r>
        <w:rPr>
          <w:noProof/>
        </w:rPr>
      </w:r>
      <w:r>
        <w:rPr>
          <w:noProof/>
        </w:rPr>
        <w:fldChar w:fldCharType="separate"/>
      </w:r>
      <w:r w:rsidR="00105D2E">
        <w:rPr>
          <w:noProof/>
        </w:rPr>
        <w:t>9</w:t>
      </w:r>
      <w:r>
        <w:rPr>
          <w:noProof/>
        </w:rPr>
        <w:fldChar w:fldCharType="end"/>
      </w:r>
    </w:p>
    <w:p w14:paraId="25BDF665" w14:textId="71FC307B"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15  Project area not to contain previously removed areas</w:t>
      </w:r>
      <w:r>
        <w:rPr>
          <w:noProof/>
        </w:rPr>
        <w:tab/>
      </w:r>
      <w:r>
        <w:rPr>
          <w:noProof/>
        </w:rPr>
        <w:fldChar w:fldCharType="begin"/>
      </w:r>
      <w:r>
        <w:rPr>
          <w:noProof/>
        </w:rPr>
        <w:instrText xml:space="preserve"> PAGEREF _Toc202953802 \h </w:instrText>
      </w:r>
      <w:r>
        <w:rPr>
          <w:noProof/>
        </w:rPr>
      </w:r>
      <w:r>
        <w:rPr>
          <w:noProof/>
        </w:rPr>
        <w:fldChar w:fldCharType="separate"/>
      </w:r>
      <w:r w:rsidR="00105D2E">
        <w:rPr>
          <w:noProof/>
        </w:rPr>
        <w:t>10</w:t>
      </w:r>
      <w:r>
        <w:rPr>
          <w:noProof/>
        </w:rPr>
        <w:fldChar w:fldCharType="end"/>
      </w:r>
    </w:p>
    <w:p w14:paraId="03A23C90" w14:textId="19FB8EB5"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 xml:space="preserve">16  </w:t>
      </w:r>
      <w:r w:rsidRPr="001E2337">
        <w:rPr>
          <w:bCs/>
          <w:noProof/>
          <w:color w:val="000000"/>
        </w:rPr>
        <w:t>Variations to project areas</w:t>
      </w:r>
      <w:r>
        <w:rPr>
          <w:noProof/>
        </w:rPr>
        <w:tab/>
      </w:r>
      <w:r>
        <w:rPr>
          <w:noProof/>
        </w:rPr>
        <w:fldChar w:fldCharType="begin"/>
      </w:r>
      <w:r>
        <w:rPr>
          <w:noProof/>
        </w:rPr>
        <w:instrText xml:space="preserve"> PAGEREF _Toc202953803 \h </w:instrText>
      </w:r>
      <w:r>
        <w:rPr>
          <w:noProof/>
        </w:rPr>
      </w:r>
      <w:r>
        <w:rPr>
          <w:noProof/>
        </w:rPr>
        <w:fldChar w:fldCharType="separate"/>
      </w:r>
      <w:r w:rsidR="00105D2E">
        <w:rPr>
          <w:noProof/>
        </w:rPr>
        <w:t>10</w:t>
      </w:r>
      <w:r>
        <w:rPr>
          <w:noProof/>
        </w:rPr>
        <w:fldChar w:fldCharType="end"/>
      </w:r>
    </w:p>
    <w:p w14:paraId="01FA18D0" w14:textId="722C4E9F" w:rsidR="00EC67DC" w:rsidRDefault="00EC67DC">
      <w:pPr>
        <w:pStyle w:val="TOC3"/>
        <w:rPr>
          <w:rFonts w:asciiTheme="minorHAnsi" w:eastAsiaTheme="minorEastAsia" w:hAnsiTheme="minorHAnsi" w:cstheme="minorBidi"/>
          <w:b w:val="0"/>
          <w:noProof/>
          <w:kern w:val="2"/>
          <w:sz w:val="24"/>
          <w:szCs w:val="24"/>
          <w14:ligatures w14:val="standardContextual"/>
        </w:rPr>
      </w:pPr>
      <w:r>
        <w:rPr>
          <w:noProof/>
        </w:rPr>
        <w:t>Division 3—Project activity</w:t>
      </w:r>
      <w:r>
        <w:rPr>
          <w:noProof/>
        </w:rPr>
        <w:tab/>
      </w:r>
      <w:r>
        <w:rPr>
          <w:noProof/>
        </w:rPr>
        <w:fldChar w:fldCharType="begin"/>
      </w:r>
      <w:r>
        <w:rPr>
          <w:noProof/>
        </w:rPr>
        <w:instrText xml:space="preserve"> PAGEREF _Toc202953804 \h </w:instrText>
      </w:r>
      <w:r>
        <w:rPr>
          <w:noProof/>
        </w:rPr>
      </w:r>
      <w:r>
        <w:rPr>
          <w:noProof/>
        </w:rPr>
        <w:fldChar w:fldCharType="separate"/>
      </w:r>
      <w:r w:rsidR="00105D2E">
        <w:rPr>
          <w:noProof/>
        </w:rPr>
        <w:t>10</w:t>
      </w:r>
      <w:r>
        <w:rPr>
          <w:noProof/>
        </w:rPr>
        <w:fldChar w:fldCharType="end"/>
      </w:r>
    </w:p>
    <w:p w14:paraId="72969563" w14:textId="77EB2103"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 xml:space="preserve">17  </w:t>
      </w:r>
      <w:r w:rsidRPr="001E2337">
        <w:rPr>
          <w:bCs/>
          <w:noProof/>
          <w:color w:val="000000"/>
        </w:rPr>
        <w:t>Requirement to undertake savanna fire management</w:t>
      </w:r>
      <w:r>
        <w:rPr>
          <w:noProof/>
        </w:rPr>
        <w:tab/>
      </w:r>
      <w:r>
        <w:rPr>
          <w:noProof/>
        </w:rPr>
        <w:fldChar w:fldCharType="begin"/>
      </w:r>
      <w:r>
        <w:rPr>
          <w:noProof/>
        </w:rPr>
        <w:instrText xml:space="preserve"> PAGEREF _Toc202953805 \h </w:instrText>
      </w:r>
      <w:r>
        <w:rPr>
          <w:noProof/>
        </w:rPr>
      </w:r>
      <w:r>
        <w:rPr>
          <w:noProof/>
        </w:rPr>
        <w:fldChar w:fldCharType="separate"/>
      </w:r>
      <w:r w:rsidR="00105D2E">
        <w:rPr>
          <w:noProof/>
        </w:rPr>
        <w:t>10</w:t>
      </w:r>
      <w:r>
        <w:rPr>
          <w:noProof/>
        </w:rPr>
        <w:fldChar w:fldCharType="end"/>
      </w:r>
    </w:p>
    <w:p w14:paraId="15EDEF28" w14:textId="4D1212E4" w:rsidR="00EC67DC" w:rsidRDefault="00EC67DC">
      <w:pPr>
        <w:pStyle w:val="TOC3"/>
        <w:rPr>
          <w:rFonts w:asciiTheme="minorHAnsi" w:eastAsiaTheme="minorEastAsia" w:hAnsiTheme="minorHAnsi" w:cstheme="minorBidi"/>
          <w:b w:val="0"/>
          <w:noProof/>
          <w:kern w:val="2"/>
          <w:sz w:val="24"/>
          <w:szCs w:val="24"/>
          <w14:ligatures w14:val="standardContextual"/>
        </w:rPr>
      </w:pPr>
      <w:r>
        <w:rPr>
          <w:noProof/>
        </w:rPr>
        <w:t>Division 4—Project management plan</w:t>
      </w:r>
      <w:r>
        <w:rPr>
          <w:noProof/>
        </w:rPr>
        <w:tab/>
      </w:r>
      <w:r>
        <w:rPr>
          <w:noProof/>
        </w:rPr>
        <w:fldChar w:fldCharType="begin"/>
      </w:r>
      <w:r>
        <w:rPr>
          <w:noProof/>
        </w:rPr>
        <w:instrText xml:space="preserve"> PAGEREF _Toc202953806 \h </w:instrText>
      </w:r>
      <w:r>
        <w:rPr>
          <w:noProof/>
        </w:rPr>
      </w:r>
      <w:r>
        <w:rPr>
          <w:noProof/>
        </w:rPr>
        <w:fldChar w:fldCharType="separate"/>
      </w:r>
      <w:r w:rsidR="00105D2E">
        <w:rPr>
          <w:noProof/>
        </w:rPr>
        <w:t>11</w:t>
      </w:r>
      <w:r>
        <w:rPr>
          <w:noProof/>
        </w:rPr>
        <w:fldChar w:fldCharType="end"/>
      </w:r>
    </w:p>
    <w:p w14:paraId="63FC8335" w14:textId="3E4A27EC"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 xml:space="preserve">18  </w:t>
      </w:r>
      <w:r w:rsidRPr="001E2337">
        <w:rPr>
          <w:bCs/>
          <w:noProof/>
          <w:color w:val="000000"/>
        </w:rPr>
        <w:t>Requirement to prepare plan</w:t>
      </w:r>
      <w:r>
        <w:rPr>
          <w:noProof/>
        </w:rPr>
        <w:tab/>
      </w:r>
      <w:r>
        <w:rPr>
          <w:noProof/>
        </w:rPr>
        <w:fldChar w:fldCharType="begin"/>
      </w:r>
      <w:r>
        <w:rPr>
          <w:noProof/>
        </w:rPr>
        <w:instrText xml:space="preserve"> PAGEREF _Toc202953807 \h </w:instrText>
      </w:r>
      <w:r>
        <w:rPr>
          <w:noProof/>
        </w:rPr>
      </w:r>
      <w:r>
        <w:rPr>
          <w:noProof/>
        </w:rPr>
        <w:fldChar w:fldCharType="separate"/>
      </w:r>
      <w:r w:rsidR="00105D2E">
        <w:rPr>
          <w:noProof/>
        </w:rPr>
        <w:t>11</w:t>
      </w:r>
      <w:r>
        <w:rPr>
          <w:noProof/>
        </w:rPr>
        <w:fldChar w:fldCharType="end"/>
      </w:r>
    </w:p>
    <w:p w14:paraId="69427280" w14:textId="64614CBC"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 xml:space="preserve">19  </w:t>
      </w:r>
      <w:r w:rsidRPr="001E2337">
        <w:rPr>
          <w:bCs/>
          <w:noProof/>
          <w:color w:val="000000"/>
        </w:rPr>
        <w:t>Updating or revising plan</w:t>
      </w:r>
      <w:r>
        <w:rPr>
          <w:noProof/>
        </w:rPr>
        <w:tab/>
      </w:r>
      <w:r>
        <w:rPr>
          <w:noProof/>
        </w:rPr>
        <w:fldChar w:fldCharType="begin"/>
      </w:r>
      <w:r>
        <w:rPr>
          <w:noProof/>
        </w:rPr>
        <w:instrText xml:space="preserve"> PAGEREF _Toc202953808 \h </w:instrText>
      </w:r>
      <w:r>
        <w:rPr>
          <w:noProof/>
        </w:rPr>
      </w:r>
      <w:r>
        <w:rPr>
          <w:noProof/>
        </w:rPr>
        <w:fldChar w:fldCharType="separate"/>
      </w:r>
      <w:r w:rsidR="00105D2E">
        <w:rPr>
          <w:noProof/>
        </w:rPr>
        <w:t>11</w:t>
      </w:r>
      <w:r>
        <w:rPr>
          <w:noProof/>
        </w:rPr>
        <w:fldChar w:fldCharType="end"/>
      </w:r>
    </w:p>
    <w:p w14:paraId="352F8812" w14:textId="6D885A68" w:rsidR="00EC67DC" w:rsidRDefault="00EC67DC">
      <w:pPr>
        <w:pStyle w:val="TOC3"/>
        <w:rPr>
          <w:rFonts w:asciiTheme="minorHAnsi" w:eastAsiaTheme="minorEastAsia" w:hAnsiTheme="minorHAnsi" w:cstheme="minorBidi"/>
          <w:b w:val="0"/>
          <w:noProof/>
          <w:kern w:val="2"/>
          <w:sz w:val="24"/>
          <w:szCs w:val="24"/>
          <w14:ligatures w14:val="standardContextual"/>
        </w:rPr>
      </w:pPr>
      <w:r>
        <w:rPr>
          <w:noProof/>
        </w:rPr>
        <w:t>Division 5—Vegetation fuel type map</w:t>
      </w:r>
      <w:r>
        <w:rPr>
          <w:noProof/>
        </w:rPr>
        <w:tab/>
      </w:r>
      <w:r>
        <w:rPr>
          <w:noProof/>
        </w:rPr>
        <w:fldChar w:fldCharType="begin"/>
      </w:r>
      <w:r>
        <w:rPr>
          <w:noProof/>
        </w:rPr>
        <w:instrText xml:space="preserve"> PAGEREF _Toc202953809 \h </w:instrText>
      </w:r>
      <w:r>
        <w:rPr>
          <w:noProof/>
        </w:rPr>
      </w:r>
      <w:r>
        <w:rPr>
          <w:noProof/>
        </w:rPr>
        <w:fldChar w:fldCharType="separate"/>
      </w:r>
      <w:r w:rsidR="00105D2E">
        <w:rPr>
          <w:noProof/>
        </w:rPr>
        <w:t>12</w:t>
      </w:r>
      <w:r>
        <w:rPr>
          <w:noProof/>
        </w:rPr>
        <w:fldChar w:fldCharType="end"/>
      </w:r>
    </w:p>
    <w:p w14:paraId="7B83DFC5" w14:textId="7E39F982"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 xml:space="preserve">20  </w:t>
      </w:r>
      <w:r w:rsidRPr="001E2337">
        <w:rPr>
          <w:bCs/>
          <w:noProof/>
          <w:color w:val="000000"/>
        </w:rPr>
        <w:t>Requirement to create and validate vegetation fuel type map</w:t>
      </w:r>
      <w:r>
        <w:rPr>
          <w:noProof/>
        </w:rPr>
        <w:tab/>
      </w:r>
      <w:r>
        <w:rPr>
          <w:noProof/>
        </w:rPr>
        <w:fldChar w:fldCharType="begin"/>
      </w:r>
      <w:r>
        <w:rPr>
          <w:noProof/>
        </w:rPr>
        <w:instrText xml:space="preserve"> PAGEREF _Toc202953810 \h </w:instrText>
      </w:r>
      <w:r>
        <w:rPr>
          <w:noProof/>
        </w:rPr>
      </w:r>
      <w:r>
        <w:rPr>
          <w:noProof/>
        </w:rPr>
        <w:fldChar w:fldCharType="separate"/>
      </w:r>
      <w:r w:rsidR="00105D2E">
        <w:rPr>
          <w:noProof/>
        </w:rPr>
        <w:t>12</w:t>
      </w:r>
      <w:r>
        <w:rPr>
          <w:noProof/>
        </w:rPr>
        <w:fldChar w:fldCharType="end"/>
      </w:r>
    </w:p>
    <w:p w14:paraId="0D2C827A" w14:textId="7515B9D8"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 xml:space="preserve">21  </w:t>
      </w:r>
      <w:r w:rsidRPr="001E2337">
        <w:rPr>
          <w:bCs/>
          <w:noProof/>
          <w:color w:val="000000"/>
        </w:rPr>
        <w:t>Revising vegetation fuel type map</w:t>
      </w:r>
      <w:r>
        <w:rPr>
          <w:noProof/>
        </w:rPr>
        <w:tab/>
      </w:r>
      <w:r>
        <w:rPr>
          <w:noProof/>
        </w:rPr>
        <w:fldChar w:fldCharType="begin"/>
      </w:r>
      <w:r>
        <w:rPr>
          <w:noProof/>
        </w:rPr>
        <w:instrText xml:space="preserve"> PAGEREF _Toc202953811 \h </w:instrText>
      </w:r>
      <w:r>
        <w:rPr>
          <w:noProof/>
        </w:rPr>
      </w:r>
      <w:r>
        <w:rPr>
          <w:noProof/>
        </w:rPr>
        <w:fldChar w:fldCharType="separate"/>
      </w:r>
      <w:r w:rsidR="00105D2E">
        <w:rPr>
          <w:noProof/>
        </w:rPr>
        <w:t>12</w:t>
      </w:r>
      <w:r>
        <w:rPr>
          <w:noProof/>
        </w:rPr>
        <w:fldChar w:fldCharType="end"/>
      </w:r>
    </w:p>
    <w:p w14:paraId="7F964A2C" w14:textId="3347B5AE"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 xml:space="preserve">22  </w:t>
      </w:r>
      <w:r w:rsidRPr="001E2337">
        <w:rPr>
          <w:bCs/>
          <w:noProof/>
          <w:color w:val="000000"/>
        </w:rPr>
        <w:t>Vegetation fuel type map for subdivided project area</w:t>
      </w:r>
      <w:r>
        <w:rPr>
          <w:noProof/>
        </w:rPr>
        <w:tab/>
      </w:r>
      <w:r>
        <w:rPr>
          <w:noProof/>
        </w:rPr>
        <w:fldChar w:fldCharType="begin"/>
      </w:r>
      <w:r>
        <w:rPr>
          <w:noProof/>
        </w:rPr>
        <w:instrText xml:space="preserve"> PAGEREF _Toc202953812 \h </w:instrText>
      </w:r>
      <w:r>
        <w:rPr>
          <w:noProof/>
        </w:rPr>
      </w:r>
      <w:r>
        <w:rPr>
          <w:noProof/>
        </w:rPr>
        <w:fldChar w:fldCharType="separate"/>
      </w:r>
      <w:r w:rsidR="00105D2E">
        <w:rPr>
          <w:noProof/>
        </w:rPr>
        <w:t>13</w:t>
      </w:r>
      <w:r>
        <w:rPr>
          <w:noProof/>
        </w:rPr>
        <w:fldChar w:fldCharType="end"/>
      </w:r>
    </w:p>
    <w:p w14:paraId="43A8819B" w14:textId="7DF01EA9" w:rsidR="00EC67DC" w:rsidRDefault="00EC67DC">
      <w:pPr>
        <w:pStyle w:val="TOC3"/>
        <w:rPr>
          <w:rFonts w:asciiTheme="minorHAnsi" w:eastAsiaTheme="minorEastAsia" w:hAnsiTheme="minorHAnsi" w:cstheme="minorBidi"/>
          <w:b w:val="0"/>
          <w:noProof/>
          <w:kern w:val="2"/>
          <w:sz w:val="24"/>
          <w:szCs w:val="24"/>
          <w14:ligatures w14:val="standardContextual"/>
        </w:rPr>
      </w:pPr>
      <w:r>
        <w:rPr>
          <w:noProof/>
        </w:rPr>
        <w:t>Division 6—Newness and additionality</w:t>
      </w:r>
      <w:r>
        <w:rPr>
          <w:noProof/>
        </w:rPr>
        <w:tab/>
      </w:r>
      <w:r>
        <w:rPr>
          <w:noProof/>
        </w:rPr>
        <w:fldChar w:fldCharType="begin"/>
      </w:r>
      <w:r>
        <w:rPr>
          <w:noProof/>
        </w:rPr>
        <w:instrText xml:space="preserve"> PAGEREF _Toc202953813 \h </w:instrText>
      </w:r>
      <w:r>
        <w:rPr>
          <w:noProof/>
        </w:rPr>
      </w:r>
      <w:r>
        <w:rPr>
          <w:noProof/>
        </w:rPr>
        <w:fldChar w:fldCharType="separate"/>
      </w:r>
      <w:r w:rsidR="00105D2E">
        <w:rPr>
          <w:noProof/>
        </w:rPr>
        <w:t>13</w:t>
      </w:r>
      <w:r>
        <w:rPr>
          <w:noProof/>
        </w:rPr>
        <w:fldChar w:fldCharType="end"/>
      </w:r>
    </w:p>
    <w:p w14:paraId="3280E875" w14:textId="2F60732A"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 xml:space="preserve">23  </w:t>
      </w:r>
      <w:r w:rsidRPr="001E2337">
        <w:rPr>
          <w:bCs/>
          <w:noProof/>
          <w:color w:val="000000"/>
        </w:rPr>
        <w:t>Requirement in lieu of newness requirement</w:t>
      </w:r>
      <w:r>
        <w:rPr>
          <w:noProof/>
        </w:rPr>
        <w:tab/>
      </w:r>
      <w:r>
        <w:rPr>
          <w:noProof/>
        </w:rPr>
        <w:fldChar w:fldCharType="begin"/>
      </w:r>
      <w:r>
        <w:rPr>
          <w:noProof/>
        </w:rPr>
        <w:instrText xml:space="preserve"> PAGEREF _Toc202953814 \h </w:instrText>
      </w:r>
      <w:r>
        <w:rPr>
          <w:noProof/>
        </w:rPr>
      </w:r>
      <w:r>
        <w:rPr>
          <w:noProof/>
        </w:rPr>
        <w:fldChar w:fldCharType="separate"/>
      </w:r>
      <w:r w:rsidR="00105D2E">
        <w:rPr>
          <w:noProof/>
        </w:rPr>
        <w:t>13</w:t>
      </w:r>
      <w:r>
        <w:rPr>
          <w:noProof/>
        </w:rPr>
        <w:fldChar w:fldCharType="end"/>
      </w:r>
    </w:p>
    <w:p w14:paraId="16629F7B" w14:textId="7B35E2FF"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 xml:space="preserve">24  </w:t>
      </w:r>
      <w:r w:rsidRPr="001E2337">
        <w:rPr>
          <w:bCs/>
          <w:noProof/>
          <w:color w:val="000000"/>
        </w:rPr>
        <w:t>Requirement in lieu of additionality requirement</w:t>
      </w:r>
      <w:r>
        <w:rPr>
          <w:noProof/>
        </w:rPr>
        <w:tab/>
      </w:r>
      <w:r>
        <w:rPr>
          <w:noProof/>
        </w:rPr>
        <w:fldChar w:fldCharType="begin"/>
      </w:r>
      <w:r>
        <w:rPr>
          <w:noProof/>
        </w:rPr>
        <w:instrText xml:space="preserve"> PAGEREF _Toc202953815 \h </w:instrText>
      </w:r>
      <w:r>
        <w:rPr>
          <w:noProof/>
        </w:rPr>
      </w:r>
      <w:r>
        <w:rPr>
          <w:noProof/>
        </w:rPr>
        <w:fldChar w:fldCharType="separate"/>
      </w:r>
      <w:r w:rsidR="00105D2E">
        <w:rPr>
          <w:noProof/>
        </w:rPr>
        <w:t>14</w:t>
      </w:r>
      <w:r>
        <w:rPr>
          <w:noProof/>
        </w:rPr>
        <w:fldChar w:fldCharType="end"/>
      </w:r>
    </w:p>
    <w:p w14:paraId="608CF664" w14:textId="36E07D4A" w:rsidR="00EC67DC" w:rsidRDefault="00EC67DC">
      <w:pPr>
        <w:pStyle w:val="TOC3"/>
        <w:rPr>
          <w:rFonts w:asciiTheme="minorHAnsi" w:eastAsiaTheme="minorEastAsia" w:hAnsiTheme="minorHAnsi" w:cstheme="minorBidi"/>
          <w:b w:val="0"/>
          <w:noProof/>
          <w:kern w:val="2"/>
          <w:sz w:val="24"/>
          <w:szCs w:val="24"/>
          <w14:ligatures w14:val="standardContextual"/>
        </w:rPr>
      </w:pPr>
      <w:r>
        <w:rPr>
          <w:noProof/>
        </w:rPr>
        <w:t>Division 7—Projects that include transferring project areas</w:t>
      </w:r>
      <w:r>
        <w:rPr>
          <w:noProof/>
        </w:rPr>
        <w:tab/>
      </w:r>
      <w:r>
        <w:rPr>
          <w:noProof/>
        </w:rPr>
        <w:fldChar w:fldCharType="begin"/>
      </w:r>
      <w:r>
        <w:rPr>
          <w:noProof/>
        </w:rPr>
        <w:instrText xml:space="preserve"> PAGEREF _Toc202953816 \h </w:instrText>
      </w:r>
      <w:r>
        <w:rPr>
          <w:noProof/>
        </w:rPr>
      </w:r>
      <w:r>
        <w:rPr>
          <w:noProof/>
        </w:rPr>
        <w:fldChar w:fldCharType="separate"/>
      </w:r>
      <w:r w:rsidR="00105D2E">
        <w:rPr>
          <w:noProof/>
        </w:rPr>
        <w:t>14</w:t>
      </w:r>
      <w:r>
        <w:rPr>
          <w:noProof/>
        </w:rPr>
        <w:fldChar w:fldCharType="end"/>
      </w:r>
    </w:p>
    <w:p w14:paraId="1AD549D3" w14:textId="13BE5A23"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25   Simplified outline of this Division</w:t>
      </w:r>
      <w:r>
        <w:rPr>
          <w:noProof/>
        </w:rPr>
        <w:tab/>
      </w:r>
      <w:r>
        <w:rPr>
          <w:noProof/>
        </w:rPr>
        <w:fldChar w:fldCharType="begin"/>
      </w:r>
      <w:r>
        <w:rPr>
          <w:noProof/>
        </w:rPr>
        <w:instrText xml:space="preserve"> PAGEREF _Toc202953817 \h </w:instrText>
      </w:r>
      <w:r>
        <w:rPr>
          <w:noProof/>
        </w:rPr>
      </w:r>
      <w:r>
        <w:rPr>
          <w:noProof/>
        </w:rPr>
        <w:fldChar w:fldCharType="separate"/>
      </w:r>
      <w:r w:rsidR="00105D2E">
        <w:rPr>
          <w:noProof/>
        </w:rPr>
        <w:t>14</w:t>
      </w:r>
      <w:r>
        <w:rPr>
          <w:noProof/>
        </w:rPr>
        <w:fldChar w:fldCharType="end"/>
      </w:r>
    </w:p>
    <w:p w14:paraId="037DE1EC" w14:textId="483DEB0D"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26   </w:t>
      </w:r>
      <w:r w:rsidRPr="001E2337">
        <w:rPr>
          <w:bCs/>
          <w:noProof/>
        </w:rPr>
        <w:t>Meaning of </w:t>
      </w:r>
      <w:r w:rsidRPr="001E2337">
        <w:rPr>
          <w:bCs/>
          <w:i/>
          <w:iCs/>
          <w:noProof/>
        </w:rPr>
        <w:t>transferring project area </w:t>
      </w:r>
      <w:r w:rsidRPr="001E2337">
        <w:rPr>
          <w:bCs/>
          <w:noProof/>
        </w:rPr>
        <w:t>and related definitions</w:t>
      </w:r>
      <w:r>
        <w:rPr>
          <w:noProof/>
        </w:rPr>
        <w:tab/>
      </w:r>
      <w:r>
        <w:rPr>
          <w:noProof/>
        </w:rPr>
        <w:fldChar w:fldCharType="begin"/>
      </w:r>
      <w:r>
        <w:rPr>
          <w:noProof/>
        </w:rPr>
        <w:instrText xml:space="preserve"> PAGEREF _Toc202953818 \h </w:instrText>
      </w:r>
      <w:r>
        <w:rPr>
          <w:noProof/>
        </w:rPr>
      </w:r>
      <w:r>
        <w:rPr>
          <w:noProof/>
        </w:rPr>
        <w:fldChar w:fldCharType="separate"/>
      </w:r>
      <w:r w:rsidR="00105D2E">
        <w:rPr>
          <w:noProof/>
        </w:rPr>
        <w:t>15</w:t>
      </w:r>
      <w:r>
        <w:rPr>
          <w:noProof/>
        </w:rPr>
        <w:fldChar w:fldCharType="end"/>
      </w:r>
    </w:p>
    <w:p w14:paraId="0F50CC0A" w14:textId="6770D344"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27   </w:t>
      </w:r>
      <w:r w:rsidRPr="001E2337">
        <w:rPr>
          <w:bCs/>
          <w:noProof/>
        </w:rPr>
        <w:t xml:space="preserve"> Requirements for projects with transferring project areas</w:t>
      </w:r>
      <w:r>
        <w:rPr>
          <w:noProof/>
        </w:rPr>
        <w:tab/>
      </w:r>
      <w:r>
        <w:rPr>
          <w:noProof/>
        </w:rPr>
        <w:fldChar w:fldCharType="begin"/>
      </w:r>
      <w:r>
        <w:rPr>
          <w:noProof/>
        </w:rPr>
        <w:instrText xml:space="preserve"> PAGEREF _Toc202953819 \h </w:instrText>
      </w:r>
      <w:r>
        <w:rPr>
          <w:noProof/>
        </w:rPr>
      </w:r>
      <w:r>
        <w:rPr>
          <w:noProof/>
        </w:rPr>
        <w:fldChar w:fldCharType="separate"/>
      </w:r>
      <w:r w:rsidR="00105D2E">
        <w:rPr>
          <w:noProof/>
        </w:rPr>
        <w:t>15</w:t>
      </w:r>
      <w:r>
        <w:rPr>
          <w:noProof/>
        </w:rPr>
        <w:fldChar w:fldCharType="end"/>
      </w:r>
    </w:p>
    <w:p w14:paraId="29B0630B" w14:textId="4FE88131"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28   </w:t>
      </w:r>
      <w:r w:rsidRPr="001E2337">
        <w:rPr>
          <w:bCs/>
          <w:noProof/>
          <w:color w:val="000000"/>
        </w:rPr>
        <w:t>Crediting period for projects that include restarting transferring project areas</w:t>
      </w:r>
      <w:r>
        <w:rPr>
          <w:noProof/>
        </w:rPr>
        <w:tab/>
      </w:r>
      <w:r>
        <w:rPr>
          <w:noProof/>
        </w:rPr>
        <w:fldChar w:fldCharType="begin"/>
      </w:r>
      <w:r>
        <w:rPr>
          <w:noProof/>
        </w:rPr>
        <w:instrText xml:space="preserve"> PAGEREF _Toc202953820 \h </w:instrText>
      </w:r>
      <w:r>
        <w:rPr>
          <w:noProof/>
        </w:rPr>
      </w:r>
      <w:r>
        <w:rPr>
          <w:noProof/>
        </w:rPr>
        <w:fldChar w:fldCharType="separate"/>
      </w:r>
      <w:r w:rsidR="00105D2E">
        <w:rPr>
          <w:noProof/>
        </w:rPr>
        <w:t>17</w:t>
      </w:r>
      <w:r>
        <w:rPr>
          <w:noProof/>
        </w:rPr>
        <w:fldChar w:fldCharType="end"/>
      </w:r>
    </w:p>
    <w:p w14:paraId="6ED45471" w14:textId="14E1B760"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28A  Vegetation fuel type map for transferring project area</w:t>
      </w:r>
      <w:r>
        <w:rPr>
          <w:noProof/>
        </w:rPr>
        <w:tab/>
      </w:r>
      <w:r>
        <w:rPr>
          <w:noProof/>
        </w:rPr>
        <w:fldChar w:fldCharType="begin"/>
      </w:r>
      <w:r>
        <w:rPr>
          <w:noProof/>
        </w:rPr>
        <w:instrText xml:space="preserve"> PAGEREF _Toc202953821 \h </w:instrText>
      </w:r>
      <w:r>
        <w:rPr>
          <w:noProof/>
        </w:rPr>
      </w:r>
      <w:r>
        <w:rPr>
          <w:noProof/>
        </w:rPr>
        <w:fldChar w:fldCharType="separate"/>
      </w:r>
      <w:r w:rsidR="00105D2E">
        <w:rPr>
          <w:noProof/>
        </w:rPr>
        <w:t>17</w:t>
      </w:r>
      <w:r>
        <w:rPr>
          <w:noProof/>
        </w:rPr>
        <w:fldChar w:fldCharType="end"/>
      </w:r>
    </w:p>
    <w:p w14:paraId="62B85CC6" w14:textId="0A300AE4" w:rsidR="00EC67DC" w:rsidRDefault="00EC67DC">
      <w:pPr>
        <w:pStyle w:val="TOC3"/>
        <w:rPr>
          <w:rFonts w:asciiTheme="minorHAnsi" w:eastAsiaTheme="minorEastAsia" w:hAnsiTheme="minorHAnsi" w:cstheme="minorBidi"/>
          <w:b w:val="0"/>
          <w:noProof/>
          <w:kern w:val="2"/>
          <w:sz w:val="24"/>
          <w:szCs w:val="24"/>
          <w14:ligatures w14:val="standardContextual"/>
        </w:rPr>
      </w:pPr>
      <w:r>
        <w:rPr>
          <w:noProof/>
        </w:rPr>
        <w:t>Division 8—Project applications</w:t>
      </w:r>
      <w:r>
        <w:rPr>
          <w:noProof/>
        </w:rPr>
        <w:tab/>
      </w:r>
      <w:r>
        <w:rPr>
          <w:noProof/>
        </w:rPr>
        <w:fldChar w:fldCharType="begin"/>
      </w:r>
      <w:r>
        <w:rPr>
          <w:noProof/>
        </w:rPr>
        <w:instrText xml:space="preserve"> PAGEREF _Toc202953822 \h </w:instrText>
      </w:r>
      <w:r>
        <w:rPr>
          <w:noProof/>
        </w:rPr>
      </w:r>
      <w:r>
        <w:rPr>
          <w:noProof/>
        </w:rPr>
        <w:fldChar w:fldCharType="separate"/>
      </w:r>
      <w:r w:rsidR="00105D2E">
        <w:rPr>
          <w:noProof/>
        </w:rPr>
        <w:t>18</w:t>
      </w:r>
      <w:r>
        <w:rPr>
          <w:noProof/>
        </w:rPr>
        <w:fldChar w:fldCharType="end"/>
      </w:r>
    </w:p>
    <w:p w14:paraId="55CBFD28" w14:textId="5C7ACA06"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29   Information to include in section 22, 29 and 128 applications</w:t>
      </w:r>
      <w:r>
        <w:rPr>
          <w:noProof/>
        </w:rPr>
        <w:tab/>
      </w:r>
      <w:r>
        <w:rPr>
          <w:noProof/>
        </w:rPr>
        <w:fldChar w:fldCharType="begin"/>
      </w:r>
      <w:r>
        <w:rPr>
          <w:noProof/>
        </w:rPr>
        <w:instrText xml:space="preserve"> PAGEREF _Toc202953823 \h </w:instrText>
      </w:r>
      <w:r>
        <w:rPr>
          <w:noProof/>
        </w:rPr>
      </w:r>
      <w:r>
        <w:rPr>
          <w:noProof/>
        </w:rPr>
        <w:fldChar w:fldCharType="separate"/>
      </w:r>
      <w:r w:rsidR="00105D2E">
        <w:rPr>
          <w:noProof/>
        </w:rPr>
        <w:t>18</w:t>
      </w:r>
      <w:r>
        <w:rPr>
          <w:noProof/>
        </w:rPr>
        <w:fldChar w:fldCharType="end"/>
      </w:r>
    </w:p>
    <w:p w14:paraId="0DBBD096" w14:textId="76D1408D" w:rsidR="00EC67DC" w:rsidRDefault="00EC67DC">
      <w:pPr>
        <w:pStyle w:val="TOC2"/>
        <w:rPr>
          <w:rFonts w:asciiTheme="minorHAnsi" w:eastAsiaTheme="minorEastAsia" w:hAnsiTheme="minorHAnsi" w:cstheme="minorBidi"/>
          <w:b w:val="0"/>
          <w:noProof/>
          <w:kern w:val="2"/>
          <w:szCs w:val="24"/>
          <w14:ligatures w14:val="standardContextual"/>
        </w:rPr>
      </w:pPr>
      <w:r>
        <w:rPr>
          <w:noProof/>
        </w:rPr>
        <w:lastRenderedPageBreak/>
        <w:t>Part 4—Net abatement amount</w:t>
      </w:r>
      <w:r>
        <w:rPr>
          <w:noProof/>
        </w:rPr>
        <w:tab/>
      </w:r>
      <w:r>
        <w:rPr>
          <w:noProof/>
        </w:rPr>
        <w:fldChar w:fldCharType="begin"/>
      </w:r>
      <w:r>
        <w:rPr>
          <w:noProof/>
        </w:rPr>
        <w:instrText xml:space="preserve"> PAGEREF _Toc202953824 \h </w:instrText>
      </w:r>
      <w:r>
        <w:rPr>
          <w:noProof/>
        </w:rPr>
      </w:r>
      <w:r>
        <w:rPr>
          <w:noProof/>
        </w:rPr>
        <w:fldChar w:fldCharType="separate"/>
      </w:r>
      <w:r w:rsidR="00105D2E">
        <w:rPr>
          <w:noProof/>
        </w:rPr>
        <w:t>18</w:t>
      </w:r>
      <w:r>
        <w:rPr>
          <w:noProof/>
        </w:rPr>
        <w:fldChar w:fldCharType="end"/>
      </w:r>
    </w:p>
    <w:p w14:paraId="793DB0ED" w14:textId="0A1790D6" w:rsidR="00EC67DC" w:rsidRDefault="00EC67DC">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Pr>
          <w:noProof/>
        </w:rPr>
        <w:tab/>
      </w:r>
      <w:r>
        <w:rPr>
          <w:noProof/>
        </w:rPr>
        <w:fldChar w:fldCharType="begin"/>
      </w:r>
      <w:r>
        <w:rPr>
          <w:noProof/>
        </w:rPr>
        <w:instrText xml:space="preserve"> PAGEREF _Toc202953825 \h </w:instrText>
      </w:r>
      <w:r>
        <w:rPr>
          <w:noProof/>
        </w:rPr>
      </w:r>
      <w:r>
        <w:rPr>
          <w:noProof/>
        </w:rPr>
        <w:fldChar w:fldCharType="separate"/>
      </w:r>
      <w:r w:rsidR="00105D2E">
        <w:rPr>
          <w:noProof/>
        </w:rPr>
        <w:t>18</w:t>
      </w:r>
      <w:r>
        <w:rPr>
          <w:noProof/>
        </w:rPr>
        <w:fldChar w:fldCharType="end"/>
      </w:r>
    </w:p>
    <w:p w14:paraId="4EB97B45" w14:textId="621BEEDE"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30  Operation of this Part</w:t>
      </w:r>
      <w:r>
        <w:rPr>
          <w:noProof/>
        </w:rPr>
        <w:tab/>
      </w:r>
      <w:r>
        <w:rPr>
          <w:noProof/>
        </w:rPr>
        <w:fldChar w:fldCharType="begin"/>
      </w:r>
      <w:r>
        <w:rPr>
          <w:noProof/>
        </w:rPr>
        <w:instrText xml:space="preserve"> PAGEREF _Toc202953826 \h </w:instrText>
      </w:r>
      <w:r>
        <w:rPr>
          <w:noProof/>
        </w:rPr>
      </w:r>
      <w:r>
        <w:rPr>
          <w:noProof/>
        </w:rPr>
        <w:fldChar w:fldCharType="separate"/>
      </w:r>
      <w:r w:rsidR="00105D2E">
        <w:rPr>
          <w:noProof/>
        </w:rPr>
        <w:t>18</w:t>
      </w:r>
      <w:r>
        <w:rPr>
          <w:noProof/>
        </w:rPr>
        <w:fldChar w:fldCharType="end"/>
      </w:r>
    </w:p>
    <w:p w14:paraId="3CBAD39E" w14:textId="0D3D2279"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31  Simplified outline of this Part</w:t>
      </w:r>
      <w:r>
        <w:rPr>
          <w:noProof/>
        </w:rPr>
        <w:tab/>
      </w:r>
      <w:r>
        <w:rPr>
          <w:noProof/>
        </w:rPr>
        <w:fldChar w:fldCharType="begin"/>
      </w:r>
      <w:r>
        <w:rPr>
          <w:noProof/>
        </w:rPr>
        <w:instrText xml:space="preserve"> PAGEREF _Toc202953827 \h </w:instrText>
      </w:r>
      <w:r>
        <w:rPr>
          <w:noProof/>
        </w:rPr>
      </w:r>
      <w:r>
        <w:rPr>
          <w:noProof/>
        </w:rPr>
        <w:fldChar w:fldCharType="separate"/>
      </w:r>
      <w:r w:rsidR="00105D2E">
        <w:rPr>
          <w:noProof/>
        </w:rPr>
        <w:t>18</w:t>
      </w:r>
      <w:r>
        <w:rPr>
          <w:noProof/>
        </w:rPr>
        <w:fldChar w:fldCharType="end"/>
      </w:r>
    </w:p>
    <w:p w14:paraId="66552E29" w14:textId="6D2B30F4"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32  Use of SavCAM</w:t>
      </w:r>
      <w:r>
        <w:rPr>
          <w:noProof/>
        </w:rPr>
        <w:tab/>
      </w:r>
      <w:r>
        <w:rPr>
          <w:noProof/>
        </w:rPr>
        <w:fldChar w:fldCharType="begin"/>
      </w:r>
      <w:r>
        <w:rPr>
          <w:noProof/>
        </w:rPr>
        <w:instrText xml:space="preserve"> PAGEREF _Toc202953828 \h </w:instrText>
      </w:r>
      <w:r>
        <w:rPr>
          <w:noProof/>
        </w:rPr>
      </w:r>
      <w:r>
        <w:rPr>
          <w:noProof/>
        </w:rPr>
        <w:fldChar w:fldCharType="separate"/>
      </w:r>
      <w:r w:rsidR="00105D2E">
        <w:rPr>
          <w:noProof/>
        </w:rPr>
        <w:t>19</w:t>
      </w:r>
      <w:r>
        <w:rPr>
          <w:noProof/>
        </w:rPr>
        <w:fldChar w:fldCharType="end"/>
      </w:r>
    </w:p>
    <w:p w14:paraId="6CD8CBF5" w14:textId="3CA8A11A"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33  Overview of gases accounted for in abatement calculations</w:t>
      </w:r>
      <w:r>
        <w:rPr>
          <w:noProof/>
        </w:rPr>
        <w:tab/>
      </w:r>
      <w:r>
        <w:rPr>
          <w:noProof/>
        </w:rPr>
        <w:fldChar w:fldCharType="begin"/>
      </w:r>
      <w:r>
        <w:rPr>
          <w:noProof/>
        </w:rPr>
        <w:instrText xml:space="preserve"> PAGEREF _Toc202953829 \h </w:instrText>
      </w:r>
      <w:r>
        <w:rPr>
          <w:noProof/>
        </w:rPr>
      </w:r>
      <w:r>
        <w:rPr>
          <w:noProof/>
        </w:rPr>
        <w:fldChar w:fldCharType="separate"/>
      </w:r>
      <w:r w:rsidR="00105D2E">
        <w:rPr>
          <w:noProof/>
        </w:rPr>
        <w:t>19</w:t>
      </w:r>
      <w:r>
        <w:rPr>
          <w:noProof/>
        </w:rPr>
        <w:fldChar w:fldCharType="end"/>
      </w:r>
    </w:p>
    <w:p w14:paraId="541579E0" w14:textId="297FFD11" w:rsidR="00EC67DC" w:rsidRDefault="00EC67DC">
      <w:pPr>
        <w:pStyle w:val="TOC3"/>
        <w:rPr>
          <w:rFonts w:asciiTheme="minorHAnsi" w:eastAsiaTheme="minorEastAsia" w:hAnsiTheme="minorHAnsi" w:cstheme="minorBidi"/>
          <w:b w:val="0"/>
          <w:noProof/>
          <w:kern w:val="2"/>
          <w:sz w:val="24"/>
          <w:szCs w:val="24"/>
          <w14:ligatures w14:val="standardContextual"/>
        </w:rPr>
      </w:pPr>
      <w:r>
        <w:rPr>
          <w:noProof/>
        </w:rPr>
        <w:t>Division 2—Calculation of net abatement amount</w:t>
      </w:r>
      <w:r>
        <w:rPr>
          <w:noProof/>
        </w:rPr>
        <w:tab/>
      </w:r>
      <w:r>
        <w:rPr>
          <w:noProof/>
        </w:rPr>
        <w:fldChar w:fldCharType="begin"/>
      </w:r>
      <w:r>
        <w:rPr>
          <w:noProof/>
        </w:rPr>
        <w:instrText xml:space="preserve"> PAGEREF _Toc202953830 \h </w:instrText>
      </w:r>
      <w:r>
        <w:rPr>
          <w:noProof/>
        </w:rPr>
      </w:r>
      <w:r>
        <w:rPr>
          <w:noProof/>
        </w:rPr>
        <w:fldChar w:fldCharType="separate"/>
      </w:r>
      <w:r w:rsidR="00105D2E">
        <w:rPr>
          <w:noProof/>
        </w:rPr>
        <w:t>19</w:t>
      </w:r>
      <w:r>
        <w:rPr>
          <w:noProof/>
        </w:rPr>
        <w:fldChar w:fldCharType="end"/>
      </w:r>
    </w:p>
    <w:p w14:paraId="56F17A96" w14:textId="0B4769B6"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 xml:space="preserve">34  The net abatement amount, </w:t>
      </w:r>
      <w:r w:rsidRPr="001E2337">
        <w:rPr>
          <w:i/>
          <w:noProof/>
        </w:rPr>
        <w:t>A</w:t>
      </w:r>
      <w:r>
        <w:rPr>
          <w:noProof/>
        </w:rPr>
        <w:tab/>
      </w:r>
      <w:r>
        <w:rPr>
          <w:noProof/>
        </w:rPr>
        <w:fldChar w:fldCharType="begin"/>
      </w:r>
      <w:r>
        <w:rPr>
          <w:noProof/>
        </w:rPr>
        <w:instrText xml:space="preserve"> PAGEREF _Toc202953831 \h </w:instrText>
      </w:r>
      <w:r>
        <w:rPr>
          <w:noProof/>
        </w:rPr>
      </w:r>
      <w:r>
        <w:rPr>
          <w:noProof/>
        </w:rPr>
        <w:fldChar w:fldCharType="separate"/>
      </w:r>
      <w:r w:rsidR="00105D2E">
        <w:rPr>
          <w:noProof/>
        </w:rPr>
        <w:t>19</w:t>
      </w:r>
      <w:r>
        <w:rPr>
          <w:noProof/>
        </w:rPr>
        <w:fldChar w:fldCharType="end"/>
      </w:r>
    </w:p>
    <w:p w14:paraId="08F8C222" w14:textId="534C5258" w:rsidR="00EC67DC" w:rsidRDefault="00EC67DC">
      <w:pPr>
        <w:pStyle w:val="TOC2"/>
        <w:rPr>
          <w:rFonts w:asciiTheme="minorHAnsi" w:eastAsiaTheme="minorEastAsia" w:hAnsiTheme="minorHAnsi" w:cstheme="minorBidi"/>
          <w:b w:val="0"/>
          <w:noProof/>
          <w:kern w:val="2"/>
          <w:szCs w:val="24"/>
          <w14:ligatures w14:val="standardContextual"/>
        </w:rPr>
      </w:pPr>
      <w:r>
        <w:rPr>
          <w:noProof/>
        </w:rPr>
        <w:t>Part 5—Reporting, record-keeping, monitoring and notification requirements</w:t>
      </w:r>
      <w:r>
        <w:rPr>
          <w:noProof/>
        </w:rPr>
        <w:tab/>
      </w:r>
      <w:r>
        <w:rPr>
          <w:noProof/>
        </w:rPr>
        <w:fldChar w:fldCharType="begin"/>
      </w:r>
      <w:r>
        <w:rPr>
          <w:noProof/>
        </w:rPr>
        <w:instrText xml:space="preserve"> PAGEREF _Toc202953832 \h </w:instrText>
      </w:r>
      <w:r>
        <w:rPr>
          <w:noProof/>
        </w:rPr>
      </w:r>
      <w:r>
        <w:rPr>
          <w:noProof/>
        </w:rPr>
        <w:fldChar w:fldCharType="separate"/>
      </w:r>
      <w:r w:rsidR="00105D2E">
        <w:rPr>
          <w:noProof/>
        </w:rPr>
        <w:t>21</w:t>
      </w:r>
      <w:r>
        <w:rPr>
          <w:noProof/>
        </w:rPr>
        <w:fldChar w:fldCharType="end"/>
      </w:r>
    </w:p>
    <w:p w14:paraId="4A3C4C92" w14:textId="41B1F83D" w:rsidR="00EC67DC" w:rsidRDefault="00EC67DC">
      <w:pPr>
        <w:pStyle w:val="TOC3"/>
        <w:rPr>
          <w:rFonts w:asciiTheme="minorHAnsi" w:eastAsiaTheme="minorEastAsia" w:hAnsiTheme="minorHAnsi" w:cstheme="minorBidi"/>
          <w:b w:val="0"/>
          <w:noProof/>
          <w:kern w:val="2"/>
          <w:sz w:val="24"/>
          <w:szCs w:val="24"/>
          <w14:ligatures w14:val="standardContextual"/>
        </w:rPr>
      </w:pPr>
      <w:r>
        <w:rPr>
          <w:noProof/>
        </w:rPr>
        <w:t>Division 1—Offsets report requirements</w:t>
      </w:r>
      <w:r>
        <w:rPr>
          <w:noProof/>
        </w:rPr>
        <w:tab/>
      </w:r>
      <w:r>
        <w:rPr>
          <w:noProof/>
        </w:rPr>
        <w:fldChar w:fldCharType="begin"/>
      </w:r>
      <w:r>
        <w:rPr>
          <w:noProof/>
        </w:rPr>
        <w:instrText xml:space="preserve"> PAGEREF _Toc202953833 \h </w:instrText>
      </w:r>
      <w:r>
        <w:rPr>
          <w:noProof/>
        </w:rPr>
      </w:r>
      <w:r>
        <w:rPr>
          <w:noProof/>
        </w:rPr>
        <w:fldChar w:fldCharType="separate"/>
      </w:r>
      <w:r w:rsidR="00105D2E">
        <w:rPr>
          <w:noProof/>
        </w:rPr>
        <w:t>21</w:t>
      </w:r>
      <w:r>
        <w:rPr>
          <w:noProof/>
        </w:rPr>
        <w:fldChar w:fldCharType="end"/>
      </w:r>
    </w:p>
    <w:p w14:paraId="06525C0D" w14:textId="350241A6"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35  Operation of this Division</w:t>
      </w:r>
      <w:r>
        <w:rPr>
          <w:noProof/>
        </w:rPr>
        <w:tab/>
      </w:r>
      <w:r>
        <w:rPr>
          <w:noProof/>
        </w:rPr>
        <w:fldChar w:fldCharType="begin"/>
      </w:r>
      <w:r>
        <w:rPr>
          <w:noProof/>
        </w:rPr>
        <w:instrText xml:space="preserve"> PAGEREF _Toc202953834 \h </w:instrText>
      </w:r>
      <w:r>
        <w:rPr>
          <w:noProof/>
        </w:rPr>
      </w:r>
      <w:r>
        <w:rPr>
          <w:noProof/>
        </w:rPr>
        <w:fldChar w:fldCharType="separate"/>
      </w:r>
      <w:r w:rsidR="00105D2E">
        <w:rPr>
          <w:noProof/>
        </w:rPr>
        <w:t>21</w:t>
      </w:r>
      <w:r>
        <w:rPr>
          <w:noProof/>
        </w:rPr>
        <w:fldChar w:fldCharType="end"/>
      </w:r>
    </w:p>
    <w:p w14:paraId="20A21E7D" w14:textId="58AF1D6A"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36  Information that must be included in offsets reports</w:t>
      </w:r>
      <w:r>
        <w:rPr>
          <w:noProof/>
        </w:rPr>
        <w:tab/>
      </w:r>
      <w:r>
        <w:rPr>
          <w:noProof/>
        </w:rPr>
        <w:fldChar w:fldCharType="begin"/>
      </w:r>
      <w:r>
        <w:rPr>
          <w:noProof/>
        </w:rPr>
        <w:instrText xml:space="preserve"> PAGEREF _Toc202953835 \h </w:instrText>
      </w:r>
      <w:r>
        <w:rPr>
          <w:noProof/>
        </w:rPr>
      </w:r>
      <w:r>
        <w:rPr>
          <w:noProof/>
        </w:rPr>
        <w:fldChar w:fldCharType="separate"/>
      </w:r>
      <w:r w:rsidR="00105D2E">
        <w:rPr>
          <w:noProof/>
        </w:rPr>
        <w:t>21</w:t>
      </w:r>
      <w:r>
        <w:rPr>
          <w:noProof/>
        </w:rPr>
        <w:fldChar w:fldCharType="end"/>
      </w:r>
    </w:p>
    <w:p w14:paraId="06786AFE" w14:textId="479AFF02" w:rsidR="00EC67DC" w:rsidRDefault="00EC67DC">
      <w:pPr>
        <w:pStyle w:val="TOC3"/>
        <w:rPr>
          <w:rFonts w:asciiTheme="minorHAnsi" w:eastAsiaTheme="minorEastAsia" w:hAnsiTheme="minorHAnsi" w:cstheme="minorBidi"/>
          <w:b w:val="0"/>
          <w:noProof/>
          <w:kern w:val="2"/>
          <w:sz w:val="24"/>
          <w:szCs w:val="24"/>
          <w14:ligatures w14:val="standardContextual"/>
        </w:rPr>
      </w:pPr>
      <w:r>
        <w:rPr>
          <w:noProof/>
        </w:rPr>
        <w:t>Division 2—Record</w:t>
      </w:r>
      <w:r>
        <w:rPr>
          <w:noProof/>
        </w:rPr>
        <w:noBreakHyphen/>
        <w:t>keeping requirements</w:t>
      </w:r>
      <w:r>
        <w:rPr>
          <w:noProof/>
        </w:rPr>
        <w:tab/>
      </w:r>
      <w:r>
        <w:rPr>
          <w:noProof/>
        </w:rPr>
        <w:fldChar w:fldCharType="begin"/>
      </w:r>
      <w:r>
        <w:rPr>
          <w:noProof/>
        </w:rPr>
        <w:instrText xml:space="preserve"> PAGEREF _Toc202953836 \h </w:instrText>
      </w:r>
      <w:r>
        <w:rPr>
          <w:noProof/>
        </w:rPr>
      </w:r>
      <w:r>
        <w:rPr>
          <w:noProof/>
        </w:rPr>
        <w:fldChar w:fldCharType="separate"/>
      </w:r>
      <w:r w:rsidR="00105D2E">
        <w:rPr>
          <w:noProof/>
        </w:rPr>
        <w:t>23</w:t>
      </w:r>
      <w:r>
        <w:rPr>
          <w:noProof/>
        </w:rPr>
        <w:fldChar w:fldCharType="end"/>
      </w:r>
    </w:p>
    <w:p w14:paraId="54AD53FC" w14:textId="4CCA1718"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37   </w:t>
      </w:r>
      <w:r w:rsidRPr="001E2337">
        <w:rPr>
          <w:bCs/>
          <w:noProof/>
          <w:color w:val="000000"/>
        </w:rPr>
        <w:t>Operation of this Division</w:t>
      </w:r>
      <w:r>
        <w:rPr>
          <w:noProof/>
        </w:rPr>
        <w:tab/>
      </w:r>
      <w:r>
        <w:rPr>
          <w:noProof/>
        </w:rPr>
        <w:fldChar w:fldCharType="begin"/>
      </w:r>
      <w:r>
        <w:rPr>
          <w:noProof/>
        </w:rPr>
        <w:instrText xml:space="preserve"> PAGEREF _Toc202953837 \h </w:instrText>
      </w:r>
      <w:r>
        <w:rPr>
          <w:noProof/>
        </w:rPr>
      </w:r>
      <w:r>
        <w:rPr>
          <w:noProof/>
        </w:rPr>
        <w:fldChar w:fldCharType="separate"/>
      </w:r>
      <w:r w:rsidR="00105D2E">
        <w:rPr>
          <w:noProof/>
        </w:rPr>
        <w:t>23</w:t>
      </w:r>
      <w:r>
        <w:rPr>
          <w:noProof/>
        </w:rPr>
        <w:fldChar w:fldCharType="end"/>
      </w:r>
    </w:p>
    <w:p w14:paraId="187BCFDA" w14:textId="08BA0C99"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38   </w:t>
      </w:r>
      <w:r w:rsidRPr="001E2337">
        <w:rPr>
          <w:bCs/>
          <w:noProof/>
          <w:color w:val="000000"/>
        </w:rPr>
        <w:t>Record</w:t>
      </w:r>
      <w:r w:rsidRPr="001E2337">
        <w:rPr>
          <w:bCs/>
          <w:noProof/>
          <w:color w:val="000000"/>
        </w:rPr>
        <w:noBreakHyphen/>
        <w:t>keeping requirements</w:t>
      </w:r>
      <w:r>
        <w:rPr>
          <w:noProof/>
        </w:rPr>
        <w:tab/>
      </w:r>
      <w:r>
        <w:rPr>
          <w:noProof/>
        </w:rPr>
        <w:fldChar w:fldCharType="begin"/>
      </w:r>
      <w:r>
        <w:rPr>
          <w:noProof/>
        </w:rPr>
        <w:instrText xml:space="preserve"> PAGEREF _Toc202953838 \h </w:instrText>
      </w:r>
      <w:r>
        <w:rPr>
          <w:noProof/>
        </w:rPr>
      </w:r>
      <w:r>
        <w:rPr>
          <w:noProof/>
        </w:rPr>
        <w:fldChar w:fldCharType="separate"/>
      </w:r>
      <w:r w:rsidR="00105D2E">
        <w:rPr>
          <w:noProof/>
        </w:rPr>
        <w:t>23</w:t>
      </w:r>
      <w:r>
        <w:rPr>
          <w:noProof/>
        </w:rPr>
        <w:fldChar w:fldCharType="end"/>
      </w:r>
    </w:p>
    <w:p w14:paraId="60E1A7D9" w14:textId="69D5FA1E" w:rsidR="00EC67DC" w:rsidRDefault="00EC67DC">
      <w:pPr>
        <w:pStyle w:val="TOC3"/>
        <w:rPr>
          <w:rFonts w:asciiTheme="minorHAnsi" w:eastAsiaTheme="minorEastAsia" w:hAnsiTheme="minorHAnsi" w:cstheme="minorBidi"/>
          <w:b w:val="0"/>
          <w:noProof/>
          <w:kern w:val="2"/>
          <w:sz w:val="24"/>
          <w:szCs w:val="24"/>
          <w14:ligatures w14:val="standardContextual"/>
        </w:rPr>
      </w:pPr>
      <w:r>
        <w:rPr>
          <w:noProof/>
        </w:rPr>
        <w:t>Division 3—</w:t>
      </w:r>
      <w:r w:rsidRPr="001E2337">
        <w:rPr>
          <w:rFonts w:eastAsiaTheme="minorHAnsi" w:cstheme="minorBidi"/>
          <w:noProof/>
          <w:kern w:val="0"/>
          <w:lang w:eastAsia="en-US"/>
        </w:rPr>
        <w:t xml:space="preserve"> </w:t>
      </w:r>
      <w:r>
        <w:rPr>
          <w:noProof/>
        </w:rPr>
        <w:t>Monitoring requirements</w:t>
      </w:r>
      <w:r>
        <w:rPr>
          <w:noProof/>
        </w:rPr>
        <w:tab/>
      </w:r>
      <w:r>
        <w:rPr>
          <w:noProof/>
        </w:rPr>
        <w:fldChar w:fldCharType="begin"/>
      </w:r>
      <w:r>
        <w:rPr>
          <w:noProof/>
        </w:rPr>
        <w:instrText xml:space="preserve"> PAGEREF _Toc202953839 \h </w:instrText>
      </w:r>
      <w:r>
        <w:rPr>
          <w:noProof/>
        </w:rPr>
      </w:r>
      <w:r>
        <w:rPr>
          <w:noProof/>
        </w:rPr>
        <w:fldChar w:fldCharType="separate"/>
      </w:r>
      <w:r w:rsidR="00105D2E">
        <w:rPr>
          <w:noProof/>
        </w:rPr>
        <w:t>23</w:t>
      </w:r>
      <w:r>
        <w:rPr>
          <w:noProof/>
        </w:rPr>
        <w:fldChar w:fldCharType="end"/>
      </w:r>
    </w:p>
    <w:p w14:paraId="4BF11EE0" w14:textId="21C7E4E5"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39   Operation of this Division</w:t>
      </w:r>
      <w:r>
        <w:rPr>
          <w:noProof/>
        </w:rPr>
        <w:tab/>
      </w:r>
      <w:r>
        <w:rPr>
          <w:noProof/>
        </w:rPr>
        <w:fldChar w:fldCharType="begin"/>
      </w:r>
      <w:r>
        <w:rPr>
          <w:noProof/>
        </w:rPr>
        <w:instrText xml:space="preserve"> PAGEREF _Toc202953840 \h </w:instrText>
      </w:r>
      <w:r>
        <w:rPr>
          <w:noProof/>
        </w:rPr>
      </w:r>
      <w:r>
        <w:rPr>
          <w:noProof/>
        </w:rPr>
        <w:fldChar w:fldCharType="separate"/>
      </w:r>
      <w:r w:rsidR="00105D2E">
        <w:rPr>
          <w:noProof/>
        </w:rPr>
        <w:t>23</w:t>
      </w:r>
      <w:r>
        <w:rPr>
          <w:noProof/>
        </w:rPr>
        <w:fldChar w:fldCharType="end"/>
      </w:r>
    </w:p>
    <w:p w14:paraId="7C3A588E" w14:textId="2EBC3FE5"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40   </w:t>
      </w:r>
      <w:r w:rsidRPr="001E2337">
        <w:rPr>
          <w:bCs/>
          <w:noProof/>
          <w:color w:val="000000"/>
        </w:rPr>
        <w:t>Monitoring requirements</w:t>
      </w:r>
      <w:r>
        <w:rPr>
          <w:noProof/>
        </w:rPr>
        <w:tab/>
      </w:r>
      <w:r>
        <w:rPr>
          <w:noProof/>
        </w:rPr>
        <w:fldChar w:fldCharType="begin"/>
      </w:r>
      <w:r>
        <w:rPr>
          <w:noProof/>
        </w:rPr>
        <w:instrText xml:space="preserve"> PAGEREF _Toc202953841 \h </w:instrText>
      </w:r>
      <w:r>
        <w:rPr>
          <w:noProof/>
        </w:rPr>
      </w:r>
      <w:r>
        <w:rPr>
          <w:noProof/>
        </w:rPr>
        <w:fldChar w:fldCharType="separate"/>
      </w:r>
      <w:r w:rsidR="00105D2E">
        <w:rPr>
          <w:noProof/>
        </w:rPr>
        <w:t>24</w:t>
      </w:r>
      <w:r>
        <w:rPr>
          <w:noProof/>
        </w:rPr>
        <w:fldChar w:fldCharType="end"/>
      </w:r>
    </w:p>
    <w:p w14:paraId="65642FFA" w14:textId="243190A3" w:rsidR="00EC67DC" w:rsidRDefault="00EC67DC">
      <w:pPr>
        <w:pStyle w:val="TOC3"/>
        <w:rPr>
          <w:rFonts w:asciiTheme="minorHAnsi" w:eastAsiaTheme="minorEastAsia" w:hAnsiTheme="minorHAnsi" w:cstheme="minorBidi"/>
          <w:b w:val="0"/>
          <w:noProof/>
          <w:kern w:val="2"/>
          <w:sz w:val="24"/>
          <w:szCs w:val="24"/>
          <w14:ligatures w14:val="standardContextual"/>
        </w:rPr>
      </w:pPr>
      <w:r>
        <w:rPr>
          <w:noProof/>
        </w:rPr>
        <w:t>Division 4—Notification requirements</w:t>
      </w:r>
      <w:r>
        <w:rPr>
          <w:noProof/>
        </w:rPr>
        <w:tab/>
      </w:r>
      <w:r>
        <w:rPr>
          <w:noProof/>
        </w:rPr>
        <w:fldChar w:fldCharType="begin"/>
      </w:r>
      <w:r>
        <w:rPr>
          <w:noProof/>
        </w:rPr>
        <w:instrText xml:space="preserve"> PAGEREF _Toc202953842 \h </w:instrText>
      </w:r>
      <w:r>
        <w:rPr>
          <w:noProof/>
        </w:rPr>
      </w:r>
      <w:r>
        <w:rPr>
          <w:noProof/>
        </w:rPr>
        <w:fldChar w:fldCharType="separate"/>
      </w:r>
      <w:r w:rsidR="00105D2E">
        <w:rPr>
          <w:noProof/>
        </w:rPr>
        <w:t>24</w:t>
      </w:r>
      <w:r>
        <w:rPr>
          <w:noProof/>
        </w:rPr>
        <w:fldChar w:fldCharType="end"/>
      </w:r>
    </w:p>
    <w:p w14:paraId="4F917557" w14:textId="71BCCCFF"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41   Operation of this Division</w:t>
      </w:r>
      <w:r>
        <w:rPr>
          <w:noProof/>
        </w:rPr>
        <w:tab/>
      </w:r>
      <w:r>
        <w:rPr>
          <w:noProof/>
        </w:rPr>
        <w:fldChar w:fldCharType="begin"/>
      </w:r>
      <w:r>
        <w:rPr>
          <w:noProof/>
        </w:rPr>
        <w:instrText xml:space="preserve"> PAGEREF _Toc202953843 \h </w:instrText>
      </w:r>
      <w:r>
        <w:rPr>
          <w:noProof/>
        </w:rPr>
      </w:r>
      <w:r>
        <w:rPr>
          <w:noProof/>
        </w:rPr>
        <w:fldChar w:fldCharType="separate"/>
      </w:r>
      <w:r w:rsidR="00105D2E">
        <w:rPr>
          <w:noProof/>
        </w:rPr>
        <w:t>24</w:t>
      </w:r>
      <w:r>
        <w:rPr>
          <w:noProof/>
        </w:rPr>
        <w:fldChar w:fldCharType="end"/>
      </w:r>
    </w:p>
    <w:p w14:paraId="1A4F7D8C" w14:textId="7AA99397"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42   </w:t>
      </w:r>
      <w:r w:rsidRPr="001E2337">
        <w:rPr>
          <w:bCs/>
          <w:noProof/>
          <w:color w:val="000000"/>
        </w:rPr>
        <w:t>Notification requirements</w:t>
      </w:r>
      <w:r>
        <w:rPr>
          <w:noProof/>
        </w:rPr>
        <w:tab/>
      </w:r>
      <w:r>
        <w:rPr>
          <w:noProof/>
        </w:rPr>
        <w:fldChar w:fldCharType="begin"/>
      </w:r>
      <w:r>
        <w:rPr>
          <w:noProof/>
        </w:rPr>
        <w:instrText xml:space="preserve"> PAGEREF _Toc202953844 \h </w:instrText>
      </w:r>
      <w:r>
        <w:rPr>
          <w:noProof/>
        </w:rPr>
      </w:r>
      <w:r>
        <w:rPr>
          <w:noProof/>
        </w:rPr>
        <w:fldChar w:fldCharType="separate"/>
      </w:r>
      <w:r w:rsidR="00105D2E">
        <w:rPr>
          <w:noProof/>
        </w:rPr>
        <w:t>24</w:t>
      </w:r>
      <w:r>
        <w:rPr>
          <w:noProof/>
        </w:rPr>
        <w:fldChar w:fldCharType="end"/>
      </w:r>
    </w:p>
    <w:p w14:paraId="76902FC2" w14:textId="6E52BC0A" w:rsidR="00EC67DC" w:rsidRDefault="00EC67DC">
      <w:pPr>
        <w:pStyle w:val="TOC2"/>
        <w:rPr>
          <w:rFonts w:asciiTheme="minorHAnsi" w:eastAsiaTheme="minorEastAsia" w:hAnsiTheme="minorHAnsi" w:cstheme="minorBidi"/>
          <w:b w:val="0"/>
          <w:noProof/>
          <w:kern w:val="2"/>
          <w:szCs w:val="24"/>
          <w14:ligatures w14:val="standardContextual"/>
        </w:rPr>
      </w:pPr>
      <w:r>
        <w:rPr>
          <w:noProof/>
        </w:rPr>
        <w:t>Part 6—Partial reporting</w:t>
      </w:r>
      <w:r>
        <w:rPr>
          <w:noProof/>
        </w:rPr>
        <w:tab/>
      </w:r>
      <w:r>
        <w:rPr>
          <w:noProof/>
        </w:rPr>
        <w:fldChar w:fldCharType="begin"/>
      </w:r>
      <w:r>
        <w:rPr>
          <w:noProof/>
        </w:rPr>
        <w:instrText xml:space="preserve"> PAGEREF _Toc202953845 \h </w:instrText>
      </w:r>
      <w:r>
        <w:rPr>
          <w:noProof/>
        </w:rPr>
      </w:r>
      <w:r>
        <w:rPr>
          <w:noProof/>
        </w:rPr>
        <w:fldChar w:fldCharType="separate"/>
      </w:r>
      <w:r w:rsidR="00105D2E">
        <w:rPr>
          <w:noProof/>
        </w:rPr>
        <w:t>25</w:t>
      </w:r>
      <w:r>
        <w:rPr>
          <w:noProof/>
        </w:rPr>
        <w:fldChar w:fldCharType="end"/>
      </w:r>
    </w:p>
    <w:p w14:paraId="148525C2" w14:textId="0B5DA154" w:rsidR="00EC67DC" w:rsidRDefault="00EC67DC">
      <w:pPr>
        <w:pStyle w:val="TOC5"/>
        <w:rPr>
          <w:rFonts w:asciiTheme="minorHAnsi" w:eastAsiaTheme="minorEastAsia" w:hAnsiTheme="minorHAnsi" w:cstheme="minorBidi"/>
          <w:noProof/>
          <w:kern w:val="2"/>
          <w:sz w:val="24"/>
          <w:szCs w:val="24"/>
          <w14:ligatures w14:val="standardContextual"/>
        </w:rPr>
      </w:pPr>
      <w:r w:rsidRPr="001E2337">
        <w:rPr>
          <w:bCs/>
          <w:noProof/>
          <w:color w:val="000000"/>
        </w:rPr>
        <w:t>43  Partial reporting</w:t>
      </w:r>
      <w:r>
        <w:rPr>
          <w:noProof/>
        </w:rPr>
        <w:tab/>
      </w:r>
      <w:r>
        <w:rPr>
          <w:noProof/>
        </w:rPr>
        <w:fldChar w:fldCharType="begin"/>
      </w:r>
      <w:r>
        <w:rPr>
          <w:noProof/>
        </w:rPr>
        <w:instrText xml:space="preserve"> PAGEREF _Toc202953846 \h </w:instrText>
      </w:r>
      <w:r>
        <w:rPr>
          <w:noProof/>
        </w:rPr>
      </w:r>
      <w:r>
        <w:rPr>
          <w:noProof/>
        </w:rPr>
        <w:fldChar w:fldCharType="separate"/>
      </w:r>
      <w:r w:rsidR="00105D2E">
        <w:rPr>
          <w:noProof/>
        </w:rPr>
        <w:t>25</w:t>
      </w:r>
      <w:r>
        <w:rPr>
          <w:noProof/>
        </w:rPr>
        <w:fldChar w:fldCharType="end"/>
      </w:r>
    </w:p>
    <w:p w14:paraId="530635C1" w14:textId="5DAA6630" w:rsidR="00EC67DC" w:rsidRDefault="00EC67DC">
      <w:pPr>
        <w:pStyle w:val="TOC1"/>
        <w:rPr>
          <w:rFonts w:asciiTheme="minorHAnsi" w:eastAsiaTheme="minorEastAsia" w:hAnsiTheme="minorHAnsi" w:cstheme="minorBidi"/>
          <w:b w:val="0"/>
          <w:noProof/>
          <w:kern w:val="2"/>
          <w:sz w:val="24"/>
          <w:szCs w:val="24"/>
          <w14:ligatures w14:val="standardContextual"/>
        </w:rPr>
      </w:pPr>
      <w:r>
        <w:rPr>
          <w:noProof/>
        </w:rPr>
        <w:t>Schedule 1—Emissions avoidance—calculation of adjusted contribution to net abatement amount for a calendar year</w:t>
      </w:r>
      <w:r>
        <w:rPr>
          <w:noProof/>
        </w:rPr>
        <w:tab/>
      </w:r>
      <w:r>
        <w:rPr>
          <w:noProof/>
        </w:rPr>
        <w:fldChar w:fldCharType="begin"/>
      </w:r>
      <w:r>
        <w:rPr>
          <w:noProof/>
        </w:rPr>
        <w:instrText xml:space="preserve"> PAGEREF _Toc202953847 \h </w:instrText>
      </w:r>
      <w:r>
        <w:rPr>
          <w:noProof/>
        </w:rPr>
      </w:r>
      <w:r>
        <w:rPr>
          <w:noProof/>
        </w:rPr>
        <w:fldChar w:fldCharType="separate"/>
      </w:r>
      <w:r w:rsidR="00105D2E">
        <w:rPr>
          <w:noProof/>
        </w:rPr>
        <w:t>26</w:t>
      </w:r>
      <w:r>
        <w:rPr>
          <w:noProof/>
        </w:rPr>
        <w:fldChar w:fldCharType="end"/>
      </w:r>
    </w:p>
    <w:p w14:paraId="30490262" w14:textId="5FC5ABAF" w:rsidR="00EC67DC" w:rsidRDefault="00EC67DC">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Pr>
          <w:noProof/>
        </w:rPr>
        <w:tab/>
      </w:r>
      <w:r>
        <w:rPr>
          <w:noProof/>
        </w:rPr>
        <w:fldChar w:fldCharType="begin"/>
      </w:r>
      <w:r>
        <w:rPr>
          <w:noProof/>
        </w:rPr>
        <w:instrText xml:space="preserve"> PAGEREF _Toc202953848 \h </w:instrText>
      </w:r>
      <w:r>
        <w:rPr>
          <w:noProof/>
        </w:rPr>
      </w:r>
      <w:r>
        <w:rPr>
          <w:noProof/>
        </w:rPr>
        <w:fldChar w:fldCharType="separate"/>
      </w:r>
      <w:r w:rsidR="00105D2E">
        <w:rPr>
          <w:noProof/>
        </w:rPr>
        <w:t>26</w:t>
      </w:r>
      <w:r>
        <w:rPr>
          <w:noProof/>
        </w:rPr>
        <w:fldChar w:fldCharType="end"/>
      </w:r>
    </w:p>
    <w:p w14:paraId="7BED3833" w14:textId="7DFFC23E"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1   </w:t>
      </w:r>
      <w:r w:rsidRPr="001E2337">
        <w:rPr>
          <w:bCs/>
          <w:noProof/>
          <w:color w:val="000000"/>
        </w:rPr>
        <w:t>Simplified outline of this Schedule</w:t>
      </w:r>
      <w:r>
        <w:rPr>
          <w:noProof/>
        </w:rPr>
        <w:tab/>
      </w:r>
      <w:r>
        <w:rPr>
          <w:noProof/>
        </w:rPr>
        <w:fldChar w:fldCharType="begin"/>
      </w:r>
      <w:r>
        <w:rPr>
          <w:noProof/>
        </w:rPr>
        <w:instrText xml:space="preserve"> PAGEREF _Toc202953849 \h </w:instrText>
      </w:r>
      <w:r>
        <w:rPr>
          <w:noProof/>
        </w:rPr>
      </w:r>
      <w:r>
        <w:rPr>
          <w:noProof/>
        </w:rPr>
        <w:fldChar w:fldCharType="separate"/>
      </w:r>
      <w:r w:rsidR="00105D2E">
        <w:rPr>
          <w:noProof/>
        </w:rPr>
        <w:t>26</w:t>
      </w:r>
      <w:r>
        <w:rPr>
          <w:noProof/>
        </w:rPr>
        <w:fldChar w:fldCharType="end"/>
      </w:r>
    </w:p>
    <w:p w14:paraId="5691EB1F" w14:textId="3E0AB38B" w:rsidR="00EC67DC" w:rsidRDefault="00EC67DC">
      <w:pPr>
        <w:pStyle w:val="TOC3"/>
        <w:rPr>
          <w:rFonts w:asciiTheme="minorHAnsi" w:eastAsiaTheme="minorEastAsia" w:hAnsiTheme="minorHAnsi" w:cstheme="minorBidi"/>
          <w:b w:val="0"/>
          <w:noProof/>
          <w:kern w:val="2"/>
          <w:sz w:val="24"/>
          <w:szCs w:val="24"/>
          <w14:ligatures w14:val="standardContextual"/>
        </w:rPr>
      </w:pPr>
      <w:r>
        <w:rPr>
          <w:noProof/>
        </w:rPr>
        <w:t>Division 2— Calculations</w:t>
      </w:r>
      <w:r>
        <w:rPr>
          <w:noProof/>
        </w:rPr>
        <w:tab/>
      </w:r>
      <w:r>
        <w:rPr>
          <w:noProof/>
        </w:rPr>
        <w:fldChar w:fldCharType="begin"/>
      </w:r>
      <w:r>
        <w:rPr>
          <w:noProof/>
        </w:rPr>
        <w:instrText xml:space="preserve"> PAGEREF _Toc202953850 \h </w:instrText>
      </w:r>
      <w:r>
        <w:rPr>
          <w:noProof/>
        </w:rPr>
      </w:r>
      <w:r>
        <w:rPr>
          <w:noProof/>
        </w:rPr>
        <w:fldChar w:fldCharType="separate"/>
      </w:r>
      <w:r w:rsidR="00105D2E">
        <w:rPr>
          <w:noProof/>
        </w:rPr>
        <w:t>26</w:t>
      </w:r>
      <w:r>
        <w:rPr>
          <w:noProof/>
        </w:rPr>
        <w:fldChar w:fldCharType="end"/>
      </w:r>
    </w:p>
    <w:p w14:paraId="36F5E1FF" w14:textId="1FA356D2"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2   </w:t>
      </w:r>
      <w:r w:rsidRPr="001E2337">
        <w:rPr>
          <w:bCs/>
          <w:noProof/>
          <w:color w:val="000000"/>
        </w:rPr>
        <w:t>Calculation of adjusted contribution to net abatement amount from emissions avoidance for a calendar year, </w:t>
      </w:r>
      <w:r w:rsidRPr="001E2337">
        <w:rPr>
          <w:bCs/>
          <w:i/>
          <w:iCs/>
          <w:noProof/>
          <w:color w:val="000000"/>
        </w:rPr>
        <w:t>A</w:t>
      </w:r>
      <w:r w:rsidRPr="001E2337">
        <w:rPr>
          <w:bCs/>
          <w:i/>
          <w:iCs/>
          <w:noProof/>
          <w:color w:val="000000"/>
          <w:vertAlign w:val="subscript"/>
        </w:rPr>
        <w:t>EA,adj</w:t>
      </w:r>
      <w:r>
        <w:rPr>
          <w:noProof/>
        </w:rPr>
        <w:tab/>
      </w:r>
      <w:r>
        <w:rPr>
          <w:noProof/>
        </w:rPr>
        <w:fldChar w:fldCharType="begin"/>
      </w:r>
      <w:r>
        <w:rPr>
          <w:noProof/>
        </w:rPr>
        <w:instrText xml:space="preserve"> PAGEREF _Toc202953851 \h </w:instrText>
      </w:r>
      <w:r>
        <w:rPr>
          <w:noProof/>
        </w:rPr>
      </w:r>
      <w:r>
        <w:rPr>
          <w:noProof/>
        </w:rPr>
        <w:fldChar w:fldCharType="separate"/>
      </w:r>
      <w:r w:rsidR="00105D2E">
        <w:rPr>
          <w:noProof/>
        </w:rPr>
        <w:t>26</w:t>
      </w:r>
      <w:r>
        <w:rPr>
          <w:noProof/>
        </w:rPr>
        <w:fldChar w:fldCharType="end"/>
      </w:r>
    </w:p>
    <w:p w14:paraId="11EBD665" w14:textId="2495C4DD"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3   </w:t>
      </w:r>
      <w:r w:rsidRPr="001E2337">
        <w:rPr>
          <w:bCs/>
          <w:noProof/>
          <w:color w:val="000000"/>
        </w:rPr>
        <w:t>The previous year’s uncertainty buffer, </w:t>
      </w:r>
      <w:r w:rsidRPr="001E2337">
        <w:rPr>
          <w:bCs/>
          <w:i/>
          <w:iCs/>
          <w:noProof/>
          <w:color w:val="000000"/>
        </w:rPr>
        <w:t>B</w:t>
      </w:r>
      <w:r w:rsidRPr="001E2337">
        <w:rPr>
          <w:bCs/>
          <w:i/>
          <w:iCs/>
          <w:noProof/>
          <w:color w:val="000000"/>
          <w:vertAlign w:val="subscript"/>
        </w:rPr>
        <w:t>U,Prev</w:t>
      </w:r>
      <w:r>
        <w:rPr>
          <w:noProof/>
        </w:rPr>
        <w:tab/>
      </w:r>
      <w:r>
        <w:rPr>
          <w:noProof/>
        </w:rPr>
        <w:fldChar w:fldCharType="begin"/>
      </w:r>
      <w:r>
        <w:rPr>
          <w:noProof/>
        </w:rPr>
        <w:instrText xml:space="preserve"> PAGEREF _Toc202953852 \h </w:instrText>
      </w:r>
      <w:r>
        <w:rPr>
          <w:noProof/>
        </w:rPr>
      </w:r>
      <w:r>
        <w:rPr>
          <w:noProof/>
        </w:rPr>
        <w:fldChar w:fldCharType="separate"/>
      </w:r>
      <w:r w:rsidR="00105D2E">
        <w:rPr>
          <w:noProof/>
        </w:rPr>
        <w:t>27</w:t>
      </w:r>
      <w:r>
        <w:rPr>
          <w:noProof/>
        </w:rPr>
        <w:fldChar w:fldCharType="end"/>
      </w:r>
    </w:p>
    <w:p w14:paraId="1F8CA39B" w14:textId="50B52947"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4   </w:t>
      </w:r>
      <w:r w:rsidRPr="001E2337">
        <w:rPr>
          <w:bCs/>
          <w:noProof/>
          <w:color w:val="000000"/>
        </w:rPr>
        <w:t>The contribution to the net abatement amount from emissions avoidance for a calendar year, </w:t>
      </w:r>
      <w:r w:rsidRPr="001E2337">
        <w:rPr>
          <w:bCs/>
          <w:i/>
          <w:iCs/>
          <w:noProof/>
          <w:color w:val="000000"/>
        </w:rPr>
        <w:t>A</w:t>
      </w:r>
      <w:r w:rsidRPr="001E2337">
        <w:rPr>
          <w:bCs/>
          <w:i/>
          <w:iCs/>
          <w:noProof/>
          <w:color w:val="000000"/>
          <w:vertAlign w:val="subscript"/>
        </w:rPr>
        <w:t>EA</w:t>
      </w:r>
      <w:r>
        <w:rPr>
          <w:noProof/>
        </w:rPr>
        <w:tab/>
      </w:r>
      <w:r>
        <w:rPr>
          <w:noProof/>
        </w:rPr>
        <w:fldChar w:fldCharType="begin"/>
      </w:r>
      <w:r>
        <w:rPr>
          <w:noProof/>
        </w:rPr>
        <w:instrText xml:space="preserve"> PAGEREF _Toc202953853 \h </w:instrText>
      </w:r>
      <w:r>
        <w:rPr>
          <w:noProof/>
        </w:rPr>
      </w:r>
      <w:r>
        <w:rPr>
          <w:noProof/>
        </w:rPr>
        <w:fldChar w:fldCharType="separate"/>
      </w:r>
      <w:r w:rsidR="00105D2E">
        <w:rPr>
          <w:noProof/>
        </w:rPr>
        <w:t>28</w:t>
      </w:r>
      <w:r>
        <w:rPr>
          <w:noProof/>
        </w:rPr>
        <w:fldChar w:fldCharType="end"/>
      </w:r>
    </w:p>
    <w:p w14:paraId="716D2CA6" w14:textId="22D4DD00"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5   </w:t>
      </w:r>
      <w:r w:rsidRPr="001E2337">
        <w:rPr>
          <w:bCs/>
          <w:noProof/>
          <w:color w:val="000000"/>
        </w:rPr>
        <w:t>The uncertainty buffer cap for a calendar year, </w:t>
      </w:r>
      <w:r w:rsidRPr="001E2337">
        <w:rPr>
          <w:bCs/>
          <w:i/>
          <w:iCs/>
          <w:noProof/>
          <w:color w:val="000000"/>
        </w:rPr>
        <w:t>B</w:t>
      </w:r>
      <w:r w:rsidRPr="001E2337">
        <w:rPr>
          <w:bCs/>
          <w:i/>
          <w:iCs/>
          <w:noProof/>
          <w:color w:val="000000"/>
          <w:vertAlign w:val="subscript"/>
        </w:rPr>
        <w:t>U,Cap</w:t>
      </w:r>
      <w:r>
        <w:rPr>
          <w:noProof/>
        </w:rPr>
        <w:tab/>
      </w:r>
      <w:r>
        <w:rPr>
          <w:noProof/>
        </w:rPr>
        <w:fldChar w:fldCharType="begin"/>
      </w:r>
      <w:r>
        <w:rPr>
          <w:noProof/>
        </w:rPr>
        <w:instrText xml:space="preserve"> PAGEREF _Toc202953854 \h </w:instrText>
      </w:r>
      <w:r>
        <w:rPr>
          <w:noProof/>
        </w:rPr>
      </w:r>
      <w:r>
        <w:rPr>
          <w:noProof/>
        </w:rPr>
        <w:fldChar w:fldCharType="separate"/>
      </w:r>
      <w:r w:rsidR="00105D2E">
        <w:rPr>
          <w:noProof/>
        </w:rPr>
        <w:t>29</w:t>
      </w:r>
      <w:r>
        <w:rPr>
          <w:noProof/>
        </w:rPr>
        <w:fldChar w:fldCharType="end"/>
      </w:r>
    </w:p>
    <w:p w14:paraId="0456D71E" w14:textId="388F5857"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6   </w:t>
      </w:r>
      <w:r w:rsidRPr="001E2337">
        <w:rPr>
          <w:bCs/>
          <w:noProof/>
          <w:color w:val="000000"/>
        </w:rPr>
        <w:t>Mean annual baseline fire emissions</w:t>
      </w:r>
      <w:r>
        <w:rPr>
          <w:noProof/>
        </w:rPr>
        <w:tab/>
      </w:r>
      <w:r>
        <w:rPr>
          <w:noProof/>
        </w:rPr>
        <w:fldChar w:fldCharType="begin"/>
      </w:r>
      <w:r>
        <w:rPr>
          <w:noProof/>
        </w:rPr>
        <w:instrText xml:space="preserve"> PAGEREF _Toc202953855 \h </w:instrText>
      </w:r>
      <w:r>
        <w:rPr>
          <w:noProof/>
        </w:rPr>
      </w:r>
      <w:r>
        <w:rPr>
          <w:noProof/>
        </w:rPr>
        <w:fldChar w:fldCharType="separate"/>
      </w:r>
      <w:r w:rsidR="00105D2E">
        <w:rPr>
          <w:noProof/>
        </w:rPr>
        <w:t>29</w:t>
      </w:r>
      <w:r>
        <w:rPr>
          <w:noProof/>
        </w:rPr>
        <w:fldChar w:fldCharType="end"/>
      </w:r>
    </w:p>
    <w:p w14:paraId="1287424A" w14:textId="30201190" w:rsidR="00EC67DC" w:rsidRDefault="00EC67DC">
      <w:pPr>
        <w:pStyle w:val="TOC3"/>
        <w:rPr>
          <w:rFonts w:asciiTheme="minorHAnsi" w:eastAsiaTheme="minorEastAsia" w:hAnsiTheme="minorHAnsi" w:cstheme="minorBidi"/>
          <w:b w:val="0"/>
          <w:noProof/>
          <w:kern w:val="2"/>
          <w:sz w:val="24"/>
          <w:szCs w:val="24"/>
          <w14:ligatures w14:val="standardContextual"/>
        </w:rPr>
      </w:pPr>
      <w:r>
        <w:rPr>
          <w:noProof/>
        </w:rPr>
        <w:t>Division 3—Adjustments to calculations</w:t>
      </w:r>
      <w:r>
        <w:rPr>
          <w:noProof/>
        </w:rPr>
        <w:tab/>
      </w:r>
      <w:r>
        <w:rPr>
          <w:noProof/>
        </w:rPr>
        <w:fldChar w:fldCharType="begin"/>
      </w:r>
      <w:r>
        <w:rPr>
          <w:noProof/>
        </w:rPr>
        <w:instrText xml:space="preserve"> PAGEREF _Toc202953856 \h </w:instrText>
      </w:r>
      <w:r>
        <w:rPr>
          <w:noProof/>
        </w:rPr>
      </w:r>
      <w:r>
        <w:rPr>
          <w:noProof/>
        </w:rPr>
        <w:fldChar w:fldCharType="separate"/>
      </w:r>
      <w:r w:rsidR="00105D2E">
        <w:rPr>
          <w:noProof/>
        </w:rPr>
        <w:t>29</w:t>
      </w:r>
      <w:r>
        <w:rPr>
          <w:noProof/>
        </w:rPr>
        <w:fldChar w:fldCharType="end"/>
      </w:r>
    </w:p>
    <w:p w14:paraId="6A06C0AF" w14:textId="33366BCC"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7   </w:t>
      </w:r>
      <w:r w:rsidRPr="001E2337">
        <w:rPr>
          <w:bCs/>
          <w:noProof/>
          <w:color w:val="000000"/>
        </w:rPr>
        <w:t>Adjustments resulting from project area spanning rainfall zones</w:t>
      </w:r>
      <w:r>
        <w:rPr>
          <w:noProof/>
        </w:rPr>
        <w:tab/>
      </w:r>
      <w:r>
        <w:rPr>
          <w:noProof/>
        </w:rPr>
        <w:fldChar w:fldCharType="begin"/>
      </w:r>
      <w:r>
        <w:rPr>
          <w:noProof/>
        </w:rPr>
        <w:instrText xml:space="preserve"> PAGEREF _Toc202953857 \h </w:instrText>
      </w:r>
      <w:r>
        <w:rPr>
          <w:noProof/>
        </w:rPr>
      </w:r>
      <w:r>
        <w:rPr>
          <w:noProof/>
        </w:rPr>
        <w:fldChar w:fldCharType="separate"/>
      </w:r>
      <w:r w:rsidR="00105D2E">
        <w:rPr>
          <w:noProof/>
        </w:rPr>
        <w:t>29</w:t>
      </w:r>
      <w:r>
        <w:rPr>
          <w:noProof/>
        </w:rPr>
        <w:fldChar w:fldCharType="end"/>
      </w:r>
    </w:p>
    <w:p w14:paraId="201AF56F" w14:textId="1F9E4B79"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8   </w:t>
      </w:r>
      <w:r w:rsidRPr="001E2337">
        <w:rPr>
          <w:bCs/>
          <w:noProof/>
          <w:color w:val="000000"/>
        </w:rPr>
        <w:t>Adjustments resulting from lack of fire activity</w:t>
      </w:r>
      <w:r>
        <w:rPr>
          <w:noProof/>
        </w:rPr>
        <w:tab/>
      </w:r>
      <w:r>
        <w:rPr>
          <w:noProof/>
        </w:rPr>
        <w:fldChar w:fldCharType="begin"/>
      </w:r>
      <w:r>
        <w:rPr>
          <w:noProof/>
        </w:rPr>
        <w:instrText xml:space="preserve"> PAGEREF _Toc202953858 \h </w:instrText>
      </w:r>
      <w:r>
        <w:rPr>
          <w:noProof/>
        </w:rPr>
      </w:r>
      <w:r>
        <w:rPr>
          <w:noProof/>
        </w:rPr>
        <w:fldChar w:fldCharType="separate"/>
      </w:r>
      <w:r w:rsidR="00105D2E">
        <w:rPr>
          <w:noProof/>
        </w:rPr>
        <w:t>30</w:t>
      </w:r>
      <w:r>
        <w:rPr>
          <w:noProof/>
        </w:rPr>
        <w:fldChar w:fldCharType="end"/>
      </w:r>
    </w:p>
    <w:p w14:paraId="45466077" w14:textId="333142F9"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9   </w:t>
      </w:r>
      <w:r w:rsidRPr="001E2337">
        <w:rPr>
          <w:bCs/>
          <w:noProof/>
          <w:color w:val="000000"/>
        </w:rPr>
        <w:t>Adjustments resulting from subdivided project areas</w:t>
      </w:r>
      <w:r>
        <w:rPr>
          <w:noProof/>
        </w:rPr>
        <w:tab/>
      </w:r>
      <w:r>
        <w:rPr>
          <w:noProof/>
        </w:rPr>
        <w:fldChar w:fldCharType="begin"/>
      </w:r>
      <w:r>
        <w:rPr>
          <w:noProof/>
        </w:rPr>
        <w:instrText xml:space="preserve"> PAGEREF _Toc202953859 \h </w:instrText>
      </w:r>
      <w:r>
        <w:rPr>
          <w:noProof/>
        </w:rPr>
      </w:r>
      <w:r>
        <w:rPr>
          <w:noProof/>
        </w:rPr>
        <w:fldChar w:fldCharType="separate"/>
      </w:r>
      <w:r w:rsidR="00105D2E">
        <w:rPr>
          <w:noProof/>
        </w:rPr>
        <w:t>30</w:t>
      </w:r>
      <w:r>
        <w:rPr>
          <w:noProof/>
        </w:rPr>
        <w:fldChar w:fldCharType="end"/>
      </w:r>
    </w:p>
    <w:p w14:paraId="37EF9776" w14:textId="3BA3CCE7" w:rsidR="00EC67DC" w:rsidRDefault="00EC67DC">
      <w:pPr>
        <w:pStyle w:val="TOC1"/>
        <w:rPr>
          <w:rFonts w:asciiTheme="minorHAnsi" w:eastAsiaTheme="minorEastAsia" w:hAnsiTheme="minorHAnsi" w:cstheme="minorBidi"/>
          <w:b w:val="0"/>
          <w:noProof/>
          <w:kern w:val="2"/>
          <w:sz w:val="24"/>
          <w:szCs w:val="24"/>
          <w14:ligatures w14:val="standardContextual"/>
        </w:rPr>
      </w:pPr>
      <w:r>
        <w:rPr>
          <w:noProof/>
        </w:rPr>
        <w:lastRenderedPageBreak/>
        <w:t>Schedule 2—</w:t>
      </w:r>
      <w:r w:rsidRPr="001E2337">
        <w:rPr>
          <w:rFonts w:eastAsiaTheme="minorHAnsi" w:cstheme="minorBidi"/>
          <w:noProof/>
          <w:kern w:val="0"/>
          <w:lang w:eastAsia="en-US"/>
        </w:rPr>
        <w:t xml:space="preserve"> </w:t>
      </w:r>
      <w:r>
        <w:rPr>
          <w:noProof/>
        </w:rPr>
        <w:t>Sequestration—calculation of adjusted contribution to net abatement amount for a calendar year</w:t>
      </w:r>
      <w:r>
        <w:rPr>
          <w:noProof/>
        </w:rPr>
        <w:tab/>
      </w:r>
      <w:r>
        <w:rPr>
          <w:noProof/>
        </w:rPr>
        <w:fldChar w:fldCharType="begin"/>
      </w:r>
      <w:r>
        <w:rPr>
          <w:noProof/>
        </w:rPr>
        <w:instrText xml:space="preserve"> PAGEREF _Toc202953860 \h </w:instrText>
      </w:r>
      <w:r>
        <w:rPr>
          <w:noProof/>
        </w:rPr>
      </w:r>
      <w:r>
        <w:rPr>
          <w:noProof/>
        </w:rPr>
        <w:fldChar w:fldCharType="separate"/>
      </w:r>
      <w:r w:rsidR="00105D2E">
        <w:rPr>
          <w:noProof/>
        </w:rPr>
        <w:t>31</w:t>
      </w:r>
      <w:r>
        <w:rPr>
          <w:noProof/>
        </w:rPr>
        <w:fldChar w:fldCharType="end"/>
      </w:r>
    </w:p>
    <w:p w14:paraId="7D9268B9" w14:textId="7C438B67" w:rsidR="00EC67DC" w:rsidRDefault="00EC67DC">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Pr>
          <w:noProof/>
        </w:rPr>
        <w:tab/>
      </w:r>
      <w:r>
        <w:rPr>
          <w:noProof/>
        </w:rPr>
        <w:fldChar w:fldCharType="begin"/>
      </w:r>
      <w:r>
        <w:rPr>
          <w:noProof/>
        </w:rPr>
        <w:instrText xml:space="preserve"> PAGEREF _Toc202953861 \h </w:instrText>
      </w:r>
      <w:r>
        <w:rPr>
          <w:noProof/>
        </w:rPr>
      </w:r>
      <w:r>
        <w:rPr>
          <w:noProof/>
        </w:rPr>
        <w:fldChar w:fldCharType="separate"/>
      </w:r>
      <w:r w:rsidR="00105D2E">
        <w:rPr>
          <w:noProof/>
        </w:rPr>
        <w:t>31</w:t>
      </w:r>
      <w:r>
        <w:rPr>
          <w:noProof/>
        </w:rPr>
        <w:fldChar w:fldCharType="end"/>
      </w:r>
    </w:p>
    <w:p w14:paraId="74C87FC2" w14:textId="51C50E0F"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1   Simplified outline of this Schedule</w:t>
      </w:r>
      <w:r>
        <w:rPr>
          <w:noProof/>
        </w:rPr>
        <w:tab/>
      </w:r>
      <w:r>
        <w:rPr>
          <w:noProof/>
        </w:rPr>
        <w:fldChar w:fldCharType="begin"/>
      </w:r>
      <w:r>
        <w:rPr>
          <w:noProof/>
        </w:rPr>
        <w:instrText xml:space="preserve"> PAGEREF _Toc202953862 \h </w:instrText>
      </w:r>
      <w:r>
        <w:rPr>
          <w:noProof/>
        </w:rPr>
      </w:r>
      <w:r>
        <w:rPr>
          <w:noProof/>
        </w:rPr>
        <w:fldChar w:fldCharType="separate"/>
      </w:r>
      <w:r w:rsidR="00105D2E">
        <w:rPr>
          <w:noProof/>
        </w:rPr>
        <w:t>31</w:t>
      </w:r>
      <w:r>
        <w:rPr>
          <w:noProof/>
        </w:rPr>
        <w:fldChar w:fldCharType="end"/>
      </w:r>
    </w:p>
    <w:p w14:paraId="4ADA2DBC" w14:textId="4E551BAF" w:rsidR="00EC67DC" w:rsidRDefault="00EC67DC">
      <w:pPr>
        <w:pStyle w:val="TOC3"/>
        <w:rPr>
          <w:rFonts w:asciiTheme="minorHAnsi" w:eastAsiaTheme="minorEastAsia" w:hAnsiTheme="minorHAnsi" w:cstheme="minorBidi"/>
          <w:b w:val="0"/>
          <w:noProof/>
          <w:kern w:val="2"/>
          <w:sz w:val="24"/>
          <w:szCs w:val="24"/>
          <w14:ligatures w14:val="standardContextual"/>
        </w:rPr>
      </w:pPr>
      <w:r>
        <w:rPr>
          <w:noProof/>
        </w:rPr>
        <w:t>Division 2— Calculations</w:t>
      </w:r>
      <w:r>
        <w:rPr>
          <w:noProof/>
        </w:rPr>
        <w:tab/>
      </w:r>
      <w:r>
        <w:rPr>
          <w:noProof/>
        </w:rPr>
        <w:fldChar w:fldCharType="begin"/>
      </w:r>
      <w:r>
        <w:rPr>
          <w:noProof/>
        </w:rPr>
        <w:instrText xml:space="preserve"> PAGEREF _Toc202953863 \h </w:instrText>
      </w:r>
      <w:r>
        <w:rPr>
          <w:noProof/>
        </w:rPr>
      </w:r>
      <w:r>
        <w:rPr>
          <w:noProof/>
        </w:rPr>
        <w:fldChar w:fldCharType="separate"/>
      </w:r>
      <w:r w:rsidR="00105D2E">
        <w:rPr>
          <w:noProof/>
        </w:rPr>
        <w:t>32</w:t>
      </w:r>
      <w:r>
        <w:rPr>
          <w:noProof/>
        </w:rPr>
        <w:fldChar w:fldCharType="end"/>
      </w:r>
    </w:p>
    <w:p w14:paraId="2F1973AB" w14:textId="406EA7D8"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2   Calculation of adjusted contribution to net abatement amount from sequestration of carbon in carbon in living biomass or dead organic matter for a calendar year, </w:t>
      </w:r>
      <w:r w:rsidRPr="001E2337">
        <w:rPr>
          <w:i/>
          <w:iCs/>
          <w:noProof/>
        </w:rPr>
        <w:t>A</w:t>
      </w:r>
      <w:r w:rsidRPr="001E2337">
        <w:rPr>
          <w:i/>
          <w:iCs/>
          <w:noProof/>
          <w:vertAlign w:val="subscript"/>
        </w:rPr>
        <w:t>Seq,adj</w:t>
      </w:r>
      <w:r>
        <w:rPr>
          <w:noProof/>
        </w:rPr>
        <w:tab/>
      </w:r>
      <w:r>
        <w:rPr>
          <w:noProof/>
        </w:rPr>
        <w:fldChar w:fldCharType="begin"/>
      </w:r>
      <w:r>
        <w:rPr>
          <w:noProof/>
        </w:rPr>
        <w:instrText xml:space="preserve"> PAGEREF _Toc202953864 \h </w:instrText>
      </w:r>
      <w:r>
        <w:rPr>
          <w:noProof/>
        </w:rPr>
      </w:r>
      <w:r>
        <w:rPr>
          <w:noProof/>
        </w:rPr>
        <w:fldChar w:fldCharType="separate"/>
      </w:r>
      <w:r w:rsidR="00105D2E">
        <w:rPr>
          <w:noProof/>
        </w:rPr>
        <w:t>32</w:t>
      </w:r>
      <w:r>
        <w:rPr>
          <w:noProof/>
        </w:rPr>
        <w:fldChar w:fldCharType="end"/>
      </w:r>
    </w:p>
    <w:p w14:paraId="7E772FF3" w14:textId="106CD19C"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3   The previous year’s carry</w:t>
      </w:r>
      <w:r>
        <w:rPr>
          <w:noProof/>
        </w:rPr>
        <w:noBreakHyphen/>
        <w:t>over amount, </w:t>
      </w:r>
      <w:r w:rsidRPr="00570FEC">
        <w:rPr>
          <w:rFonts w:ascii="Symbol" w:eastAsia="Symbol" w:hAnsi="Symbol" w:cs="Symbol"/>
          <w:i/>
          <w:noProof/>
        </w:rPr>
        <w:t>D</w:t>
      </w:r>
      <w:r w:rsidRPr="001E2337">
        <w:rPr>
          <w:i/>
          <w:iCs/>
          <w:noProof/>
        </w:rPr>
        <w:t>C</w:t>
      </w:r>
      <w:r w:rsidRPr="001E2337">
        <w:rPr>
          <w:i/>
          <w:iCs/>
          <w:noProof/>
          <w:vertAlign w:val="subscript"/>
        </w:rPr>
        <w:t>Seq,Prev</w:t>
      </w:r>
      <w:r>
        <w:rPr>
          <w:noProof/>
        </w:rPr>
        <w:tab/>
      </w:r>
      <w:r>
        <w:rPr>
          <w:noProof/>
        </w:rPr>
        <w:fldChar w:fldCharType="begin"/>
      </w:r>
      <w:r>
        <w:rPr>
          <w:noProof/>
        </w:rPr>
        <w:instrText xml:space="preserve"> PAGEREF _Toc202953865 \h </w:instrText>
      </w:r>
      <w:r>
        <w:rPr>
          <w:noProof/>
        </w:rPr>
      </w:r>
      <w:r>
        <w:rPr>
          <w:noProof/>
        </w:rPr>
        <w:fldChar w:fldCharType="separate"/>
      </w:r>
      <w:r w:rsidR="00105D2E">
        <w:rPr>
          <w:noProof/>
        </w:rPr>
        <w:t>33</w:t>
      </w:r>
      <w:r>
        <w:rPr>
          <w:noProof/>
        </w:rPr>
        <w:fldChar w:fldCharType="end"/>
      </w:r>
    </w:p>
    <w:p w14:paraId="3D776C66" w14:textId="7DAC176C"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4   The contribution to the net abatement amount from sequestration for a calendar year, </w:t>
      </w:r>
      <w:r w:rsidRPr="001E2337">
        <w:rPr>
          <w:i/>
          <w:iCs/>
          <w:noProof/>
        </w:rPr>
        <w:t>A</w:t>
      </w:r>
      <w:r w:rsidRPr="001E2337">
        <w:rPr>
          <w:i/>
          <w:iCs/>
          <w:noProof/>
          <w:vertAlign w:val="subscript"/>
        </w:rPr>
        <w:t>Seq</w:t>
      </w:r>
      <w:r>
        <w:rPr>
          <w:noProof/>
        </w:rPr>
        <w:tab/>
      </w:r>
      <w:r>
        <w:rPr>
          <w:noProof/>
        </w:rPr>
        <w:fldChar w:fldCharType="begin"/>
      </w:r>
      <w:r>
        <w:rPr>
          <w:noProof/>
        </w:rPr>
        <w:instrText xml:space="preserve"> PAGEREF _Toc202953866 \h </w:instrText>
      </w:r>
      <w:r>
        <w:rPr>
          <w:noProof/>
        </w:rPr>
      </w:r>
      <w:r>
        <w:rPr>
          <w:noProof/>
        </w:rPr>
        <w:fldChar w:fldCharType="separate"/>
      </w:r>
      <w:r w:rsidR="00105D2E">
        <w:rPr>
          <w:noProof/>
        </w:rPr>
        <w:t>33</w:t>
      </w:r>
      <w:r>
        <w:rPr>
          <w:noProof/>
        </w:rPr>
        <w:fldChar w:fldCharType="end"/>
      </w:r>
    </w:p>
    <w:p w14:paraId="298646EB" w14:textId="28BCDF9D"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5   The sequestration buffer</w:t>
      </w:r>
      <w:r>
        <w:rPr>
          <w:noProof/>
        </w:rPr>
        <w:tab/>
      </w:r>
      <w:r>
        <w:rPr>
          <w:noProof/>
        </w:rPr>
        <w:fldChar w:fldCharType="begin"/>
      </w:r>
      <w:r>
        <w:rPr>
          <w:noProof/>
        </w:rPr>
        <w:instrText xml:space="preserve"> PAGEREF _Toc202953867 \h </w:instrText>
      </w:r>
      <w:r>
        <w:rPr>
          <w:noProof/>
        </w:rPr>
      </w:r>
      <w:r>
        <w:rPr>
          <w:noProof/>
        </w:rPr>
        <w:fldChar w:fldCharType="separate"/>
      </w:r>
      <w:r w:rsidR="00105D2E">
        <w:rPr>
          <w:noProof/>
        </w:rPr>
        <w:t>34</w:t>
      </w:r>
      <w:r>
        <w:rPr>
          <w:noProof/>
        </w:rPr>
        <w:fldChar w:fldCharType="end"/>
      </w:r>
    </w:p>
    <w:p w14:paraId="1F5B7240" w14:textId="280FA287"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6   Mean baseline carbon stock for project</w:t>
      </w:r>
      <w:r>
        <w:rPr>
          <w:noProof/>
        </w:rPr>
        <w:tab/>
      </w:r>
      <w:r>
        <w:rPr>
          <w:noProof/>
        </w:rPr>
        <w:fldChar w:fldCharType="begin"/>
      </w:r>
      <w:r>
        <w:rPr>
          <w:noProof/>
        </w:rPr>
        <w:instrText xml:space="preserve"> PAGEREF _Toc202953868 \h </w:instrText>
      </w:r>
      <w:r>
        <w:rPr>
          <w:noProof/>
        </w:rPr>
      </w:r>
      <w:r>
        <w:rPr>
          <w:noProof/>
        </w:rPr>
        <w:fldChar w:fldCharType="separate"/>
      </w:r>
      <w:r w:rsidR="00105D2E">
        <w:rPr>
          <w:noProof/>
        </w:rPr>
        <w:t>34</w:t>
      </w:r>
      <w:r>
        <w:rPr>
          <w:noProof/>
        </w:rPr>
        <w:fldChar w:fldCharType="end"/>
      </w:r>
    </w:p>
    <w:p w14:paraId="123AC2AA" w14:textId="39D1FF61" w:rsidR="00EC67DC" w:rsidRDefault="00EC67DC">
      <w:pPr>
        <w:pStyle w:val="TOC3"/>
        <w:rPr>
          <w:rFonts w:asciiTheme="minorHAnsi" w:eastAsiaTheme="minorEastAsia" w:hAnsiTheme="minorHAnsi" w:cstheme="minorBidi"/>
          <w:b w:val="0"/>
          <w:noProof/>
          <w:kern w:val="2"/>
          <w:sz w:val="24"/>
          <w:szCs w:val="24"/>
          <w14:ligatures w14:val="standardContextual"/>
        </w:rPr>
      </w:pPr>
      <w:r>
        <w:rPr>
          <w:noProof/>
        </w:rPr>
        <w:t>Division 3— Adjustments to calculations</w:t>
      </w:r>
      <w:r>
        <w:rPr>
          <w:noProof/>
        </w:rPr>
        <w:tab/>
      </w:r>
      <w:r>
        <w:rPr>
          <w:noProof/>
        </w:rPr>
        <w:fldChar w:fldCharType="begin"/>
      </w:r>
      <w:r>
        <w:rPr>
          <w:noProof/>
        </w:rPr>
        <w:instrText xml:space="preserve"> PAGEREF _Toc202953869 \h </w:instrText>
      </w:r>
      <w:r>
        <w:rPr>
          <w:noProof/>
        </w:rPr>
      </w:r>
      <w:r>
        <w:rPr>
          <w:noProof/>
        </w:rPr>
        <w:fldChar w:fldCharType="separate"/>
      </w:r>
      <w:r w:rsidR="00105D2E">
        <w:rPr>
          <w:noProof/>
        </w:rPr>
        <w:t>35</w:t>
      </w:r>
      <w:r>
        <w:rPr>
          <w:noProof/>
        </w:rPr>
        <w:fldChar w:fldCharType="end"/>
      </w:r>
    </w:p>
    <w:p w14:paraId="734ABD2F" w14:textId="36546DDE"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7   Adjustments resulting from project area spanning rainfall zones</w:t>
      </w:r>
      <w:r>
        <w:rPr>
          <w:noProof/>
        </w:rPr>
        <w:tab/>
      </w:r>
      <w:r>
        <w:rPr>
          <w:noProof/>
        </w:rPr>
        <w:fldChar w:fldCharType="begin"/>
      </w:r>
      <w:r>
        <w:rPr>
          <w:noProof/>
        </w:rPr>
        <w:instrText xml:space="preserve"> PAGEREF _Toc202953870 \h </w:instrText>
      </w:r>
      <w:r>
        <w:rPr>
          <w:noProof/>
        </w:rPr>
      </w:r>
      <w:r>
        <w:rPr>
          <w:noProof/>
        </w:rPr>
        <w:fldChar w:fldCharType="separate"/>
      </w:r>
      <w:r w:rsidR="00105D2E">
        <w:rPr>
          <w:noProof/>
        </w:rPr>
        <w:t>35</w:t>
      </w:r>
      <w:r>
        <w:rPr>
          <w:noProof/>
        </w:rPr>
        <w:fldChar w:fldCharType="end"/>
      </w:r>
    </w:p>
    <w:p w14:paraId="1548B494" w14:textId="21FD54C2"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8   Adjustments resulting from lack of fire activity</w:t>
      </w:r>
      <w:r>
        <w:rPr>
          <w:noProof/>
        </w:rPr>
        <w:tab/>
      </w:r>
      <w:r>
        <w:rPr>
          <w:noProof/>
        </w:rPr>
        <w:fldChar w:fldCharType="begin"/>
      </w:r>
      <w:r>
        <w:rPr>
          <w:noProof/>
        </w:rPr>
        <w:instrText xml:space="preserve"> PAGEREF _Toc202953871 \h </w:instrText>
      </w:r>
      <w:r>
        <w:rPr>
          <w:noProof/>
        </w:rPr>
      </w:r>
      <w:r>
        <w:rPr>
          <w:noProof/>
        </w:rPr>
        <w:fldChar w:fldCharType="separate"/>
      </w:r>
      <w:r w:rsidR="00105D2E">
        <w:rPr>
          <w:noProof/>
        </w:rPr>
        <w:t>35</w:t>
      </w:r>
      <w:r>
        <w:rPr>
          <w:noProof/>
        </w:rPr>
        <w:fldChar w:fldCharType="end"/>
      </w:r>
    </w:p>
    <w:p w14:paraId="21445906" w14:textId="127DC52C"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9   Adjustments resulting from subdivided project areas</w:t>
      </w:r>
      <w:r>
        <w:rPr>
          <w:noProof/>
        </w:rPr>
        <w:tab/>
      </w:r>
      <w:r>
        <w:rPr>
          <w:noProof/>
        </w:rPr>
        <w:fldChar w:fldCharType="begin"/>
      </w:r>
      <w:r>
        <w:rPr>
          <w:noProof/>
        </w:rPr>
        <w:instrText xml:space="preserve"> PAGEREF _Toc202953872 \h </w:instrText>
      </w:r>
      <w:r>
        <w:rPr>
          <w:noProof/>
        </w:rPr>
      </w:r>
      <w:r>
        <w:rPr>
          <w:noProof/>
        </w:rPr>
        <w:fldChar w:fldCharType="separate"/>
      </w:r>
      <w:r w:rsidR="00105D2E">
        <w:rPr>
          <w:noProof/>
        </w:rPr>
        <w:t>35</w:t>
      </w:r>
      <w:r>
        <w:rPr>
          <w:noProof/>
        </w:rPr>
        <w:fldChar w:fldCharType="end"/>
      </w:r>
    </w:p>
    <w:p w14:paraId="56180B0D" w14:textId="2C1102E6"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10   Attribution of cumulative net abatement amount to a project area being removed from the project</w:t>
      </w:r>
      <w:r>
        <w:rPr>
          <w:noProof/>
        </w:rPr>
        <w:tab/>
      </w:r>
      <w:r>
        <w:rPr>
          <w:noProof/>
        </w:rPr>
        <w:fldChar w:fldCharType="begin"/>
      </w:r>
      <w:r>
        <w:rPr>
          <w:noProof/>
        </w:rPr>
        <w:instrText xml:space="preserve"> PAGEREF _Toc202953873 \h </w:instrText>
      </w:r>
      <w:r>
        <w:rPr>
          <w:noProof/>
        </w:rPr>
      </w:r>
      <w:r>
        <w:rPr>
          <w:noProof/>
        </w:rPr>
        <w:fldChar w:fldCharType="separate"/>
      </w:r>
      <w:r w:rsidR="00105D2E">
        <w:rPr>
          <w:noProof/>
        </w:rPr>
        <w:t>36</w:t>
      </w:r>
      <w:r>
        <w:rPr>
          <w:noProof/>
        </w:rPr>
        <w:fldChar w:fldCharType="end"/>
      </w:r>
    </w:p>
    <w:p w14:paraId="736CE3B0" w14:textId="23B19B33" w:rsidR="00EC67DC" w:rsidRDefault="00EC67DC">
      <w:pPr>
        <w:pStyle w:val="TOC5"/>
        <w:rPr>
          <w:rFonts w:asciiTheme="minorHAnsi" w:eastAsiaTheme="minorEastAsia" w:hAnsiTheme="minorHAnsi" w:cstheme="minorBidi"/>
          <w:noProof/>
          <w:kern w:val="2"/>
          <w:sz w:val="24"/>
          <w:szCs w:val="24"/>
          <w14:ligatures w14:val="standardContextual"/>
        </w:rPr>
      </w:pPr>
      <w:r>
        <w:rPr>
          <w:noProof/>
        </w:rPr>
        <w:t>11   Adjustments for transferring projects</w:t>
      </w:r>
      <w:r>
        <w:rPr>
          <w:noProof/>
        </w:rPr>
        <w:tab/>
      </w:r>
      <w:r>
        <w:rPr>
          <w:noProof/>
        </w:rPr>
        <w:fldChar w:fldCharType="begin"/>
      </w:r>
      <w:r>
        <w:rPr>
          <w:noProof/>
        </w:rPr>
        <w:instrText xml:space="preserve"> PAGEREF _Toc202953874 \h </w:instrText>
      </w:r>
      <w:r>
        <w:rPr>
          <w:noProof/>
        </w:rPr>
      </w:r>
      <w:r>
        <w:rPr>
          <w:noProof/>
        </w:rPr>
        <w:fldChar w:fldCharType="separate"/>
      </w:r>
      <w:r w:rsidR="00105D2E">
        <w:rPr>
          <w:noProof/>
        </w:rPr>
        <w:t>37</w:t>
      </w:r>
      <w:r>
        <w:rPr>
          <w:noProof/>
        </w:rPr>
        <w:fldChar w:fldCharType="end"/>
      </w:r>
    </w:p>
    <w:p w14:paraId="3367BB58" w14:textId="41CFDE1F" w:rsidR="00EC67DC" w:rsidRDefault="00EC67DC">
      <w:pPr>
        <w:pStyle w:val="TOC6"/>
        <w:rPr>
          <w:rFonts w:asciiTheme="minorHAnsi" w:eastAsiaTheme="minorEastAsia" w:hAnsiTheme="minorHAnsi" w:cstheme="minorBidi"/>
          <w:b w:val="0"/>
          <w:noProof/>
          <w:kern w:val="2"/>
          <w:szCs w:val="24"/>
          <w14:ligatures w14:val="standardContextual"/>
        </w:rPr>
      </w:pPr>
      <w:r>
        <w:rPr>
          <w:noProof/>
        </w:rPr>
        <w:t>Schedule 3—Repeals</w:t>
      </w:r>
      <w:r>
        <w:rPr>
          <w:noProof/>
        </w:rPr>
        <w:tab/>
      </w:r>
      <w:r>
        <w:rPr>
          <w:noProof/>
        </w:rPr>
        <w:fldChar w:fldCharType="begin"/>
      </w:r>
      <w:r>
        <w:rPr>
          <w:noProof/>
        </w:rPr>
        <w:instrText xml:space="preserve"> PAGEREF _Toc202953875 \h </w:instrText>
      </w:r>
      <w:r>
        <w:rPr>
          <w:noProof/>
        </w:rPr>
      </w:r>
      <w:r>
        <w:rPr>
          <w:noProof/>
        </w:rPr>
        <w:fldChar w:fldCharType="separate"/>
      </w:r>
      <w:r w:rsidR="00105D2E">
        <w:rPr>
          <w:noProof/>
        </w:rPr>
        <w:t>39</w:t>
      </w:r>
      <w:r>
        <w:rPr>
          <w:noProof/>
        </w:rPr>
        <w:fldChar w:fldCharType="end"/>
      </w:r>
    </w:p>
    <w:p w14:paraId="2D8AE1BB" w14:textId="4DD72E53" w:rsidR="00EC67DC" w:rsidRDefault="00EC67DC">
      <w:pPr>
        <w:pStyle w:val="TOC9"/>
        <w:rPr>
          <w:rFonts w:asciiTheme="minorHAnsi" w:eastAsiaTheme="minorEastAsia" w:hAnsiTheme="minorHAnsi" w:cstheme="minorBidi"/>
          <w:i w:val="0"/>
          <w:noProof/>
          <w:kern w:val="2"/>
          <w:sz w:val="24"/>
          <w:szCs w:val="24"/>
          <w14:ligatures w14:val="standardContextual"/>
        </w:rPr>
      </w:pPr>
      <w:r>
        <w:rPr>
          <w:noProof/>
        </w:rPr>
        <w:t>Carbon Credits (Carbon Farming Initiative—Savanna Fire Management—Sequestration and Emissions Avoidance) Methodology Determination 2018</w:t>
      </w:r>
      <w:r>
        <w:rPr>
          <w:noProof/>
        </w:rPr>
        <w:tab/>
      </w:r>
      <w:r>
        <w:rPr>
          <w:noProof/>
        </w:rPr>
        <w:fldChar w:fldCharType="begin"/>
      </w:r>
      <w:r>
        <w:rPr>
          <w:noProof/>
        </w:rPr>
        <w:instrText xml:space="preserve"> PAGEREF _Toc202953876 \h </w:instrText>
      </w:r>
      <w:r>
        <w:rPr>
          <w:noProof/>
        </w:rPr>
      </w:r>
      <w:r>
        <w:rPr>
          <w:noProof/>
        </w:rPr>
        <w:fldChar w:fldCharType="separate"/>
      </w:r>
      <w:r w:rsidR="00105D2E">
        <w:rPr>
          <w:noProof/>
        </w:rPr>
        <w:t>39</w:t>
      </w:r>
      <w:r>
        <w:rPr>
          <w:noProof/>
        </w:rPr>
        <w:fldChar w:fldCharType="end"/>
      </w:r>
    </w:p>
    <w:p w14:paraId="77E56781" w14:textId="5A7DFB0C" w:rsidR="00F6696E" w:rsidRPr="00867A6B" w:rsidRDefault="00B418CB" w:rsidP="00867A6B">
      <w:pPr>
        <w:pStyle w:val="TOC9"/>
        <w:rPr>
          <w:rFonts w:asciiTheme="minorHAnsi" w:eastAsiaTheme="minorEastAsia" w:hAnsiTheme="minorHAnsi"/>
          <w:noProof/>
          <w:kern w:val="2"/>
          <w:sz w:val="24"/>
          <w:szCs w:val="24"/>
          <w14:ligatures w14:val="standardContextual"/>
        </w:rPr>
      </w:pPr>
      <w:r>
        <w:fldChar w:fldCharType="end"/>
      </w:r>
    </w:p>
    <w:p w14:paraId="1C8C52CE" w14:textId="77777777" w:rsidR="00F6696E" w:rsidRDefault="00F6696E" w:rsidP="00F6696E">
      <w:pPr>
        <w:sectPr w:rsidR="00F6696E">
          <w:headerReference w:type="even" r:id="rId18"/>
          <w:headerReference w:type="default" r:id="rId19"/>
          <w:footerReference w:type="even" r:id="rId20"/>
          <w:footerReference w:type="default" r:id="rId21"/>
          <w:headerReference w:type="first" r:id="rId22"/>
          <w:footerReference w:type="first" r:id="rId23"/>
          <w:pgSz w:w="11907" w:h="16839"/>
          <w:pgMar w:top="2099" w:right="1797" w:bottom="1440" w:left="1797" w:header="720" w:footer="709" w:gutter="0"/>
          <w:pgNumType w:fmt="lowerRoman" w:start="1"/>
          <w:cols w:space="708"/>
          <w:docGrid w:linePitch="360"/>
        </w:sectPr>
      </w:pPr>
    </w:p>
    <w:p w14:paraId="56354C4C" w14:textId="3D7EFC29" w:rsidR="00222D5F" w:rsidRDefault="00D12E71" w:rsidP="00D12E71">
      <w:pPr>
        <w:pStyle w:val="ActHead2"/>
      </w:pPr>
      <w:bookmarkStart w:id="0" w:name="_Toc180660678"/>
      <w:bookmarkStart w:id="1" w:name="_Toc202953782"/>
      <w:r w:rsidRPr="00C55737">
        <w:lastRenderedPageBreak/>
        <w:t>Part 1—Preliminary</w:t>
      </w:r>
      <w:bookmarkEnd w:id="0"/>
      <w:bookmarkEnd w:id="1"/>
    </w:p>
    <w:p w14:paraId="4E5159B0" w14:textId="0ECFD544" w:rsidR="00554826" w:rsidRPr="00554826" w:rsidRDefault="00554826" w:rsidP="00554826">
      <w:pPr>
        <w:pStyle w:val="ActHead5"/>
      </w:pPr>
      <w:bookmarkStart w:id="2" w:name="_Toc202953783"/>
      <w:proofErr w:type="gramStart"/>
      <w:r w:rsidRPr="00554826">
        <w:t>1  Name</w:t>
      </w:r>
      <w:bookmarkEnd w:id="2"/>
      <w:proofErr w:type="gramEnd"/>
    </w:p>
    <w:p w14:paraId="21EA9F43" w14:textId="269658AF" w:rsidR="00554826" w:rsidRDefault="00554826" w:rsidP="00554826">
      <w:pPr>
        <w:pStyle w:val="subsection"/>
      </w:pPr>
      <w:r w:rsidRPr="009C2562">
        <w:tab/>
      </w:r>
      <w:r w:rsidRPr="009C2562">
        <w:tab/>
      </w:r>
      <w:r w:rsidRPr="003D6858">
        <w:t xml:space="preserve">This instrument is the </w:t>
      </w:r>
      <w:bookmarkStart w:id="3" w:name="BKCheck15B_3"/>
      <w:bookmarkEnd w:id="3"/>
      <w:r w:rsidR="003D6858" w:rsidRPr="003D6858">
        <w:rPr>
          <w:i/>
          <w:iCs/>
        </w:rPr>
        <w:t>Carbon Credits (Carbon Farming Initiative—Savanna Fire Management—</w:t>
      </w:r>
      <w:r w:rsidR="009C4DD5" w:rsidRPr="009C4DD5">
        <w:rPr>
          <w:i/>
          <w:iCs/>
        </w:rPr>
        <w:t>Sequestration and Emissions Avoidance</w:t>
      </w:r>
      <w:r w:rsidR="003D6858" w:rsidRPr="003D6858">
        <w:rPr>
          <w:i/>
          <w:iCs/>
        </w:rPr>
        <w:t>) Methodology Determination 2025</w:t>
      </w:r>
      <w:r w:rsidR="003D6858" w:rsidRPr="003D6858">
        <w:rPr>
          <w:i/>
        </w:rPr>
        <w:t>.</w:t>
      </w:r>
    </w:p>
    <w:p w14:paraId="02878729" w14:textId="77777777" w:rsidR="00C40A51" w:rsidRPr="00554826" w:rsidRDefault="00C40A51" w:rsidP="00C40A51">
      <w:pPr>
        <w:pStyle w:val="ActHead5"/>
      </w:pPr>
      <w:bookmarkStart w:id="4" w:name="_Toc180660680"/>
      <w:bookmarkStart w:id="5" w:name="_Toc202953784"/>
      <w:proofErr w:type="gramStart"/>
      <w:r w:rsidRPr="00554826">
        <w:t>2  Commencement</w:t>
      </w:r>
      <w:bookmarkEnd w:id="4"/>
      <w:bookmarkEnd w:id="5"/>
      <w:proofErr w:type="gramEnd"/>
    </w:p>
    <w:p w14:paraId="2458D716" w14:textId="2B457A3A" w:rsidR="00C40A51" w:rsidRDefault="00C40A51" w:rsidP="004A7133">
      <w:pPr>
        <w:pStyle w:val="subsection"/>
        <w:numPr>
          <w:ilvl w:val="0"/>
          <w:numId w:val="3"/>
        </w:numPr>
      </w:pPr>
      <w:r>
        <w:t xml:space="preserve">Each provision of this </w:t>
      </w:r>
      <w:r w:rsidR="00701EBB">
        <w:t>instrument</w:t>
      </w:r>
      <w:r>
        <w:t xml:space="preserve"> specified in column 1 of the table commences, or is taken to have commenced, in accordance with column 2 of the table. Any other statement in column 2 has effect according to its terms</w:t>
      </w:r>
      <w:r w:rsidRPr="00290CD2">
        <w:t>.</w:t>
      </w:r>
    </w:p>
    <w:p w14:paraId="7F401A64" w14:textId="77777777" w:rsidR="00C40A51" w:rsidRDefault="00C40A51" w:rsidP="00C40A51">
      <w:pPr>
        <w:pStyle w:val="Tabletext"/>
        <w:ind w:left="1130"/>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2693"/>
      </w:tblGrid>
      <w:tr w:rsidR="00C40A51" w14:paraId="3F67FB80" w14:textId="77777777">
        <w:trPr>
          <w:tblHeader/>
        </w:trPr>
        <w:tc>
          <w:tcPr>
            <w:tcW w:w="8222" w:type="dxa"/>
            <w:gridSpan w:val="3"/>
            <w:tcBorders>
              <w:top w:val="single" w:sz="12" w:space="0" w:color="auto"/>
              <w:left w:val="nil"/>
              <w:bottom w:val="single" w:sz="2" w:space="0" w:color="auto"/>
              <w:right w:val="nil"/>
            </w:tcBorders>
            <w:hideMark/>
          </w:tcPr>
          <w:p w14:paraId="59417666" w14:textId="77777777" w:rsidR="00C40A51" w:rsidRDefault="00C40A51">
            <w:pPr>
              <w:pStyle w:val="TableHeading"/>
            </w:pPr>
            <w:r>
              <w:t>Commencement information</w:t>
            </w:r>
          </w:p>
        </w:tc>
      </w:tr>
      <w:tr w:rsidR="00C40A51" w14:paraId="667C9A16" w14:textId="77777777">
        <w:trPr>
          <w:tblHeader/>
        </w:trPr>
        <w:tc>
          <w:tcPr>
            <w:tcW w:w="1701" w:type="dxa"/>
            <w:tcBorders>
              <w:top w:val="single" w:sz="2" w:space="0" w:color="auto"/>
              <w:left w:val="nil"/>
              <w:bottom w:val="single" w:sz="2" w:space="0" w:color="auto"/>
              <w:right w:val="nil"/>
            </w:tcBorders>
            <w:hideMark/>
          </w:tcPr>
          <w:p w14:paraId="13282C2E" w14:textId="77777777" w:rsidR="00C40A51" w:rsidRDefault="00C40A51">
            <w:pPr>
              <w:pStyle w:val="TableHeading"/>
            </w:pPr>
            <w:r>
              <w:t>Column 1</w:t>
            </w:r>
          </w:p>
        </w:tc>
        <w:tc>
          <w:tcPr>
            <w:tcW w:w="3828" w:type="dxa"/>
            <w:tcBorders>
              <w:top w:val="single" w:sz="2" w:space="0" w:color="auto"/>
              <w:left w:val="nil"/>
              <w:bottom w:val="single" w:sz="2" w:space="0" w:color="auto"/>
              <w:right w:val="nil"/>
            </w:tcBorders>
            <w:hideMark/>
          </w:tcPr>
          <w:p w14:paraId="0733898D" w14:textId="77777777" w:rsidR="00C40A51" w:rsidRDefault="00C40A51">
            <w:pPr>
              <w:pStyle w:val="TableHeading"/>
            </w:pPr>
            <w:r>
              <w:t>Column 2</w:t>
            </w:r>
          </w:p>
        </w:tc>
        <w:tc>
          <w:tcPr>
            <w:tcW w:w="2693" w:type="dxa"/>
            <w:tcBorders>
              <w:top w:val="single" w:sz="2" w:space="0" w:color="auto"/>
              <w:left w:val="nil"/>
              <w:bottom w:val="single" w:sz="2" w:space="0" w:color="auto"/>
              <w:right w:val="nil"/>
            </w:tcBorders>
            <w:hideMark/>
          </w:tcPr>
          <w:p w14:paraId="5F309979" w14:textId="77777777" w:rsidR="00C40A51" w:rsidRDefault="00C40A51">
            <w:pPr>
              <w:pStyle w:val="TableHeading"/>
            </w:pPr>
            <w:r>
              <w:t>Column 3</w:t>
            </w:r>
          </w:p>
        </w:tc>
      </w:tr>
      <w:tr w:rsidR="00C40A51" w14:paraId="3FB0EB00" w14:textId="77777777">
        <w:trPr>
          <w:tblHeader/>
        </w:trPr>
        <w:tc>
          <w:tcPr>
            <w:tcW w:w="1701" w:type="dxa"/>
            <w:tcBorders>
              <w:top w:val="single" w:sz="2" w:space="0" w:color="auto"/>
              <w:left w:val="nil"/>
              <w:bottom w:val="single" w:sz="12" w:space="0" w:color="auto"/>
              <w:right w:val="nil"/>
            </w:tcBorders>
            <w:hideMark/>
          </w:tcPr>
          <w:p w14:paraId="553023BE" w14:textId="77777777" w:rsidR="00C40A51" w:rsidRDefault="00C40A51">
            <w:pPr>
              <w:pStyle w:val="TableHeading"/>
            </w:pPr>
            <w:r>
              <w:t>Provisions</w:t>
            </w:r>
          </w:p>
        </w:tc>
        <w:tc>
          <w:tcPr>
            <w:tcW w:w="3828" w:type="dxa"/>
            <w:tcBorders>
              <w:top w:val="single" w:sz="2" w:space="0" w:color="auto"/>
              <w:left w:val="nil"/>
              <w:bottom w:val="single" w:sz="12" w:space="0" w:color="auto"/>
              <w:right w:val="nil"/>
            </w:tcBorders>
            <w:hideMark/>
          </w:tcPr>
          <w:p w14:paraId="32D8237D" w14:textId="77777777" w:rsidR="00C40A51" w:rsidRDefault="00C40A51">
            <w:pPr>
              <w:pStyle w:val="TableHeading"/>
            </w:pPr>
            <w:r>
              <w:t>Commencement</w:t>
            </w:r>
          </w:p>
        </w:tc>
        <w:tc>
          <w:tcPr>
            <w:tcW w:w="2693" w:type="dxa"/>
            <w:tcBorders>
              <w:top w:val="single" w:sz="2" w:space="0" w:color="auto"/>
              <w:left w:val="nil"/>
              <w:bottom w:val="single" w:sz="12" w:space="0" w:color="auto"/>
              <w:right w:val="nil"/>
            </w:tcBorders>
            <w:hideMark/>
          </w:tcPr>
          <w:p w14:paraId="28D648BB" w14:textId="77777777" w:rsidR="00C40A51" w:rsidRDefault="00C40A51">
            <w:pPr>
              <w:pStyle w:val="TableHeading"/>
            </w:pPr>
            <w:r>
              <w:t>Date/Details</w:t>
            </w:r>
          </w:p>
        </w:tc>
      </w:tr>
      <w:tr w:rsidR="00C40A51" w14:paraId="54794F1D" w14:textId="77777777">
        <w:tc>
          <w:tcPr>
            <w:tcW w:w="1701" w:type="dxa"/>
            <w:tcBorders>
              <w:top w:val="single" w:sz="12" w:space="0" w:color="auto"/>
              <w:left w:val="nil"/>
              <w:bottom w:val="single" w:sz="12" w:space="0" w:color="auto"/>
              <w:right w:val="nil"/>
            </w:tcBorders>
            <w:hideMark/>
          </w:tcPr>
          <w:p w14:paraId="01343A44" w14:textId="236EDF29" w:rsidR="00C40A51" w:rsidRDefault="00C40A51">
            <w:pPr>
              <w:pStyle w:val="Tabletext"/>
            </w:pPr>
            <w:r>
              <w:t xml:space="preserve">1.  The whole of this </w:t>
            </w:r>
            <w:r w:rsidR="00701EBB">
              <w:t>instrument</w:t>
            </w:r>
          </w:p>
        </w:tc>
        <w:tc>
          <w:tcPr>
            <w:tcW w:w="3828" w:type="dxa"/>
            <w:tcBorders>
              <w:top w:val="single" w:sz="12" w:space="0" w:color="auto"/>
              <w:left w:val="nil"/>
              <w:bottom w:val="single" w:sz="12" w:space="0" w:color="auto"/>
              <w:right w:val="nil"/>
            </w:tcBorders>
            <w:hideMark/>
          </w:tcPr>
          <w:p w14:paraId="4BABFF52" w14:textId="77777777" w:rsidR="00C40A51" w:rsidRDefault="00C40A51">
            <w:pPr>
              <w:pStyle w:val="Tabletext"/>
            </w:pPr>
            <w:r w:rsidRPr="001D0A2B">
              <w:t>The day after this instrument is registered.</w:t>
            </w:r>
          </w:p>
        </w:tc>
        <w:tc>
          <w:tcPr>
            <w:tcW w:w="2693" w:type="dxa"/>
            <w:tcBorders>
              <w:top w:val="single" w:sz="12" w:space="0" w:color="auto"/>
              <w:left w:val="nil"/>
              <w:bottom w:val="single" w:sz="12" w:space="0" w:color="auto"/>
              <w:right w:val="nil"/>
            </w:tcBorders>
            <w:hideMark/>
          </w:tcPr>
          <w:p w14:paraId="206EC49C" w14:textId="77777777" w:rsidR="00C40A51" w:rsidRDefault="00C40A51">
            <w:pPr>
              <w:pStyle w:val="Tabletext"/>
            </w:pPr>
          </w:p>
        </w:tc>
      </w:tr>
    </w:tbl>
    <w:p w14:paraId="4CDCFF73" w14:textId="4C0F6D89" w:rsidR="00C40A51" w:rsidRPr="00290CD2" w:rsidRDefault="00C40A51" w:rsidP="007B2786">
      <w:pPr>
        <w:pStyle w:val="notetext"/>
      </w:pPr>
      <w:r w:rsidRPr="007B2786">
        <w:t xml:space="preserve">Note: </w:t>
      </w:r>
      <w:r w:rsidR="00DF4044">
        <w:tab/>
      </w:r>
      <w:r w:rsidRPr="007B2786">
        <w:t xml:space="preserve">This table relates only to the provisions of this </w:t>
      </w:r>
      <w:r w:rsidR="00701EBB">
        <w:t>instrument</w:t>
      </w:r>
      <w:r w:rsidRPr="007B2786">
        <w:t xml:space="preserve"> as originally made. It will not be amended to deal with any later amendments of this </w:t>
      </w:r>
      <w:r w:rsidR="00701EBB">
        <w:t>instrument</w:t>
      </w:r>
      <w:r w:rsidRPr="007B2786">
        <w:t>.</w:t>
      </w:r>
    </w:p>
    <w:p w14:paraId="5540B88A" w14:textId="593484DC" w:rsidR="00C40A51" w:rsidRPr="00232984" w:rsidRDefault="00C40A51" w:rsidP="004A7133">
      <w:pPr>
        <w:pStyle w:val="subsection"/>
        <w:numPr>
          <w:ilvl w:val="0"/>
          <w:numId w:val="3"/>
        </w:numPr>
      </w:pPr>
      <w:r>
        <w:t xml:space="preserve">Any information in column 3 of the table is not part of this </w:t>
      </w:r>
      <w:r w:rsidR="00701EBB">
        <w:t>instrument</w:t>
      </w:r>
      <w:r>
        <w:t xml:space="preserve">. Information may be inserted in this column, or information in it may be edited, in any published version of this </w:t>
      </w:r>
      <w:r w:rsidR="00701EBB">
        <w:t>instrument</w:t>
      </w:r>
      <w:r>
        <w:t>.</w:t>
      </w:r>
    </w:p>
    <w:p w14:paraId="3849111E" w14:textId="77777777" w:rsidR="00A20744" w:rsidRPr="00554826" w:rsidRDefault="00A20744" w:rsidP="00A20744">
      <w:pPr>
        <w:pStyle w:val="ActHead5"/>
      </w:pPr>
      <w:bookmarkStart w:id="6" w:name="_Toc180660681"/>
      <w:bookmarkStart w:id="7" w:name="_Toc202953785"/>
      <w:proofErr w:type="gramStart"/>
      <w:r w:rsidRPr="00554826">
        <w:t>3  Authority</w:t>
      </w:r>
      <w:bookmarkEnd w:id="6"/>
      <w:bookmarkEnd w:id="7"/>
      <w:proofErr w:type="gramEnd"/>
    </w:p>
    <w:p w14:paraId="66227EB1" w14:textId="4ED9D5CC" w:rsidR="00A20744" w:rsidRDefault="00A20744" w:rsidP="00A20744">
      <w:pPr>
        <w:pStyle w:val="subsection"/>
      </w:pPr>
      <w:r w:rsidRPr="009C2562">
        <w:tab/>
      </w:r>
      <w:r w:rsidRPr="009C2562">
        <w:tab/>
        <w:t xml:space="preserve">This </w:t>
      </w:r>
      <w:r w:rsidR="00701EBB">
        <w:t>instrument</w:t>
      </w:r>
      <w:r w:rsidRPr="009C2562">
        <w:t xml:space="preserve"> is made under </w:t>
      </w:r>
      <w:r w:rsidRPr="009A6C09">
        <w:t xml:space="preserve">subsection 106(1) of the </w:t>
      </w:r>
      <w:r w:rsidRPr="009A6C09">
        <w:rPr>
          <w:i/>
          <w:iCs/>
        </w:rPr>
        <w:t>Carbon Credits (Carbon Farming Initiative) Act 2011</w:t>
      </w:r>
      <w:r w:rsidRPr="009C2562">
        <w:t>.</w:t>
      </w:r>
    </w:p>
    <w:p w14:paraId="1F15EA45" w14:textId="77777777" w:rsidR="00656CB2" w:rsidRPr="00554826" w:rsidRDefault="00656CB2" w:rsidP="00656CB2">
      <w:pPr>
        <w:pStyle w:val="ActHead5"/>
      </w:pPr>
      <w:bookmarkStart w:id="8" w:name="_Toc202953786"/>
      <w:r>
        <w:t>3</w:t>
      </w:r>
      <w:proofErr w:type="gramStart"/>
      <w:r>
        <w:t>A</w:t>
      </w:r>
      <w:r w:rsidRPr="00554826">
        <w:t xml:space="preserve">  Schedules</w:t>
      </w:r>
      <w:bookmarkEnd w:id="8"/>
      <w:proofErr w:type="gramEnd"/>
    </w:p>
    <w:p w14:paraId="20C6CE8F" w14:textId="53C880B2" w:rsidR="0027330B" w:rsidRDefault="00656CB2" w:rsidP="00545D3B">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5463417D" w14:textId="77777777" w:rsidR="00A20744" w:rsidRDefault="00A20744" w:rsidP="00A20744">
      <w:pPr>
        <w:pStyle w:val="ActHead5"/>
      </w:pPr>
      <w:bookmarkStart w:id="9" w:name="_Toc180660682"/>
      <w:bookmarkStart w:id="10" w:name="_Toc202953787"/>
      <w:proofErr w:type="gramStart"/>
      <w:r>
        <w:t>4  Duration</w:t>
      </w:r>
      <w:bookmarkEnd w:id="9"/>
      <w:bookmarkEnd w:id="10"/>
      <w:proofErr w:type="gramEnd"/>
    </w:p>
    <w:p w14:paraId="7ED4358B" w14:textId="15EBBFD7" w:rsidR="00A20744" w:rsidRDefault="00A20744" w:rsidP="00A20744">
      <w:pPr>
        <w:pStyle w:val="tmain"/>
        <w:spacing w:before="180" w:beforeAutospacing="0" w:after="0" w:afterAutospacing="0"/>
        <w:ind w:left="1134" w:hanging="1134"/>
        <w:rPr>
          <w:color w:val="000000"/>
          <w:sz w:val="22"/>
          <w:szCs w:val="22"/>
        </w:rPr>
      </w:pPr>
      <w:r>
        <w:rPr>
          <w:color w:val="000000"/>
          <w:sz w:val="22"/>
          <w:szCs w:val="22"/>
        </w:rPr>
        <w:t>  </w:t>
      </w:r>
      <w:r>
        <w:rPr>
          <w:color w:val="000000"/>
          <w:sz w:val="22"/>
          <w:szCs w:val="22"/>
        </w:rPr>
        <w:tab/>
        <w:t>This </w:t>
      </w:r>
      <w:r w:rsidR="00701EBB">
        <w:rPr>
          <w:color w:val="000000"/>
          <w:sz w:val="22"/>
          <w:szCs w:val="22"/>
        </w:rPr>
        <w:t>instrument</w:t>
      </w:r>
      <w:r>
        <w:rPr>
          <w:color w:val="000000"/>
          <w:sz w:val="22"/>
          <w:szCs w:val="22"/>
        </w:rPr>
        <w:t> remains in force for the period that:</w:t>
      </w:r>
    </w:p>
    <w:p w14:paraId="2E170D3C" w14:textId="102B4E96" w:rsidR="00A20744" w:rsidRPr="00C63985" w:rsidRDefault="00A20744" w:rsidP="004A7133">
      <w:pPr>
        <w:pStyle w:val="ListParagraph"/>
        <w:numPr>
          <w:ilvl w:val="0"/>
          <w:numId w:val="4"/>
        </w:numPr>
        <w:spacing w:before="40" w:line="240" w:lineRule="auto"/>
        <w:rPr>
          <w:rFonts w:eastAsia="Times New Roman" w:cs="Times New Roman"/>
          <w:color w:val="000000"/>
          <w:szCs w:val="22"/>
          <w:lang w:eastAsia="en-AU"/>
        </w:rPr>
      </w:pPr>
      <w:r w:rsidRPr="00C63985">
        <w:rPr>
          <w:rFonts w:eastAsia="Times New Roman" w:cs="Times New Roman"/>
          <w:color w:val="000000"/>
          <w:szCs w:val="22"/>
          <w:lang w:eastAsia="en-AU"/>
        </w:rPr>
        <w:t xml:space="preserve">begins when this </w:t>
      </w:r>
      <w:r w:rsidR="00701EBB">
        <w:rPr>
          <w:rFonts w:eastAsia="Times New Roman" w:cs="Times New Roman"/>
          <w:color w:val="000000"/>
          <w:szCs w:val="22"/>
          <w:lang w:eastAsia="en-AU"/>
        </w:rPr>
        <w:t>instrument</w:t>
      </w:r>
      <w:r w:rsidRPr="00C63985">
        <w:rPr>
          <w:rFonts w:eastAsia="Times New Roman" w:cs="Times New Roman"/>
          <w:color w:val="000000"/>
          <w:szCs w:val="22"/>
          <w:lang w:eastAsia="en-AU"/>
        </w:rPr>
        <w:t xml:space="preserve"> commences; and</w:t>
      </w:r>
    </w:p>
    <w:p w14:paraId="45637476" w14:textId="68727BCC" w:rsidR="00A20744" w:rsidRPr="006661C1" w:rsidRDefault="00A20744" w:rsidP="004A7133">
      <w:pPr>
        <w:pStyle w:val="ListParagraph"/>
        <w:numPr>
          <w:ilvl w:val="0"/>
          <w:numId w:val="4"/>
        </w:numPr>
        <w:spacing w:before="40" w:line="240" w:lineRule="auto"/>
        <w:rPr>
          <w:color w:val="000000"/>
          <w:szCs w:val="22"/>
        </w:rPr>
      </w:pPr>
      <w:r w:rsidRPr="00C63985">
        <w:rPr>
          <w:rFonts w:eastAsia="Times New Roman" w:cs="Times New Roman"/>
          <w:color w:val="000000"/>
          <w:szCs w:val="22"/>
          <w:lang w:eastAsia="en-AU"/>
        </w:rPr>
        <w:t xml:space="preserve">ends on the day before this </w:t>
      </w:r>
      <w:r w:rsidR="00701EBB">
        <w:rPr>
          <w:rFonts w:eastAsia="Times New Roman" w:cs="Times New Roman"/>
          <w:color w:val="000000"/>
          <w:szCs w:val="22"/>
          <w:lang w:eastAsia="en-AU"/>
        </w:rPr>
        <w:t>instrument</w:t>
      </w:r>
      <w:r w:rsidRPr="00C63985">
        <w:rPr>
          <w:rFonts w:eastAsia="Times New Roman" w:cs="Times New Roman"/>
          <w:color w:val="000000"/>
          <w:szCs w:val="22"/>
          <w:lang w:eastAsia="en-AU"/>
        </w:rPr>
        <w:t xml:space="preserve"> would otherwise be repealed under subsection</w:t>
      </w:r>
      <w:r>
        <w:rPr>
          <w:color w:val="000000"/>
          <w:szCs w:val="22"/>
        </w:rPr>
        <w:t> 50(1) of the </w:t>
      </w:r>
      <w:r>
        <w:rPr>
          <w:i/>
          <w:iCs/>
          <w:color w:val="000000"/>
          <w:szCs w:val="22"/>
        </w:rPr>
        <w:t>Legislation Act 2003</w:t>
      </w:r>
      <w:r>
        <w:rPr>
          <w:color w:val="000000"/>
          <w:szCs w:val="22"/>
        </w:rPr>
        <w:t>.</w:t>
      </w:r>
    </w:p>
    <w:p w14:paraId="4E7FC6A7" w14:textId="36946F9E" w:rsidR="00554826" w:rsidRPr="00554826" w:rsidRDefault="005D45DA" w:rsidP="00554826">
      <w:pPr>
        <w:pStyle w:val="ActHead5"/>
      </w:pPr>
      <w:bookmarkStart w:id="11" w:name="_Toc202953788"/>
      <w:proofErr w:type="gramStart"/>
      <w:r>
        <w:lastRenderedPageBreak/>
        <w:t>5</w:t>
      </w:r>
      <w:r w:rsidR="00554826" w:rsidRPr="00554826">
        <w:t xml:space="preserve">  Definitions</w:t>
      </w:r>
      <w:bookmarkEnd w:id="11"/>
      <w:proofErr w:type="gramEnd"/>
    </w:p>
    <w:p w14:paraId="16F4CBAA" w14:textId="0B0440DE" w:rsidR="00554826" w:rsidRPr="00F41A2A" w:rsidRDefault="00554826" w:rsidP="00554826">
      <w:pPr>
        <w:pStyle w:val="notetext"/>
      </w:pPr>
      <w:r w:rsidRPr="009C2562">
        <w:t>Note:</w:t>
      </w:r>
      <w:r w:rsidRPr="009C2562">
        <w:tab/>
      </w:r>
      <w:proofErr w:type="gramStart"/>
      <w:r w:rsidRPr="009C2562">
        <w:t>A number of</w:t>
      </w:r>
      <w:proofErr w:type="gramEnd"/>
      <w:r w:rsidRPr="009C2562">
        <w:t xml:space="preserve"> expressions used in this </w:t>
      </w:r>
      <w:r w:rsidR="00701EBB">
        <w:t>instrument</w:t>
      </w:r>
      <w:r w:rsidRPr="009C2562">
        <w:t xml:space="preserve"> are defined in </w:t>
      </w:r>
      <w:r w:rsidR="0022672A">
        <w:t xml:space="preserve">section 5 </w:t>
      </w:r>
      <w:r>
        <w:t>of the Act</w:t>
      </w:r>
      <w:r w:rsidRPr="009C2562">
        <w:t xml:space="preserve">, </w:t>
      </w:r>
      <w:r w:rsidRPr="00F41A2A">
        <w:t>including the following:</w:t>
      </w:r>
    </w:p>
    <w:p w14:paraId="237C1A62" w14:textId="7DAE4FAC" w:rsidR="005E62AA" w:rsidRPr="00125313" w:rsidRDefault="005E62AA" w:rsidP="004A7133">
      <w:pPr>
        <w:pStyle w:val="notepara"/>
        <w:numPr>
          <w:ilvl w:val="0"/>
          <w:numId w:val="13"/>
        </w:numPr>
      </w:pPr>
      <w:r w:rsidRPr="00125313">
        <w:t>25</w:t>
      </w:r>
      <w:r w:rsidRPr="00125313">
        <w:noBreakHyphen/>
        <w:t xml:space="preserve">year permanence period </w:t>
      </w:r>
      <w:proofErr w:type="gramStart"/>
      <w:r w:rsidRPr="00125313">
        <w:t>project</w:t>
      </w:r>
      <w:r w:rsidR="00F41A2A" w:rsidRPr="00125313">
        <w:t>;</w:t>
      </w:r>
      <w:proofErr w:type="gramEnd"/>
    </w:p>
    <w:p w14:paraId="2ECC480A" w14:textId="77777777" w:rsidR="00F41A2A" w:rsidRPr="00125313" w:rsidRDefault="005E62AA" w:rsidP="004A7133">
      <w:pPr>
        <w:pStyle w:val="notepara"/>
        <w:numPr>
          <w:ilvl w:val="0"/>
          <w:numId w:val="13"/>
        </w:numPr>
      </w:pPr>
      <w:r w:rsidRPr="00125313">
        <w:t>100</w:t>
      </w:r>
      <w:r w:rsidRPr="00125313">
        <w:noBreakHyphen/>
        <w:t xml:space="preserve">year permanence period </w:t>
      </w:r>
      <w:proofErr w:type="gramStart"/>
      <w:r w:rsidR="00F41A2A" w:rsidRPr="00125313">
        <w:t>projec</w:t>
      </w:r>
      <w:r w:rsidRPr="00125313">
        <w:t>t</w:t>
      </w:r>
      <w:r w:rsidR="00F41A2A" w:rsidRPr="00125313">
        <w:t>;</w:t>
      </w:r>
      <w:proofErr w:type="gramEnd"/>
    </w:p>
    <w:p w14:paraId="020C83C4" w14:textId="77777777" w:rsidR="00F41A2A" w:rsidRPr="00125313" w:rsidRDefault="005E62AA" w:rsidP="004A7133">
      <w:pPr>
        <w:pStyle w:val="notepara"/>
        <w:numPr>
          <w:ilvl w:val="0"/>
          <w:numId w:val="13"/>
        </w:numPr>
      </w:pPr>
      <w:r w:rsidRPr="00125313">
        <w:t xml:space="preserve">Australian carbon credit </w:t>
      </w:r>
      <w:proofErr w:type="gramStart"/>
      <w:r w:rsidRPr="00125313">
        <w:t>unit</w:t>
      </w:r>
      <w:r w:rsidR="00F41A2A" w:rsidRPr="00125313">
        <w:t>;</w:t>
      </w:r>
      <w:proofErr w:type="gramEnd"/>
    </w:p>
    <w:p w14:paraId="1560BC07" w14:textId="77777777" w:rsidR="00F41A2A" w:rsidRPr="00125313" w:rsidRDefault="005E62AA" w:rsidP="004A7133">
      <w:pPr>
        <w:pStyle w:val="notepara"/>
        <w:numPr>
          <w:ilvl w:val="0"/>
          <w:numId w:val="13"/>
        </w:numPr>
      </w:pPr>
      <w:r w:rsidRPr="00125313">
        <w:t>crediting </w:t>
      </w:r>
      <w:proofErr w:type="gramStart"/>
      <w:r w:rsidRPr="00125313">
        <w:t>period</w:t>
      </w:r>
      <w:r w:rsidR="00F41A2A" w:rsidRPr="00125313">
        <w:t>;</w:t>
      </w:r>
      <w:proofErr w:type="gramEnd"/>
    </w:p>
    <w:p w14:paraId="67CB4DD3" w14:textId="77777777" w:rsidR="00F41A2A" w:rsidRPr="00125313" w:rsidRDefault="005E62AA" w:rsidP="004A7133">
      <w:pPr>
        <w:pStyle w:val="notepara"/>
        <w:numPr>
          <w:ilvl w:val="0"/>
          <w:numId w:val="13"/>
        </w:numPr>
      </w:pPr>
      <w:r w:rsidRPr="00125313">
        <w:t xml:space="preserve">eligible carbon </w:t>
      </w:r>
      <w:proofErr w:type="gramStart"/>
      <w:r w:rsidRPr="00125313">
        <w:t>abatement</w:t>
      </w:r>
      <w:r w:rsidR="00F41A2A" w:rsidRPr="00125313">
        <w:t>;</w:t>
      </w:r>
      <w:proofErr w:type="gramEnd"/>
    </w:p>
    <w:p w14:paraId="1A616F41" w14:textId="77777777" w:rsidR="00C0112A" w:rsidRPr="00EA13AA" w:rsidRDefault="005E62AA" w:rsidP="004A7133">
      <w:pPr>
        <w:pStyle w:val="notepara"/>
        <w:numPr>
          <w:ilvl w:val="0"/>
          <w:numId w:val="13"/>
        </w:numPr>
      </w:pPr>
      <w:r w:rsidRPr="00EA13AA">
        <w:t xml:space="preserve">eligible offsets </w:t>
      </w:r>
      <w:proofErr w:type="gramStart"/>
      <w:r w:rsidRPr="00EA13AA">
        <w:t>project</w:t>
      </w:r>
      <w:r w:rsidR="00C0112A" w:rsidRPr="00EA13AA">
        <w:t>;</w:t>
      </w:r>
      <w:proofErr w:type="gramEnd"/>
    </w:p>
    <w:p w14:paraId="7B447D09" w14:textId="77777777" w:rsidR="00C0112A" w:rsidRPr="00EA13AA" w:rsidRDefault="005E62AA" w:rsidP="004A7133">
      <w:pPr>
        <w:pStyle w:val="notepara"/>
        <w:numPr>
          <w:ilvl w:val="0"/>
          <w:numId w:val="13"/>
        </w:numPr>
      </w:pPr>
      <w:proofErr w:type="gramStart"/>
      <w:r w:rsidRPr="00EA13AA">
        <w:t>emission</w:t>
      </w:r>
      <w:r w:rsidR="00C0112A" w:rsidRPr="00EA13AA">
        <w:t>;</w:t>
      </w:r>
      <w:proofErr w:type="gramEnd"/>
    </w:p>
    <w:p w14:paraId="4A392F9D" w14:textId="77777777" w:rsidR="00C0112A" w:rsidRPr="00EA13AA" w:rsidRDefault="005E62AA" w:rsidP="004A7133">
      <w:pPr>
        <w:pStyle w:val="notepara"/>
        <w:numPr>
          <w:ilvl w:val="0"/>
          <w:numId w:val="13"/>
        </w:numPr>
      </w:pPr>
      <w:r w:rsidRPr="00EA13AA">
        <w:t xml:space="preserve">Emissions Reduction Assurance </w:t>
      </w:r>
      <w:proofErr w:type="gramStart"/>
      <w:r w:rsidRPr="00EA13AA">
        <w:t>Committee</w:t>
      </w:r>
      <w:r w:rsidR="00C0112A" w:rsidRPr="00EA13AA">
        <w:t>;</w:t>
      </w:r>
      <w:proofErr w:type="gramEnd"/>
    </w:p>
    <w:p w14:paraId="4935A39E" w14:textId="77777777" w:rsidR="00C0112A" w:rsidRPr="00EA13AA" w:rsidRDefault="005E62AA" w:rsidP="004A7133">
      <w:pPr>
        <w:pStyle w:val="notepara"/>
        <w:numPr>
          <w:ilvl w:val="0"/>
          <w:numId w:val="13"/>
        </w:numPr>
      </w:pPr>
      <w:r w:rsidRPr="00EA13AA">
        <w:t>greenhouse </w:t>
      </w:r>
      <w:proofErr w:type="gramStart"/>
      <w:r w:rsidRPr="00EA13AA">
        <w:t>gas</w:t>
      </w:r>
      <w:r w:rsidR="00C0112A" w:rsidRPr="00EA13AA">
        <w:t>;</w:t>
      </w:r>
      <w:proofErr w:type="gramEnd"/>
    </w:p>
    <w:p w14:paraId="547BE960" w14:textId="77777777" w:rsidR="00C0112A" w:rsidRPr="00EA13AA" w:rsidRDefault="005E62AA" w:rsidP="004A7133">
      <w:pPr>
        <w:pStyle w:val="notepara"/>
        <w:numPr>
          <w:ilvl w:val="0"/>
          <w:numId w:val="13"/>
        </w:numPr>
      </w:pPr>
      <w:r w:rsidRPr="00EA13AA">
        <w:t>offsets </w:t>
      </w:r>
      <w:proofErr w:type="gramStart"/>
      <w:r w:rsidRPr="00EA13AA">
        <w:t>project</w:t>
      </w:r>
      <w:r w:rsidR="00C0112A" w:rsidRPr="00EA13AA">
        <w:t>;</w:t>
      </w:r>
      <w:proofErr w:type="gramEnd"/>
    </w:p>
    <w:p w14:paraId="68669125" w14:textId="77777777" w:rsidR="00C0112A" w:rsidRPr="00EA13AA" w:rsidRDefault="005E62AA" w:rsidP="004A7133">
      <w:pPr>
        <w:pStyle w:val="notepara"/>
        <w:numPr>
          <w:ilvl w:val="0"/>
          <w:numId w:val="13"/>
        </w:numPr>
      </w:pPr>
      <w:r w:rsidRPr="00EA13AA">
        <w:t>offsets </w:t>
      </w:r>
      <w:proofErr w:type="gramStart"/>
      <w:r w:rsidRPr="00EA13AA">
        <w:t>report</w:t>
      </w:r>
      <w:r w:rsidR="00C0112A" w:rsidRPr="00EA13AA">
        <w:t>;</w:t>
      </w:r>
      <w:proofErr w:type="gramEnd"/>
    </w:p>
    <w:p w14:paraId="2B655ED6" w14:textId="77777777" w:rsidR="00C0112A" w:rsidRPr="00EA13AA" w:rsidRDefault="005E62AA" w:rsidP="004A7133">
      <w:pPr>
        <w:pStyle w:val="notepara"/>
        <w:numPr>
          <w:ilvl w:val="0"/>
          <w:numId w:val="13"/>
        </w:numPr>
      </w:pPr>
      <w:proofErr w:type="gramStart"/>
      <w:r w:rsidRPr="00EA13AA">
        <w:t>project</w:t>
      </w:r>
      <w:r w:rsidR="00C0112A" w:rsidRPr="00EA13AA">
        <w:t>;</w:t>
      </w:r>
      <w:proofErr w:type="gramEnd"/>
    </w:p>
    <w:p w14:paraId="482D1614" w14:textId="77777777" w:rsidR="00C0112A" w:rsidRPr="00EA13AA" w:rsidRDefault="005E62AA" w:rsidP="004A7133">
      <w:pPr>
        <w:pStyle w:val="notepara"/>
        <w:numPr>
          <w:ilvl w:val="0"/>
          <w:numId w:val="13"/>
        </w:numPr>
      </w:pPr>
      <w:r w:rsidRPr="00EA13AA">
        <w:t>project </w:t>
      </w:r>
      <w:proofErr w:type="gramStart"/>
      <w:r w:rsidRPr="00EA13AA">
        <w:t>area</w:t>
      </w:r>
      <w:r w:rsidR="00C0112A" w:rsidRPr="00EA13AA">
        <w:t>;</w:t>
      </w:r>
      <w:proofErr w:type="gramEnd"/>
    </w:p>
    <w:p w14:paraId="080BE353" w14:textId="77777777" w:rsidR="00C0112A" w:rsidRPr="00EA13AA" w:rsidRDefault="005E62AA" w:rsidP="004A7133">
      <w:pPr>
        <w:pStyle w:val="notepara"/>
        <w:numPr>
          <w:ilvl w:val="0"/>
          <w:numId w:val="13"/>
        </w:numPr>
      </w:pPr>
      <w:r w:rsidRPr="00EA13AA">
        <w:t>project </w:t>
      </w:r>
      <w:proofErr w:type="gramStart"/>
      <w:r w:rsidRPr="00EA13AA">
        <w:t>proponent</w:t>
      </w:r>
      <w:r w:rsidR="00C0112A" w:rsidRPr="00EA13AA">
        <w:t>;</w:t>
      </w:r>
      <w:proofErr w:type="gramEnd"/>
    </w:p>
    <w:p w14:paraId="5F3E6E73" w14:textId="77777777" w:rsidR="00C0112A" w:rsidRPr="00EA13AA" w:rsidRDefault="005E62AA" w:rsidP="004A7133">
      <w:pPr>
        <w:pStyle w:val="notepara"/>
        <w:numPr>
          <w:ilvl w:val="0"/>
          <w:numId w:val="13"/>
        </w:numPr>
      </w:pPr>
      <w:proofErr w:type="gramStart"/>
      <w:r w:rsidRPr="00EA13AA">
        <w:t>Regulator</w:t>
      </w:r>
      <w:r w:rsidR="00C0112A" w:rsidRPr="00EA13AA">
        <w:t>;</w:t>
      </w:r>
      <w:proofErr w:type="gramEnd"/>
    </w:p>
    <w:p w14:paraId="570AF319" w14:textId="608C40E9" w:rsidR="00554826" w:rsidRPr="00EA13AA" w:rsidRDefault="005E62AA" w:rsidP="004A7133">
      <w:pPr>
        <w:pStyle w:val="notepara"/>
        <w:numPr>
          <w:ilvl w:val="0"/>
          <w:numId w:val="13"/>
        </w:numPr>
      </w:pPr>
      <w:r w:rsidRPr="00EA13AA">
        <w:t>reporting period</w:t>
      </w:r>
      <w:r w:rsidR="002E6E0D" w:rsidRPr="00EA13AA">
        <w:t>.</w:t>
      </w:r>
    </w:p>
    <w:p w14:paraId="5A1CEC6F" w14:textId="3D392C83" w:rsidR="00554826" w:rsidRPr="009C2562" w:rsidRDefault="00554826" w:rsidP="00554826">
      <w:pPr>
        <w:pStyle w:val="subsection"/>
      </w:pPr>
      <w:r w:rsidRPr="00EA13AA">
        <w:tab/>
      </w:r>
      <w:r w:rsidRPr="00EA13AA">
        <w:tab/>
        <w:t xml:space="preserve">In this </w:t>
      </w:r>
      <w:r w:rsidR="00701EBB">
        <w:t>instrument</w:t>
      </w:r>
      <w:r w:rsidRPr="00EA13AA">
        <w:t>:</w:t>
      </w:r>
    </w:p>
    <w:p w14:paraId="59280FD1" w14:textId="41AEEFA3" w:rsidR="00827E7A" w:rsidRDefault="00554826" w:rsidP="00940E04">
      <w:pPr>
        <w:pStyle w:val="Definition"/>
      </w:pPr>
      <w:r w:rsidRPr="00D152D0">
        <w:rPr>
          <w:b/>
          <w:i/>
        </w:rPr>
        <w:t>Act</w:t>
      </w:r>
      <w:r w:rsidRPr="00D152D0">
        <w:t xml:space="preserve"> means the </w:t>
      </w:r>
      <w:r w:rsidR="00D152D0" w:rsidRPr="00D152D0">
        <w:rPr>
          <w:i/>
          <w:iCs/>
        </w:rPr>
        <w:t>Carbon Credits (Carbon Farming Initiative) Act 2011</w:t>
      </w:r>
      <w:r w:rsidR="00D152D0" w:rsidRPr="00D152D0">
        <w:rPr>
          <w:i/>
        </w:rPr>
        <w:t>.</w:t>
      </w:r>
    </w:p>
    <w:p w14:paraId="39566250" w14:textId="489B5EFF" w:rsidR="00827E7A" w:rsidRPr="00B73C4F" w:rsidRDefault="00827E7A" w:rsidP="00827E7A">
      <w:pPr>
        <w:pStyle w:val="tdefn"/>
        <w:spacing w:before="180" w:beforeAutospacing="0" w:after="0" w:afterAutospacing="0"/>
        <w:ind w:left="1134"/>
        <w:rPr>
          <w:color w:val="000000"/>
          <w:sz w:val="22"/>
          <w:szCs w:val="22"/>
        </w:rPr>
      </w:pPr>
      <w:r w:rsidRPr="00B73C4F">
        <w:rPr>
          <w:b/>
          <w:bCs/>
          <w:i/>
          <w:iCs/>
          <w:color w:val="000000"/>
          <w:sz w:val="22"/>
          <w:szCs w:val="22"/>
        </w:rPr>
        <w:t>baseline period</w:t>
      </w:r>
      <w:r w:rsidRPr="00B73C4F">
        <w:rPr>
          <w:color w:val="000000"/>
          <w:sz w:val="22"/>
          <w:szCs w:val="22"/>
        </w:rPr>
        <w:t>—see section </w:t>
      </w:r>
      <w:r w:rsidR="00DA0E7A">
        <w:rPr>
          <w:color w:val="000000"/>
          <w:sz w:val="22"/>
          <w:szCs w:val="22"/>
        </w:rPr>
        <w:t>7</w:t>
      </w:r>
      <w:r w:rsidR="00520A34">
        <w:rPr>
          <w:color w:val="000000"/>
          <w:sz w:val="22"/>
          <w:szCs w:val="22"/>
        </w:rPr>
        <w:t>.</w:t>
      </w:r>
    </w:p>
    <w:p w14:paraId="34C6A811" w14:textId="3792A70E" w:rsidR="00252855" w:rsidRPr="004E468B" w:rsidRDefault="00BD1E75" w:rsidP="00827E7A">
      <w:pPr>
        <w:pStyle w:val="tdefn"/>
        <w:spacing w:before="180" w:beforeAutospacing="0" w:after="0" w:afterAutospacing="0"/>
        <w:ind w:left="1134"/>
        <w:rPr>
          <w:color w:val="000000"/>
          <w:sz w:val="22"/>
          <w:szCs w:val="22"/>
        </w:rPr>
      </w:pPr>
      <w:r w:rsidRPr="00BD1E75">
        <w:rPr>
          <w:b/>
          <w:bCs/>
          <w:i/>
          <w:iCs/>
          <w:color w:val="000000"/>
          <w:sz w:val="22"/>
          <w:szCs w:val="22"/>
        </w:rPr>
        <w:t xml:space="preserve">capacity building fire management </w:t>
      </w:r>
      <w:r>
        <w:rPr>
          <w:color w:val="000000"/>
          <w:sz w:val="22"/>
          <w:szCs w:val="22"/>
        </w:rPr>
        <w:t xml:space="preserve">means </w:t>
      </w:r>
      <w:r w:rsidR="005E1CF0">
        <w:rPr>
          <w:color w:val="000000"/>
          <w:sz w:val="22"/>
          <w:szCs w:val="22"/>
        </w:rPr>
        <w:t xml:space="preserve">planned and intended </w:t>
      </w:r>
      <w:r w:rsidR="007B596D">
        <w:rPr>
          <w:color w:val="000000"/>
          <w:sz w:val="22"/>
          <w:szCs w:val="22"/>
        </w:rPr>
        <w:t xml:space="preserve">early dry season burning </w:t>
      </w:r>
      <w:r w:rsidR="00550D10">
        <w:rPr>
          <w:color w:val="000000"/>
          <w:sz w:val="22"/>
          <w:szCs w:val="22"/>
        </w:rPr>
        <w:t xml:space="preserve">that </w:t>
      </w:r>
      <w:r w:rsidR="007B596D">
        <w:rPr>
          <w:color w:val="000000"/>
          <w:sz w:val="22"/>
          <w:szCs w:val="22"/>
        </w:rPr>
        <w:t xml:space="preserve">is conducted to </w:t>
      </w:r>
      <w:r w:rsidR="00F0435D">
        <w:rPr>
          <w:color w:val="000000"/>
          <w:sz w:val="22"/>
          <w:szCs w:val="22"/>
        </w:rPr>
        <w:t>enable</w:t>
      </w:r>
      <w:r w:rsidR="007B596D">
        <w:rPr>
          <w:color w:val="000000"/>
          <w:sz w:val="22"/>
          <w:szCs w:val="22"/>
        </w:rPr>
        <w:t xml:space="preserve"> land managers to develop</w:t>
      </w:r>
      <w:r w:rsidR="00B91A82">
        <w:rPr>
          <w:color w:val="000000"/>
          <w:sz w:val="22"/>
          <w:szCs w:val="22"/>
        </w:rPr>
        <w:t xml:space="preserve"> knowledge, skills and processes relevant to</w:t>
      </w:r>
      <w:r>
        <w:rPr>
          <w:color w:val="000000"/>
          <w:sz w:val="22"/>
          <w:szCs w:val="22"/>
        </w:rPr>
        <w:t xml:space="preserve"> </w:t>
      </w:r>
      <w:r w:rsidR="00B91A82">
        <w:rPr>
          <w:color w:val="000000"/>
          <w:sz w:val="22"/>
          <w:szCs w:val="22"/>
        </w:rPr>
        <w:t>early dry season fire management.</w:t>
      </w:r>
    </w:p>
    <w:p w14:paraId="097FBE1D" w14:textId="77777777" w:rsidR="00827E7A" w:rsidRPr="00DA0E7A" w:rsidRDefault="00827E7A" w:rsidP="00827E7A">
      <w:pPr>
        <w:pStyle w:val="tdefn"/>
        <w:spacing w:before="180" w:beforeAutospacing="0" w:after="0" w:afterAutospacing="0"/>
        <w:ind w:left="1134"/>
        <w:rPr>
          <w:color w:val="000000"/>
          <w:sz w:val="22"/>
          <w:szCs w:val="22"/>
        </w:rPr>
      </w:pPr>
      <w:r w:rsidRPr="00DA0E7A">
        <w:rPr>
          <w:b/>
          <w:bCs/>
          <w:i/>
          <w:iCs/>
          <w:color w:val="000000"/>
          <w:sz w:val="22"/>
          <w:szCs w:val="22"/>
        </w:rPr>
        <w:t>CFI Rule </w:t>
      </w:r>
      <w:r w:rsidRPr="00DA0E7A">
        <w:rPr>
          <w:color w:val="000000"/>
          <w:sz w:val="22"/>
          <w:szCs w:val="22"/>
        </w:rPr>
        <w:t>means the </w:t>
      </w:r>
      <w:r w:rsidRPr="00DA0E7A">
        <w:rPr>
          <w:i/>
          <w:iCs/>
          <w:color w:val="000000"/>
          <w:sz w:val="22"/>
          <w:szCs w:val="22"/>
        </w:rPr>
        <w:t>Carbon Credits (Carbon Farming Initiative) Rule 2015</w:t>
      </w:r>
      <w:r w:rsidRPr="00DA0E7A">
        <w:rPr>
          <w:color w:val="000000"/>
          <w:sz w:val="22"/>
          <w:szCs w:val="22"/>
        </w:rPr>
        <w:t>.</w:t>
      </w:r>
    </w:p>
    <w:p w14:paraId="04AD1F0D" w14:textId="77777777" w:rsidR="00827E7A" w:rsidRPr="00DA0E7A" w:rsidRDefault="00827E7A" w:rsidP="00827E7A">
      <w:pPr>
        <w:pStyle w:val="tdefn"/>
        <w:spacing w:before="180" w:beforeAutospacing="0" w:after="0" w:afterAutospacing="0"/>
        <w:ind w:left="1134"/>
        <w:rPr>
          <w:color w:val="000000"/>
          <w:sz w:val="22"/>
          <w:szCs w:val="22"/>
        </w:rPr>
      </w:pPr>
      <w:r w:rsidRPr="00DA0E7A">
        <w:rPr>
          <w:b/>
          <w:bCs/>
          <w:i/>
          <w:iCs/>
          <w:color w:val="000000"/>
          <w:sz w:val="22"/>
          <w:szCs w:val="22"/>
        </w:rPr>
        <w:t>CO</w:t>
      </w:r>
      <w:r w:rsidRPr="00DA0E7A">
        <w:rPr>
          <w:b/>
          <w:bCs/>
          <w:i/>
          <w:iCs/>
          <w:color w:val="000000"/>
          <w:sz w:val="15"/>
          <w:szCs w:val="15"/>
          <w:vertAlign w:val="subscript"/>
        </w:rPr>
        <w:t>2</w:t>
      </w:r>
      <w:r w:rsidRPr="00DA0E7A">
        <w:rPr>
          <w:b/>
          <w:bCs/>
          <w:i/>
          <w:iCs/>
          <w:color w:val="000000"/>
          <w:sz w:val="22"/>
          <w:szCs w:val="22"/>
        </w:rPr>
        <w:t>-e</w:t>
      </w:r>
      <w:r w:rsidRPr="00DA0E7A">
        <w:rPr>
          <w:color w:val="000000"/>
          <w:sz w:val="22"/>
          <w:szCs w:val="22"/>
        </w:rPr>
        <w:t> means carbon dioxide equivalent.</w:t>
      </w:r>
    </w:p>
    <w:p w14:paraId="3B1CE135" w14:textId="0B945243" w:rsidR="00827E7A" w:rsidRPr="00DA0E7A" w:rsidRDefault="00827E7A" w:rsidP="00827E7A">
      <w:pPr>
        <w:pStyle w:val="tdefn"/>
        <w:spacing w:before="180" w:beforeAutospacing="0" w:after="0" w:afterAutospacing="0"/>
        <w:ind w:left="1134"/>
        <w:rPr>
          <w:color w:val="000000"/>
          <w:sz w:val="22"/>
          <w:szCs w:val="22"/>
        </w:rPr>
      </w:pPr>
      <w:r w:rsidRPr="00DA0E7A">
        <w:rPr>
          <w:b/>
          <w:bCs/>
          <w:i/>
          <w:iCs/>
          <w:color w:val="000000"/>
          <w:sz w:val="22"/>
          <w:szCs w:val="22"/>
        </w:rPr>
        <w:t>early dry season</w:t>
      </w:r>
      <w:r w:rsidRPr="00DA0E7A">
        <w:rPr>
          <w:color w:val="000000"/>
          <w:sz w:val="22"/>
          <w:szCs w:val="22"/>
        </w:rPr>
        <w:t>—see section </w:t>
      </w:r>
      <w:r w:rsidR="00DA0E7A" w:rsidRPr="00DA0E7A">
        <w:rPr>
          <w:color w:val="000000"/>
          <w:sz w:val="22"/>
          <w:szCs w:val="22"/>
        </w:rPr>
        <w:t>6</w:t>
      </w:r>
      <w:r w:rsidRPr="00DA0E7A">
        <w:rPr>
          <w:color w:val="000000"/>
          <w:sz w:val="22"/>
          <w:szCs w:val="22"/>
        </w:rPr>
        <w:t>.</w:t>
      </w:r>
    </w:p>
    <w:p w14:paraId="5DF870F1" w14:textId="3FFC9A86" w:rsidR="00827E7A" w:rsidRPr="00DA0E7A" w:rsidRDefault="00827E7A" w:rsidP="00827E7A">
      <w:pPr>
        <w:pStyle w:val="tdefn"/>
        <w:spacing w:before="180" w:beforeAutospacing="0" w:after="0" w:afterAutospacing="0"/>
        <w:ind w:left="1134"/>
        <w:rPr>
          <w:color w:val="000000"/>
          <w:sz w:val="22"/>
          <w:szCs w:val="22"/>
        </w:rPr>
      </w:pPr>
      <w:r w:rsidRPr="00DA0E7A">
        <w:rPr>
          <w:b/>
          <w:bCs/>
          <w:i/>
          <w:iCs/>
          <w:color w:val="000000"/>
          <w:sz w:val="22"/>
          <w:szCs w:val="22"/>
        </w:rPr>
        <w:t>fire season</w:t>
      </w:r>
      <w:r w:rsidRPr="00DA0E7A">
        <w:rPr>
          <w:color w:val="000000"/>
          <w:sz w:val="22"/>
          <w:szCs w:val="22"/>
        </w:rPr>
        <w:t>—see section </w:t>
      </w:r>
      <w:r w:rsidR="00DA0E7A" w:rsidRPr="00DA0E7A">
        <w:rPr>
          <w:color w:val="000000"/>
          <w:sz w:val="22"/>
          <w:szCs w:val="22"/>
        </w:rPr>
        <w:t>6</w:t>
      </w:r>
      <w:r w:rsidRPr="00DA0E7A">
        <w:rPr>
          <w:color w:val="000000"/>
          <w:sz w:val="22"/>
          <w:szCs w:val="22"/>
        </w:rPr>
        <w:t>.</w:t>
      </w:r>
    </w:p>
    <w:p w14:paraId="1F11A5D2" w14:textId="6777039E" w:rsidR="00827E7A" w:rsidRPr="00AA7636" w:rsidRDefault="00827E7A" w:rsidP="00827E7A">
      <w:pPr>
        <w:pStyle w:val="tdefn"/>
        <w:spacing w:before="180" w:beforeAutospacing="0" w:after="0" w:afterAutospacing="0"/>
        <w:ind w:left="1134"/>
        <w:rPr>
          <w:color w:val="000000"/>
          <w:sz w:val="22"/>
          <w:szCs w:val="22"/>
        </w:rPr>
      </w:pPr>
      <w:r w:rsidRPr="00993442">
        <w:rPr>
          <w:b/>
          <w:bCs/>
          <w:i/>
          <w:iCs/>
          <w:color w:val="000000"/>
          <w:sz w:val="22"/>
          <w:szCs w:val="22"/>
        </w:rPr>
        <w:t>former determination</w:t>
      </w:r>
      <w:r w:rsidRPr="00993442">
        <w:rPr>
          <w:color w:val="000000"/>
          <w:sz w:val="22"/>
          <w:szCs w:val="22"/>
        </w:rPr>
        <w:t>, for a transferring project area—see </w:t>
      </w:r>
      <w:r w:rsidR="00BF4421">
        <w:rPr>
          <w:color w:val="000000"/>
          <w:sz w:val="22"/>
          <w:szCs w:val="22"/>
        </w:rPr>
        <w:t>s</w:t>
      </w:r>
      <w:r w:rsidR="00091EE4">
        <w:rPr>
          <w:color w:val="000000"/>
          <w:sz w:val="22"/>
          <w:szCs w:val="22"/>
        </w:rPr>
        <w:t>ub</w:t>
      </w:r>
      <w:r w:rsidRPr="00993442">
        <w:rPr>
          <w:color w:val="000000"/>
          <w:sz w:val="22"/>
          <w:szCs w:val="22"/>
        </w:rPr>
        <w:t>section 2</w:t>
      </w:r>
      <w:r w:rsidR="00570BC6">
        <w:rPr>
          <w:color w:val="000000"/>
          <w:sz w:val="22"/>
          <w:szCs w:val="22"/>
        </w:rPr>
        <w:t>6(2)</w:t>
      </w:r>
      <w:r w:rsidRPr="00993442">
        <w:rPr>
          <w:color w:val="000000"/>
          <w:sz w:val="22"/>
          <w:szCs w:val="22"/>
        </w:rPr>
        <w:t>.</w:t>
      </w:r>
    </w:p>
    <w:p w14:paraId="5768E25D" w14:textId="5B47CA76" w:rsidR="00EA13AA" w:rsidRPr="00EA13AA" w:rsidRDefault="00EA13AA" w:rsidP="00EA13AA">
      <w:pPr>
        <w:pStyle w:val="subsection"/>
        <w:ind w:firstLine="0"/>
      </w:pPr>
      <w:r w:rsidRPr="006F4B4A">
        <w:rPr>
          <w:b/>
          <w:bCs/>
          <w:i/>
          <w:iCs/>
        </w:rPr>
        <w:t>high rainfall zone</w:t>
      </w:r>
      <w:r w:rsidR="004230AB">
        <w:t xml:space="preserve"> </w:t>
      </w:r>
      <w:r w:rsidRPr="006F4B4A">
        <w:t>means the area of land identified as such on the Savanna Fire Management</w:t>
      </w:r>
      <w:r>
        <w:t xml:space="preserve"> </w:t>
      </w:r>
      <w:r w:rsidRPr="006F4B4A">
        <w:t>High Rainfall Zone spatial data layer.</w:t>
      </w:r>
    </w:p>
    <w:p w14:paraId="1E68D6D8" w14:textId="194DAA40" w:rsidR="00827E7A" w:rsidRPr="00D95BFD" w:rsidRDefault="00827E7A" w:rsidP="00827E7A">
      <w:pPr>
        <w:pStyle w:val="tdefn"/>
        <w:spacing w:before="180" w:beforeAutospacing="0" w:after="0" w:afterAutospacing="0"/>
        <w:ind w:left="1134"/>
        <w:rPr>
          <w:color w:val="000000"/>
          <w:sz w:val="22"/>
          <w:szCs w:val="22"/>
        </w:rPr>
      </w:pPr>
      <w:r w:rsidRPr="00D95BFD">
        <w:rPr>
          <w:b/>
          <w:bCs/>
          <w:i/>
          <w:iCs/>
          <w:color w:val="000000"/>
          <w:sz w:val="22"/>
          <w:szCs w:val="22"/>
        </w:rPr>
        <w:t>late dry season</w:t>
      </w:r>
      <w:r w:rsidRPr="00D95BFD">
        <w:rPr>
          <w:color w:val="000000"/>
          <w:sz w:val="22"/>
          <w:szCs w:val="22"/>
        </w:rPr>
        <w:t>—see section </w:t>
      </w:r>
      <w:r w:rsidR="00D95BFD" w:rsidRPr="00D95BFD">
        <w:rPr>
          <w:color w:val="000000"/>
          <w:sz w:val="22"/>
          <w:szCs w:val="22"/>
        </w:rPr>
        <w:t>6</w:t>
      </w:r>
      <w:r w:rsidRPr="00D95BFD">
        <w:rPr>
          <w:color w:val="000000"/>
          <w:sz w:val="22"/>
          <w:szCs w:val="22"/>
        </w:rPr>
        <w:t>.</w:t>
      </w:r>
    </w:p>
    <w:p w14:paraId="76534DE2" w14:textId="62CBC6F0" w:rsidR="00EA13AA" w:rsidRPr="00EA13AA" w:rsidRDefault="00EA13AA" w:rsidP="00EA13AA">
      <w:pPr>
        <w:pStyle w:val="subsection"/>
        <w:ind w:firstLine="0"/>
      </w:pPr>
      <w:r>
        <w:rPr>
          <w:b/>
          <w:bCs/>
          <w:i/>
          <w:iCs/>
        </w:rPr>
        <w:t>l</w:t>
      </w:r>
      <w:r w:rsidRPr="006F4B4A">
        <w:rPr>
          <w:b/>
          <w:bCs/>
          <w:i/>
          <w:iCs/>
        </w:rPr>
        <w:t>ow rainfall zone</w:t>
      </w:r>
      <w:r w:rsidR="00896D52">
        <w:t xml:space="preserve"> </w:t>
      </w:r>
      <w:r w:rsidRPr="006F4B4A">
        <w:t>means the area of land identified as such on the Savanna Fire Management Low Rainfall Zone spatial data layer.</w:t>
      </w:r>
    </w:p>
    <w:p w14:paraId="1ED10125" w14:textId="7E0EC3D7" w:rsidR="00827E7A" w:rsidRPr="005C10D4" w:rsidRDefault="00827E7A" w:rsidP="00827E7A">
      <w:pPr>
        <w:pStyle w:val="tdefn"/>
        <w:spacing w:before="180" w:beforeAutospacing="0" w:after="0" w:afterAutospacing="0"/>
        <w:ind w:left="1134"/>
        <w:rPr>
          <w:color w:val="000000"/>
          <w:sz w:val="22"/>
          <w:szCs w:val="22"/>
        </w:rPr>
      </w:pPr>
      <w:r w:rsidRPr="005C10D4">
        <w:rPr>
          <w:b/>
          <w:bCs/>
          <w:i/>
          <w:iCs/>
          <w:color w:val="000000"/>
          <w:sz w:val="22"/>
          <w:szCs w:val="22"/>
        </w:rPr>
        <w:t>mapping unit</w:t>
      </w:r>
      <w:r w:rsidR="00DC4B21" w:rsidRPr="005C10D4">
        <w:rPr>
          <w:color w:val="000000"/>
          <w:sz w:val="22"/>
          <w:szCs w:val="22"/>
        </w:rPr>
        <w:t>, in relation to</w:t>
      </w:r>
      <w:r w:rsidRPr="005C10D4">
        <w:rPr>
          <w:color w:val="000000"/>
          <w:sz w:val="22"/>
          <w:szCs w:val="22"/>
        </w:rPr>
        <w:t xml:space="preserve"> a map that represents a particular area of land</w:t>
      </w:r>
      <w:r w:rsidR="00DC4B21" w:rsidRPr="005C10D4">
        <w:rPr>
          <w:color w:val="000000"/>
          <w:sz w:val="22"/>
          <w:szCs w:val="22"/>
        </w:rPr>
        <w:t xml:space="preserve"> that</w:t>
      </w:r>
      <w:r w:rsidRPr="005C10D4">
        <w:rPr>
          <w:color w:val="000000"/>
          <w:sz w:val="22"/>
          <w:szCs w:val="22"/>
        </w:rPr>
        <w:t xml:space="preserve"> is divided into 2 or more discrete parts, </w:t>
      </w:r>
      <w:r w:rsidR="004D07C9" w:rsidRPr="005C10D4">
        <w:rPr>
          <w:color w:val="000000"/>
          <w:sz w:val="22"/>
          <w:szCs w:val="22"/>
        </w:rPr>
        <w:t>refers to</w:t>
      </w:r>
      <w:r w:rsidRPr="005C10D4">
        <w:rPr>
          <w:color w:val="000000"/>
          <w:sz w:val="22"/>
          <w:szCs w:val="22"/>
        </w:rPr>
        <w:t xml:space="preserve"> each part</w:t>
      </w:r>
      <w:r w:rsidR="004D07C9" w:rsidRPr="005C10D4">
        <w:rPr>
          <w:color w:val="000000"/>
          <w:sz w:val="22"/>
          <w:szCs w:val="22"/>
        </w:rPr>
        <w:t xml:space="preserve"> that</w:t>
      </w:r>
      <w:r w:rsidRPr="005C10D4">
        <w:rPr>
          <w:color w:val="000000"/>
          <w:sz w:val="22"/>
          <w:szCs w:val="22"/>
        </w:rPr>
        <w:t xml:space="preserve"> represent</w:t>
      </w:r>
      <w:r w:rsidR="004D07C9" w:rsidRPr="005C10D4">
        <w:rPr>
          <w:color w:val="000000"/>
          <w:sz w:val="22"/>
          <w:szCs w:val="22"/>
        </w:rPr>
        <w:t>s</w:t>
      </w:r>
      <w:r w:rsidRPr="005C10D4">
        <w:rPr>
          <w:color w:val="000000"/>
          <w:sz w:val="22"/>
          <w:szCs w:val="22"/>
        </w:rPr>
        <w:t xml:space="preserve"> a different portion of that area of land</w:t>
      </w:r>
      <w:r w:rsidR="004D07C9" w:rsidRPr="005C10D4">
        <w:rPr>
          <w:color w:val="000000"/>
          <w:sz w:val="22"/>
          <w:szCs w:val="22"/>
        </w:rPr>
        <w:t>.</w:t>
      </w:r>
    </w:p>
    <w:p w14:paraId="5325A488" w14:textId="19439BFC" w:rsidR="00827E7A" w:rsidRPr="00570BC6" w:rsidRDefault="00221965" w:rsidP="00827E7A">
      <w:pPr>
        <w:pStyle w:val="nmain"/>
        <w:spacing w:before="120" w:beforeAutospacing="0" w:after="0" w:afterAutospacing="0"/>
        <w:ind w:left="1985" w:hanging="851"/>
        <w:rPr>
          <w:color w:val="000000"/>
          <w:sz w:val="18"/>
          <w:szCs w:val="18"/>
        </w:rPr>
      </w:pPr>
      <w:r>
        <w:rPr>
          <w:color w:val="000000"/>
          <w:sz w:val="18"/>
          <w:szCs w:val="18"/>
        </w:rPr>
        <w:lastRenderedPageBreak/>
        <w:t>Note</w:t>
      </w:r>
      <w:r w:rsidR="00827E7A" w:rsidRPr="00570BC6">
        <w:rPr>
          <w:color w:val="000000"/>
          <w:sz w:val="18"/>
          <w:szCs w:val="18"/>
        </w:rPr>
        <w:t>: </w:t>
      </w:r>
      <w:r w:rsidR="00334B32">
        <w:rPr>
          <w:color w:val="000000"/>
          <w:sz w:val="18"/>
          <w:szCs w:val="18"/>
        </w:rPr>
        <w:tab/>
      </w:r>
      <w:r>
        <w:rPr>
          <w:color w:val="000000"/>
          <w:sz w:val="18"/>
          <w:szCs w:val="18"/>
        </w:rPr>
        <w:t>An example of a mapping unit is a</w:t>
      </w:r>
      <w:r w:rsidR="00827E7A" w:rsidRPr="00570BC6">
        <w:rPr>
          <w:color w:val="000000"/>
          <w:sz w:val="18"/>
          <w:szCs w:val="18"/>
        </w:rPr>
        <w:t xml:space="preserve"> pixel on a map that is in raster format.</w:t>
      </w:r>
    </w:p>
    <w:p w14:paraId="576F08D0" w14:textId="556D6957" w:rsidR="00827E7A" w:rsidRPr="00E55835" w:rsidRDefault="00827E7A" w:rsidP="00334B32">
      <w:pPr>
        <w:pStyle w:val="tdefn"/>
        <w:spacing w:before="180" w:beforeAutospacing="0" w:after="0" w:afterAutospacing="0"/>
        <w:ind w:left="1134"/>
        <w:rPr>
          <w:color w:val="000000"/>
          <w:sz w:val="22"/>
          <w:szCs w:val="22"/>
        </w:rPr>
      </w:pPr>
      <w:r w:rsidRPr="00911CC3">
        <w:rPr>
          <w:b/>
          <w:bCs/>
          <w:i/>
          <w:iCs/>
          <w:color w:val="000000"/>
          <w:sz w:val="22"/>
          <w:szCs w:val="22"/>
        </w:rPr>
        <w:t>net abatement amount</w:t>
      </w:r>
      <w:r w:rsidRPr="00911CC3">
        <w:rPr>
          <w:color w:val="000000"/>
          <w:sz w:val="22"/>
          <w:szCs w:val="22"/>
        </w:rPr>
        <w:t>, for a</w:t>
      </w:r>
      <w:r w:rsidR="0091222D" w:rsidRPr="00911CC3">
        <w:rPr>
          <w:color w:val="000000"/>
          <w:sz w:val="22"/>
          <w:szCs w:val="22"/>
        </w:rPr>
        <w:t xml:space="preserve"> savanna sequestration project</w:t>
      </w:r>
      <w:r w:rsidR="00A07B0D" w:rsidRPr="00911CC3">
        <w:rPr>
          <w:color w:val="000000"/>
          <w:sz w:val="22"/>
          <w:szCs w:val="22"/>
        </w:rPr>
        <w:t>,</w:t>
      </w:r>
      <w:r w:rsidRPr="00911CC3">
        <w:rPr>
          <w:color w:val="000000"/>
          <w:sz w:val="22"/>
          <w:szCs w:val="22"/>
        </w:rPr>
        <w:t xml:space="preserve"> means the carbon dioxide equivalent net abatement amount for the project in</w:t>
      </w:r>
      <w:r w:rsidR="00062DFB" w:rsidRPr="00911CC3">
        <w:rPr>
          <w:color w:val="000000"/>
          <w:sz w:val="22"/>
          <w:szCs w:val="22"/>
        </w:rPr>
        <w:t xml:space="preserve"> </w:t>
      </w:r>
      <w:r w:rsidR="0005418E">
        <w:rPr>
          <w:color w:val="000000"/>
          <w:sz w:val="22"/>
          <w:szCs w:val="22"/>
        </w:rPr>
        <w:t xml:space="preserve">relation to </w:t>
      </w:r>
      <w:proofErr w:type="gramStart"/>
      <w:r w:rsidR="0005418E">
        <w:rPr>
          <w:color w:val="000000"/>
          <w:sz w:val="22"/>
          <w:szCs w:val="22"/>
        </w:rPr>
        <w:t xml:space="preserve">a </w:t>
      </w:r>
      <w:r w:rsidRPr="00911CC3">
        <w:rPr>
          <w:color w:val="000000"/>
          <w:sz w:val="22"/>
          <w:szCs w:val="22"/>
        </w:rPr>
        <w:t xml:space="preserve"> reporting</w:t>
      </w:r>
      <w:proofErr w:type="gramEnd"/>
      <w:r w:rsidRPr="00911CC3">
        <w:rPr>
          <w:color w:val="000000"/>
          <w:sz w:val="22"/>
          <w:szCs w:val="22"/>
        </w:rPr>
        <w:t xml:space="preserve"> period for the </w:t>
      </w:r>
      <w:r w:rsidR="00C570B3">
        <w:rPr>
          <w:color w:val="000000"/>
          <w:sz w:val="22"/>
          <w:szCs w:val="22"/>
        </w:rPr>
        <w:t xml:space="preserve">project </w:t>
      </w:r>
      <w:r w:rsidRPr="00911CC3">
        <w:rPr>
          <w:color w:val="000000"/>
          <w:sz w:val="22"/>
          <w:szCs w:val="22"/>
        </w:rPr>
        <w:t>for the purposes of paragraph 106(1)(c) of the Act</w:t>
      </w:r>
      <w:r w:rsidR="00062DFB" w:rsidRPr="00911CC3">
        <w:rPr>
          <w:color w:val="000000"/>
          <w:sz w:val="22"/>
          <w:szCs w:val="22"/>
        </w:rPr>
        <w:t>.</w:t>
      </w:r>
    </w:p>
    <w:p w14:paraId="59B1E682" w14:textId="6CFD8884" w:rsidR="00827E7A" w:rsidRPr="00D15AC0" w:rsidRDefault="00827E7A" w:rsidP="00827E7A">
      <w:pPr>
        <w:pStyle w:val="tdefn"/>
        <w:spacing w:before="180" w:beforeAutospacing="0" w:after="0" w:afterAutospacing="0"/>
        <w:ind w:left="1134"/>
        <w:rPr>
          <w:color w:val="000000"/>
          <w:sz w:val="22"/>
          <w:szCs w:val="22"/>
        </w:rPr>
      </w:pPr>
      <w:r w:rsidRPr="00D15AC0">
        <w:rPr>
          <w:b/>
          <w:bCs/>
          <w:i/>
          <w:iCs/>
          <w:color w:val="000000"/>
          <w:sz w:val="22"/>
          <w:szCs w:val="22"/>
        </w:rPr>
        <w:t>original project area</w:t>
      </w:r>
      <w:r w:rsidRPr="00D15AC0">
        <w:rPr>
          <w:color w:val="000000"/>
          <w:sz w:val="22"/>
          <w:szCs w:val="22"/>
        </w:rPr>
        <w:t>, in relation to a subdivided project area—</w:t>
      </w:r>
      <w:r w:rsidRPr="00A87092">
        <w:rPr>
          <w:color w:val="000000"/>
          <w:sz w:val="22"/>
          <w:szCs w:val="22"/>
        </w:rPr>
        <w:t>see subsection 1</w:t>
      </w:r>
      <w:r w:rsidR="00A87092" w:rsidRPr="00A87092">
        <w:rPr>
          <w:color w:val="000000"/>
          <w:sz w:val="22"/>
          <w:szCs w:val="22"/>
        </w:rPr>
        <w:t>6</w:t>
      </w:r>
      <w:r w:rsidRPr="00A87092">
        <w:rPr>
          <w:color w:val="000000"/>
          <w:sz w:val="22"/>
          <w:szCs w:val="22"/>
        </w:rPr>
        <w:t>(2).</w:t>
      </w:r>
    </w:p>
    <w:p w14:paraId="18E4E5FE" w14:textId="77777777" w:rsidR="00827E7A" w:rsidRPr="003C45A3" w:rsidRDefault="00827E7A" w:rsidP="00827E7A">
      <w:pPr>
        <w:pStyle w:val="tdefn"/>
        <w:spacing w:before="180" w:beforeAutospacing="0" w:after="0" w:afterAutospacing="0"/>
        <w:ind w:left="1134"/>
        <w:rPr>
          <w:color w:val="000000"/>
          <w:sz w:val="22"/>
          <w:szCs w:val="22"/>
        </w:rPr>
      </w:pPr>
      <w:r w:rsidRPr="003C45A3">
        <w:rPr>
          <w:b/>
          <w:bCs/>
          <w:i/>
          <w:iCs/>
          <w:color w:val="000000"/>
          <w:sz w:val="22"/>
          <w:szCs w:val="22"/>
        </w:rPr>
        <w:t>permanence obligation period</w:t>
      </w:r>
      <w:r w:rsidRPr="003C45A3">
        <w:rPr>
          <w:color w:val="000000"/>
          <w:sz w:val="22"/>
          <w:szCs w:val="22"/>
        </w:rPr>
        <w:t>, in relation to a savanna sequestration project, means the period from the declaration of the project until the last day the Regulator could issue a notice to relinquish Australian carbon credit units under Division 3 of Part 7 of the Act.</w:t>
      </w:r>
    </w:p>
    <w:p w14:paraId="2057EFCE" w14:textId="6D3D25C8" w:rsidR="00827E7A" w:rsidRPr="00234B19" w:rsidRDefault="00827E7A" w:rsidP="00827E7A">
      <w:pPr>
        <w:pStyle w:val="tdefn"/>
        <w:spacing w:before="180" w:beforeAutospacing="0" w:after="0" w:afterAutospacing="0"/>
        <w:ind w:left="1134"/>
        <w:rPr>
          <w:color w:val="000000"/>
          <w:sz w:val="22"/>
          <w:szCs w:val="22"/>
        </w:rPr>
      </w:pPr>
      <w:r w:rsidRPr="00234B19">
        <w:rPr>
          <w:b/>
          <w:bCs/>
          <w:i/>
          <w:iCs/>
          <w:color w:val="000000"/>
          <w:sz w:val="22"/>
          <w:szCs w:val="22"/>
        </w:rPr>
        <w:t>project area part</w:t>
      </w:r>
      <w:r w:rsidRPr="00234B19">
        <w:rPr>
          <w:color w:val="000000"/>
          <w:sz w:val="22"/>
          <w:szCs w:val="22"/>
        </w:rPr>
        <w:t>, of a project area, means either that part entirely within the high rainfall zone or that part entirely within the low rainfall zone.</w:t>
      </w:r>
    </w:p>
    <w:p w14:paraId="689783F5" w14:textId="66241764" w:rsidR="00827E7A" w:rsidRPr="00234B19" w:rsidRDefault="00234B19" w:rsidP="00827E7A">
      <w:pPr>
        <w:pStyle w:val="nmain"/>
        <w:spacing w:before="120" w:beforeAutospacing="0" w:after="0" w:afterAutospacing="0"/>
        <w:ind w:left="1985" w:hanging="851"/>
        <w:rPr>
          <w:color w:val="000000"/>
          <w:sz w:val="18"/>
          <w:szCs w:val="18"/>
        </w:rPr>
      </w:pPr>
      <w:r w:rsidRPr="00234B19">
        <w:rPr>
          <w:color w:val="000000"/>
          <w:sz w:val="18"/>
          <w:szCs w:val="18"/>
        </w:rPr>
        <w:t>Note</w:t>
      </w:r>
      <w:r w:rsidR="00827E7A" w:rsidRPr="00234B19">
        <w:rPr>
          <w:color w:val="000000"/>
          <w:sz w:val="18"/>
          <w:szCs w:val="18"/>
        </w:rPr>
        <w:t>: </w:t>
      </w:r>
      <w:r w:rsidR="00334B32">
        <w:rPr>
          <w:color w:val="000000"/>
          <w:sz w:val="18"/>
          <w:szCs w:val="18"/>
        </w:rPr>
        <w:tab/>
      </w:r>
      <w:r w:rsidR="00827E7A" w:rsidRPr="00234B19">
        <w:rPr>
          <w:color w:val="000000"/>
          <w:sz w:val="18"/>
          <w:szCs w:val="18"/>
        </w:rPr>
        <w:t>If a project area is entirely within a single rainfall zone, it has a single </w:t>
      </w:r>
      <w:r w:rsidR="00827E7A" w:rsidRPr="00234B19">
        <w:rPr>
          <w:b/>
          <w:bCs/>
          <w:i/>
          <w:iCs/>
          <w:color w:val="000000"/>
          <w:sz w:val="18"/>
          <w:szCs w:val="18"/>
        </w:rPr>
        <w:t>project area part</w:t>
      </w:r>
      <w:r w:rsidR="00827E7A" w:rsidRPr="00234B19">
        <w:rPr>
          <w:color w:val="000000"/>
          <w:sz w:val="18"/>
          <w:szCs w:val="18"/>
        </w:rPr>
        <w:t>. If a project area spans both rainfall zones, it has two </w:t>
      </w:r>
      <w:r w:rsidR="00827E7A" w:rsidRPr="00234B19">
        <w:rPr>
          <w:b/>
          <w:bCs/>
          <w:i/>
          <w:iCs/>
          <w:color w:val="000000"/>
          <w:sz w:val="18"/>
          <w:szCs w:val="18"/>
        </w:rPr>
        <w:t>project area parts</w:t>
      </w:r>
      <w:r w:rsidR="00827E7A" w:rsidRPr="00234B19">
        <w:rPr>
          <w:color w:val="000000"/>
          <w:sz w:val="18"/>
          <w:szCs w:val="18"/>
        </w:rPr>
        <w:t>.</w:t>
      </w:r>
    </w:p>
    <w:p w14:paraId="0FAE55F9" w14:textId="6492FEC3" w:rsidR="00EC09FD" w:rsidRPr="00EC09FD" w:rsidRDefault="00827E7A" w:rsidP="00EC09FD">
      <w:pPr>
        <w:pStyle w:val="tdefn"/>
        <w:spacing w:before="180" w:beforeAutospacing="0" w:after="0" w:afterAutospacing="0"/>
        <w:ind w:left="1134"/>
        <w:rPr>
          <w:color w:val="000000"/>
          <w:sz w:val="22"/>
          <w:szCs w:val="22"/>
        </w:rPr>
      </w:pPr>
      <w:r w:rsidRPr="00BB68FB">
        <w:rPr>
          <w:b/>
          <w:bCs/>
          <w:i/>
          <w:iCs/>
          <w:color w:val="000000"/>
          <w:sz w:val="22"/>
          <w:szCs w:val="22"/>
        </w:rPr>
        <w:t>project management plan</w:t>
      </w:r>
      <w:r w:rsidRPr="00BB68FB">
        <w:rPr>
          <w:color w:val="000000"/>
          <w:sz w:val="22"/>
          <w:szCs w:val="22"/>
        </w:rPr>
        <w:t>—see section </w:t>
      </w:r>
      <w:r w:rsidR="00570BC6">
        <w:rPr>
          <w:color w:val="000000"/>
          <w:sz w:val="22"/>
          <w:szCs w:val="22"/>
        </w:rPr>
        <w:t>18</w:t>
      </w:r>
      <w:r w:rsidRPr="00BB68FB">
        <w:rPr>
          <w:color w:val="000000"/>
          <w:sz w:val="22"/>
          <w:szCs w:val="22"/>
        </w:rPr>
        <w:t>.</w:t>
      </w:r>
    </w:p>
    <w:p w14:paraId="5B391038" w14:textId="72BE411C" w:rsidR="00827E7A" w:rsidRPr="005C4061" w:rsidRDefault="00827E7A" w:rsidP="00827E7A">
      <w:pPr>
        <w:pStyle w:val="tdefn"/>
        <w:spacing w:before="180" w:beforeAutospacing="0" w:after="0" w:afterAutospacing="0"/>
        <w:ind w:left="1134"/>
        <w:rPr>
          <w:color w:val="000000"/>
          <w:sz w:val="22"/>
          <w:szCs w:val="22"/>
        </w:rPr>
      </w:pPr>
      <w:r w:rsidRPr="005C4061">
        <w:rPr>
          <w:b/>
          <w:bCs/>
          <w:i/>
          <w:iCs/>
          <w:color w:val="000000"/>
          <w:sz w:val="22"/>
          <w:szCs w:val="22"/>
        </w:rPr>
        <w:t>relevant weed species </w:t>
      </w:r>
      <w:r w:rsidRPr="005C4061">
        <w:rPr>
          <w:color w:val="000000"/>
          <w:sz w:val="22"/>
          <w:szCs w:val="22"/>
        </w:rPr>
        <w:t xml:space="preserve">means a weed species that materially affects fire dynamics and is identified in the </w:t>
      </w:r>
      <w:r w:rsidR="003A0C3D" w:rsidRPr="005C4061">
        <w:rPr>
          <w:color w:val="000000"/>
          <w:sz w:val="22"/>
          <w:szCs w:val="22"/>
        </w:rPr>
        <w:t xml:space="preserve">Savanna Fire Management Methods (2025) Technical Guidance Document </w:t>
      </w:r>
      <w:r w:rsidRPr="005C4061">
        <w:rPr>
          <w:color w:val="000000"/>
          <w:sz w:val="22"/>
          <w:szCs w:val="22"/>
        </w:rPr>
        <w:t>as a relevant weed species.</w:t>
      </w:r>
    </w:p>
    <w:p w14:paraId="37300EEF" w14:textId="054F8925" w:rsidR="00827E7A" w:rsidRPr="004B1802" w:rsidRDefault="00827E7A" w:rsidP="004B1802">
      <w:pPr>
        <w:pStyle w:val="tdefn"/>
        <w:spacing w:before="180" w:beforeAutospacing="0" w:after="0" w:afterAutospacing="0"/>
        <w:ind w:left="1134"/>
        <w:rPr>
          <w:color w:val="000000"/>
          <w:sz w:val="22"/>
          <w:szCs w:val="22"/>
        </w:rPr>
      </w:pPr>
      <w:r w:rsidRPr="004707B5">
        <w:rPr>
          <w:b/>
          <w:bCs/>
          <w:i/>
          <w:iCs/>
          <w:color w:val="000000"/>
          <w:sz w:val="22"/>
          <w:szCs w:val="22"/>
        </w:rPr>
        <w:t>Relevant Weeds Risk spatial data layer</w:t>
      </w:r>
      <w:r w:rsidR="00BD334E" w:rsidRPr="004707B5">
        <w:rPr>
          <w:color w:val="000000"/>
          <w:sz w:val="22"/>
          <w:szCs w:val="22"/>
        </w:rPr>
        <w:t xml:space="preserve"> means the document of that name, as published on the Department’s website and as in force from time to time.</w:t>
      </w:r>
    </w:p>
    <w:p w14:paraId="49B9B174" w14:textId="616F20F2" w:rsidR="00827E7A" w:rsidRPr="00FD5246" w:rsidRDefault="00827E7A" w:rsidP="00827E7A">
      <w:pPr>
        <w:pStyle w:val="tdefn"/>
        <w:spacing w:before="180" w:beforeAutospacing="0" w:after="0" w:afterAutospacing="0"/>
        <w:ind w:left="1134"/>
        <w:rPr>
          <w:color w:val="000000"/>
          <w:sz w:val="22"/>
          <w:szCs w:val="22"/>
        </w:rPr>
      </w:pPr>
      <w:r w:rsidRPr="00FD5246">
        <w:rPr>
          <w:b/>
          <w:bCs/>
          <w:i/>
          <w:iCs/>
          <w:color w:val="000000"/>
          <w:sz w:val="22"/>
          <w:szCs w:val="22"/>
        </w:rPr>
        <w:t>restarting transferring project</w:t>
      </w:r>
      <w:r w:rsidRPr="00FD5246">
        <w:rPr>
          <w:color w:val="000000"/>
          <w:sz w:val="22"/>
          <w:szCs w:val="22"/>
        </w:rPr>
        <w:t>—see</w:t>
      </w:r>
      <w:r w:rsidR="00C77EC2">
        <w:rPr>
          <w:color w:val="000000"/>
          <w:sz w:val="22"/>
          <w:szCs w:val="22"/>
        </w:rPr>
        <w:t xml:space="preserve"> sub</w:t>
      </w:r>
      <w:r w:rsidRPr="00FD5246">
        <w:rPr>
          <w:color w:val="000000"/>
          <w:sz w:val="22"/>
          <w:szCs w:val="22"/>
        </w:rPr>
        <w:t>section 2</w:t>
      </w:r>
      <w:r w:rsidR="00FD5246" w:rsidRPr="00FD5246">
        <w:rPr>
          <w:color w:val="000000"/>
          <w:sz w:val="22"/>
          <w:szCs w:val="22"/>
        </w:rPr>
        <w:t>6(3)</w:t>
      </w:r>
      <w:r w:rsidRPr="00FD5246">
        <w:rPr>
          <w:color w:val="000000"/>
          <w:sz w:val="22"/>
          <w:szCs w:val="22"/>
        </w:rPr>
        <w:t>.</w:t>
      </w:r>
    </w:p>
    <w:p w14:paraId="73D985AE" w14:textId="77777777" w:rsidR="00827E7A" w:rsidRPr="007E4770" w:rsidRDefault="00827E7A" w:rsidP="00827E7A">
      <w:pPr>
        <w:pStyle w:val="tdefn"/>
        <w:spacing w:before="180" w:beforeAutospacing="0" w:after="0" w:afterAutospacing="0"/>
        <w:ind w:left="1134"/>
        <w:rPr>
          <w:color w:val="000000"/>
          <w:sz w:val="22"/>
          <w:szCs w:val="22"/>
        </w:rPr>
      </w:pPr>
      <w:r w:rsidRPr="007E4770">
        <w:rPr>
          <w:b/>
          <w:bCs/>
          <w:i/>
          <w:iCs/>
          <w:color w:val="000000"/>
          <w:sz w:val="22"/>
          <w:szCs w:val="22"/>
        </w:rPr>
        <w:t>savanna </w:t>
      </w:r>
      <w:r w:rsidRPr="007E4770">
        <w:rPr>
          <w:color w:val="000000"/>
          <w:sz w:val="22"/>
          <w:szCs w:val="22"/>
        </w:rPr>
        <w:t>means land that is characterised by a tropical or sub-tropical vegetation formation with continuous grass cover occasionally interrupted by trees and shrubs.</w:t>
      </w:r>
    </w:p>
    <w:p w14:paraId="325317AB" w14:textId="55B02F9E" w:rsidR="009C26F7" w:rsidRPr="00D15AC0" w:rsidRDefault="009C26F7" w:rsidP="009C26F7">
      <w:pPr>
        <w:pStyle w:val="tdefn"/>
        <w:spacing w:before="180" w:beforeAutospacing="0" w:after="0" w:afterAutospacing="0"/>
        <w:ind w:left="1134"/>
        <w:rPr>
          <w:color w:val="000000"/>
          <w:sz w:val="22"/>
          <w:szCs w:val="22"/>
        </w:rPr>
      </w:pPr>
      <w:r w:rsidRPr="00D15AC0">
        <w:rPr>
          <w:b/>
          <w:bCs/>
          <w:i/>
          <w:iCs/>
          <w:color w:val="000000"/>
          <w:sz w:val="22"/>
          <w:szCs w:val="22"/>
        </w:rPr>
        <w:t>savanna </w:t>
      </w:r>
      <w:r>
        <w:rPr>
          <w:b/>
          <w:bCs/>
          <w:i/>
          <w:iCs/>
          <w:color w:val="000000"/>
          <w:sz w:val="22"/>
          <w:szCs w:val="22"/>
        </w:rPr>
        <w:t>emissions avoidance</w:t>
      </w:r>
      <w:r w:rsidRPr="00D15AC0">
        <w:rPr>
          <w:b/>
          <w:bCs/>
          <w:i/>
          <w:iCs/>
          <w:color w:val="000000"/>
          <w:sz w:val="22"/>
          <w:szCs w:val="22"/>
        </w:rPr>
        <w:t xml:space="preserve"> determination </w:t>
      </w:r>
      <w:r w:rsidRPr="00D15AC0">
        <w:rPr>
          <w:color w:val="000000"/>
          <w:sz w:val="22"/>
          <w:szCs w:val="22"/>
        </w:rPr>
        <w:t xml:space="preserve">means </w:t>
      </w:r>
      <w:r w:rsidR="00F149C0" w:rsidRPr="00AB23EC">
        <w:rPr>
          <w:color w:val="000000"/>
          <w:sz w:val="22"/>
          <w:szCs w:val="22"/>
        </w:rPr>
        <w:t>any of</w:t>
      </w:r>
      <w:r w:rsidR="00F149C0">
        <w:rPr>
          <w:color w:val="000000"/>
          <w:sz w:val="22"/>
          <w:szCs w:val="22"/>
        </w:rPr>
        <w:t xml:space="preserve"> </w:t>
      </w:r>
      <w:r w:rsidRPr="00D15AC0">
        <w:rPr>
          <w:color w:val="000000"/>
          <w:sz w:val="22"/>
          <w:szCs w:val="22"/>
        </w:rPr>
        <w:t>the following:</w:t>
      </w:r>
    </w:p>
    <w:p w14:paraId="2A3524D3" w14:textId="5FD19783" w:rsidR="00F054B5" w:rsidRDefault="00F054B5" w:rsidP="009C26F7">
      <w:pPr>
        <w:pStyle w:val="tpara"/>
        <w:numPr>
          <w:ilvl w:val="0"/>
          <w:numId w:val="41"/>
        </w:numPr>
        <w:spacing w:before="40" w:beforeAutospacing="0" w:after="0" w:afterAutospacing="0"/>
        <w:rPr>
          <w:color w:val="000000"/>
          <w:sz w:val="22"/>
          <w:szCs w:val="22"/>
        </w:rPr>
      </w:pPr>
      <w:r w:rsidRPr="00F054B5">
        <w:rPr>
          <w:color w:val="000000"/>
          <w:sz w:val="22"/>
          <w:szCs w:val="22"/>
        </w:rPr>
        <w:t> the </w:t>
      </w:r>
      <w:r w:rsidRPr="00F054B5">
        <w:rPr>
          <w:i/>
          <w:iCs/>
          <w:color w:val="000000"/>
          <w:sz w:val="22"/>
          <w:szCs w:val="22"/>
        </w:rPr>
        <w:t xml:space="preserve">Carbon Farming (Reduction of Greenhouse Gas Emissions through Early Dry Season Savanna Burning) Methodology Determination </w:t>
      </w:r>
      <w:proofErr w:type="gramStart"/>
      <w:r w:rsidRPr="00F054B5">
        <w:rPr>
          <w:i/>
          <w:iCs/>
          <w:color w:val="000000"/>
          <w:sz w:val="22"/>
          <w:szCs w:val="22"/>
        </w:rPr>
        <w:t>2012</w:t>
      </w:r>
      <w:r w:rsidRPr="00F054B5">
        <w:rPr>
          <w:color w:val="000000"/>
          <w:sz w:val="22"/>
          <w:szCs w:val="22"/>
        </w:rPr>
        <w:t>;</w:t>
      </w:r>
      <w:proofErr w:type="gramEnd"/>
    </w:p>
    <w:p w14:paraId="38BFB7AA" w14:textId="256B8E0C" w:rsidR="009C26F7" w:rsidRPr="00D15AC0" w:rsidRDefault="009C26F7" w:rsidP="009C26F7">
      <w:pPr>
        <w:pStyle w:val="tpara"/>
        <w:numPr>
          <w:ilvl w:val="0"/>
          <w:numId w:val="41"/>
        </w:numPr>
        <w:spacing w:before="40" w:beforeAutospacing="0" w:after="0" w:afterAutospacing="0"/>
        <w:rPr>
          <w:color w:val="000000"/>
          <w:sz w:val="22"/>
          <w:szCs w:val="22"/>
        </w:rPr>
      </w:pPr>
      <w:r w:rsidRPr="00D15AC0">
        <w:rPr>
          <w:color w:val="000000"/>
          <w:sz w:val="22"/>
          <w:szCs w:val="22"/>
        </w:rPr>
        <w:t>the </w:t>
      </w:r>
      <w:r w:rsidRPr="00D15AC0">
        <w:rPr>
          <w:i/>
          <w:iCs/>
          <w:color w:val="000000"/>
          <w:sz w:val="22"/>
          <w:szCs w:val="22"/>
        </w:rPr>
        <w:t xml:space="preserve">Carbon Credits (Carbon Farming Initiative) (Reduction of Greenhouse Gas Emissions through Early Dry Season Savanna Burning—1.1) Methodology Determination </w:t>
      </w:r>
      <w:proofErr w:type="gramStart"/>
      <w:r w:rsidRPr="00D15AC0">
        <w:rPr>
          <w:i/>
          <w:iCs/>
          <w:color w:val="000000"/>
          <w:sz w:val="22"/>
          <w:szCs w:val="22"/>
        </w:rPr>
        <w:t>2013</w:t>
      </w:r>
      <w:r w:rsidRPr="00D15AC0">
        <w:rPr>
          <w:color w:val="000000"/>
          <w:sz w:val="22"/>
          <w:szCs w:val="22"/>
        </w:rPr>
        <w:t>;</w:t>
      </w:r>
      <w:proofErr w:type="gramEnd"/>
    </w:p>
    <w:p w14:paraId="2DF5C59B" w14:textId="77777777" w:rsidR="009C26F7" w:rsidRPr="00D15AC0" w:rsidRDefault="009C26F7" w:rsidP="009C26F7">
      <w:pPr>
        <w:pStyle w:val="tpara"/>
        <w:numPr>
          <w:ilvl w:val="0"/>
          <w:numId w:val="41"/>
        </w:numPr>
        <w:spacing w:before="40" w:beforeAutospacing="0" w:after="0" w:afterAutospacing="0"/>
        <w:rPr>
          <w:color w:val="000000"/>
          <w:sz w:val="22"/>
          <w:szCs w:val="22"/>
        </w:rPr>
      </w:pPr>
      <w:r w:rsidRPr="00D15AC0">
        <w:rPr>
          <w:color w:val="000000"/>
          <w:sz w:val="22"/>
          <w:szCs w:val="22"/>
        </w:rPr>
        <w:t>the </w:t>
      </w:r>
      <w:r w:rsidRPr="00D15AC0">
        <w:rPr>
          <w:i/>
          <w:iCs/>
          <w:color w:val="000000"/>
          <w:sz w:val="22"/>
          <w:szCs w:val="22"/>
        </w:rPr>
        <w:t xml:space="preserve">Carbon Credits (Carbon Farming Initiative—Emissions Abatement through Savanna Fire Management) Methodology Determination </w:t>
      </w:r>
      <w:proofErr w:type="gramStart"/>
      <w:r w:rsidRPr="00D15AC0">
        <w:rPr>
          <w:i/>
          <w:iCs/>
          <w:color w:val="000000"/>
          <w:sz w:val="22"/>
          <w:szCs w:val="22"/>
        </w:rPr>
        <w:t>2015</w:t>
      </w:r>
      <w:r w:rsidRPr="00D15AC0">
        <w:rPr>
          <w:color w:val="000000"/>
          <w:sz w:val="22"/>
          <w:szCs w:val="22"/>
        </w:rPr>
        <w:t>;</w:t>
      </w:r>
      <w:proofErr w:type="gramEnd"/>
    </w:p>
    <w:p w14:paraId="48AAA4C6" w14:textId="77777777" w:rsidR="009C26F7" w:rsidRPr="001F661A" w:rsidRDefault="009C26F7" w:rsidP="009C26F7">
      <w:pPr>
        <w:pStyle w:val="tpara"/>
        <w:numPr>
          <w:ilvl w:val="0"/>
          <w:numId w:val="41"/>
        </w:numPr>
        <w:spacing w:before="40" w:beforeAutospacing="0" w:after="0" w:afterAutospacing="0"/>
        <w:rPr>
          <w:color w:val="000000"/>
          <w:sz w:val="22"/>
          <w:szCs w:val="22"/>
        </w:rPr>
      </w:pPr>
      <w:r w:rsidRPr="00D15AC0">
        <w:rPr>
          <w:color w:val="000000"/>
          <w:sz w:val="22"/>
          <w:szCs w:val="22"/>
        </w:rPr>
        <w:t>the </w:t>
      </w:r>
      <w:r w:rsidRPr="00D15AC0">
        <w:rPr>
          <w:i/>
          <w:iCs/>
          <w:color w:val="000000"/>
          <w:sz w:val="22"/>
          <w:szCs w:val="22"/>
        </w:rPr>
        <w:t xml:space="preserve">Carbon Credits (Carbon Farming Initiative—Savanna Fire Management—Emissions Avoidance) Methodology Determination </w:t>
      </w:r>
      <w:proofErr w:type="gramStart"/>
      <w:r w:rsidRPr="00D15AC0">
        <w:rPr>
          <w:i/>
          <w:iCs/>
          <w:color w:val="000000"/>
          <w:sz w:val="22"/>
          <w:szCs w:val="22"/>
        </w:rPr>
        <w:t>2018;</w:t>
      </w:r>
      <w:proofErr w:type="gramEnd"/>
    </w:p>
    <w:p w14:paraId="2DB73442" w14:textId="77777777" w:rsidR="009C26F7" w:rsidRPr="00D15AC0" w:rsidRDefault="009C26F7" w:rsidP="009C26F7">
      <w:pPr>
        <w:pStyle w:val="tpara"/>
        <w:numPr>
          <w:ilvl w:val="0"/>
          <w:numId w:val="41"/>
        </w:numPr>
        <w:spacing w:before="40" w:beforeAutospacing="0" w:after="0" w:afterAutospacing="0"/>
        <w:rPr>
          <w:color w:val="000000"/>
          <w:sz w:val="22"/>
          <w:szCs w:val="22"/>
        </w:rPr>
      </w:pPr>
      <w:r w:rsidRPr="00D15AC0">
        <w:rPr>
          <w:color w:val="000000"/>
          <w:sz w:val="22"/>
          <w:szCs w:val="22"/>
        </w:rPr>
        <w:t>the </w:t>
      </w:r>
      <w:r w:rsidRPr="00D15AC0">
        <w:rPr>
          <w:i/>
          <w:iCs/>
          <w:color w:val="000000"/>
          <w:sz w:val="22"/>
          <w:szCs w:val="22"/>
        </w:rPr>
        <w:t>Carbon Credits (Carbon Farming Initiative—Savanna Fire Management—Emissions Avoidance) Methodology Determination 2025.</w:t>
      </w:r>
    </w:p>
    <w:p w14:paraId="1CE6E12E" w14:textId="5B7AABE1" w:rsidR="007A6BB1" w:rsidRPr="00D15AC0" w:rsidRDefault="00827E7A" w:rsidP="00A167E9">
      <w:pPr>
        <w:pStyle w:val="tdefn"/>
        <w:spacing w:before="180" w:beforeAutospacing="0" w:after="0" w:afterAutospacing="0"/>
        <w:ind w:left="1134"/>
        <w:rPr>
          <w:color w:val="000000"/>
          <w:sz w:val="22"/>
          <w:szCs w:val="22"/>
        </w:rPr>
      </w:pPr>
      <w:r w:rsidRPr="00D15AC0">
        <w:rPr>
          <w:b/>
          <w:bCs/>
          <w:i/>
          <w:iCs/>
          <w:color w:val="000000"/>
          <w:sz w:val="22"/>
          <w:szCs w:val="22"/>
        </w:rPr>
        <w:lastRenderedPageBreak/>
        <w:t>savanna </w:t>
      </w:r>
      <w:r w:rsidR="00A91460" w:rsidRPr="00D15AC0">
        <w:rPr>
          <w:b/>
          <w:bCs/>
          <w:i/>
          <w:iCs/>
          <w:color w:val="000000"/>
          <w:sz w:val="22"/>
          <w:szCs w:val="22"/>
        </w:rPr>
        <w:t xml:space="preserve">fire management </w:t>
      </w:r>
      <w:r w:rsidRPr="00D15AC0">
        <w:rPr>
          <w:b/>
          <w:bCs/>
          <w:i/>
          <w:iCs/>
          <w:color w:val="000000"/>
          <w:sz w:val="22"/>
          <w:szCs w:val="22"/>
        </w:rPr>
        <w:t>determination </w:t>
      </w:r>
      <w:r w:rsidRPr="00D15AC0">
        <w:rPr>
          <w:color w:val="000000"/>
          <w:sz w:val="22"/>
          <w:szCs w:val="22"/>
        </w:rPr>
        <w:t xml:space="preserve">means </w:t>
      </w:r>
      <w:r w:rsidR="00F149C0" w:rsidRPr="007B2786">
        <w:rPr>
          <w:color w:val="000000"/>
          <w:sz w:val="22"/>
          <w:szCs w:val="22"/>
        </w:rPr>
        <w:t>any of</w:t>
      </w:r>
      <w:r w:rsidR="00F149C0">
        <w:rPr>
          <w:color w:val="000000"/>
          <w:sz w:val="22"/>
          <w:szCs w:val="22"/>
        </w:rPr>
        <w:t xml:space="preserve"> </w:t>
      </w:r>
      <w:r w:rsidRPr="00D15AC0">
        <w:rPr>
          <w:color w:val="000000"/>
          <w:sz w:val="22"/>
          <w:szCs w:val="22"/>
        </w:rPr>
        <w:t>the following:</w:t>
      </w:r>
    </w:p>
    <w:p w14:paraId="7E4E1B53" w14:textId="2AA4C720" w:rsidR="004E18AC" w:rsidRDefault="004E18AC" w:rsidP="004E18AC">
      <w:pPr>
        <w:pStyle w:val="tpara"/>
        <w:numPr>
          <w:ilvl w:val="0"/>
          <w:numId w:val="65"/>
        </w:numPr>
        <w:spacing w:before="40" w:beforeAutospacing="0" w:after="0" w:afterAutospacing="0"/>
        <w:rPr>
          <w:color w:val="000000"/>
          <w:sz w:val="22"/>
          <w:szCs w:val="22"/>
        </w:rPr>
      </w:pPr>
      <w:r w:rsidRPr="004E18AC">
        <w:rPr>
          <w:color w:val="000000"/>
          <w:sz w:val="22"/>
          <w:szCs w:val="22"/>
        </w:rPr>
        <w:t>the </w:t>
      </w:r>
      <w:r w:rsidRPr="004E18AC">
        <w:rPr>
          <w:i/>
          <w:iCs/>
          <w:color w:val="000000"/>
          <w:sz w:val="22"/>
          <w:szCs w:val="22"/>
        </w:rPr>
        <w:t xml:space="preserve">Carbon Farming (Reduction of Greenhouse Gas Emissions through Early Dry Season Savanna Burning) Methodology Determination </w:t>
      </w:r>
      <w:proofErr w:type="gramStart"/>
      <w:r w:rsidRPr="004E18AC">
        <w:rPr>
          <w:i/>
          <w:iCs/>
          <w:color w:val="000000"/>
          <w:sz w:val="22"/>
          <w:szCs w:val="22"/>
        </w:rPr>
        <w:t>2012</w:t>
      </w:r>
      <w:r w:rsidRPr="004E18AC">
        <w:rPr>
          <w:color w:val="000000"/>
          <w:sz w:val="22"/>
          <w:szCs w:val="22"/>
        </w:rPr>
        <w:t>;</w:t>
      </w:r>
      <w:proofErr w:type="gramEnd"/>
    </w:p>
    <w:p w14:paraId="6DEEAB07" w14:textId="5228B254" w:rsidR="007A6BB1" w:rsidRPr="00D15AC0" w:rsidRDefault="00827E7A" w:rsidP="00901897">
      <w:pPr>
        <w:pStyle w:val="tpara"/>
        <w:numPr>
          <w:ilvl w:val="0"/>
          <w:numId w:val="65"/>
        </w:numPr>
        <w:spacing w:before="40" w:beforeAutospacing="0" w:after="0" w:afterAutospacing="0"/>
        <w:rPr>
          <w:color w:val="000000"/>
          <w:sz w:val="22"/>
          <w:szCs w:val="22"/>
        </w:rPr>
      </w:pPr>
      <w:r w:rsidRPr="00D15AC0">
        <w:rPr>
          <w:color w:val="000000"/>
          <w:sz w:val="22"/>
          <w:szCs w:val="22"/>
        </w:rPr>
        <w:t>the </w:t>
      </w:r>
      <w:r w:rsidRPr="00D15AC0">
        <w:rPr>
          <w:i/>
          <w:iCs/>
          <w:color w:val="000000"/>
          <w:sz w:val="22"/>
          <w:szCs w:val="22"/>
        </w:rPr>
        <w:t xml:space="preserve">Carbon Credits (Carbon Farming Initiative) (Reduction of Greenhouse Gas Emissions through Early Dry Season Savanna Burning—1.1) Methodology Determination </w:t>
      </w:r>
      <w:proofErr w:type="gramStart"/>
      <w:r w:rsidRPr="00D15AC0">
        <w:rPr>
          <w:i/>
          <w:iCs/>
          <w:color w:val="000000"/>
          <w:sz w:val="22"/>
          <w:szCs w:val="22"/>
        </w:rPr>
        <w:t>2013</w:t>
      </w:r>
      <w:r w:rsidRPr="00D15AC0">
        <w:rPr>
          <w:color w:val="000000"/>
          <w:sz w:val="22"/>
          <w:szCs w:val="22"/>
        </w:rPr>
        <w:t>;</w:t>
      </w:r>
      <w:proofErr w:type="gramEnd"/>
    </w:p>
    <w:p w14:paraId="33B2A412" w14:textId="77777777" w:rsidR="005D01B9" w:rsidRPr="00D15AC0" w:rsidRDefault="00827E7A" w:rsidP="00901897">
      <w:pPr>
        <w:pStyle w:val="tpara"/>
        <w:numPr>
          <w:ilvl w:val="0"/>
          <w:numId w:val="65"/>
        </w:numPr>
        <w:spacing w:before="40" w:beforeAutospacing="0" w:after="0" w:afterAutospacing="0"/>
        <w:rPr>
          <w:color w:val="000000"/>
          <w:sz w:val="22"/>
          <w:szCs w:val="22"/>
        </w:rPr>
      </w:pPr>
      <w:r w:rsidRPr="00D15AC0">
        <w:rPr>
          <w:color w:val="000000"/>
          <w:sz w:val="22"/>
          <w:szCs w:val="22"/>
        </w:rPr>
        <w:t>the </w:t>
      </w:r>
      <w:r w:rsidRPr="00D15AC0">
        <w:rPr>
          <w:i/>
          <w:iCs/>
          <w:color w:val="000000"/>
          <w:sz w:val="22"/>
          <w:szCs w:val="22"/>
        </w:rPr>
        <w:t xml:space="preserve">Carbon Credits (Carbon Farming Initiative—Emissions Abatement through Savanna Fire Management) Methodology Determination </w:t>
      </w:r>
      <w:proofErr w:type="gramStart"/>
      <w:r w:rsidRPr="00D15AC0">
        <w:rPr>
          <w:i/>
          <w:iCs/>
          <w:color w:val="000000"/>
          <w:sz w:val="22"/>
          <w:szCs w:val="22"/>
        </w:rPr>
        <w:t>2015</w:t>
      </w:r>
      <w:r w:rsidRPr="00D15AC0">
        <w:rPr>
          <w:color w:val="000000"/>
          <w:sz w:val="22"/>
          <w:szCs w:val="22"/>
        </w:rPr>
        <w:t>;</w:t>
      </w:r>
      <w:proofErr w:type="gramEnd"/>
    </w:p>
    <w:p w14:paraId="2A142AC8" w14:textId="77777777" w:rsidR="001A14F4" w:rsidRPr="001F661A" w:rsidRDefault="00827E7A" w:rsidP="00901897">
      <w:pPr>
        <w:pStyle w:val="tpara"/>
        <w:numPr>
          <w:ilvl w:val="0"/>
          <w:numId w:val="65"/>
        </w:numPr>
        <w:spacing w:before="40" w:beforeAutospacing="0" w:after="0" w:afterAutospacing="0"/>
        <w:rPr>
          <w:color w:val="000000"/>
          <w:sz w:val="22"/>
          <w:szCs w:val="22"/>
        </w:rPr>
      </w:pPr>
      <w:r w:rsidRPr="00D15AC0">
        <w:rPr>
          <w:color w:val="000000"/>
          <w:sz w:val="22"/>
          <w:szCs w:val="22"/>
        </w:rPr>
        <w:t>the </w:t>
      </w:r>
      <w:r w:rsidRPr="00D15AC0">
        <w:rPr>
          <w:i/>
          <w:iCs/>
          <w:color w:val="000000"/>
          <w:sz w:val="22"/>
          <w:szCs w:val="22"/>
        </w:rPr>
        <w:t xml:space="preserve">Carbon Credits (Carbon Farming Initiative—Savanna Fire Management—Emissions Avoidance) Methodology Determination </w:t>
      </w:r>
      <w:proofErr w:type="gramStart"/>
      <w:r w:rsidRPr="00D15AC0">
        <w:rPr>
          <w:i/>
          <w:iCs/>
          <w:color w:val="000000"/>
          <w:sz w:val="22"/>
          <w:szCs w:val="22"/>
        </w:rPr>
        <w:t>2018</w:t>
      </w:r>
      <w:r w:rsidR="001A14F4" w:rsidRPr="00D15AC0">
        <w:rPr>
          <w:i/>
          <w:iCs/>
          <w:color w:val="000000"/>
          <w:sz w:val="22"/>
          <w:szCs w:val="22"/>
        </w:rPr>
        <w:t>;</w:t>
      </w:r>
      <w:proofErr w:type="gramEnd"/>
    </w:p>
    <w:p w14:paraId="0069B31D" w14:textId="0FF06DA1" w:rsidR="00B821D4" w:rsidRPr="00D15AC0" w:rsidRDefault="003D750F" w:rsidP="00901897">
      <w:pPr>
        <w:pStyle w:val="tpara"/>
        <w:numPr>
          <w:ilvl w:val="0"/>
          <w:numId w:val="65"/>
        </w:numPr>
        <w:spacing w:before="40" w:beforeAutospacing="0" w:after="0" w:afterAutospacing="0"/>
        <w:rPr>
          <w:color w:val="000000"/>
          <w:sz w:val="22"/>
          <w:szCs w:val="22"/>
        </w:rPr>
      </w:pPr>
      <w:r w:rsidRPr="002A0A38">
        <w:rPr>
          <w:i/>
          <w:iCs/>
          <w:color w:val="000000"/>
          <w:sz w:val="22"/>
          <w:szCs w:val="22"/>
        </w:rPr>
        <w:t xml:space="preserve">Carbon Credits (Carbon Farming Initiative—Savanna Fire Management—Sequestration and Emissions Abatement) Methodology Determination </w:t>
      </w:r>
      <w:proofErr w:type="gramStart"/>
      <w:r w:rsidRPr="002A0A38">
        <w:rPr>
          <w:i/>
          <w:iCs/>
          <w:color w:val="000000"/>
          <w:sz w:val="22"/>
          <w:szCs w:val="22"/>
        </w:rPr>
        <w:t>2018</w:t>
      </w:r>
      <w:r>
        <w:rPr>
          <w:color w:val="000000"/>
          <w:sz w:val="22"/>
          <w:szCs w:val="22"/>
        </w:rPr>
        <w:t>;</w:t>
      </w:r>
      <w:proofErr w:type="gramEnd"/>
    </w:p>
    <w:p w14:paraId="19D50E63" w14:textId="48628D03" w:rsidR="00107573" w:rsidRPr="00D15AC0" w:rsidRDefault="00107573" w:rsidP="00901897">
      <w:pPr>
        <w:pStyle w:val="tpara"/>
        <w:numPr>
          <w:ilvl w:val="0"/>
          <w:numId w:val="65"/>
        </w:numPr>
        <w:spacing w:before="40" w:beforeAutospacing="0" w:after="0" w:afterAutospacing="0"/>
        <w:rPr>
          <w:color w:val="000000"/>
          <w:sz w:val="22"/>
          <w:szCs w:val="22"/>
        </w:rPr>
      </w:pPr>
      <w:r w:rsidRPr="00D15AC0">
        <w:rPr>
          <w:color w:val="000000"/>
          <w:sz w:val="22"/>
          <w:szCs w:val="22"/>
        </w:rPr>
        <w:t>the </w:t>
      </w:r>
      <w:r w:rsidRPr="00D15AC0">
        <w:rPr>
          <w:i/>
          <w:iCs/>
          <w:color w:val="000000"/>
          <w:sz w:val="22"/>
          <w:szCs w:val="22"/>
        </w:rPr>
        <w:t>Carbon Credits (Carbon Farming Initiative—Savanna Fire Management—Emissions Avoidance) Methodology Determination 2025.</w:t>
      </w:r>
    </w:p>
    <w:p w14:paraId="4CC8F898" w14:textId="6233FBF3" w:rsidR="0011763E" w:rsidRPr="001C50FF" w:rsidRDefault="00940E04" w:rsidP="001C50FF">
      <w:pPr>
        <w:pStyle w:val="subsection"/>
      </w:pPr>
      <w:r>
        <w:rPr>
          <w:b/>
          <w:bCs/>
          <w:i/>
          <w:iCs/>
        </w:rPr>
        <w:tab/>
      </w:r>
      <w:r>
        <w:rPr>
          <w:b/>
          <w:bCs/>
          <w:i/>
          <w:iCs/>
        </w:rPr>
        <w:tab/>
      </w:r>
      <w:r w:rsidRPr="006F4B4A">
        <w:rPr>
          <w:b/>
          <w:bCs/>
          <w:i/>
          <w:iCs/>
        </w:rPr>
        <w:t>Savanna Fire Management High Rainfall Zone spatial data layer</w:t>
      </w:r>
      <w:r w:rsidR="00803A28" w:rsidRPr="002A0A38">
        <w:t>, in relation to a project,</w:t>
      </w:r>
      <w:r w:rsidR="00803A28">
        <w:rPr>
          <w:b/>
          <w:bCs/>
          <w:i/>
          <w:iCs/>
        </w:rPr>
        <w:t xml:space="preserve"> </w:t>
      </w:r>
      <w:r w:rsidRPr="006F4B4A">
        <w:t xml:space="preserve">means the document of that name, as published on the Department’s website at the date </w:t>
      </w:r>
      <w:r w:rsidR="00270161">
        <w:t xml:space="preserve">the project was </w:t>
      </w:r>
      <w:r w:rsidR="009334A5">
        <w:t>declared an eligible offsets project</w:t>
      </w:r>
      <w:r w:rsidRPr="006F4B4A">
        <w:t>.</w:t>
      </w:r>
    </w:p>
    <w:p w14:paraId="09A5D154" w14:textId="0D3C4B6B" w:rsidR="00940E04" w:rsidRPr="00B84281" w:rsidRDefault="00940E04" w:rsidP="00B84281">
      <w:pPr>
        <w:pStyle w:val="tdefn"/>
        <w:spacing w:before="180" w:beforeAutospacing="0" w:after="0" w:afterAutospacing="0"/>
        <w:ind w:left="1134"/>
        <w:rPr>
          <w:color w:val="000000"/>
          <w:sz w:val="22"/>
          <w:szCs w:val="22"/>
        </w:rPr>
      </w:pPr>
      <w:r w:rsidRPr="002A0A38">
        <w:rPr>
          <w:b/>
          <w:i/>
          <w:sz w:val="22"/>
          <w:szCs w:val="22"/>
        </w:rPr>
        <w:t>Savanna Fire Management Low Rainfall Zone spatial data layer</w:t>
      </w:r>
      <w:r w:rsidR="005A415A" w:rsidRPr="002A0A38">
        <w:rPr>
          <w:sz w:val="22"/>
          <w:szCs w:val="22"/>
        </w:rPr>
        <w:t>, in relation to a project,</w:t>
      </w:r>
      <w:r w:rsidRPr="002A0A38">
        <w:rPr>
          <w:sz w:val="22"/>
          <w:szCs w:val="22"/>
        </w:rPr>
        <w:t xml:space="preserve"> means the document of that name, as published on the Department’s website at the date </w:t>
      </w:r>
      <w:r w:rsidR="005A415A" w:rsidRPr="002A0A38">
        <w:rPr>
          <w:sz w:val="22"/>
          <w:szCs w:val="22"/>
        </w:rPr>
        <w:t>the project was declared an eligible offsets project</w:t>
      </w:r>
      <w:r w:rsidRPr="002A0A38">
        <w:rPr>
          <w:sz w:val="22"/>
          <w:szCs w:val="22"/>
        </w:rPr>
        <w:t>.</w:t>
      </w:r>
    </w:p>
    <w:p w14:paraId="750C156A" w14:textId="212DB4AE" w:rsidR="00827E7A" w:rsidRDefault="003A0C3D" w:rsidP="00827E7A">
      <w:pPr>
        <w:pStyle w:val="tdefn"/>
        <w:spacing w:before="180" w:beforeAutospacing="0" w:after="0" w:afterAutospacing="0"/>
        <w:ind w:left="1134"/>
        <w:rPr>
          <w:color w:val="000000"/>
          <w:sz w:val="22"/>
          <w:szCs w:val="22"/>
        </w:rPr>
      </w:pPr>
      <w:r w:rsidRPr="003A0C3D">
        <w:rPr>
          <w:b/>
          <w:bCs/>
          <w:i/>
          <w:iCs/>
          <w:color w:val="000000"/>
          <w:sz w:val="22"/>
          <w:szCs w:val="22"/>
        </w:rPr>
        <w:t>Savanna Fire Management Methods (2025) Technical Guidance Document</w:t>
      </w:r>
      <w:r>
        <w:rPr>
          <w:color w:val="000000"/>
          <w:sz w:val="22"/>
          <w:szCs w:val="22"/>
        </w:rPr>
        <w:t xml:space="preserve"> </w:t>
      </w:r>
      <w:r w:rsidR="00294E35" w:rsidRPr="00755BC4">
        <w:rPr>
          <w:color w:val="000000"/>
          <w:sz w:val="22"/>
          <w:szCs w:val="22"/>
        </w:rPr>
        <w:t>means the</w:t>
      </w:r>
      <w:r w:rsidR="0016158E">
        <w:rPr>
          <w:color w:val="000000"/>
          <w:sz w:val="22"/>
          <w:szCs w:val="22"/>
        </w:rPr>
        <w:t xml:space="preserve"> document of that name,</w:t>
      </w:r>
      <w:r w:rsidR="0016158E" w:rsidRPr="0016158E">
        <w:rPr>
          <w:color w:val="000000"/>
          <w:sz w:val="22"/>
          <w:szCs w:val="22"/>
        </w:rPr>
        <w:t> as published on the Department’s website and as in force from time to time.</w:t>
      </w:r>
    </w:p>
    <w:p w14:paraId="0119FB9F" w14:textId="2B7E8975" w:rsidR="000D4EAF" w:rsidRPr="00755BC4" w:rsidRDefault="000D4EAF" w:rsidP="000D4EAF">
      <w:pPr>
        <w:pStyle w:val="tdefn"/>
        <w:spacing w:before="180" w:beforeAutospacing="0" w:after="0" w:afterAutospacing="0"/>
        <w:ind w:left="1134"/>
        <w:rPr>
          <w:color w:val="000000"/>
          <w:sz w:val="22"/>
          <w:szCs w:val="22"/>
        </w:rPr>
      </w:pPr>
      <w:r w:rsidRPr="00FD5246">
        <w:rPr>
          <w:b/>
          <w:bCs/>
          <w:i/>
          <w:iCs/>
          <w:color w:val="000000"/>
          <w:sz w:val="22"/>
          <w:szCs w:val="22"/>
        </w:rPr>
        <w:t>savanna sequestration project</w:t>
      </w:r>
      <w:r w:rsidRPr="00FD5246">
        <w:rPr>
          <w:color w:val="000000"/>
          <w:sz w:val="22"/>
          <w:szCs w:val="22"/>
        </w:rPr>
        <w:t>—see section 10.</w:t>
      </w:r>
    </w:p>
    <w:p w14:paraId="1D5FCE76" w14:textId="5D25F726" w:rsidR="00BD2008" w:rsidRDefault="00827E7A" w:rsidP="00BD2008">
      <w:pPr>
        <w:pStyle w:val="tdefn"/>
        <w:spacing w:before="180" w:beforeAutospacing="0" w:after="0" w:afterAutospacing="0"/>
        <w:ind w:left="1134"/>
        <w:rPr>
          <w:color w:val="000000"/>
          <w:sz w:val="22"/>
          <w:szCs w:val="22"/>
        </w:rPr>
      </w:pPr>
      <w:proofErr w:type="spellStart"/>
      <w:r w:rsidRPr="007E0433">
        <w:rPr>
          <w:b/>
          <w:bCs/>
          <w:i/>
          <w:iCs/>
          <w:color w:val="000000"/>
          <w:sz w:val="22"/>
          <w:szCs w:val="22"/>
        </w:rPr>
        <w:t>Sav</w:t>
      </w:r>
      <w:r w:rsidR="006A1A12" w:rsidRPr="007E0433">
        <w:rPr>
          <w:b/>
          <w:bCs/>
          <w:i/>
          <w:iCs/>
          <w:color w:val="000000"/>
          <w:sz w:val="22"/>
          <w:szCs w:val="22"/>
        </w:rPr>
        <w:t>CAM</w:t>
      </w:r>
      <w:proofErr w:type="spellEnd"/>
      <w:r w:rsidR="00EB5C15" w:rsidRPr="007E0433">
        <w:rPr>
          <w:rFonts w:eastAsiaTheme="minorHAnsi" w:cstheme="minorBidi"/>
          <w:color w:val="000000"/>
          <w:sz w:val="22"/>
          <w:szCs w:val="22"/>
          <w:lang w:eastAsia="en-US"/>
        </w:rPr>
        <w:t xml:space="preserve"> </w:t>
      </w:r>
      <w:r w:rsidR="00EB5C15" w:rsidRPr="007E0433">
        <w:rPr>
          <w:color w:val="000000"/>
          <w:sz w:val="22"/>
          <w:szCs w:val="22"/>
        </w:rPr>
        <w:t>means</w:t>
      </w:r>
      <w:r w:rsidR="00BD2008">
        <w:rPr>
          <w:color w:val="000000"/>
          <w:sz w:val="22"/>
          <w:szCs w:val="22"/>
        </w:rPr>
        <w:t>:</w:t>
      </w:r>
    </w:p>
    <w:p w14:paraId="50C3795B" w14:textId="58063189" w:rsidR="004A5FDB" w:rsidRDefault="000A4B40" w:rsidP="004A5FDB">
      <w:pPr>
        <w:pStyle w:val="tpara"/>
        <w:numPr>
          <w:ilvl w:val="0"/>
          <w:numId w:val="42"/>
        </w:numPr>
        <w:spacing w:before="40" w:beforeAutospacing="0" w:after="0" w:afterAutospacing="0"/>
        <w:rPr>
          <w:color w:val="000000"/>
          <w:sz w:val="22"/>
          <w:szCs w:val="22"/>
        </w:rPr>
      </w:pPr>
      <w:r>
        <w:rPr>
          <w:color w:val="000000"/>
          <w:sz w:val="22"/>
          <w:szCs w:val="22"/>
        </w:rPr>
        <w:t>t</w:t>
      </w:r>
      <w:r w:rsidRPr="000A4B40">
        <w:rPr>
          <w:color w:val="000000"/>
          <w:sz w:val="22"/>
          <w:szCs w:val="22"/>
        </w:rPr>
        <w:t xml:space="preserve">he version of the </w:t>
      </w:r>
      <w:r w:rsidR="00553397" w:rsidRPr="00433D68">
        <w:rPr>
          <w:color w:val="333333"/>
          <w:sz w:val="22"/>
          <w:szCs w:val="22"/>
        </w:rPr>
        <w:t>Savanna Carbon Abatement Model</w:t>
      </w:r>
      <w:r w:rsidRPr="000A4B40">
        <w:rPr>
          <w:color w:val="000000"/>
          <w:sz w:val="22"/>
          <w:szCs w:val="22"/>
        </w:rPr>
        <w:t xml:space="preserve">, as published on the Department’s website, that applies in relation to </w:t>
      </w:r>
      <w:r w:rsidR="00A32BEF" w:rsidRPr="007B2786">
        <w:rPr>
          <w:sz w:val="22"/>
          <w:szCs w:val="22"/>
        </w:rPr>
        <w:t xml:space="preserve">a savanna sequestration project </w:t>
      </w:r>
      <w:r w:rsidRPr="000A4B40">
        <w:rPr>
          <w:color w:val="000000"/>
          <w:sz w:val="22"/>
          <w:szCs w:val="22"/>
        </w:rPr>
        <w:t xml:space="preserve">in accordance with the </w:t>
      </w:r>
      <w:r w:rsidR="005C7758" w:rsidRPr="005C4061">
        <w:rPr>
          <w:color w:val="000000"/>
          <w:sz w:val="22"/>
          <w:szCs w:val="22"/>
        </w:rPr>
        <w:t>Savanna Fire Management Methods (2025) Technical Guidance Document</w:t>
      </w:r>
      <w:r w:rsidRPr="000A4B40">
        <w:rPr>
          <w:color w:val="000000"/>
          <w:sz w:val="22"/>
          <w:szCs w:val="22"/>
        </w:rPr>
        <w:t>; or</w:t>
      </w:r>
    </w:p>
    <w:p w14:paraId="0CA0F413" w14:textId="3E9BC087" w:rsidR="004A5FDB" w:rsidRPr="002A0A38" w:rsidRDefault="00354E6A" w:rsidP="002A0A38">
      <w:pPr>
        <w:pStyle w:val="tpara"/>
        <w:numPr>
          <w:ilvl w:val="0"/>
          <w:numId w:val="42"/>
        </w:numPr>
        <w:spacing w:before="40"/>
        <w:rPr>
          <w:color w:val="000000"/>
          <w:sz w:val="22"/>
          <w:szCs w:val="22"/>
        </w:rPr>
      </w:pPr>
      <w:r w:rsidRPr="002A0A38">
        <w:rPr>
          <w:color w:val="000000"/>
          <w:sz w:val="22"/>
          <w:szCs w:val="22"/>
        </w:rPr>
        <w:t xml:space="preserve">if the </w:t>
      </w:r>
      <w:r w:rsidR="005C7758" w:rsidRPr="005C4061">
        <w:rPr>
          <w:color w:val="000000"/>
          <w:sz w:val="22"/>
          <w:szCs w:val="22"/>
        </w:rPr>
        <w:t xml:space="preserve">Savanna Fire Management Methods (2025) Technical Guidance Document </w:t>
      </w:r>
      <w:r w:rsidRPr="002A0A38">
        <w:rPr>
          <w:color w:val="000000"/>
          <w:sz w:val="22"/>
          <w:szCs w:val="22"/>
        </w:rPr>
        <w:t>do</w:t>
      </w:r>
      <w:r w:rsidR="003C17B8">
        <w:rPr>
          <w:color w:val="000000"/>
          <w:sz w:val="22"/>
          <w:szCs w:val="22"/>
        </w:rPr>
        <w:t>es</w:t>
      </w:r>
      <w:r w:rsidRPr="002A0A38">
        <w:rPr>
          <w:color w:val="000000"/>
          <w:sz w:val="22"/>
          <w:szCs w:val="22"/>
        </w:rPr>
        <w:t xml:space="preserve"> not indicate which version applies in relation to a </w:t>
      </w:r>
      <w:r w:rsidR="00127F98">
        <w:rPr>
          <w:color w:val="000000"/>
          <w:sz w:val="22"/>
          <w:szCs w:val="22"/>
        </w:rPr>
        <w:t>savanna sequestration</w:t>
      </w:r>
      <w:r w:rsidR="00127F98" w:rsidRPr="002A0A38">
        <w:rPr>
          <w:color w:val="000000"/>
          <w:sz w:val="22"/>
          <w:szCs w:val="22"/>
        </w:rPr>
        <w:t xml:space="preserve"> </w:t>
      </w:r>
      <w:r w:rsidRPr="002A0A38">
        <w:rPr>
          <w:color w:val="000000"/>
          <w:sz w:val="22"/>
          <w:szCs w:val="22"/>
        </w:rPr>
        <w:t>project,</w:t>
      </w:r>
      <w:r w:rsidR="00392AB4">
        <w:rPr>
          <w:color w:val="000000"/>
          <w:sz w:val="22"/>
          <w:szCs w:val="22"/>
        </w:rPr>
        <w:t xml:space="preserve"> </w:t>
      </w:r>
      <w:r w:rsidRPr="002A0A38">
        <w:rPr>
          <w:color w:val="000000"/>
          <w:sz w:val="22"/>
          <w:szCs w:val="22"/>
        </w:rPr>
        <w:t xml:space="preserve">the </w:t>
      </w:r>
      <w:r w:rsidR="00BF05B2" w:rsidRPr="00433D68">
        <w:rPr>
          <w:color w:val="333333"/>
          <w:sz w:val="22"/>
          <w:szCs w:val="22"/>
        </w:rPr>
        <w:t>Savanna Carbon Abatement Model</w:t>
      </w:r>
      <w:r w:rsidRPr="002A0A38">
        <w:rPr>
          <w:color w:val="000000"/>
          <w:sz w:val="22"/>
          <w:szCs w:val="22"/>
        </w:rPr>
        <w:t xml:space="preserve">, </w:t>
      </w:r>
      <w:r w:rsidR="00392AB4" w:rsidRPr="00392AB4">
        <w:rPr>
          <w:color w:val="000000"/>
          <w:sz w:val="22"/>
          <w:szCs w:val="22"/>
        </w:rPr>
        <w:t>as published on the Department’s website and as in force from time to time.</w:t>
      </w:r>
    </w:p>
    <w:p w14:paraId="7DA6C76B" w14:textId="188F9D30" w:rsidR="001C3EA1" w:rsidRPr="007E0433" w:rsidRDefault="001C3EA1" w:rsidP="00827E7A">
      <w:pPr>
        <w:pStyle w:val="tdefn"/>
        <w:spacing w:before="180" w:beforeAutospacing="0" w:after="0" w:afterAutospacing="0"/>
        <w:ind w:left="1134"/>
        <w:rPr>
          <w:color w:val="000000"/>
          <w:sz w:val="22"/>
          <w:szCs w:val="22"/>
        </w:rPr>
      </w:pPr>
      <w:r w:rsidRPr="001C3EA1">
        <w:rPr>
          <w:b/>
          <w:bCs/>
          <w:i/>
          <w:iCs/>
          <w:color w:val="000000"/>
          <w:sz w:val="22"/>
          <w:szCs w:val="22"/>
        </w:rPr>
        <w:t>section 128 application</w:t>
      </w:r>
      <w:r w:rsidRPr="001C3EA1">
        <w:rPr>
          <w:color w:val="000000"/>
          <w:sz w:val="22"/>
          <w:szCs w:val="22"/>
        </w:rPr>
        <w:t xml:space="preserve">, in relation to an eligible offsets project, means an application under section 128 of the Act to apply this </w:t>
      </w:r>
      <w:r w:rsidR="00C74979">
        <w:rPr>
          <w:color w:val="000000"/>
          <w:sz w:val="22"/>
          <w:szCs w:val="22"/>
        </w:rPr>
        <w:t>instrument</w:t>
      </w:r>
      <w:r w:rsidRPr="001C3EA1">
        <w:rPr>
          <w:color w:val="000000"/>
          <w:sz w:val="22"/>
          <w:szCs w:val="22"/>
        </w:rPr>
        <w:t xml:space="preserve"> to the project.</w:t>
      </w:r>
    </w:p>
    <w:p w14:paraId="4F8C4BCE" w14:textId="7F4FC4CB" w:rsidR="00827E7A" w:rsidRPr="00477369" w:rsidRDefault="00827E7A" w:rsidP="00827E7A">
      <w:pPr>
        <w:pStyle w:val="tdefn"/>
        <w:spacing w:before="180" w:beforeAutospacing="0" w:after="0" w:afterAutospacing="0"/>
        <w:ind w:left="1134"/>
        <w:rPr>
          <w:color w:val="000000"/>
          <w:sz w:val="22"/>
          <w:szCs w:val="22"/>
        </w:rPr>
      </w:pPr>
      <w:r w:rsidRPr="00477369">
        <w:rPr>
          <w:b/>
          <w:bCs/>
          <w:i/>
          <w:iCs/>
          <w:color w:val="000000"/>
          <w:sz w:val="22"/>
          <w:szCs w:val="22"/>
        </w:rPr>
        <w:lastRenderedPageBreak/>
        <w:t>section 22 application</w:t>
      </w:r>
      <w:r w:rsidR="001C3EA1">
        <w:rPr>
          <w:b/>
          <w:bCs/>
          <w:i/>
          <w:iCs/>
          <w:color w:val="000000"/>
          <w:sz w:val="22"/>
          <w:szCs w:val="22"/>
        </w:rPr>
        <w:t>,</w:t>
      </w:r>
      <w:r w:rsidRPr="00477369">
        <w:rPr>
          <w:color w:val="000000"/>
          <w:sz w:val="22"/>
          <w:szCs w:val="22"/>
        </w:rPr>
        <w:t> in relation to an offsets project</w:t>
      </w:r>
      <w:r w:rsidR="001C3EA1">
        <w:rPr>
          <w:color w:val="000000"/>
          <w:sz w:val="22"/>
          <w:szCs w:val="22"/>
        </w:rPr>
        <w:t>,</w:t>
      </w:r>
      <w:r w:rsidRPr="00477369">
        <w:rPr>
          <w:color w:val="000000"/>
          <w:sz w:val="22"/>
          <w:szCs w:val="22"/>
        </w:rPr>
        <w:t> means the application under section 22 of the Act for the declaration of the project as an eligible offsets project.</w:t>
      </w:r>
    </w:p>
    <w:p w14:paraId="5444F6B3" w14:textId="5739846C" w:rsidR="00827E7A" w:rsidRPr="00477369" w:rsidRDefault="00827E7A" w:rsidP="00827E7A">
      <w:pPr>
        <w:pStyle w:val="tdefn"/>
        <w:spacing w:before="180" w:beforeAutospacing="0" w:after="0" w:afterAutospacing="0"/>
        <w:ind w:left="1134"/>
        <w:rPr>
          <w:color w:val="000000"/>
          <w:sz w:val="22"/>
          <w:szCs w:val="22"/>
        </w:rPr>
      </w:pPr>
      <w:r w:rsidRPr="00477369">
        <w:rPr>
          <w:b/>
          <w:bCs/>
          <w:i/>
          <w:iCs/>
          <w:color w:val="000000"/>
          <w:sz w:val="22"/>
          <w:szCs w:val="22"/>
        </w:rPr>
        <w:t>section 27 declaration</w:t>
      </w:r>
      <w:r w:rsidR="001C3EA1">
        <w:rPr>
          <w:b/>
          <w:bCs/>
          <w:i/>
          <w:iCs/>
          <w:color w:val="000000"/>
          <w:sz w:val="22"/>
          <w:szCs w:val="22"/>
        </w:rPr>
        <w:t>,</w:t>
      </w:r>
      <w:r w:rsidRPr="00477369">
        <w:rPr>
          <w:color w:val="000000"/>
          <w:sz w:val="22"/>
          <w:szCs w:val="22"/>
        </w:rPr>
        <w:t> in relation to an eligible offsets project</w:t>
      </w:r>
      <w:r w:rsidR="001C3EA1">
        <w:rPr>
          <w:color w:val="000000"/>
          <w:sz w:val="22"/>
          <w:szCs w:val="22"/>
        </w:rPr>
        <w:t>,</w:t>
      </w:r>
      <w:r w:rsidRPr="00477369">
        <w:rPr>
          <w:color w:val="000000"/>
          <w:sz w:val="22"/>
          <w:szCs w:val="22"/>
        </w:rPr>
        <w:t> means the declaration under section 27 of the Act that the project is an eligible offsets project.</w:t>
      </w:r>
    </w:p>
    <w:p w14:paraId="74B91B33" w14:textId="0061E823" w:rsidR="00827E7A" w:rsidRPr="00477369" w:rsidRDefault="00827E7A" w:rsidP="00827E7A">
      <w:pPr>
        <w:pStyle w:val="tdefn"/>
        <w:spacing w:before="180" w:beforeAutospacing="0" w:after="0" w:afterAutospacing="0"/>
        <w:ind w:left="1134"/>
        <w:rPr>
          <w:color w:val="000000"/>
          <w:sz w:val="22"/>
          <w:szCs w:val="22"/>
        </w:rPr>
      </w:pPr>
      <w:r w:rsidRPr="00477369">
        <w:rPr>
          <w:b/>
          <w:bCs/>
          <w:i/>
          <w:iCs/>
          <w:color w:val="000000"/>
          <w:sz w:val="22"/>
          <w:szCs w:val="22"/>
        </w:rPr>
        <w:t>section 29 application </w:t>
      </w:r>
      <w:r w:rsidRPr="00477369">
        <w:rPr>
          <w:color w:val="000000"/>
          <w:sz w:val="22"/>
          <w:szCs w:val="22"/>
        </w:rPr>
        <w:t>means an application </w:t>
      </w:r>
      <w:r w:rsidR="009631E1" w:rsidRPr="00477369">
        <w:rPr>
          <w:color w:val="000000"/>
          <w:sz w:val="22"/>
          <w:szCs w:val="22"/>
        </w:rPr>
        <w:t xml:space="preserve">to vary a section 27 declaration </w:t>
      </w:r>
      <w:r w:rsidRPr="00477369">
        <w:rPr>
          <w:color w:val="000000"/>
          <w:sz w:val="22"/>
          <w:szCs w:val="22"/>
        </w:rPr>
        <w:t xml:space="preserve">made under </w:t>
      </w:r>
      <w:r w:rsidR="00821FAA">
        <w:rPr>
          <w:color w:val="000000"/>
          <w:sz w:val="22"/>
          <w:szCs w:val="22"/>
        </w:rPr>
        <w:t>the CFI Rule</w:t>
      </w:r>
      <w:r w:rsidRPr="00477369">
        <w:rPr>
          <w:color w:val="000000"/>
          <w:sz w:val="22"/>
          <w:szCs w:val="22"/>
        </w:rPr>
        <w:t xml:space="preserve"> for the purposes of section 29 of the Act.</w:t>
      </w:r>
    </w:p>
    <w:p w14:paraId="7C555C20" w14:textId="5C75DAC9" w:rsidR="00827E7A" w:rsidRPr="00C56B68" w:rsidRDefault="00827E7A" w:rsidP="00827E7A">
      <w:pPr>
        <w:pStyle w:val="tdefn"/>
        <w:spacing w:before="180" w:beforeAutospacing="0" w:after="0" w:afterAutospacing="0"/>
        <w:ind w:left="1134"/>
        <w:rPr>
          <w:color w:val="000000"/>
          <w:sz w:val="22"/>
          <w:szCs w:val="22"/>
        </w:rPr>
      </w:pPr>
      <w:r w:rsidRPr="00C56B68">
        <w:rPr>
          <w:b/>
          <w:bCs/>
          <w:i/>
          <w:iCs/>
          <w:color w:val="000000"/>
          <w:sz w:val="22"/>
          <w:szCs w:val="22"/>
        </w:rPr>
        <w:t>subdivided project area</w:t>
      </w:r>
      <w:r w:rsidRPr="00C56B68">
        <w:rPr>
          <w:color w:val="000000"/>
          <w:sz w:val="22"/>
          <w:szCs w:val="22"/>
        </w:rPr>
        <w:t>—see subsection 1</w:t>
      </w:r>
      <w:r w:rsidR="00C56B68" w:rsidRPr="00C56B68">
        <w:rPr>
          <w:color w:val="000000"/>
          <w:sz w:val="22"/>
          <w:szCs w:val="22"/>
        </w:rPr>
        <w:t>6</w:t>
      </w:r>
      <w:r w:rsidRPr="00C56B68">
        <w:rPr>
          <w:color w:val="000000"/>
          <w:sz w:val="22"/>
          <w:szCs w:val="22"/>
        </w:rPr>
        <w:t>(2).</w:t>
      </w:r>
    </w:p>
    <w:p w14:paraId="71BC2757" w14:textId="1D341483" w:rsidR="00827E7A" w:rsidRPr="008F4DE4" w:rsidRDefault="00827E7A" w:rsidP="00827E7A">
      <w:pPr>
        <w:pStyle w:val="tdefn"/>
        <w:spacing w:before="180" w:beforeAutospacing="0" w:after="0" w:afterAutospacing="0"/>
        <w:ind w:left="1134"/>
        <w:rPr>
          <w:color w:val="000000"/>
          <w:sz w:val="22"/>
          <w:szCs w:val="22"/>
        </w:rPr>
      </w:pPr>
      <w:r w:rsidRPr="00C56B68">
        <w:rPr>
          <w:b/>
          <w:bCs/>
          <w:i/>
          <w:iCs/>
          <w:color w:val="000000"/>
          <w:sz w:val="22"/>
          <w:szCs w:val="22"/>
        </w:rPr>
        <w:t>transferring project area</w:t>
      </w:r>
      <w:r w:rsidRPr="00C56B68">
        <w:rPr>
          <w:color w:val="000000"/>
          <w:sz w:val="22"/>
          <w:szCs w:val="22"/>
        </w:rPr>
        <w:t>—see section 2</w:t>
      </w:r>
      <w:r w:rsidR="00C56B68" w:rsidRPr="00C56B68">
        <w:rPr>
          <w:color w:val="000000"/>
          <w:sz w:val="22"/>
          <w:szCs w:val="22"/>
        </w:rPr>
        <w:t>6</w:t>
      </w:r>
      <w:r w:rsidRPr="00C56B68">
        <w:rPr>
          <w:color w:val="000000"/>
          <w:sz w:val="22"/>
          <w:szCs w:val="22"/>
        </w:rPr>
        <w:t>.</w:t>
      </w:r>
    </w:p>
    <w:p w14:paraId="5A3E2E36" w14:textId="0C4B27FF" w:rsidR="00827E7A" w:rsidRPr="001C1AB0" w:rsidRDefault="00827E7A" w:rsidP="00827E7A">
      <w:pPr>
        <w:pStyle w:val="tdefn"/>
        <w:spacing w:before="180" w:beforeAutospacing="0" w:after="0" w:afterAutospacing="0"/>
        <w:ind w:left="1134"/>
        <w:rPr>
          <w:color w:val="000000"/>
          <w:sz w:val="22"/>
          <w:szCs w:val="22"/>
        </w:rPr>
      </w:pPr>
      <w:r w:rsidRPr="001C1AB0">
        <w:rPr>
          <w:b/>
          <w:bCs/>
          <w:i/>
          <w:iCs/>
          <w:color w:val="000000"/>
          <w:sz w:val="22"/>
          <w:szCs w:val="22"/>
        </w:rPr>
        <w:t>vegetation fuel type </w:t>
      </w:r>
      <w:r w:rsidRPr="001C1AB0">
        <w:rPr>
          <w:color w:val="000000"/>
          <w:sz w:val="22"/>
          <w:szCs w:val="22"/>
        </w:rPr>
        <w:t xml:space="preserve">means a type of vegetation that is characterised in terms of the structural formation (canopy height and foliage projected cover) of its dominant stratum and its grass type, and that is identified as a vegetation fuel type for a particular rainfall zone in the </w:t>
      </w:r>
      <w:r w:rsidR="00C3387C" w:rsidRPr="001C1AB0">
        <w:rPr>
          <w:color w:val="000000"/>
          <w:sz w:val="22"/>
          <w:szCs w:val="22"/>
        </w:rPr>
        <w:t>Savanna Fire Management Methods (2025) Technical Guidance Document</w:t>
      </w:r>
      <w:r w:rsidRPr="001C1AB0">
        <w:rPr>
          <w:color w:val="000000"/>
          <w:sz w:val="22"/>
          <w:szCs w:val="22"/>
        </w:rPr>
        <w:t>.</w:t>
      </w:r>
    </w:p>
    <w:p w14:paraId="1E7FC654" w14:textId="77777777" w:rsidR="00827E7A" w:rsidRPr="00BE3D9A" w:rsidRDefault="00827E7A" w:rsidP="00827E7A">
      <w:pPr>
        <w:pStyle w:val="tdefn"/>
        <w:spacing w:before="180" w:beforeAutospacing="0" w:after="0" w:afterAutospacing="0"/>
        <w:ind w:left="1134"/>
        <w:rPr>
          <w:color w:val="000000"/>
          <w:sz w:val="22"/>
          <w:szCs w:val="22"/>
        </w:rPr>
      </w:pPr>
      <w:r w:rsidRPr="00BE3D9A">
        <w:rPr>
          <w:b/>
          <w:bCs/>
          <w:i/>
          <w:iCs/>
          <w:color w:val="000000"/>
          <w:sz w:val="22"/>
          <w:szCs w:val="22"/>
        </w:rPr>
        <w:t>vegetation fuel type map</w:t>
      </w:r>
      <w:r w:rsidRPr="00BE3D9A">
        <w:rPr>
          <w:color w:val="000000"/>
          <w:sz w:val="22"/>
          <w:szCs w:val="22"/>
        </w:rPr>
        <w:t> means a map of one or more project areas that:</w:t>
      </w:r>
    </w:p>
    <w:p w14:paraId="0B3CE0FD" w14:textId="49D9DEF2" w:rsidR="00BE3D9A" w:rsidRDefault="00827E7A" w:rsidP="007B2786">
      <w:pPr>
        <w:pStyle w:val="tpara"/>
        <w:numPr>
          <w:ilvl w:val="0"/>
          <w:numId w:val="68"/>
        </w:numPr>
        <w:spacing w:before="40" w:beforeAutospacing="0" w:after="0" w:afterAutospacing="0"/>
        <w:rPr>
          <w:color w:val="000000"/>
          <w:sz w:val="22"/>
          <w:szCs w:val="22"/>
        </w:rPr>
      </w:pPr>
      <w:r w:rsidRPr="00BE3D9A">
        <w:rPr>
          <w:color w:val="000000"/>
          <w:sz w:val="22"/>
          <w:szCs w:val="22"/>
        </w:rPr>
        <w:t>is a geospatial map that is divided into mapping units;</w:t>
      </w:r>
      <w:r w:rsidR="00F273EE">
        <w:rPr>
          <w:color w:val="000000"/>
          <w:sz w:val="22"/>
          <w:szCs w:val="22"/>
        </w:rPr>
        <w:t xml:space="preserve"> and</w:t>
      </w:r>
    </w:p>
    <w:p w14:paraId="394DD3B1" w14:textId="0DE7A8A1" w:rsidR="00827E7A" w:rsidRPr="00BE3D9A" w:rsidRDefault="00827E7A" w:rsidP="007B2786">
      <w:pPr>
        <w:pStyle w:val="tpara"/>
        <w:numPr>
          <w:ilvl w:val="0"/>
          <w:numId w:val="68"/>
        </w:numPr>
        <w:spacing w:before="40" w:beforeAutospacing="0" w:after="0" w:afterAutospacing="0"/>
        <w:rPr>
          <w:color w:val="000000"/>
          <w:sz w:val="22"/>
          <w:szCs w:val="22"/>
        </w:rPr>
      </w:pPr>
      <w:r w:rsidRPr="00BE3D9A">
        <w:rPr>
          <w:color w:val="000000"/>
          <w:sz w:val="22"/>
          <w:szCs w:val="22"/>
        </w:rPr>
        <w:t>has assigned to each mapping unit a code that indicates, for the area of land represented by the mapping unit:</w:t>
      </w:r>
    </w:p>
    <w:p w14:paraId="4A2A0F86" w14:textId="403A4AB9" w:rsidR="00BE3D9A" w:rsidRDefault="00827E7A" w:rsidP="004A7133">
      <w:pPr>
        <w:pStyle w:val="tsubpara"/>
        <w:numPr>
          <w:ilvl w:val="0"/>
          <w:numId w:val="43"/>
        </w:numPr>
        <w:spacing w:before="40" w:beforeAutospacing="0" w:after="0" w:afterAutospacing="0"/>
        <w:rPr>
          <w:color w:val="000000"/>
          <w:sz w:val="22"/>
          <w:szCs w:val="22"/>
        </w:rPr>
      </w:pPr>
      <w:r w:rsidRPr="00BE3D9A">
        <w:rPr>
          <w:color w:val="000000"/>
          <w:sz w:val="22"/>
          <w:szCs w:val="22"/>
        </w:rPr>
        <w:t>the appropriate vegetation fuel type; or</w:t>
      </w:r>
    </w:p>
    <w:p w14:paraId="2EE6B43F" w14:textId="20CBEC04" w:rsidR="00827E7A" w:rsidRPr="00BE3D9A" w:rsidRDefault="00827E7A" w:rsidP="004A7133">
      <w:pPr>
        <w:pStyle w:val="tsubpara"/>
        <w:numPr>
          <w:ilvl w:val="0"/>
          <w:numId w:val="43"/>
        </w:numPr>
        <w:spacing w:before="40" w:beforeAutospacing="0" w:after="0" w:afterAutospacing="0"/>
        <w:rPr>
          <w:color w:val="000000"/>
          <w:sz w:val="22"/>
          <w:szCs w:val="22"/>
        </w:rPr>
      </w:pPr>
      <w:r w:rsidRPr="00BE3D9A">
        <w:rPr>
          <w:color w:val="000000"/>
          <w:sz w:val="22"/>
          <w:szCs w:val="22"/>
        </w:rPr>
        <w:t>the fact that the area of land is ineligible; and</w:t>
      </w:r>
    </w:p>
    <w:p w14:paraId="6C80F5A7" w14:textId="47132B6E" w:rsidR="00827E7A" w:rsidRPr="00BE3D9A" w:rsidRDefault="00827E7A" w:rsidP="00F703E2">
      <w:pPr>
        <w:pStyle w:val="tpara"/>
        <w:spacing w:before="40" w:beforeAutospacing="0" w:after="0" w:afterAutospacing="0"/>
        <w:ind w:left="1644" w:hanging="1644"/>
        <w:rPr>
          <w:color w:val="000000"/>
          <w:sz w:val="22"/>
          <w:szCs w:val="22"/>
        </w:rPr>
      </w:pPr>
      <w:r w:rsidRPr="00BE3D9A">
        <w:rPr>
          <w:color w:val="000000"/>
          <w:sz w:val="22"/>
          <w:szCs w:val="22"/>
        </w:rPr>
        <w:t> </w:t>
      </w:r>
      <w:r w:rsidR="00BE3D9A">
        <w:rPr>
          <w:color w:val="000000"/>
          <w:sz w:val="22"/>
          <w:szCs w:val="22"/>
        </w:rPr>
        <w:tab/>
      </w:r>
      <w:r w:rsidRPr="00BE3D9A">
        <w:rPr>
          <w:color w:val="000000"/>
          <w:sz w:val="22"/>
          <w:szCs w:val="22"/>
        </w:rPr>
        <w:t xml:space="preserve">(c) has been created and validated in accordance with this </w:t>
      </w:r>
      <w:r w:rsidR="00701EBB">
        <w:rPr>
          <w:color w:val="000000"/>
          <w:sz w:val="22"/>
          <w:szCs w:val="22"/>
        </w:rPr>
        <w:t>instrument</w:t>
      </w:r>
      <w:r w:rsidRPr="00BE3D9A">
        <w:rPr>
          <w:color w:val="000000"/>
          <w:sz w:val="22"/>
          <w:szCs w:val="22"/>
        </w:rPr>
        <w:t>.</w:t>
      </w:r>
    </w:p>
    <w:p w14:paraId="2F701113" w14:textId="4C81A3CC" w:rsidR="006C5A25" w:rsidRPr="00614B99" w:rsidRDefault="006C5A25" w:rsidP="006C5A25">
      <w:pPr>
        <w:pStyle w:val="ActHead5"/>
      </w:pPr>
      <w:bookmarkStart w:id="12" w:name="_Toc202953789"/>
      <w:bookmarkStart w:id="13" w:name="_Toc454781205"/>
      <w:proofErr w:type="gramStart"/>
      <w:r w:rsidRPr="00BE3D9A">
        <w:t xml:space="preserve">6  </w:t>
      </w:r>
      <w:r w:rsidR="00245C61" w:rsidRPr="00BE3D9A">
        <w:t>Meaning</w:t>
      </w:r>
      <w:proofErr w:type="gramEnd"/>
      <w:r w:rsidR="004F0359" w:rsidRPr="00BE3D9A">
        <w:t> of </w:t>
      </w:r>
      <w:r w:rsidR="004F0359" w:rsidRPr="00BE3D9A">
        <w:rPr>
          <w:i/>
          <w:iCs/>
        </w:rPr>
        <w:t>fire season</w:t>
      </w:r>
      <w:r w:rsidR="004F0359" w:rsidRPr="002A0A38">
        <w:rPr>
          <w:b w:val="0"/>
          <w:bCs/>
        </w:rPr>
        <w:t>,</w:t>
      </w:r>
      <w:r w:rsidR="004F0359" w:rsidRPr="00BE3D9A">
        <w:t> </w:t>
      </w:r>
      <w:r w:rsidR="004F0359" w:rsidRPr="00BE3D9A">
        <w:rPr>
          <w:i/>
          <w:iCs/>
        </w:rPr>
        <w:t>early dry season</w:t>
      </w:r>
      <w:r w:rsidR="004F0359" w:rsidRPr="00BE3D9A">
        <w:t> </w:t>
      </w:r>
      <w:r w:rsidR="004F0359" w:rsidRPr="002A0A38">
        <w:rPr>
          <w:b w:val="0"/>
          <w:bCs/>
        </w:rPr>
        <w:t>and</w:t>
      </w:r>
      <w:r w:rsidR="004F0359" w:rsidRPr="00BE3D9A">
        <w:t> </w:t>
      </w:r>
      <w:r w:rsidR="004F0359" w:rsidRPr="00BE3D9A">
        <w:rPr>
          <w:i/>
          <w:iCs/>
        </w:rPr>
        <w:t>late dry season</w:t>
      </w:r>
      <w:bookmarkEnd w:id="12"/>
    </w:p>
    <w:p w14:paraId="794BD27A" w14:textId="4575F4F4" w:rsidR="006C5A25" w:rsidRDefault="00614B99" w:rsidP="004A7133">
      <w:pPr>
        <w:pStyle w:val="subsection"/>
        <w:numPr>
          <w:ilvl w:val="0"/>
          <w:numId w:val="6"/>
        </w:numPr>
      </w:pPr>
      <w:r w:rsidRPr="00614B99">
        <w:t xml:space="preserve">In this </w:t>
      </w:r>
      <w:r w:rsidR="00701EBB">
        <w:t>instrument</w:t>
      </w:r>
      <w:r w:rsidRPr="00614B99">
        <w:t>, the </w:t>
      </w:r>
      <w:r w:rsidRPr="00614B99">
        <w:rPr>
          <w:b/>
          <w:bCs/>
          <w:i/>
          <w:iCs/>
        </w:rPr>
        <w:t>fire seasons </w:t>
      </w:r>
      <w:r w:rsidRPr="00614B99">
        <w:t>are the early dry season and the late dry season.</w:t>
      </w:r>
    </w:p>
    <w:p w14:paraId="4FB6AB29" w14:textId="5942FC45" w:rsidR="007A1BA4" w:rsidRPr="000553BB" w:rsidRDefault="00614B99" w:rsidP="00485893">
      <w:pPr>
        <w:pStyle w:val="notetext"/>
      </w:pPr>
      <w:r w:rsidRPr="009C2562">
        <w:t>Note:</w:t>
      </w:r>
      <w:r w:rsidRPr="009C2562">
        <w:tab/>
      </w:r>
      <w:r w:rsidR="00632592" w:rsidRPr="00632592">
        <w:t xml:space="preserve">Each year in northern Australia, there is also a wet season, which occurs approximately from November to April. For the purposes of this </w:t>
      </w:r>
      <w:r w:rsidR="00701EBB">
        <w:t>instrument</w:t>
      </w:r>
      <w:r w:rsidR="00632592" w:rsidRPr="00632592">
        <w:t>, the definitions of the early and late dry seasons overlap with the wet season, as fire generally does not occur during the wet season.</w:t>
      </w:r>
    </w:p>
    <w:p w14:paraId="6CD68495" w14:textId="79D4D5C7" w:rsidR="006C5A25" w:rsidRPr="000553BB" w:rsidRDefault="00E46C2B" w:rsidP="004A7133">
      <w:pPr>
        <w:pStyle w:val="subsection"/>
        <w:numPr>
          <w:ilvl w:val="0"/>
          <w:numId w:val="6"/>
        </w:numPr>
      </w:pPr>
      <w:r w:rsidRPr="000553BB">
        <w:t xml:space="preserve">In this </w:t>
      </w:r>
      <w:r w:rsidR="00701EBB">
        <w:t>instrument</w:t>
      </w:r>
      <w:r w:rsidRPr="000553BB">
        <w:t>:</w:t>
      </w:r>
    </w:p>
    <w:p w14:paraId="7538A088" w14:textId="3BF0B05A" w:rsidR="00AF71DB" w:rsidRDefault="00AF71DB" w:rsidP="00AF71DB">
      <w:pPr>
        <w:pStyle w:val="tdefn"/>
        <w:spacing w:before="180" w:beforeAutospacing="0" w:after="0" w:afterAutospacing="0"/>
        <w:ind w:left="1130"/>
        <w:rPr>
          <w:color w:val="000000"/>
          <w:sz w:val="22"/>
          <w:szCs w:val="22"/>
        </w:rPr>
      </w:pPr>
      <w:r w:rsidRPr="000553BB">
        <w:rPr>
          <w:b/>
          <w:bCs/>
          <w:i/>
          <w:iCs/>
          <w:color w:val="000000"/>
          <w:sz w:val="22"/>
          <w:szCs w:val="22"/>
        </w:rPr>
        <w:t>early dry season</w:t>
      </w:r>
      <w:r w:rsidRPr="000553BB">
        <w:rPr>
          <w:color w:val="000000"/>
          <w:sz w:val="22"/>
          <w:szCs w:val="22"/>
        </w:rPr>
        <w:t>, for a particular</w:t>
      </w:r>
      <w:r>
        <w:rPr>
          <w:color w:val="000000"/>
          <w:sz w:val="22"/>
          <w:szCs w:val="22"/>
        </w:rPr>
        <w:t xml:space="preserve"> area of land and for a particular calendar year,</w:t>
      </w:r>
      <w:r>
        <w:rPr>
          <w:b/>
          <w:bCs/>
          <w:i/>
          <w:iCs/>
          <w:color w:val="000000"/>
          <w:sz w:val="22"/>
          <w:szCs w:val="22"/>
        </w:rPr>
        <w:t> </w:t>
      </w:r>
      <w:r>
        <w:rPr>
          <w:color w:val="000000"/>
          <w:sz w:val="22"/>
          <w:szCs w:val="22"/>
        </w:rPr>
        <w:t>means the period of the calendar year that is not</w:t>
      </w:r>
      <w:r w:rsidR="002E51B8">
        <w:rPr>
          <w:color w:val="000000"/>
          <w:sz w:val="22"/>
          <w:szCs w:val="22"/>
        </w:rPr>
        <w:t xml:space="preserve"> </w:t>
      </w:r>
      <w:r w:rsidR="00190158">
        <w:rPr>
          <w:color w:val="000000"/>
          <w:sz w:val="22"/>
          <w:szCs w:val="22"/>
        </w:rPr>
        <w:t xml:space="preserve">the </w:t>
      </w:r>
      <w:r>
        <w:rPr>
          <w:color w:val="000000"/>
          <w:sz w:val="22"/>
          <w:szCs w:val="22"/>
        </w:rPr>
        <w:t>late dry season for that area.</w:t>
      </w:r>
    </w:p>
    <w:p w14:paraId="187365AA" w14:textId="77777777" w:rsidR="00AF71DB" w:rsidRDefault="00AF71DB" w:rsidP="00AF71DB">
      <w:pPr>
        <w:pStyle w:val="tdefn"/>
        <w:spacing w:before="180" w:beforeAutospacing="0" w:after="0" w:afterAutospacing="0"/>
        <w:ind w:left="1130"/>
        <w:rPr>
          <w:color w:val="000000"/>
          <w:sz w:val="22"/>
          <w:szCs w:val="22"/>
        </w:rPr>
      </w:pPr>
      <w:r>
        <w:rPr>
          <w:b/>
          <w:bCs/>
          <w:i/>
          <w:iCs/>
          <w:color w:val="000000"/>
          <w:sz w:val="22"/>
          <w:szCs w:val="22"/>
        </w:rPr>
        <w:t>late dry season</w:t>
      </w:r>
      <w:r>
        <w:rPr>
          <w:color w:val="000000"/>
          <w:sz w:val="22"/>
          <w:szCs w:val="22"/>
        </w:rPr>
        <w:t>, for a particular area of land and for a particular calendar year,</w:t>
      </w:r>
      <w:r>
        <w:rPr>
          <w:b/>
          <w:bCs/>
          <w:i/>
          <w:iCs/>
          <w:color w:val="000000"/>
          <w:sz w:val="22"/>
          <w:szCs w:val="22"/>
        </w:rPr>
        <w:t> </w:t>
      </w:r>
      <w:r>
        <w:rPr>
          <w:color w:val="000000"/>
          <w:sz w:val="22"/>
          <w:szCs w:val="22"/>
        </w:rPr>
        <w:t>means the period that:</w:t>
      </w:r>
    </w:p>
    <w:p w14:paraId="1E0FDFBC" w14:textId="4EE5CF01" w:rsidR="00AF71DB" w:rsidRDefault="00AF71DB" w:rsidP="004A7133">
      <w:pPr>
        <w:pStyle w:val="tpara"/>
        <w:numPr>
          <w:ilvl w:val="0"/>
          <w:numId w:val="7"/>
        </w:numPr>
        <w:spacing w:before="40" w:beforeAutospacing="0" w:after="0" w:afterAutospacing="0"/>
        <w:rPr>
          <w:color w:val="000000"/>
          <w:sz w:val="22"/>
          <w:szCs w:val="22"/>
        </w:rPr>
      </w:pPr>
      <w:r>
        <w:rPr>
          <w:color w:val="000000"/>
          <w:sz w:val="22"/>
          <w:szCs w:val="22"/>
        </w:rPr>
        <w:t>begins on the date of that year indicated for that area in the Savanna Fire Management LDS Start Date spatial data layer; and</w:t>
      </w:r>
    </w:p>
    <w:p w14:paraId="62A8771A" w14:textId="61432856" w:rsidR="00E46C2B" w:rsidRPr="0052651C" w:rsidRDefault="00AF71DB" w:rsidP="002A0A38">
      <w:pPr>
        <w:pStyle w:val="tpara"/>
        <w:numPr>
          <w:ilvl w:val="0"/>
          <w:numId w:val="7"/>
        </w:numPr>
        <w:spacing w:before="40" w:beforeAutospacing="0" w:after="240" w:afterAutospacing="0"/>
        <w:rPr>
          <w:color w:val="000000"/>
          <w:sz w:val="22"/>
          <w:szCs w:val="22"/>
        </w:rPr>
      </w:pPr>
      <w:r w:rsidRPr="00AF71DB">
        <w:rPr>
          <w:color w:val="000000"/>
          <w:sz w:val="22"/>
          <w:szCs w:val="22"/>
        </w:rPr>
        <w:lastRenderedPageBreak/>
        <w:t>ends on the date for that year (which may be in that year or in the following year) indicated for that area of land in the Savanna Fire Management LDS End Date spatial data layer.</w:t>
      </w:r>
    </w:p>
    <w:p w14:paraId="74EE5A97" w14:textId="77777777" w:rsidR="003320F1" w:rsidRDefault="008950AC" w:rsidP="003320F1">
      <w:pPr>
        <w:pStyle w:val="subsection"/>
        <w:ind w:firstLine="0"/>
      </w:pPr>
      <w:r w:rsidRPr="008950AC">
        <w:rPr>
          <w:b/>
          <w:bCs/>
          <w:i/>
          <w:iCs/>
          <w:szCs w:val="22"/>
        </w:rPr>
        <w:t xml:space="preserve">Savanna Fire Management LDS </w:t>
      </w:r>
      <w:r w:rsidR="003320F1">
        <w:rPr>
          <w:b/>
          <w:bCs/>
          <w:i/>
          <w:iCs/>
          <w:szCs w:val="22"/>
        </w:rPr>
        <w:t>End</w:t>
      </w:r>
      <w:r w:rsidRPr="008950AC">
        <w:rPr>
          <w:b/>
          <w:bCs/>
          <w:i/>
          <w:iCs/>
          <w:szCs w:val="22"/>
        </w:rPr>
        <w:t xml:space="preserve"> Date spatial data layer</w:t>
      </w:r>
      <w:r w:rsidR="00C93C89" w:rsidRPr="00727578">
        <w:rPr>
          <w:szCs w:val="22"/>
        </w:rPr>
        <w:t xml:space="preserve">, in relation to a </w:t>
      </w:r>
      <w:r w:rsidR="00D1232A">
        <w:rPr>
          <w:szCs w:val="22"/>
        </w:rPr>
        <w:t>calendar year</w:t>
      </w:r>
      <w:r w:rsidR="00C93C89" w:rsidRPr="00727578">
        <w:rPr>
          <w:szCs w:val="22"/>
        </w:rPr>
        <w:t>,</w:t>
      </w:r>
      <w:r w:rsidR="00C93C89" w:rsidRPr="00727578">
        <w:rPr>
          <w:b/>
          <w:bCs/>
          <w:i/>
          <w:iCs/>
          <w:szCs w:val="22"/>
        </w:rPr>
        <w:t xml:space="preserve"> </w:t>
      </w:r>
      <w:r w:rsidR="00C93C89" w:rsidRPr="00727578">
        <w:rPr>
          <w:szCs w:val="22"/>
        </w:rPr>
        <w:t xml:space="preserve">means the document of that name, as published on the Department’s website </w:t>
      </w:r>
      <w:r w:rsidR="00727578">
        <w:rPr>
          <w:szCs w:val="22"/>
        </w:rPr>
        <w:t xml:space="preserve">and in force </w:t>
      </w:r>
      <w:r w:rsidR="00727578">
        <w:t>on 30 June in the previous calendar year.</w:t>
      </w:r>
    </w:p>
    <w:p w14:paraId="50D7FA51" w14:textId="7B8D0DA1" w:rsidR="006735CF" w:rsidRDefault="00294954" w:rsidP="002A0A38">
      <w:pPr>
        <w:pStyle w:val="subsection"/>
        <w:ind w:firstLine="0"/>
      </w:pPr>
      <w:r w:rsidRPr="008950AC">
        <w:rPr>
          <w:b/>
          <w:bCs/>
          <w:i/>
          <w:iCs/>
          <w:szCs w:val="22"/>
        </w:rPr>
        <w:t>Savanna Fire Management LDS Start Date spatial data layer</w:t>
      </w:r>
      <w:r w:rsidR="00727578" w:rsidRPr="00727578">
        <w:rPr>
          <w:szCs w:val="22"/>
        </w:rPr>
        <w:t xml:space="preserve">, in relation to a </w:t>
      </w:r>
      <w:r w:rsidR="00727578">
        <w:rPr>
          <w:szCs w:val="22"/>
        </w:rPr>
        <w:t>calendar year</w:t>
      </w:r>
      <w:r w:rsidR="00727578" w:rsidRPr="00727578">
        <w:rPr>
          <w:szCs w:val="22"/>
        </w:rPr>
        <w:t>,</w:t>
      </w:r>
      <w:r w:rsidR="00727578" w:rsidRPr="00727578">
        <w:rPr>
          <w:b/>
          <w:bCs/>
          <w:i/>
          <w:iCs/>
          <w:szCs w:val="22"/>
        </w:rPr>
        <w:t xml:space="preserve"> </w:t>
      </w:r>
      <w:r w:rsidR="00727578" w:rsidRPr="00727578">
        <w:rPr>
          <w:szCs w:val="22"/>
        </w:rPr>
        <w:t xml:space="preserve">means the document of that name, as published on the Department’s website </w:t>
      </w:r>
      <w:r w:rsidR="00727578">
        <w:rPr>
          <w:szCs w:val="22"/>
        </w:rPr>
        <w:t xml:space="preserve">and in force </w:t>
      </w:r>
      <w:r w:rsidR="00727578">
        <w:t>on 30 June in the previous calendar year.</w:t>
      </w:r>
    </w:p>
    <w:p w14:paraId="3EAFD2B7" w14:textId="05C6FE3D" w:rsidR="000553BB" w:rsidRPr="00B73C4F" w:rsidRDefault="00CF116D" w:rsidP="002A0A38">
      <w:pPr>
        <w:pStyle w:val="ActHead5"/>
        <w:ind w:left="0" w:firstLine="0"/>
      </w:pPr>
      <w:bookmarkStart w:id="14" w:name="_Toc202953790"/>
      <w:bookmarkEnd w:id="13"/>
      <w:proofErr w:type="gramStart"/>
      <w:r w:rsidRPr="00B73C4F">
        <w:t>7</w:t>
      </w:r>
      <w:r w:rsidR="000553BB" w:rsidRPr="00B73C4F">
        <w:t xml:space="preserve">  </w:t>
      </w:r>
      <w:r w:rsidR="00984D39" w:rsidRPr="00B73C4F">
        <w:t>Meaning</w:t>
      </w:r>
      <w:proofErr w:type="gramEnd"/>
      <w:r w:rsidR="00984D39" w:rsidRPr="00B73C4F">
        <w:t> of </w:t>
      </w:r>
      <w:r w:rsidR="00984D39" w:rsidRPr="00B73C4F">
        <w:rPr>
          <w:i/>
          <w:iCs/>
        </w:rPr>
        <w:t>baseline period</w:t>
      </w:r>
      <w:bookmarkEnd w:id="14"/>
    </w:p>
    <w:p w14:paraId="7A338407" w14:textId="0A73C3F7" w:rsidR="000553BB" w:rsidRPr="00B73C4F" w:rsidRDefault="0003412A" w:rsidP="004A7133">
      <w:pPr>
        <w:pStyle w:val="subsection"/>
        <w:numPr>
          <w:ilvl w:val="0"/>
          <w:numId w:val="14"/>
        </w:numPr>
      </w:pPr>
      <w:r w:rsidRPr="00B73C4F">
        <w:t xml:space="preserve">For the purposes of this </w:t>
      </w:r>
      <w:r w:rsidR="00701EBB">
        <w:t>instrument</w:t>
      </w:r>
      <w:r w:rsidR="00CE6F57" w:rsidRPr="00B73C4F">
        <w:t xml:space="preserve">, the </w:t>
      </w:r>
      <w:r w:rsidR="00CE6F57" w:rsidRPr="00B73C4F">
        <w:rPr>
          <w:b/>
          <w:bCs/>
          <w:i/>
          <w:iCs/>
        </w:rPr>
        <w:t>baseline period</w:t>
      </w:r>
      <w:r w:rsidR="00CE6F57" w:rsidRPr="00B73C4F">
        <w:t xml:space="preserve"> for a </w:t>
      </w:r>
      <w:r w:rsidR="00930419" w:rsidRPr="00B73C4F">
        <w:t xml:space="preserve">particular area of land </w:t>
      </w:r>
      <w:r w:rsidR="001D7426" w:rsidRPr="00B73C4F">
        <w:t>that is not a</w:t>
      </w:r>
      <w:r w:rsidR="005C74BF">
        <w:t xml:space="preserve">n area </w:t>
      </w:r>
      <w:r w:rsidR="00DE68F0">
        <w:t>referred to</w:t>
      </w:r>
      <w:r w:rsidR="005C74BF">
        <w:t xml:space="preserve"> in subsections (2), (3) or (4) </w:t>
      </w:r>
      <w:r w:rsidR="00930419" w:rsidRPr="00B73C4F">
        <w:t>is the period of 20 calendar years that ends</w:t>
      </w:r>
      <w:r w:rsidR="003A05EE" w:rsidRPr="00B73C4F">
        <w:t xml:space="preserve"> immediately before:</w:t>
      </w:r>
    </w:p>
    <w:p w14:paraId="6ED7B9FC" w14:textId="16318452" w:rsidR="0014519F" w:rsidRPr="00B73C4F" w:rsidRDefault="0014519F" w:rsidP="0014519F">
      <w:pPr>
        <w:pStyle w:val="paragraph"/>
      </w:pPr>
      <w:r w:rsidRPr="00B73C4F">
        <w:tab/>
        <w:t>(a)</w:t>
      </w:r>
      <w:r w:rsidRPr="00B73C4F">
        <w:tab/>
      </w:r>
      <w:r w:rsidR="00B66F78" w:rsidRPr="00B73C4F">
        <w:t xml:space="preserve">for an area of land that is part of a project area that was identified in the section 27 declaration when the project was declared an eligible offsets project—the calendar year in which the crediting period </w:t>
      </w:r>
      <w:r w:rsidR="006F5922">
        <w:t xml:space="preserve">for </w:t>
      </w:r>
      <w:r w:rsidR="00B66F78" w:rsidRPr="00B73C4F">
        <w:t>the project begins; and</w:t>
      </w:r>
    </w:p>
    <w:p w14:paraId="74C7FCD2" w14:textId="21DC212F" w:rsidR="0014519F" w:rsidRPr="00B73C4F" w:rsidRDefault="0014519F" w:rsidP="00EC6707">
      <w:pPr>
        <w:pStyle w:val="paragraph"/>
      </w:pPr>
      <w:r w:rsidRPr="00B73C4F">
        <w:tab/>
        <w:t>(b)</w:t>
      </w:r>
      <w:r w:rsidRPr="00B73C4F">
        <w:tab/>
      </w:r>
      <w:r w:rsidR="003068C8" w:rsidRPr="00B73C4F">
        <w:t xml:space="preserve">for an area of land that is part of a project area that was identified in the section 27 declaration </w:t>
      </w:r>
      <w:proofErr w:type="gramStart"/>
      <w:r w:rsidR="003068C8" w:rsidRPr="00B73C4F">
        <w:t>at a later date</w:t>
      </w:r>
      <w:proofErr w:type="gramEnd"/>
      <w:r w:rsidR="003068C8" w:rsidRPr="00B73C4F">
        <w:t>—the calendar year in which the relevant variation of the section 27 declaration took effect.</w:t>
      </w:r>
    </w:p>
    <w:p w14:paraId="30A77BB1" w14:textId="6FBE4261" w:rsidR="000553BB" w:rsidRPr="00B73C4F" w:rsidRDefault="000553BB" w:rsidP="00F50E39">
      <w:pPr>
        <w:pStyle w:val="subsection"/>
      </w:pPr>
      <w:r w:rsidRPr="00B73C4F">
        <w:tab/>
        <w:t>(2)</w:t>
      </w:r>
      <w:r w:rsidRPr="00B73C4F">
        <w:tab/>
      </w:r>
      <w:r w:rsidR="00EC6707" w:rsidRPr="00B73C4F">
        <w:t>The </w:t>
      </w:r>
      <w:r w:rsidR="00EC6707" w:rsidRPr="00B73C4F">
        <w:rPr>
          <w:b/>
          <w:bCs/>
          <w:i/>
          <w:iCs/>
        </w:rPr>
        <w:t>baseline period </w:t>
      </w:r>
      <w:r w:rsidR="00EC6707" w:rsidRPr="00B73C4F">
        <w:t>for an area of land in a subdivided project area is the same as the baseline period of the area of land in the original project area.</w:t>
      </w:r>
    </w:p>
    <w:p w14:paraId="0AFF81DB" w14:textId="32457716" w:rsidR="00EC6707" w:rsidRDefault="000553BB" w:rsidP="007B270E">
      <w:pPr>
        <w:pStyle w:val="subsection"/>
      </w:pPr>
      <w:r w:rsidRPr="00B73C4F">
        <w:tab/>
        <w:t>(3)</w:t>
      </w:r>
      <w:r w:rsidRPr="00B73C4F">
        <w:tab/>
      </w:r>
      <w:r w:rsidR="002750AF">
        <w:t>T</w:t>
      </w:r>
      <w:r w:rsidR="00816DE8" w:rsidRPr="00B73C4F">
        <w:t xml:space="preserve">he </w:t>
      </w:r>
      <w:r w:rsidR="00816DE8" w:rsidRPr="00B73C4F">
        <w:rPr>
          <w:b/>
          <w:bCs/>
          <w:i/>
          <w:iCs/>
        </w:rPr>
        <w:t>baseline period</w:t>
      </w:r>
      <w:r w:rsidR="00816DE8" w:rsidRPr="00B73C4F">
        <w:t xml:space="preserve"> for a</w:t>
      </w:r>
      <w:r w:rsidR="00B26F2A">
        <w:t>n</w:t>
      </w:r>
      <w:r w:rsidR="00816DE8" w:rsidRPr="00B73C4F">
        <w:t xml:space="preserve"> area of land in a transferring project area</w:t>
      </w:r>
      <w:r w:rsidR="00F25A29" w:rsidRPr="00B73C4F">
        <w:t xml:space="preserve"> is </w:t>
      </w:r>
      <w:r w:rsidR="00B23F4C" w:rsidRPr="00B73C4F">
        <w:t>the same as the baseline period</w:t>
      </w:r>
      <w:r w:rsidR="00B26F2A">
        <w:t xml:space="preserve"> for that area</w:t>
      </w:r>
      <w:r w:rsidR="00B23F4C" w:rsidRPr="00B73C4F">
        <w:t xml:space="preserve"> under the former determination for </w:t>
      </w:r>
      <w:r w:rsidR="00B26F2A">
        <w:t>that</w:t>
      </w:r>
      <w:r w:rsidR="00B23F4C" w:rsidRPr="00B73C4F">
        <w:t xml:space="preserve"> area.</w:t>
      </w:r>
    </w:p>
    <w:p w14:paraId="60EEBE78" w14:textId="7835BEA0" w:rsidR="00B45CE3" w:rsidRDefault="00701009" w:rsidP="00B27977">
      <w:pPr>
        <w:pStyle w:val="subsection"/>
      </w:pPr>
      <w:r>
        <w:tab/>
        <w:t>(4)</w:t>
      </w:r>
      <w:r>
        <w:tab/>
      </w:r>
      <w:r w:rsidR="00536910">
        <w:t xml:space="preserve">If </w:t>
      </w:r>
      <w:r w:rsidR="00CB57E7">
        <w:t xml:space="preserve">capacity building </w:t>
      </w:r>
      <w:r w:rsidR="00215774">
        <w:t xml:space="preserve">fire management </w:t>
      </w:r>
      <w:r w:rsidR="00320857">
        <w:t xml:space="preserve">has been </w:t>
      </w:r>
      <w:r w:rsidR="00D85E43">
        <w:t>conducted</w:t>
      </w:r>
      <w:r w:rsidR="00ED65D6">
        <w:t xml:space="preserve"> </w:t>
      </w:r>
      <w:r w:rsidR="00AD3692">
        <w:t>with</w:t>
      </w:r>
      <w:r w:rsidR="00ED65D6">
        <w:t>in an area of land</w:t>
      </w:r>
      <w:r w:rsidR="00630DA1">
        <w:t xml:space="preserve"> </w:t>
      </w:r>
      <w:r w:rsidR="001E0592">
        <w:t xml:space="preserve">and that </w:t>
      </w:r>
      <w:r w:rsidR="00175ADE">
        <w:t xml:space="preserve">area is </w:t>
      </w:r>
      <w:r w:rsidR="00630DA1">
        <w:t>not a transferring project area</w:t>
      </w:r>
      <w:r w:rsidR="002F6C2F">
        <w:t xml:space="preserve">, the </w:t>
      </w:r>
      <w:r w:rsidR="002F6C2F" w:rsidRPr="002A0A38">
        <w:rPr>
          <w:b/>
          <w:bCs/>
          <w:i/>
          <w:iCs/>
        </w:rPr>
        <w:t>baseline period</w:t>
      </w:r>
      <w:r w:rsidR="002F6C2F">
        <w:t xml:space="preserve"> for that </w:t>
      </w:r>
      <w:r w:rsidR="00630DA1">
        <w:t>area of land is</w:t>
      </w:r>
      <w:r w:rsidR="006E1558">
        <w:t xml:space="preserve"> </w:t>
      </w:r>
      <w:r w:rsidR="006E1558" w:rsidRPr="00B73C4F">
        <w:t>the period of 20 calendar years that ends immediately before</w:t>
      </w:r>
      <w:r w:rsidR="00B45CE3">
        <w:t>:</w:t>
      </w:r>
    </w:p>
    <w:p w14:paraId="54F741E9" w14:textId="04ADEA00" w:rsidR="00890952" w:rsidRDefault="00B45CE3" w:rsidP="00505A55">
      <w:pPr>
        <w:pStyle w:val="subsection"/>
        <w:tabs>
          <w:tab w:val="clear" w:pos="1021"/>
          <w:tab w:val="left" w:pos="1701"/>
        </w:tabs>
        <w:spacing w:before="0"/>
        <w:ind w:left="1701" w:hanging="425"/>
      </w:pPr>
      <w:r>
        <w:t xml:space="preserve">(a) </w:t>
      </w:r>
      <w:r w:rsidR="005A4482">
        <w:t xml:space="preserve"> </w:t>
      </w:r>
      <w:r w:rsidR="001B0603">
        <w:t xml:space="preserve">if the </w:t>
      </w:r>
      <w:proofErr w:type="gramStart"/>
      <w:r w:rsidR="001B0603">
        <w:t>time period</w:t>
      </w:r>
      <w:proofErr w:type="gramEnd"/>
      <w:r w:rsidR="001B0603">
        <w:t xml:space="preserve"> between the start date and end date of the capacity building fire management is 6 calendar years or </w:t>
      </w:r>
      <w:r w:rsidR="003E03AB">
        <w:t>fewer</w:t>
      </w:r>
      <w:r w:rsidR="00820C66" w:rsidRPr="00B73C4F">
        <w:t>—</w:t>
      </w:r>
      <w:r w:rsidR="005A4482">
        <w:t>the calendar year in which</w:t>
      </w:r>
      <w:r w:rsidR="00FC00D5">
        <w:t xml:space="preserve"> </w:t>
      </w:r>
      <w:r w:rsidR="00806E81">
        <w:t xml:space="preserve">the </w:t>
      </w:r>
      <w:r w:rsidR="00C82B50">
        <w:t>capacity building fire management</w:t>
      </w:r>
      <w:r w:rsidR="002A4C55">
        <w:t xml:space="preserve"> began</w:t>
      </w:r>
      <w:r>
        <w:t>, or</w:t>
      </w:r>
    </w:p>
    <w:p w14:paraId="6D306148" w14:textId="784AC7A9" w:rsidR="00B45CE3" w:rsidRPr="00B73C4F" w:rsidRDefault="00047DF7" w:rsidP="00505A55">
      <w:pPr>
        <w:pStyle w:val="subsection"/>
        <w:tabs>
          <w:tab w:val="clear" w:pos="1021"/>
          <w:tab w:val="left" w:pos="1701"/>
        </w:tabs>
        <w:spacing w:before="0"/>
        <w:ind w:left="1701" w:hanging="425"/>
      </w:pPr>
      <w:r>
        <w:t>(b)</w:t>
      </w:r>
      <w:r w:rsidR="00D9137B">
        <w:t xml:space="preserve"> </w:t>
      </w:r>
      <w:r>
        <w:t xml:space="preserve"> if the </w:t>
      </w:r>
      <w:proofErr w:type="gramStart"/>
      <w:r w:rsidR="003D431C">
        <w:t>time period</w:t>
      </w:r>
      <w:proofErr w:type="gramEnd"/>
      <w:r w:rsidR="003D431C">
        <w:t xml:space="preserve"> between the start date and end date of the </w:t>
      </w:r>
      <w:r>
        <w:t xml:space="preserve">capacity building fire management is </w:t>
      </w:r>
      <w:r w:rsidR="00820C66">
        <w:t>more than 6</w:t>
      </w:r>
      <w:r w:rsidR="003D431C">
        <w:t xml:space="preserve"> calendar years</w:t>
      </w:r>
      <w:r w:rsidR="004F5C33" w:rsidRPr="00B73C4F">
        <w:t>—</w:t>
      </w:r>
      <w:r w:rsidR="00667B29">
        <w:t xml:space="preserve"> the calendar year that is </w:t>
      </w:r>
      <w:r w:rsidR="00EC666C">
        <w:t xml:space="preserve">6 </w:t>
      </w:r>
      <w:r w:rsidR="00667B29">
        <w:t xml:space="preserve">years before </w:t>
      </w:r>
      <w:r w:rsidR="00BE3CFC">
        <w:t xml:space="preserve">the end date of the </w:t>
      </w:r>
      <w:r w:rsidR="00067158">
        <w:t>capacity fire building management.</w:t>
      </w:r>
    </w:p>
    <w:p w14:paraId="794A12D7" w14:textId="359125CE" w:rsidR="00F023F5" w:rsidRPr="001D793E" w:rsidRDefault="00E41967" w:rsidP="00F023F5">
      <w:pPr>
        <w:pStyle w:val="ActHead5"/>
      </w:pPr>
      <w:bookmarkStart w:id="15" w:name="_Toc180660684"/>
      <w:bookmarkStart w:id="16" w:name="_Toc202953791"/>
      <w:proofErr w:type="gramStart"/>
      <w:r>
        <w:t>8</w:t>
      </w:r>
      <w:r w:rsidR="00F023F5" w:rsidRPr="00B73C4F">
        <w:t>  </w:t>
      </w:r>
      <w:r w:rsidR="00975AB1">
        <w:t>Updates</w:t>
      </w:r>
      <w:proofErr w:type="gramEnd"/>
      <w:r w:rsidR="00975AB1">
        <w:t xml:space="preserve"> to e</w:t>
      </w:r>
      <w:r w:rsidR="00B422E9">
        <w:t>xternal documents as in force from time to time</w:t>
      </w:r>
      <w:bookmarkEnd w:id="15"/>
      <w:bookmarkEnd w:id="16"/>
    </w:p>
    <w:p w14:paraId="1D114191" w14:textId="1EF6BBEC" w:rsidR="008E283C" w:rsidRDefault="00F023F5" w:rsidP="007B2786">
      <w:pPr>
        <w:pStyle w:val="subsection"/>
        <w:numPr>
          <w:ilvl w:val="0"/>
          <w:numId w:val="78"/>
        </w:numPr>
      </w:pPr>
      <w:r w:rsidRPr="001D793E">
        <w:t xml:space="preserve">If this </w:t>
      </w:r>
      <w:r w:rsidR="00701EBB">
        <w:t>instrument</w:t>
      </w:r>
      <w:r w:rsidR="003A1D71">
        <w:t xml:space="preserve"> makes provision in relation to a matter by </w:t>
      </w:r>
      <w:r w:rsidR="00AF3D80">
        <w:t xml:space="preserve">applying, adopting or incorporating </w:t>
      </w:r>
      <w:r w:rsidR="007C22AB">
        <w:t xml:space="preserve">a matter contained in </w:t>
      </w:r>
      <w:r w:rsidRPr="001D793E">
        <w:t>another instrument or writing</w:t>
      </w:r>
      <w:r w:rsidR="007C22AB">
        <w:t xml:space="preserve"> as in force from time to time, </w:t>
      </w:r>
      <w:r w:rsidR="00480E67">
        <w:t xml:space="preserve">an updated version of that instrument or writing is </w:t>
      </w:r>
      <w:r w:rsidR="00BA3AB9">
        <w:t xml:space="preserve">only taken to be </w:t>
      </w:r>
      <w:r w:rsidR="002859B8">
        <w:t>in force if</w:t>
      </w:r>
      <w:r w:rsidR="00127E94">
        <w:t>, when published,</w:t>
      </w:r>
      <w:r w:rsidR="002859B8">
        <w:t xml:space="preserve"> it</w:t>
      </w:r>
      <w:r w:rsidR="00127E94">
        <w:t xml:space="preserve"> includes or is accompanied by</w:t>
      </w:r>
      <w:r w:rsidR="00331FFE">
        <w:t>:</w:t>
      </w:r>
    </w:p>
    <w:p w14:paraId="125DEC1E" w14:textId="67DA9681" w:rsidR="00E648EC" w:rsidRPr="00901897" w:rsidRDefault="00B26007" w:rsidP="00901897">
      <w:pPr>
        <w:pStyle w:val="ListParagraph"/>
        <w:numPr>
          <w:ilvl w:val="0"/>
          <w:numId w:val="18"/>
        </w:numPr>
        <w:rPr>
          <w:color w:val="000000"/>
          <w:szCs w:val="22"/>
        </w:rPr>
      </w:pPr>
      <w:r>
        <w:rPr>
          <w:color w:val="000000"/>
          <w:szCs w:val="22"/>
        </w:rPr>
        <w:lastRenderedPageBreak/>
        <w:t>a</w:t>
      </w:r>
      <w:r w:rsidR="001510B3">
        <w:rPr>
          <w:color w:val="000000"/>
          <w:szCs w:val="22"/>
        </w:rPr>
        <w:t xml:space="preserve"> document stating</w:t>
      </w:r>
      <w:r w:rsidR="00AB490A">
        <w:rPr>
          <w:color w:val="000000"/>
          <w:szCs w:val="22"/>
        </w:rPr>
        <w:t xml:space="preserve"> </w:t>
      </w:r>
      <w:r w:rsidR="00B85B59" w:rsidRPr="00B85B59">
        <w:rPr>
          <w:rFonts w:eastAsia="Times New Roman" w:cs="Times New Roman"/>
          <w:color w:val="000000"/>
          <w:szCs w:val="22"/>
          <w:lang w:eastAsia="en-AU"/>
        </w:rPr>
        <w:t>the reasons why the document was republished in a</w:t>
      </w:r>
      <w:r w:rsidR="00E648EC">
        <w:rPr>
          <w:rFonts w:eastAsia="Times New Roman" w:cs="Times New Roman"/>
          <w:color w:val="000000"/>
          <w:szCs w:val="22"/>
          <w:lang w:eastAsia="en-AU"/>
        </w:rPr>
        <w:t xml:space="preserve">n updated </w:t>
      </w:r>
      <w:r w:rsidR="00B85B59" w:rsidRPr="00B85B59">
        <w:rPr>
          <w:rFonts w:eastAsia="Times New Roman" w:cs="Times New Roman"/>
          <w:color w:val="000000"/>
          <w:szCs w:val="22"/>
          <w:lang w:eastAsia="en-AU"/>
        </w:rPr>
        <w:t>form</w:t>
      </w:r>
      <w:r w:rsidR="001510B3">
        <w:rPr>
          <w:rFonts w:eastAsia="Times New Roman" w:cs="Times New Roman"/>
          <w:color w:val="000000"/>
          <w:szCs w:val="22"/>
          <w:lang w:eastAsia="en-AU"/>
        </w:rPr>
        <w:t xml:space="preserve"> and </w:t>
      </w:r>
      <w:r w:rsidR="00E648EC" w:rsidRPr="00901897">
        <w:rPr>
          <w:color w:val="000000"/>
          <w:szCs w:val="22"/>
        </w:rPr>
        <w:t xml:space="preserve">an outline of the process that was undertaken when </w:t>
      </w:r>
      <w:r w:rsidR="001510B3">
        <w:rPr>
          <w:color w:val="000000"/>
          <w:szCs w:val="22"/>
        </w:rPr>
        <w:t>updating</w:t>
      </w:r>
      <w:r w:rsidR="00E648EC" w:rsidRPr="00901897">
        <w:rPr>
          <w:color w:val="000000"/>
          <w:szCs w:val="22"/>
        </w:rPr>
        <w:t xml:space="preserve"> the document; and</w:t>
      </w:r>
    </w:p>
    <w:p w14:paraId="0B8477F7" w14:textId="7A940FDE" w:rsidR="008E283C" w:rsidRDefault="007F6E6D" w:rsidP="00901897">
      <w:pPr>
        <w:pStyle w:val="tsubpara"/>
        <w:numPr>
          <w:ilvl w:val="0"/>
          <w:numId w:val="18"/>
        </w:numPr>
        <w:spacing w:before="40" w:beforeAutospacing="0" w:after="0" w:afterAutospacing="0"/>
        <w:rPr>
          <w:color w:val="000000"/>
          <w:sz w:val="22"/>
          <w:szCs w:val="22"/>
        </w:rPr>
      </w:pPr>
      <w:r w:rsidRPr="008E283C">
        <w:rPr>
          <w:color w:val="000000"/>
          <w:sz w:val="22"/>
          <w:szCs w:val="22"/>
        </w:rPr>
        <w:t xml:space="preserve">if advice was obtained from the Emissions Reduction Assurance Committee in relation to the </w:t>
      </w:r>
      <w:r w:rsidR="00347F1A">
        <w:rPr>
          <w:color w:val="000000"/>
          <w:sz w:val="22"/>
          <w:szCs w:val="22"/>
        </w:rPr>
        <w:t>update</w:t>
      </w:r>
      <w:r w:rsidRPr="008E283C">
        <w:rPr>
          <w:color w:val="000000"/>
          <w:sz w:val="22"/>
          <w:szCs w:val="22"/>
        </w:rPr>
        <w:t>—a copy of the advice.</w:t>
      </w:r>
    </w:p>
    <w:p w14:paraId="388EF8B1" w14:textId="244F69C4" w:rsidR="009D1403" w:rsidRPr="00962EE3" w:rsidRDefault="008E283C" w:rsidP="007B2786">
      <w:pPr>
        <w:pStyle w:val="tsubpara"/>
        <w:numPr>
          <w:ilvl w:val="0"/>
          <w:numId w:val="78"/>
        </w:numPr>
        <w:spacing w:before="40" w:beforeAutospacing="0" w:after="0" w:afterAutospacing="0"/>
        <w:rPr>
          <w:color w:val="000000"/>
          <w:sz w:val="22"/>
          <w:szCs w:val="22"/>
        </w:rPr>
      </w:pPr>
      <w:r w:rsidRPr="00962EE3">
        <w:rPr>
          <w:color w:val="000000"/>
          <w:sz w:val="22"/>
          <w:szCs w:val="22"/>
        </w:rPr>
        <w:t xml:space="preserve">If an </w:t>
      </w:r>
      <w:r w:rsidRPr="00962EE3">
        <w:rPr>
          <w:sz w:val="22"/>
          <w:szCs w:val="22"/>
        </w:rPr>
        <w:t>updated version of a</w:t>
      </w:r>
      <w:r w:rsidR="008D4AB0" w:rsidRPr="00962EE3">
        <w:rPr>
          <w:sz w:val="22"/>
          <w:szCs w:val="22"/>
        </w:rPr>
        <w:t>n</w:t>
      </w:r>
      <w:r w:rsidRPr="00962EE3">
        <w:rPr>
          <w:sz w:val="22"/>
          <w:szCs w:val="22"/>
        </w:rPr>
        <w:t xml:space="preserve"> instrument or writing is published but does not satisfy the requirements in subsection (1), the earlier</w:t>
      </w:r>
      <w:r w:rsidR="008D4AB0" w:rsidRPr="00962EE3">
        <w:rPr>
          <w:sz w:val="22"/>
          <w:szCs w:val="22"/>
        </w:rPr>
        <w:t xml:space="preserve"> version of that instrument or writing is taken to continue in force.</w:t>
      </w:r>
    </w:p>
    <w:p w14:paraId="312E8EEB" w14:textId="692B66D5" w:rsidR="001E468D" w:rsidRPr="001D793E" w:rsidRDefault="001E468D" w:rsidP="001E468D">
      <w:pPr>
        <w:pStyle w:val="ActHead5"/>
      </w:pPr>
      <w:bookmarkStart w:id="17" w:name="_Toc202953792"/>
      <w:proofErr w:type="gramStart"/>
      <w:r>
        <w:t>9</w:t>
      </w:r>
      <w:r w:rsidRPr="00B73C4F">
        <w:t>  Factors</w:t>
      </w:r>
      <w:proofErr w:type="gramEnd"/>
      <w:r w:rsidRPr="00B73C4F">
        <w:t xml:space="preserve"> and parameters from external sources</w:t>
      </w:r>
      <w:bookmarkEnd w:id="17"/>
    </w:p>
    <w:p w14:paraId="622DA988" w14:textId="0B12A52C" w:rsidR="001E468D" w:rsidRPr="00962EE3" w:rsidRDefault="001E468D" w:rsidP="001E468D">
      <w:pPr>
        <w:pStyle w:val="subsection"/>
        <w:rPr>
          <w:szCs w:val="22"/>
        </w:rPr>
      </w:pPr>
      <w:r w:rsidRPr="00962EE3">
        <w:rPr>
          <w:szCs w:val="22"/>
        </w:rPr>
        <w:tab/>
        <w:t>(1)</w:t>
      </w:r>
      <w:r w:rsidRPr="00962EE3">
        <w:rPr>
          <w:szCs w:val="22"/>
        </w:rPr>
        <w:tab/>
        <w:t xml:space="preserve">If a calculation in this </w:t>
      </w:r>
      <w:r w:rsidR="00701EBB">
        <w:rPr>
          <w:szCs w:val="22"/>
        </w:rPr>
        <w:t>instrument</w:t>
      </w:r>
      <w:r w:rsidRPr="00962EE3">
        <w:rPr>
          <w:szCs w:val="22"/>
        </w:rPr>
        <w:t xml:space="preserve"> includes a factor or parameter that is defined or calculated by reference to another instrument or writing, the factor or parameter to be used for a reporting period is the factor or parameter referred to in, or calculated by reference to, the instrument or writing as in force at the end of the reporting period.</w:t>
      </w:r>
    </w:p>
    <w:p w14:paraId="0CCDB049" w14:textId="77777777" w:rsidR="001E468D" w:rsidRPr="00962EE3" w:rsidRDefault="001E468D" w:rsidP="001E468D">
      <w:pPr>
        <w:pStyle w:val="subsection"/>
        <w:rPr>
          <w:szCs w:val="22"/>
        </w:rPr>
      </w:pPr>
      <w:r w:rsidRPr="00962EE3">
        <w:rPr>
          <w:szCs w:val="22"/>
        </w:rPr>
        <w:tab/>
        <w:t>(2)</w:t>
      </w:r>
      <w:r w:rsidRPr="00962EE3">
        <w:rPr>
          <w:szCs w:val="22"/>
        </w:rPr>
        <w:tab/>
        <w:t>Subsection (1) does not apply if:</w:t>
      </w:r>
    </w:p>
    <w:p w14:paraId="49F086E2" w14:textId="65574BAC" w:rsidR="001E468D" w:rsidRPr="00962EE3" w:rsidRDefault="001E468D" w:rsidP="004A7133">
      <w:pPr>
        <w:pStyle w:val="ListParagraph"/>
        <w:numPr>
          <w:ilvl w:val="0"/>
          <w:numId w:val="16"/>
        </w:numPr>
        <w:spacing w:before="40" w:line="240" w:lineRule="auto"/>
        <w:rPr>
          <w:rFonts w:eastAsia="Times New Roman" w:cs="Times New Roman"/>
          <w:color w:val="000000"/>
          <w:szCs w:val="22"/>
          <w:lang w:eastAsia="en-AU"/>
        </w:rPr>
      </w:pPr>
      <w:r w:rsidRPr="00962EE3">
        <w:rPr>
          <w:rFonts w:eastAsia="Times New Roman" w:cs="Times New Roman"/>
          <w:color w:val="000000"/>
          <w:szCs w:val="22"/>
          <w:lang w:eastAsia="en-AU"/>
        </w:rPr>
        <w:t xml:space="preserve">this </w:t>
      </w:r>
      <w:r w:rsidR="00701EBB">
        <w:rPr>
          <w:rFonts w:eastAsia="Times New Roman" w:cs="Times New Roman"/>
          <w:color w:val="000000"/>
          <w:szCs w:val="22"/>
          <w:lang w:eastAsia="en-AU"/>
        </w:rPr>
        <w:t>instrument</w:t>
      </w:r>
      <w:r w:rsidRPr="00962EE3">
        <w:rPr>
          <w:rFonts w:eastAsia="Times New Roman" w:cs="Times New Roman"/>
          <w:color w:val="000000"/>
          <w:szCs w:val="22"/>
          <w:lang w:eastAsia="en-AU"/>
        </w:rPr>
        <w:t xml:space="preserve"> specifies otherwise; or</w:t>
      </w:r>
    </w:p>
    <w:p w14:paraId="4EF0A7EF" w14:textId="034716F3" w:rsidR="001E468D" w:rsidRPr="00290B90" w:rsidRDefault="001E468D" w:rsidP="001E468D">
      <w:pPr>
        <w:pStyle w:val="ListParagraph"/>
        <w:numPr>
          <w:ilvl w:val="0"/>
          <w:numId w:val="16"/>
        </w:numPr>
        <w:spacing w:before="40" w:line="240" w:lineRule="auto"/>
        <w:rPr>
          <w:szCs w:val="22"/>
        </w:rPr>
      </w:pPr>
      <w:r w:rsidRPr="00962EE3">
        <w:rPr>
          <w:rFonts w:eastAsia="Times New Roman" w:cs="Times New Roman"/>
          <w:color w:val="000000"/>
          <w:szCs w:val="22"/>
          <w:lang w:eastAsia="en-AU"/>
        </w:rPr>
        <w:t>it is not possible to define or calculate the factor or parameter by reference to the</w:t>
      </w:r>
      <w:r w:rsidRPr="00962EE3">
        <w:rPr>
          <w:color w:val="000000"/>
          <w:szCs w:val="22"/>
        </w:rPr>
        <w:t xml:space="preserve"> instrument or writing as in force at the end of the reporting period.</w:t>
      </w:r>
    </w:p>
    <w:p w14:paraId="76B0DC1E" w14:textId="015185DC" w:rsidR="00F14089" w:rsidRDefault="00F14089" w:rsidP="00F14089">
      <w:pPr>
        <w:pStyle w:val="ActHead2"/>
      </w:pPr>
      <w:bookmarkStart w:id="18" w:name="_Toc202953793"/>
      <w:r w:rsidRPr="00C55737">
        <w:t xml:space="preserve">Part </w:t>
      </w:r>
      <w:r>
        <w:t>2</w:t>
      </w:r>
      <w:r w:rsidRPr="00C55737">
        <w:t>—</w:t>
      </w:r>
      <w:r w:rsidR="007E03DA" w:rsidRPr="007E03DA">
        <w:rPr>
          <w:rFonts w:eastAsiaTheme="minorHAnsi" w:cstheme="minorBidi"/>
          <w:b w:val="0"/>
          <w:kern w:val="0"/>
          <w:sz w:val="22"/>
          <w:lang w:eastAsia="en-US"/>
        </w:rPr>
        <w:t xml:space="preserve"> </w:t>
      </w:r>
      <w:r w:rsidR="007E03DA" w:rsidRPr="007E03DA">
        <w:t>Savanna </w:t>
      </w:r>
      <w:r w:rsidR="00865F3A">
        <w:t>sequestration</w:t>
      </w:r>
      <w:r w:rsidR="000548F2">
        <w:t xml:space="preserve"> </w:t>
      </w:r>
      <w:r w:rsidR="007E03DA" w:rsidRPr="007E03DA">
        <w:t>projects</w:t>
      </w:r>
      <w:bookmarkEnd w:id="18"/>
    </w:p>
    <w:p w14:paraId="466CF633" w14:textId="5F368CD0" w:rsidR="00323E8D" w:rsidRPr="000D18C8" w:rsidRDefault="009D2A77" w:rsidP="00C24FB6">
      <w:pPr>
        <w:pStyle w:val="ActHead5"/>
        <w:ind w:left="0" w:firstLine="0"/>
      </w:pPr>
      <w:bookmarkStart w:id="19" w:name="_Toc202953794"/>
      <w:proofErr w:type="gramStart"/>
      <w:r>
        <w:t>10</w:t>
      </w:r>
      <w:r w:rsidR="00323E8D" w:rsidRPr="000D18C8">
        <w:t xml:space="preserve">  </w:t>
      </w:r>
      <w:r w:rsidR="000D18C8" w:rsidRPr="000D18C8">
        <w:t>Savanna</w:t>
      </w:r>
      <w:proofErr w:type="gramEnd"/>
      <w:r w:rsidR="000D18C8" w:rsidRPr="000D18C8">
        <w:t> </w:t>
      </w:r>
      <w:r w:rsidR="006232EA">
        <w:t>sequestration</w:t>
      </w:r>
      <w:r w:rsidR="00A8522C" w:rsidRPr="000D18C8">
        <w:t xml:space="preserve"> </w:t>
      </w:r>
      <w:r w:rsidR="000D18C8" w:rsidRPr="000D18C8">
        <w:t>projects</w:t>
      </w:r>
      <w:bookmarkEnd w:id="19"/>
    </w:p>
    <w:p w14:paraId="5D2DCDD4" w14:textId="60FEE947" w:rsidR="00323E8D" w:rsidRPr="000D18C8" w:rsidRDefault="00847544" w:rsidP="004A7133">
      <w:pPr>
        <w:pStyle w:val="subsection"/>
        <w:numPr>
          <w:ilvl w:val="0"/>
          <w:numId w:val="8"/>
        </w:numPr>
      </w:pPr>
      <w:r w:rsidRPr="000D18C8">
        <w:t>For</w:t>
      </w:r>
      <w:r w:rsidR="001E7BE4">
        <w:t xml:space="preserve"> the purposes of</w:t>
      </w:r>
      <w:r w:rsidRPr="000D18C8">
        <w:t xml:space="preserve"> paragraph 106(1)(a) of the Act, this </w:t>
      </w:r>
      <w:r w:rsidR="00701EBB">
        <w:t>instrument</w:t>
      </w:r>
      <w:r w:rsidRPr="000D18C8">
        <w:t xml:space="preserve"> applies to an offsets project that:</w:t>
      </w:r>
    </w:p>
    <w:p w14:paraId="38C131CC" w14:textId="126DAEC9" w:rsidR="000E56B8" w:rsidRDefault="004B659B" w:rsidP="004A7133">
      <w:pPr>
        <w:pStyle w:val="ListParagraph"/>
        <w:numPr>
          <w:ilvl w:val="0"/>
          <w:numId w:val="9"/>
        </w:numPr>
        <w:spacing w:before="40" w:line="240" w:lineRule="auto"/>
        <w:rPr>
          <w:rFonts w:eastAsia="Times New Roman" w:cs="Times New Roman"/>
          <w:color w:val="000000"/>
          <w:szCs w:val="22"/>
          <w:lang w:eastAsia="en-AU"/>
        </w:rPr>
      </w:pPr>
      <w:r w:rsidRPr="004B659B">
        <w:rPr>
          <w:rFonts w:eastAsia="Times New Roman" w:cs="Times New Roman"/>
          <w:color w:val="000000"/>
          <w:szCs w:val="22"/>
          <w:lang w:eastAsia="en-AU"/>
        </w:rPr>
        <w:t>involves undertaking savanna fire managemen</w:t>
      </w:r>
      <w:r>
        <w:rPr>
          <w:rFonts w:eastAsia="Times New Roman" w:cs="Times New Roman"/>
          <w:color w:val="000000"/>
          <w:szCs w:val="22"/>
          <w:lang w:eastAsia="en-AU"/>
        </w:rPr>
        <w:t>t</w:t>
      </w:r>
      <w:r w:rsidRPr="004B659B">
        <w:rPr>
          <w:rFonts w:eastAsia="Times New Roman" w:cs="Times New Roman"/>
          <w:color w:val="000000"/>
          <w:szCs w:val="22"/>
          <w:lang w:eastAsia="en-AU"/>
        </w:rPr>
        <w:t xml:space="preserve"> </w:t>
      </w:r>
      <w:r w:rsidR="00DE2ACA" w:rsidRPr="00DE2ACA">
        <w:rPr>
          <w:rFonts w:eastAsia="Times New Roman" w:cs="Times New Roman"/>
          <w:color w:val="000000"/>
          <w:szCs w:val="22"/>
          <w:lang w:eastAsia="en-AU"/>
        </w:rPr>
        <w:t xml:space="preserve">with </w:t>
      </w:r>
      <w:r w:rsidR="00D30F39">
        <w:rPr>
          <w:rFonts w:eastAsia="Times New Roman" w:cs="Times New Roman"/>
          <w:color w:val="000000"/>
          <w:szCs w:val="22"/>
          <w:lang w:eastAsia="en-AU"/>
        </w:rPr>
        <w:t xml:space="preserve">both of </w:t>
      </w:r>
      <w:r w:rsidR="00DE2ACA" w:rsidRPr="00DE2ACA">
        <w:rPr>
          <w:rFonts w:eastAsia="Times New Roman" w:cs="Times New Roman"/>
          <w:color w:val="000000"/>
          <w:szCs w:val="22"/>
          <w:lang w:eastAsia="en-AU"/>
        </w:rPr>
        <w:t xml:space="preserve">the </w:t>
      </w:r>
      <w:r w:rsidR="000E56B8">
        <w:rPr>
          <w:rFonts w:eastAsia="Times New Roman" w:cs="Times New Roman"/>
          <w:color w:val="000000"/>
          <w:szCs w:val="22"/>
          <w:lang w:eastAsia="en-AU"/>
        </w:rPr>
        <w:t xml:space="preserve">following </w:t>
      </w:r>
      <w:r w:rsidR="00DE2ACA" w:rsidRPr="00DE2ACA">
        <w:rPr>
          <w:rFonts w:eastAsia="Times New Roman" w:cs="Times New Roman"/>
          <w:color w:val="000000"/>
          <w:szCs w:val="22"/>
          <w:lang w:eastAsia="en-AU"/>
        </w:rPr>
        <w:t>objective</w:t>
      </w:r>
      <w:r w:rsidR="000E56B8">
        <w:rPr>
          <w:rFonts w:eastAsia="Times New Roman" w:cs="Times New Roman"/>
          <w:color w:val="000000"/>
          <w:szCs w:val="22"/>
          <w:lang w:eastAsia="en-AU"/>
        </w:rPr>
        <w:t>s:</w:t>
      </w:r>
    </w:p>
    <w:p w14:paraId="64BE4AC6" w14:textId="2E48379D" w:rsidR="000D18C8" w:rsidRDefault="005A0866" w:rsidP="004A7133">
      <w:pPr>
        <w:pStyle w:val="ListParagraph"/>
        <w:numPr>
          <w:ilvl w:val="1"/>
          <w:numId w:val="9"/>
        </w:numPr>
        <w:spacing w:before="40" w:line="240" w:lineRule="auto"/>
        <w:rPr>
          <w:rFonts w:eastAsia="Times New Roman" w:cs="Times New Roman"/>
          <w:color w:val="000000"/>
          <w:szCs w:val="22"/>
          <w:lang w:eastAsia="en-AU"/>
        </w:rPr>
      </w:pPr>
      <w:r w:rsidRPr="005A0866">
        <w:rPr>
          <w:rFonts w:eastAsia="Times New Roman" w:cs="Times New Roman"/>
          <w:color w:val="000000"/>
          <w:szCs w:val="22"/>
          <w:lang w:eastAsia="en-AU"/>
        </w:rPr>
        <w:t xml:space="preserve">removing carbon dioxide from the atmosphere by sequestering more carbon </w:t>
      </w:r>
      <w:r w:rsidR="007B6905">
        <w:rPr>
          <w:rFonts w:eastAsia="Times New Roman" w:cs="Times New Roman"/>
          <w:color w:val="000000"/>
          <w:szCs w:val="22"/>
          <w:lang w:eastAsia="en-AU"/>
        </w:rPr>
        <w:t>(</w:t>
      </w:r>
      <w:r w:rsidRPr="005A0866">
        <w:rPr>
          <w:rFonts w:eastAsia="Times New Roman" w:cs="Times New Roman"/>
          <w:color w:val="000000"/>
          <w:szCs w:val="22"/>
          <w:lang w:eastAsia="en-AU"/>
        </w:rPr>
        <w:t>in</w:t>
      </w:r>
      <w:r w:rsidR="00E56045">
        <w:rPr>
          <w:rFonts w:eastAsia="Times New Roman" w:cs="Times New Roman"/>
          <w:color w:val="000000"/>
          <w:szCs w:val="22"/>
          <w:lang w:eastAsia="en-AU"/>
        </w:rPr>
        <w:t xml:space="preserve"> </w:t>
      </w:r>
      <w:r w:rsidR="00D944C1">
        <w:rPr>
          <w:rFonts w:eastAsia="Times New Roman" w:cs="Times New Roman"/>
          <w:color w:val="000000"/>
          <w:szCs w:val="22"/>
          <w:lang w:eastAsia="en-AU"/>
        </w:rPr>
        <w:t xml:space="preserve">living biomass </w:t>
      </w:r>
      <w:r w:rsidR="00264CBD">
        <w:rPr>
          <w:rFonts w:eastAsia="Times New Roman" w:cs="Times New Roman"/>
          <w:color w:val="000000"/>
          <w:szCs w:val="22"/>
          <w:lang w:eastAsia="en-AU"/>
        </w:rPr>
        <w:t>or</w:t>
      </w:r>
      <w:r w:rsidRPr="005A0866">
        <w:rPr>
          <w:rFonts w:eastAsia="Times New Roman" w:cs="Times New Roman"/>
          <w:color w:val="000000"/>
          <w:szCs w:val="22"/>
          <w:lang w:eastAsia="en-AU"/>
        </w:rPr>
        <w:t xml:space="preserve"> dead organic matter</w:t>
      </w:r>
      <w:r w:rsidR="007B6905">
        <w:rPr>
          <w:rFonts w:eastAsia="Times New Roman" w:cs="Times New Roman"/>
          <w:color w:val="000000"/>
          <w:szCs w:val="22"/>
          <w:lang w:eastAsia="en-AU"/>
        </w:rPr>
        <w:t>)</w:t>
      </w:r>
      <w:r w:rsidRPr="005A0866">
        <w:rPr>
          <w:rFonts w:eastAsia="Times New Roman" w:cs="Times New Roman"/>
          <w:color w:val="000000"/>
          <w:szCs w:val="22"/>
          <w:lang w:eastAsia="en-AU"/>
        </w:rPr>
        <w:t xml:space="preserve"> than was sequestered during the baseline </w:t>
      </w:r>
      <w:proofErr w:type="gramStart"/>
      <w:r w:rsidRPr="005A0866">
        <w:rPr>
          <w:rFonts w:eastAsia="Times New Roman" w:cs="Times New Roman"/>
          <w:color w:val="000000"/>
          <w:szCs w:val="22"/>
          <w:lang w:eastAsia="en-AU"/>
        </w:rPr>
        <w:t>period;</w:t>
      </w:r>
      <w:proofErr w:type="gramEnd"/>
      <w:r w:rsidR="00DE2ACA" w:rsidRPr="00DE2ACA">
        <w:rPr>
          <w:rFonts w:eastAsia="Times New Roman" w:cs="Times New Roman"/>
          <w:color w:val="000000"/>
          <w:szCs w:val="22"/>
          <w:lang w:eastAsia="en-AU"/>
        </w:rPr>
        <w:t xml:space="preserve"> </w:t>
      </w:r>
    </w:p>
    <w:p w14:paraId="0C1B421F" w14:textId="644715C4" w:rsidR="005A0866" w:rsidRDefault="004536C4" w:rsidP="004A7133">
      <w:pPr>
        <w:pStyle w:val="ListParagraph"/>
        <w:numPr>
          <w:ilvl w:val="1"/>
          <w:numId w:val="9"/>
        </w:numPr>
        <w:spacing w:before="40" w:line="240" w:lineRule="auto"/>
        <w:rPr>
          <w:rFonts w:eastAsia="Times New Roman" w:cs="Times New Roman"/>
          <w:color w:val="000000"/>
          <w:szCs w:val="22"/>
          <w:lang w:eastAsia="en-AU"/>
        </w:rPr>
      </w:pPr>
      <w:r w:rsidRPr="004536C4">
        <w:rPr>
          <w:rFonts w:eastAsia="Times New Roman" w:cs="Times New Roman"/>
          <w:color w:val="000000"/>
          <w:szCs w:val="22"/>
          <w:lang w:eastAsia="en-AU"/>
        </w:rPr>
        <w:t>avoiding the emission of methane and nitrous oxide from the burning of savannas, compared to the emissions during the baseline period;</w:t>
      </w:r>
      <w:r w:rsidR="00F26B1F">
        <w:rPr>
          <w:rFonts w:eastAsia="Times New Roman" w:cs="Times New Roman"/>
          <w:color w:val="000000"/>
          <w:szCs w:val="22"/>
          <w:lang w:eastAsia="en-AU"/>
        </w:rPr>
        <w:t xml:space="preserve"> and</w:t>
      </w:r>
    </w:p>
    <w:p w14:paraId="0CE428A1" w14:textId="2ADAC2D0" w:rsidR="004B659B" w:rsidRPr="00E56418" w:rsidRDefault="009244DA" w:rsidP="004A7133">
      <w:pPr>
        <w:pStyle w:val="ListParagraph"/>
        <w:numPr>
          <w:ilvl w:val="0"/>
          <w:numId w:val="9"/>
        </w:numPr>
        <w:spacing w:before="40" w:line="240" w:lineRule="auto"/>
        <w:rPr>
          <w:rFonts w:eastAsia="Times New Roman" w:cs="Times New Roman"/>
          <w:color w:val="000000"/>
          <w:szCs w:val="22"/>
          <w:lang w:eastAsia="en-AU"/>
        </w:rPr>
      </w:pPr>
      <w:r w:rsidRPr="009244DA">
        <w:rPr>
          <w:rFonts w:eastAsia="Times New Roman" w:cs="Times New Roman"/>
          <w:color w:val="000000"/>
          <w:szCs w:val="22"/>
          <w:lang w:eastAsia="en-AU"/>
        </w:rPr>
        <w:t xml:space="preserve">does not result in an increase </w:t>
      </w:r>
      <w:r w:rsidRPr="00E56418">
        <w:rPr>
          <w:rFonts w:eastAsia="Times New Roman" w:cs="Times New Roman"/>
          <w:color w:val="000000"/>
          <w:szCs w:val="22"/>
          <w:lang w:eastAsia="en-AU"/>
        </w:rPr>
        <w:t>in:</w:t>
      </w:r>
    </w:p>
    <w:p w14:paraId="0697B675" w14:textId="101F9D2E" w:rsidR="00DF7BE6" w:rsidRPr="00E56418" w:rsidRDefault="00DF7BE6" w:rsidP="004A7133">
      <w:pPr>
        <w:pStyle w:val="paragraphsub"/>
        <w:numPr>
          <w:ilvl w:val="1"/>
          <w:numId w:val="9"/>
        </w:numPr>
      </w:pPr>
      <w:r w:rsidRPr="00E56418">
        <w:t xml:space="preserve">greenhouse gas emissions from other </w:t>
      </w:r>
      <w:r w:rsidR="00850C5E">
        <w:t xml:space="preserve">any other </w:t>
      </w:r>
      <w:r w:rsidRPr="00E56418">
        <w:t>source; or</w:t>
      </w:r>
    </w:p>
    <w:p w14:paraId="7E92A4DC" w14:textId="303D56CE" w:rsidR="00044FD1" w:rsidRPr="00E56418" w:rsidRDefault="00E56418" w:rsidP="004A7133">
      <w:pPr>
        <w:pStyle w:val="paragraphsub"/>
        <w:numPr>
          <w:ilvl w:val="1"/>
          <w:numId w:val="9"/>
        </w:numPr>
      </w:pPr>
      <w:r w:rsidRPr="00E56418">
        <w:t>the rate of decomposition of organic carbon;</w:t>
      </w:r>
      <w:r w:rsidR="00F26B1F">
        <w:t xml:space="preserve"> and</w:t>
      </w:r>
    </w:p>
    <w:p w14:paraId="37F02D55" w14:textId="55715EA7" w:rsidR="00044FD1" w:rsidRPr="00902CBD" w:rsidRDefault="00044FD1" w:rsidP="004A7133">
      <w:pPr>
        <w:pStyle w:val="paragraph"/>
        <w:numPr>
          <w:ilvl w:val="0"/>
          <w:numId w:val="9"/>
        </w:numPr>
      </w:pPr>
      <w:r w:rsidRPr="00902CBD">
        <w:tab/>
      </w:r>
      <w:r w:rsidR="00B57BD3" w:rsidRPr="00902CBD">
        <w:t>is carried out on a savanna that is in either or both of the following</w:t>
      </w:r>
      <w:r w:rsidRPr="00902CBD">
        <w:t>:</w:t>
      </w:r>
    </w:p>
    <w:p w14:paraId="1407F50A" w14:textId="238A4E50" w:rsidR="00044FD1" w:rsidRPr="00902CBD" w:rsidRDefault="00044FD1" w:rsidP="002A0806">
      <w:pPr>
        <w:pStyle w:val="paragraphsub"/>
        <w:ind w:left="1636" w:firstLine="0"/>
      </w:pPr>
      <w:r w:rsidRPr="00902CBD">
        <w:tab/>
        <w:t>(</w:t>
      </w:r>
      <w:proofErr w:type="spellStart"/>
      <w:r w:rsidRPr="00902CBD">
        <w:t>i</w:t>
      </w:r>
      <w:proofErr w:type="spellEnd"/>
      <w:r w:rsidRPr="00902CBD">
        <w:t>)</w:t>
      </w:r>
      <w:r w:rsidRPr="00902CBD">
        <w:tab/>
      </w:r>
      <w:r w:rsidR="006F32D8" w:rsidRPr="00902CBD">
        <w:t>the high</w:t>
      </w:r>
      <w:r w:rsidR="004C1589">
        <w:t xml:space="preserve"> </w:t>
      </w:r>
      <w:r w:rsidR="006F32D8" w:rsidRPr="00902CBD">
        <w:t xml:space="preserve">rainfall </w:t>
      </w:r>
      <w:proofErr w:type="gramStart"/>
      <w:r w:rsidR="006F32D8" w:rsidRPr="00902CBD">
        <w:t>zone</w:t>
      </w:r>
      <w:r w:rsidRPr="00902CBD">
        <w:t>;</w:t>
      </w:r>
      <w:proofErr w:type="gramEnd"/>
    </w:p>
    <w:p w14:paraId="10504E56" w14:textId="0BEB2975" w:rsidR="00044FD1" w:rsidRPr="00902CBD" w:rsidRDefault="00044FD1" w:rsidP="002A0806">
      <w:pPr>
        <w:pStyle w:val="paragraphsub"/>
        <w:ind w:left="1636" w:firstLine="0"/>
      </w:pPr>
      <w:r w:rsidRPr="00902CBD">
        <w:tab/>
        <w:t>(ii)</w:t>
      </w:r>
      <w:r w:rsidRPr="00902CBD">
        <w:tab/>
      </w:r>
      <w:r w:rsidR="00902CBD" w:rsidRPr="00902CBD">
        <w:t>the low</w:t>
      </w:r>
      <w:r w:rsidR="004C1589">
        <w:t xml:space="preserve"> </w:t>
      </w:r>
      <w:r w:rsidR="00902CBD" w:rsidRPr="00902CBD">
        <w:t>rainfall zone;</w:t>
      </w:r>
      <w:r w:rsidRPr="00902CBD">
        <w:t xml:space="preserve"> and</w:t>
      </w:r>
    </w:p>
    <w:p w14:paraId="09B945F0" w14:textId="3FF6E949" w:rsidR="00847544" w:rsidRPr="00BB2714" w:rsidRDefault="00AE45CC" w:rsidP="004A7133">
      <w:pPr>
        <w:pStyle w:val="ListParagraph"/>
        <w:numPr>
          <w:ilvl w:val="0"/>
          <w:numId w:val="9"/>
        </w:numPr>
        <w:spacing w:before="40" w:line="240" w:lineRule="auto"/>
      </w:pPr>
      <w:r w:rsidRPr="00AE45CC">
        <w:t xml:space="preserve">can reasonably be </w:t>
      </w:r>
      <w:r w:rsidRPr="00BB2714">
        <w:t>expected to result in eligible carbon abatement.</w:t>
      </w:r>
    </w:p>
    <w:p w14:paraId="14BC031C" w14:textId="5EC51DC4" w:rsidR="00BB2714" w:rsidRDefault="00BB2714" w:rsidP="00901897">
      <w:pPr>
        <w:pStyle w:val="subsection"/>
        <w:numPr>
          <w:ilvl w:val="0"/>
          <w:numId w:val="8"/>
        </w:numPr>
      </w:pPr>
      <w:r w:rsidRPr="00BB2714">
        <w:t>A project covered by subsection (1) is a </w:t>
      </w:r>
      <w:r w:rsidRPr="00BB2714">
        <w:rPr>
          <w:b/>
          <w:bCs/>
          <w:i/>
          <w:iCs/>
        </w:rPr>
        <w:t>savanna sequestration project</w:t>
      </w:r>
      <w:r w:rsidRPr="00BB2714">
        <w:t>.</w:t>
      </w:r>
    </w:p>
    <w:p w14:paraId="54E3C9F1" w14:textId="57A2318A" w:rsidR="00381411" w:rsidRPr="00BB2714" w:rsidRDefault="001B0FAF" w:rsidP="00901897">
      <w:pPr>
        <w:pStyle w:val="subsection"/>
        <w:numPr>
          <w:ilvl w:val="0"/>
          <w:numId w:val="8"/>
        </w:numPr>
      </w:pPr>
      <w:r w:rsidRPr="001B0FAF">
        <w:lastRenderedPageBreak/>
        <w:t xml:space="preserve">This </w:t>
      </w:r>
      <w:r w:rsidR="00701EBB">
        <w:t>instrument</w:t>
      </w:r>
      <w:r w:rsidRPr="001B0FAF">
        <w:t xml:space="preserve"> does not apply to an offsets project </w:t>
      </w:r>
      <w:r w:rsidR="00475C45">
        <w:t xml:space="preserve">if that offsets project </w:t>
      </w:r>
      <w:r w:rsidR="00036330">
        <w:t xml:space="preserve">has been or could be covered by a </w:t>
      </w:r>
      <w:r w:rsidRPr="001B0FAF">
        <w:t>savanna emissions avoidance determination.</w:t>
      </w:r>
    </w:p>
    <w:p w14:paraId="360A2843" w14:textId="621FF33E" w:rsidR="00323E8D" w:rsidRDefault="00AE3403" w:rsidP="000502C3">
      <w:pPr>
        <w:pStyle w:val="notetext"/>
      </w:pPr>
      <w:r w:rsidRPr="009C2562">
        <w:t>Note:</w:t>
      </w:r>
      <w:r w:rsidRPr="009C2562">
        <w:tab/>
      </w:r>
      <w:r>
        <w:t>The</w:t>
      </w:r>
      <w:r w:rsidRPr="009C2562">
        <w:t xml:space="preserve"> </w:t>
      </w:r>
      <w:r w:rsidR="00356123" w:rsidRPr="006F4B8D">
        <w:rPr>
          <w:i/>
          <w:iCs/>
        </w:rPr>
        <w:t>Carbon Credits (Carbon Farming Initiative—Savanna Fire Management— Emissions Avoidance) Methodology Determination 2025</w:t>
      </w:r>
      <w:r w:rsidR="00356123">
        <w:t xml:space="preserve"> </w:t>
      </w:r>
      <w:r w:rsidR="009146DA">
        <w:t xml:space="preserve">covers offsets projects that involve </w:t>
      </w:r>
      <w:r w:rsidR="000502C3" w:rsidRPr="004B659B">
        <w:rPr>
          <w:color w:val="000000"/>
          <w:szCs w:val="22"/>
        </w:rPr>
        <w:t>undertaking savanna fire managemen</w:t>
      </w:r>
      <w:r w:rsidR="000502C3">
        <w:rPr>
          <w:color w:val="000000"/>
          <w:szCs w:val="22"/>
        </w:rPr>
        <w:t xml:space="preserve">t with the </w:t>
      </w:r>
      <w:r w:rsidR="0069300A">
        <w:rPr>
          <w:color w:val="000000"/>
          <w:szCs w:val="22"/>
        </w:rPr>
        <w:t xml:space="preserve">sole </w:t>
      </w:r>
      <w:r w:rsidR="000502C3">
        <w:rPr>
          <w:color w:val="000000"/>
          <w:szCs w:val="22"/>
        </w:rPr>
        <w:t xml:space="preserve">objective of </w:t>
      </w:r>
      <w:r w:rsidR="000502C3" w:rsidRPr="004536C4">
        <w:rPr>
          <w:color w:val="000000"/>
          <w:szCs w:val="22"/>
        </w:rPr>
        <w:t>avoiding the emission of methane and nitrous oxide from the burning of savannas, compared to the emissions during the baseline period</w:t>
      </w:r>
      <w:r w:rsidR="000502C3">
        <w:rPr>
          <w:color w:val="000000"/>
          <w:szCs w:val="22"/>
        </w:rPr>
        <w:t>.</w:t>
      </w:r>
    </w:p>
    <w:p w14:paraId="2DE32F49" w14:textId="259008E7" w:rsidR="00364F33" w:rsidRDefault="00364F33" w:rsidP="00364F33">
      <w:pPr>
        <w:pStyle w:val="ActHead2"/>
      </w:pPr>
      <w:bookmarkStart w:id="20" w:name="_Toc202953795"/>
      <w:r w:rsidRPr="00C55737">
        <w:t xml:space="preserve">Part </w:t>
      </w:r>
      <w:r w:rsidR="00FF3C9A">
        <w:t>3</w:t>
      </w:r>
      <w:r w:rsidRPr="00C55737">
        <w:t>—</w:t>
      </w:r>
      <w:r w:rsidR="004F495D">
        <w:t>Project requirements</w:t>
      </w:r>
      <w:bookmarkEnd w:id="20"/>
    </w:p>
    <w:p w14:paraId="5BB5EBF7" w14:textId="7EA28A16" w:rsidR="00874B06" w:rsidRPr="00171E3E" w:rsidRDefault="00874B06" w:rsidP="00867A6B">
      <w:pPr>
        <w:pStyle w:val="ActHead3"/>
      </w:pPr>
      <w:bookmarkStart w:id="21" w:name="_Toc202953796"/>
      <w:r w:rsidRPr="009D2663">
        <w:t xml:space="preserve">Division </w:t>
      </w:r>
      <w:r>
        <w:t>1</w:t>
      </w:r>
      <w:r w:rsidR="00574A5C" w:rsidRPr="00574A5C">
        <w:t>—</w:t>
      </w:r>
      <w:r>
        <w:t>General</w:t>
      </w:r>
      <w:bookmarkEnd w:id="21"/>
    </w:p>
    <w:p w14:paraId="6F97D89F" w14:textId="730E69B8" w:rsidR="00323E8D" w:rsidRDefault="009D2A77" w:rsidP="00246574">
      <w:pPr>
        <w:pStyle w:val="ActHead5"/>
        <w:ind w:left="0" w:firstLine="0"/>
      </w:pPr>
      <w:bookmarkStart w:id="22" w:name="_Toc202953797"/>
      <w:proofErr w:type="gramStart"/>
      <w:r>
        <w:t>11</w:t>
      </w:r>
      <w:r w:rsidR="00323E8D" w:rsidRPr="002F2708">
        <w:t xml:space="preserve">  </w:t>
      </w:r>
      <w:r w:rsidR="006A2669" w:rsidRPr="002F2708">
        <w:t>Operation</w:t>
      </w:r>
      <w:proofErr w:type="gramEnd"/>
      <w:r w:rsidR="006A2669" w:rsidRPr="002F2708">
        <w:t xml:space="preserve"> of this Part</w:t>
      </w:r>
      <w:bookmarkEnd w:id="22"/>
    </w:p>
    <w:p w14:paraId="55552E01" w14:textId="3AA4D6FB" w:rsidR="00894A25" w:rsidRPr="00B47FCE" w:rsidRDefault="00C522EC" w:rsidP="00246574">
      <w:pPr>
        <w:pStyle w:val="subsection"/>
        <w:numPr>
          <w:ilvl w:val="0"/>
          <w:numId w:val="54"/>
        </w:numPr>
        <w:ind w:left="1134" w:hanging="425"/>
      </w:pPr>
      <w:r>
        <w:t xml:space="preserve">  </w:t>
      </w:r>
      <w:r w:rsidR="00246574" w:rsidRPr="002F2708">
        <w:t>For the purposes of paragraph 106(1)(b) of the Act, this Part sets out requirements that must be met for a savanna sequestration project to be an eligible offsets project</w:t>
      </w:r>
      <w:r w:rsidR="00894A25">
        <w:t>.</w:t>
      </w:r>
    </w:p>
    <w:p w14:paraId="3FD2B561" w14:textId="4A6812EA" w:rsidR="00894A25" w:rsidRPr="007E6F83" w:rsidRDefault="00C522EC" w:rsidP="00246574">
      <w:pPr>
        <w:pStyle w:val="subsection"/>
        <w:numPr>
          <w:ilvl w:val="0"/>
          <w:numId w:val="54"/>
        </w:numPr>
        <w:ind w:left="1134" w:hanging="425"/>
      </w:pPr>
      <w:r>
        <w:t xml:space="preserve">  </w:t>
      </w:r>
      <w:r w:rsidR="00894A25">
        <w:t xml:space="preserve">Division </w:t>
      </w:r>
      <w:r w:rsidR="009D7EA1">
        <w:t>6</w:t>
      </w:r>
      <w:r w:rsidR="00894A25">
        <w:t xml:space="preserve"> specifies</w:t>
      </w:r>
      <w:r w:rsidR="00894A25" w:rsidRPr="007E6F83">
        <w:t>:</w:t>
      </w:r>
    </w:p>
    <w:p w14:paraId="3481F2F1" w14:textId="23171038" w:rsidR="00246574" w:rsidRDefault="000751FD" w:rsidP="00246574">
      <w:pPr>
        <w:pStyle w:val="paragraph"/>
        <w:numPr>
          <w:ilvl w:val="0"/>
          <w:numId w:val="53"/>
        </w:numPr>
        <w:ind w:left="1560" w:hanging="284"/>
      </w:pPr>
      <w:r>
        <w:t xml:space="preserve"> </w:t>
      </w:r>
      <w:r w:rsidR="00894A25">
        <w:t>for the purposes of subparagraph 27(4</w:t>
      </w:r>
      <w:proofErr w:type="gramStart"/>
      <w:r w:rsidR="00894A25">
        <w:t>A)(</w:t>
      </w:r>
      <w:proofErr w:type="gramEnd"/>
      <w:r w:rsidR="00894A25">
        <w:t xml:space="preserve">a)(ii) of the Act, requirements in </w:t>
      </w:r>
      <w:r w:rsidR="00894A25" w:rsidRPr="00B6393B">
        <w:t>lieu of the newness requirement</w:t>
      </w:r>
      <w:r w:rsidR="00894A25" w:rsidRPr="00F61912">
        <w:t xml:space="preserve"> for </w:t>
      </w:r>
      <w:r w:rsidR="00801F28" w:rsidRPr="002F2708">
        <w:t>savanna sequestration project</w:t>
      </w:r>
      <w:r w:rsidR="00107E17">
        <w:t>s</w:t>
      </w:r>
      <w:r w:rsidR="00894A25">
        <w:t>; and</w:t>
      </w:r>
    </w:p>
    <w:p w14:paraId="3A8F72E8" w14:textId="4BDB17B7" w:rsidR="00894A25" w:rsidRPr="007E6F83" w:rsidRDefault="00894A25" w:rsidP="00246574">
      <w:pPr>
        <w:pStyle w:val="paragraph"/>
        <w:numPr>
          <w:ilvl w:val="0"/>
          <w:numId w:val="53"/>
        </w:numPr>
        <w:ind w:left="1560" w:hanging="284"/>
      </w:pPr>
      <w:r>
        <w:t>for the purposes of subparagraph 27(4</w:t>
      </w:r>
      <w:proofErr w:type="gramStart"/>
      <w:r>
        <w:t>A)(</w:t>
      </w:r>
      <w:proofErr w:type="gramEnd"/>
      <w:r>
        <w:t xml:space="preserve">b)(ii) of the Act, a </w:t>
      </w:r>
      <w:r w:rsidRPr="00F61912">
        <w:t xml:space="preserve">requirement </w:t>
      </w:r>
      <w:r w:rsidRPr="00B6393B">
        <w:t>in lieu of the regulatory additionality requirement</w:t>
      </w:r>
      <w:r w:rsidR="00107E17">
        <w:t xml:space="preserve"> for </w:t>
      </w:r>
      <w:r w:rsidR="00107E17" w:rsidRPr="002F2708">
        <w:t>savanna sequestration project</w:t>
      </w:r>
      <w:r w:rsidR="00107E17">
        <w:t>s</w:t>
      </w:r>
      <w:r w:rsidRPr="00F61912">
        <w:t>.</w:t>
      </w:r>
    </w:p>
    <w:p w14:paraId="2FD506B0" w14:textId="1D795A04" w:rsidR="00894A25" w:rsidRDefault="00C522EC" w:rsidP="00107E17">
      <w:pPr>
        <w:pStyle w:val="subsection"/>
        <w:numPr>
          <w:ilvl w:val="0"/>
          <w:numId w:val="54"/>
        </w:numPr>
        <w:ind w:left="1134" w:hanging="425"/>
      </w:pPr>
      <w:r>
        <w:t xml:space="preserve">  </w:t>
      </w:r>
      <w:r w:rsidR="00894A25">
        <w:t>For the purposes of paragraph 69(</w:t>
      </w:r>
      <w:r w:rsidR="00892360">
        <w:t>2</w:t>
      </w:r>
      <w:r w:rsidR="00894A25">
        <w:t xml:space="preserve">)(b) of the Act, Division </w:t>
      </w:r>
      <w:r w:rsidR="009D7EA1">
        <w:t>7</w:t>
      </w:r>
      <w:r w:rsidR="00894A25">
        <w:t xml:space="preserve"> specifies crediting periods for certain project</w:t>
      </w:r>
      <w:r w:rsidR="00107E17">
        <w:t>s</w:t>
      </w:r>
      <w:r w:rsidR="00894A25">
        <w:t>.</w:t>
      </w:r>
    </w:p>
    <w:p w14:paraId="6D3715E8" w14:textId="056B93B3" w:rsidR="00574A5C" w:rsidRPr="00171E3E" w:rsidRDefault="00574A5C" w:rsidP="00867A6B">
      <w:pPr>
        <w:pStyle w:val="ActHead3"/>
      </w:pPr>
      <w:bookmarkStart w:id="23" w:name="_Toc202953798"/>
      <w:r w:rsidRPr="009D2663">
        <w:t xml:space="preserve">Division </w:t>
      </w:r>
      <w:r>
        <w:t>2</w:t>
      </w:r>
      <w:r w:rsidRPr="00574A5C">
        <w:t>—</w:t>
      </w:r>
      <w:r>
        <w:t>Project area</w:t>
      </w:r>
      <w:bookmarkEnd w:id="23"/>
    </w:p>
    <w:p w14:paraId="5021EE11" w14:textId="4B6E357D" w:rsidR="00323E8D" w:rsidRPr="00A65DAC" w:rsidRDefault="009D2A77" w:rsidP="00294106">
      <w:pPr>
        <w:pStyle w:val="ActHead5"/>
      </w:pPr>
      <w:bookmarkStart w:id="24" w:name="_Toc202953799"/>
      <w:proofErr w:type="gramStart"/>
      <w:r>
        <w:t>12</w:t>
      </w:r>
      <w:r w:rsidR="00323E8D" w:rsidRPr="00A65DAC">
        <w:t xml:space="preserve">  </w:t>
      </w:r>
      <w:r w:rsidR="00294106" w:rsidRPr="00A65DAC">
        <w:rPr>
          <w:bCs/>
        </w:rPr>
        <w:t>Requirement</w:t>
      </w:r>
      <w:proofErr w:type="gramEnd"/>
      <w:r w:rsidR="00294106" w:rsidRPr="00A65DAC">
        <w:rPr>
          <w:bCs/>
        </w:rPr>
        <w:t xml:space="preserve"> to be in high or low rainfall zone</w:t>
      </w:r>
      <w:bookmarkEnd w:id="24"/>
    </w:p>
    <w:p w14:paraId="731CD442" w14:textId="2D507A40" w:rsidR="004D6810" w:rsidRDefault="00323E8D" w:rsidP="004D6810">
      <w:pPr>
        <w:pStyle w:val="subsection"/>
      </w:pPr>
      <w:r w:rsidRPr="00A65DAC">
        <w:tab/>
      </w:r>
      <w:r w:rsidR="006F7DFC" w:rsidRPr="00A65DAC">
        <w:tab/>
      </w:r>
      <w:r w:rsidR="00120252" w:rsidRPr="00120252">
        <w:t>A project area must not include an area of land that is in neither the high rainfall zone nor the low rainfall zone</w:t>
      </w:r>
      <w:r w:rsidR="006F7DFC" w:rsidRPr="00A65DAC">
        <w:t>.</w:t>
      </w:r>
    </w:p>
    <w:p w14:paraId="31201497" w14:textId="72BD3E9A" w:rsidR="004D6810" w:rsidRPr="004D6810" w:rsidRDefault="004D6810" w:rsidP="004D6810">
      <w:pPr>
        <w:pStyle w:val="ActHead5"/>
      </w:pPr>
      <w:bookmarkStart w:id="25" w:name="_Toc202953800"/>
      <w:proofErr w:type="gramStart"/>
      <w:r>
        <w:t>1</w:t>
      </w:r>
      <w:r w:rsidR="009D2A77">
        <w:t>3</w:t>
      </w:r>
      <w:r w:rsidRPr="00A65DAC">
        <w:t xml:space="preserve">  </w:t>
      </w:r>
      <w:r w:rsidRPr="00A65DAC">
        <w:rPr>
          <w:bCs/>
        </w:rPr>
        <w:t>Requirement</w:t>
      </w:r>
      <w:proofErr w:type="gramEnd"/>
      <w:r w:rsidRPr="00A65DAC">
        <w:rPr>
          <w:bCs/>
        </w:rPr>
        <w:t xml:space="preserve"> to </w:t>
      </w:r>
      <w:r>
        <w:rPr>
          <w:bCs/>
        </w:rPr>
        <w:t>maintain vegetation fuel types</w:t>
      </w:r>
      <w:bookmarkEnd w:id="25"/>
    </w:p>
    <w:p w14:paraId="359F4E03" w14:textId="745666B5" w:rsidR="0011342A" w:rsidRDefault="00443627" w:rsidP="004A7133">
      <w:pPr>
        <w:pStyle w:val="subsection"/>
        <w:numPr>
          <w:ilvl w:val="0"/>
          <w:numId w:val="20"/>
        </w:numPr>
      </w:pPr>
      <w:r w:rsidRPr="00A759AF">
        <w:t>A</w:t>
      </w:r>
      <w:r w:rsidR="000A58D6">
        <w:t xml:space="preserve"> project area or</w:t>
      </w:r>
      <w:r w:rsidR="006D22D8">
        <w:t xml:space="preserve"> a</w:t>
      </w:r>
      <w:r w:rsidRPr="00A759AF">
        <w:t xml:space="preserve"> project area part</w:t>
      </w:r>
      <w:r w:rsidR="002176C4" w:rsidRPr="00A759AF">
        <w:t xml:space="preserve"> must</w:t>
      </w:r>
      <w:r w:rsidR="00CD1D6B" w:rsidRPr="00A759AF">
        <w:t xml:space="preserve"> </w:t>
      </w:r>
      <w:r w:rsidR="002176C4" w:rsidRPr="00A759AF">
        <w:t>include an area of land that contains a vegetation fuel type</w:t>
      </w:r>
      <w:r w:rsidR="00CD1D6B" w:rsidRPr="00A759AF">
        <w:t xml:space="preserve"> at the relevant date</w:t>
      </w:r>
      <w:r w:rsidR="0011342A">
        <w:t>.</w:t>
      </w:r>
    </w:p>
    <w:p w14:paraId="5FEC9BDD" w14:textId="3295C754" w:rsidR="00EA6EA4" w:rsidRPr="00A759AF" w:rsidRDefault="0011342A" w:rsidP="004A7133">
      <w:pPr>
        <w:pStyle w:val="subsection"/>
        <w:numPr>
          <w:ilvl w:val="0"/>
          <w:numId w:val="20"/>
        </w:numPr>
      </w:pPr>
      <w:r>
        <w:t xml:space="preserve">A </w:t>
      </w:r>
      <w:r w:rsidR="00BB4037">
        <w:t xml:space="preserve">project area or a </w:t>
      </w:r>
      <w:r>
        <w:t xml:space="preserve">project area </w:t>
      </w:r>
      <w:r w:rsidR="00F254E4">
        <w:t>part</w:t>
      </w:r>
      <w:r w:rsidR="00CD1D6B" w:rsidRPr="00A759AF">
        <w:t>:</w:t>
      </w:r>
    </w:p>
    <w:p w14:paraId="1A85523C" w14:textId="307F8208" w:rsidR="00FD1467" w:rsidRPr="00A759AF" w:rsidRDefault="00BF2A33" w:rsidP="004A7133">
      <w:pPr>
        <w:pStyle w:val="subsection"/>
        <w:numPr>
          <w:ilvl w:val="1"/>
          <w:numId w:val="20"/>
        </w:numPr>
        <w:spacing w:before="0"/>
      </w:pPr>
      <w:r>
        <w:t xml:space="preserve">must </w:t>
      </w:r>
      <w:r w:rsidR="00CD1D6B" w:rsidRPr="00A759AF">
        <w:t>continue to include an area of land that contains a vegetation fuel type; or</w:t>
      </w:r>
    </w:p>
    <w:p w14:paraId="44B7EC51" w14:textId="316E90F6" w:rsidR="00CD1D6B" w:rsidRPr="00A759AF" w:rsidRDefault="00BE612B" w:rsidP="004A7133">
      <w:pPr>
        <w:pStyle w:val="subsection"/>
        <w:numPr>
          <w:ilvl w:val="1"/>
          <w:numId w:val="20"/>
        </w:numPr>
        <w:spacing w:before="0" w:after="240"/>
      </w:pPr>
      <w:r w:rsidRPr="00A759AF">
        <w:t xml:space="preserve">if the </w:t>
      </w:r>
      <w:r w:rsidR="00B15C5D" w:rsidRPr="00A759AF">
        <w:t xml:space="preserve">project area </w:t>
      </w:r>
      <w:r w:rsidR="00EA5903">
        <w:t>or</w:t>
      </w:r>
      <w:r w:rsidR="00B15C5D" w:rsidRPr="00A759AF">
        <w:t xml:space="preserve"> </w:t>
      </w:r>
      <w:r w:rsidR="002D3E3E">
        <w:t xml:space="preserve">part </w:t>
      </w:r>
      <w:r w:rsidR="0077674D">
        <w:t xml:space="preserve">does not </w:t>
      </w:r>
      <w:r w:rsidR="00002A2A">
        <w:t xml:space="preserve">continue to </w:t>
      </w:r>
      <w:r w:rsidR="00B15C5D" w:rsidRPr="00A759AF">
        <w:t xml:space="preserve">include </w:t>
      </w:r>
      <w:r w:rsidR="00A26A11">
        <w:t>an</w:t>
      </w:r>
      <w:r w:rsidR="00B15C5D" w:rsidRPr="00A759AF">
        <w:t xml:space="preserve"> area of land that contains a vegetation fuel type</w:t>
      </w:r>
      <w:r w:rsidR="00DE5E56">
        <w:t>—</w:t>
      </w:r>
      <w:r w:rsidR="00EF7C8C">
        <w:t>must be</w:t>
      </w:r>
      <w:r w:rsidR="00F1403B">
        <w:t xml:space="preserve"> </w:t>
      </w:r>
      <w:r w:rsidR="00024944" w:rsidRPr="00A759AF">
        <w:t xml:space="preserve">removed from the project in accordance with section </w:t>
      </w:r>
      <w:r w:rsidR="00913896">
        <w:t>16</w:t>
      </w:r>
      <w:r w:rsidR="00024944" w:rsidRPr="00A759AF">
        <w:t xml:space="preserve"> </w:t>
      </w:r>
      <w:r w:rsidR="00A233ED" w:rsidRPr="00A759AF">
        <w:t xml:space="preserve">as soon as practicable </w:t>
      </w:r>
      <w:r w:rsidR="00002A2A">
        <w:t>(</w:t>
      </w:r>
      <w:r w:rsidR="00A233ED" w:rsidRPr="00A759AF">
        <w:t xml:space="preserve">and no later than the end of the </w:t>
      </w:r>
      <w:r w:rsidR="00803215">
        <w:t xml:space="preserve">relevant </w:t>
      </w:r>
      <w:r w:rsidR="00A233ED" w:rsidRPr="00A759AF">
        <w:t>reporting period</w:t>
      </w:r>
      <w:r w:rsidR="00803215">
        <w:t>)</w:t>
      </w:r>
      <w:r w:rsidR="00D840E2">
        <w:t>.</w:t>
      </w:r>
      <w:r w:rsidR="00A233ED" w:rsidRPr="00A759AF">
        <w:t xml:space="preserve"> </w:t>
      </w:r>
    </w:p>
    <w:p w14:paraId="04FFBD5D" w14:textId="57139654" w:rsidR="00681778" w:rsidRDefault="00500ADC" w:rsidP="002A0A38">
      <w:pPr>
        <w:pStyle w:val="subsection"/>
        <w:numPr>
          <w:ilvl w:val="0"/>
          <w:numId w:val="20"/>
        </w:numPr>
        <w:spacing w:after="240"/>
      </w:pPr>
      <w:r w:rsidRPr="00A759AF">
        <w:lastRenderedPageBreak/>
        <w:t>In this section</w:t>
      </w:r>
      <w:r w:rsidR="00681778">
        <w:t>:</w:t>
      </w:r>
      <w:r w:rsidRPr="00A759AF">
        <w:t xml:space="preserve"> </w:t>
      </w:r>
    </w:p>
    <w:p w14:paraId="0ADF1CAF" w14:textId="1E665157" w:rsidR="003F081B" w:rsidRPr="00A759AF" w:rsidRDefault="00500ADC" w:rsidP="002A0A38">
      <w:pPr>
        <w:pStyle w:val="subsection"/>
        <w:spacing w:after="240"/>
        <w:ind w:left="1130" w:firstLine="0"/>
      </w:pPr>
      <w:r w:rsidRPr="00A759AF">
        <w:rPr>
          <w:b/>
          <w:bCs/>
          <w:i/>
          <w:iCs/>
        </w:rPr>
        <w:t>relevant date</w:t>
      </w:r>
      <w:r w:rsidRPr="00A759AF">
        <w:t xml:space="preserve"> means </w:t>
      </w:r>
      <w:r w:rsidR="00113AAF" w:rsidRPr="00A759AF">
        <w:t>the date of the section 22 application</w:t>
      </w:r>
      <w:r w:rsidR="00C76740">
        <w:t xml:space="preserve">, </w:t>
      </w:r>
      <w:r w:rsidR="00113AAF" w:rsidRPr="00A759AF">
        <w:t xml:space="preserve">section 29 application </w:t>
      </w:r>
      <w:r w:rsidR="00C76740">
        <w:t>or section 128 applic</w:t>
      </w:r>
      <w:r w:rsidR="006617ED">
        <w:t xml:space="preserve">ation </w:t>
      </w:r>
      <w:r w:rsidR="00113AAF" w:rsidRPr="00A759AF">
        <w:t xml:space="preserve">in which the project area </w:t>
      </w:r>
      <w:r w:rsidR="004B4C0E">
        <w:t xml:space="preserve">or part </w:t>
      </w:r>
      <w:r w:rsidR="00113AAF" w:rsidRPr="00A759AF">
        <w:t>is first identified.</w:t>
      </w:r>
    </w:p>
    <w:p w14:paraId="319344BC" w14:textId="5A5A668D" w:rsidR="00AC66ED" w:rsidRDefault="00681778" w:rsidP="002A0A38">
      <w:pPr>
        <w:pStyle w:val="subsection"/>
        <w:spacing w:before="0"/>
        <w:ind w:left="1130" w:firstLine="0"/>
      </w:pPr>
      <w:r w:rsidRPr="00A759AF">
        <w:rPr>
          <w:b/>
          <w:bCs/>
          <w:i/>
          <w:iCs/>
        </w:rPr>
        <w:t xml:space="preserve">relevant </w:t>
      </w:r>
      <w:r>
        <w:rPr>
          <w:b/>
          <w:bCs/>
          <w:i/>
          <w:iCs/>
        </w:rPr>
        <w:t xml:space="preserve">reporting period </w:t>
      </w:r>
      <w:r w:rsidRPr="00A759AF">
        <w:t xml:space="preserve">means the </w:t>
      </w:r>
      <w:r w:rsidR="00BC16BB">
        <w:t>reporting period during which</w:t>
      </w:r>
      <w:r w:rsidR="00AC66ED">
        <w:t>:</w:t>
      </w:r>
    </w:p>
    <w:p w14:paraId="10FB2CA8" w14:textId="2E47B5A4" w:rsidR="008D2A95" w:rsidRDefault="00BC16BB" w:rsidP="002A0A38">
      <w:pPr>
        <w:pStyle w:val="subsection"/>
        <w:numPr>
          <w:ilvl w:val="0"/>
          <w:numId w:val="62"/>
        </w:numPr>
        <w:spacing w:before="0"/>
        <w:ind w:left="1701" w:hanging="425"/>
      </w:pPr>
      <w:r>
        <w:t xml:space="preserve">the </w:t>
      </w:r>
      <w:r w:rsidR="00681778" w:rsidRPr="00681778">
        <w:t xml:space="preserve">project area </w:t>
      </w:r>
      <w:r w:rsidR="004B4C0E">
        <w:t xml:space="preserve">or part </w:t>
      </w:r>
      <w:r w:rsidR="00FD72EF">
        <w:t>d</w:t>
      </w:r>
      <w:r w:rsidR="00B74140">
        <w:t>oes</w:t>
      </w:r>
      <w:r w:rsidR="00FD72EF">
        <w:t xml:space="preserve"> not continue </w:t>
      </w:r>
      <w:r w:rsidR="00AC66ED">
        <w:t xml:space="preserve">to </w:t>
      </w:r>
      <w:r w:rsidR="00AC66ED" w:rsidRPr="00AC66ED">
        <w:t>include an area of land that contains a vegetation fuel type</w:t>
      </w:r>
      <w:r w:rsidR="008D2A95">
        <w:t>;</w:t>
      </w:r>
      <w:r w:rsidR="00AC66ED" w:rsidRPr="00AC66ED">
        <w:t xml:space="preserve"> or</w:t>
      </w:r>
    </w:p>
    <w:p w14:paraId="2A8FBEC1" w14:textId="1CDE415C" w:rsidR="008D2A95" w:rsidRPr="00A759AF" w:rsidRDefault="00D401E4" w:rsidP="002A0A38">
      <w:pPr>
        <w:pStyle w:val="subsection"/>
        <w:numPr>
          <w:ilvl w:val="0"/>
          <w:numId w:val="62"/>
        </w:numPr>
        <w:spacing w:before="0"/>
        <w:ind w:left="1701" w:hanging="425"/>
      </w:pPr>
      <w:r>
        <w:t>the project proponent bec</w:t>
      </w:r>
      <w:r w:rsidR="007C61B1">
        <w:t>omes</w:t>
      </w:r>
      <w:r>
        <w:t xml:space="preserve"> aware that the </w:t>
      </w:r>
      <w:r w:rsidRPr="00A759AF">
        <w:t xml:space="preserve">project area </w:t>
      </w:r>
      <w:r w:rsidR="00A3628E">
        <w:t xml:space="preserve">or </w:t>
      </w:r>
      <w:r>
        <w:t xml:space="preserve">part </w:t>
      </w:r>
      <w:r w:rsidR="00745AC7">
        <w:t>d</w:t>
      </w:r>
      <w:r w:rsidR="007C61B1">
        <w:t>oes</w:t>
      </w:r>
      <w:r w:rsidR="00745AC7">
        <w:t xml:space="preserve"> </w:t>
      </w:r>
      <w:r>
        <w:t xml:space="preserve">not </w:t>
      </w:r>
      <w:r w:rsidRPr="00A759AF">
        <w:t xml:space="preserve">include </w:t>
      </w:r>
      <w:r>
        <w:t>an</w:t>
      </w:r>
      <w:r w:rsidRPr="00A759AF">
        <w:t xml:space="preserve"> area of land that contains a vegetation fuel type</w:t>
      </w:r>
      <w:r w:rsidR="00745AC7">
        <w:t>.</w:t>
      </w:r>
    </w:p>
    <w:p w14:paraId="0963CAC6" w14:textId="5EC61D1E" w:rsidR="002B00A0" w:rsidRPr="00371D65" w:rsidRDefault="002B00A0" w:rsidP="00FF0315">
      <w:pPr>
        <w:pStyle w:val="ActHead5"/>
        <w:ind w:left="0" w:firstLine="0"/>
      </w:pPr>
      <w:bookmarkStart w:id="26" w:name="_Toc202953801"/>
      <w:proofErr w:type="gramStart"/>
      <w:r w:rsidRPr="00371D65">
        <w:t>1</w:t>
      </w:r>
      <w:r w:rsidR="003F0D64" w:rsidRPr="00371D65">
        <w:t>4</w:t>
      </w:r>
      <w:r w:rsidRPr="00371D65">
        <w:t xml:space="preserve">  Requirement</w:t>
      </w:r>
      <w:proofErr w:type="gramEnd"/>
      <w:r w:rsidRPr="00371D65">
        <w:t xml:space="preserve"> to </w:t>
      </w:r>
      <w:r w:rsidR="005D06A2" w:rsidRPr="00371D65">
        <w:t xml:space="preserve">manage </w:t>
      </w:r>
      <w:r w:rsidR="00485081" w:rsidRPr="00371D65">
        <w:t>relevant weed species</w:t>
      </w:r>
      <w:bookmarkEnd w:id="26"/>
    </w:p>
    <w:p w14:paraId="24759299" w14:textId="10644E0F" w:rsidR="006D5948" w:rsidRDefault="00B616DC" w:rsidP="004A7133">
      <w:pPr>
        <w:pStyle w:val="subsection"/>
        <w:numPr>
          <w:ilvl w:val="0"/>
          <w:numId w:val="21"/>
        </w:numPr>
      </w:pPr>
      <w:r w:rsidRPr="00A759AF">
        <w:t>A</w:t>
      </w:r>
      <w:r w:rsidR="00BB4037">
        <w:t xml:space="preserve"> project area or a</w:t>
      </w:r>
      <w:r w:rsidRPr="00A759AF">
        <w:t xml:space="preserve"> project area part must </w:t>
      </w:r>
      <w:r w:rsidR="00C41E96">
        <w:t xml:space="preserve">be clear of all relevant weed species </w:t>
      </w:r>
      <w:r w:rsidRPr="00A759AF">
        <w:t>at the relevant date</w:t>
      </w:r>
      <w:r w:rsidR="006D5948">
        <w:t>.</w:t>
      </w:r>
    </w:p>
    <w:p w14:paraId="5F19BB4F" w14:textId="4587D327" w:rsidR="00B616DC" w:rsidRPr="00A759AF" w:rsidRDefault="006D5948" w:rsidP="004A7133">
      <w:pPr>
        <w:pStyle w:val="subsection"/>
        <w:numPr>
          <w:ilvl w:val="0"/>
          <w:numId w:val="21"/>
        </w:numPr>
      </w:pPr>
      <w:r>
        <w:t>A</w:t>
      </w:r>
      <w:r w:rsidR="00BB4037">
        <w:t xml:space="preserve"> project area or a</w:t>
      </w:r>
      <w:r>
        <w:t xml:space="preserve"> project area part:</w:t>
      </w:r>
    </w:p>
    <w:p w14:paraId="7933A12F" w14:textId="74634814" w:rsidR="00B616DC" w:rsidRPr="00A759AF" w:rsidRDefault="00D31D6C" w:rsidP="004A7133">
      <w:pPr>
        <w:pStyle w:val="subsection"/>
        <w:numPr>
          <w:ilvl w:val="1"/>
          <w:numId w:val="21"/>
        </w:numPr>
        <w:spacing w:before="0"/>
      </w:pPr>
      <w:r>
        <w:t xml:space="preserve">must </w:t>
      </w:r>
      <w:r w:rsidR="00B616DC" w:rsidRPr="00A759AF">
        <w:t>continue to</w:t>
      </w:r>
      <w:r w:rsidR="00C41E96">
        <w:t xml:space="preserve"> be clear of all relevant weed species</w:t>
      </w:r>
      <w:r w:rsidR="00B616DC" w:rsidRPr="00A759AF">
        <w:t>; or</w:t>
      </w:r>
    </w:p>
    <w:p w14:paraId="1F20B23E" w14:textId="1859934A" w:rsidR="004B1DA7" w:rsidRDefault="00B616DC" w:rsidP="004A7133">
      <w:pPr>
        <w:pStyle w:val="subsection"/>
        <w:numPr>
          <w:ilvl w:val="1"/>
          <w:numId w:val="21"/>
        </w:numPr>
        <w:spacing w:before="0"/>
      </w:pPr>
      <w:r w:rsidRPr="00A759AF">
        <w:t xml:space="preserve">if the project area </w:t>
      </w:r>
      <w:r w:rsidR="00A3628E">
        <w:t xml:space="preserve">or </w:t>
      </w:r>
      <w:r w:rsidR="00002669">
        <w:t xml:space="preserve">part </w:t>
      </w:r>
      <w:r w:rsidR="00482179">
        <w:t>later contains a relevant weed species</w:t>
      </w:r>
      <w:r w:rsidR="004B1DA7">
        <w:t>:</w:t>
      </w:r>
    </w:p>
    <w:p w14:paraId="63A53DCD" w14:textId="5C74A888" w:rsidR="00167232" w:rsidRDefault="00D552C4" w:rsidP="004A7133">
      <w:pPr>
        <w:pStyle w:val="subsection"/>
        <w:numPr>
          <w:ilvl w:val="2"/>
          <w:numId w:val="26"/>
        </w:numPr>
        <w:spacing w:before="0"/>
      </w:pPr>
      <w:r>
        <w:t>m</w:t>
      </w:r>
      <w:r w:rsidR="00370DA2">
        <w:t xml:space="preserve">ust be treated appropriately </w:t>
      </w:r>
      <w:r w:rsidR="00167232">
        <w:t xml:space="preserve">within 18 months of </w:t>
      </w:r>
      <w:r w:rsidR="00887FC6">
        <w:t>the relevant weed species</w:t>
      </w:r>
      <w:r w:rsidR="00167232">
        <w:t xml:space="preserve"> being first detected in the </w:t>
      </w:r>
      <w:r w:rsidR="00A3628E">
        <w:t xml:space="preserve">project </w:t>
      </w:r>
      <w:r w:rsidR="00167232">
        <w:t xml:space="preserve">area </w:t>
      </w:r>
      <w:r w:rsidR="00A3628E">
        <w:t>or part</w:t>
      </w:r>
      <w:r w:rsidR="00167232">
        <w:t xml:space="preserve"> and continue to be treated appropriately each calendar year until the relevant weed species is eradicated in the area</w:t>
      </w:r>
      <w:r w:rsidR="00A3628E">
        <w:t xml:space="preserve"> or part</w:t>
      </w:r>
      <w:r w:rsidR="00167232">
        <w:t>; or</w:t>
      </w:r>
    </w:p>
    <w:p w14:paraId="31AD6FDD" w14:textId="01B7B552" w:rsidR="007C4A2E" w:rsidRDefault="00483B33" w:rsidP="004A7133">
      <w:pPr>
        <w:pStyle w:val="subsection"/>
        <w:numPr>
          <w:ilvl w:val="2"/>
          <w:numId w:val="26"/>
        </w:numPr>
        <w:spacing w:before="0"/>
      </w:pPr>
      <w:r w:rsidRPr="00A759AF">
        <w:t xml:space="preserve">must be removed from the project in accordance with section </w:t>
      </w:r>
      <w:r>
        <w:t>16</w:t>
      </w:r>
      <w:r w:rsidRPr="00A759AF">
        <w:t xml:space="preserve"> as soon as practicable </w:t>
      </w:r>
      <w:r w:rsidR="00C175A0">
        <w:t>(</w:t>
      </w:r>
      <w:r w:rsidRPr="00A759AF">
        <w:t xml:space="preserve">and no later than the end of the reporting period during which the </w:t>
      </w:r>
      <w:r w:rsidR="00C175A0">
        <w:t xml:space="preserve">relevant </w:t>
      </w:r>
      <w:r>
        <w:t>weed species was first detected in the area</w:t>
      </w:r>
      <w:r w:rsidR="00AE6863">
        <w:t xml:space="preserve"> or part</w:t>
      </w:r>
      <w:r w:rsidR="00C85359">
        <w:t>)</w:t>
      </w:r>
      <w:r w:rsidR="003277FF">
        <w:t>.</w:t>
      </w:r>
    </w:p>
    <w:p w14:paraId="1170DDF2" w14:textId="0B882ACA" w:rsidR="000F782C" w:rsidRDefault="00054C01" w:rsidP="00901897">
      <w:pPr>
        <w:pStyle w:val="subsection"/>
        <w:numPr>
          <w:ilvl w:val="0"/>
          <w:numId w:val="63"/>
        </w:numPr>
        <w:tabs>
          <w:tab w:val="clear" w:pos="1021"/>
          <w:tab w:val="right" w:pos="1134"/>
        </w:tabs>
        <w:ind w:left="1134" w:hanging="425"/>
      </w:pPr>
      <w:r>
        <w:t xml:space="preserve">For the purposes of </w:t>
      </w:r>
      <w:r w:rsidR="0037662C">
        <w:t>subsection (1)</w:t>
      </w:r>
      <w:r w:rsidR="00DC35CB">
        <w:t>, a transferring project</w:t>
      </w:r>
      <w:r w:rsidR="0037662C">
        <w:t xml:space="preserve"> </w:t>
      </w:r>
      <w:r w:rsidR="006E531D">
        <w:t>area</w:t>
      </w:r>
      <w:r w:rsidR="00105781">
        <w:t>, or a project area part of such an area,</w:t>
      </w:r>
      <w:r>
        <w:t xml:space="preserve"> is taken to be</w:t>
      </w:r>
      <w:r w:rsidR="004C138A">
        <w:t xml:space="preserve"> clear of all relevant weed species at the relevant date if </w:t>
      </w:r>
      <w:r w:rsidR="00F61B4F">
        <w:t xml:space="preserve">all known areas of relevant weed species in </w:t>
      </w:r>
      <w:r w:rsidR="008B1710">
        <w:t xml:space="preserve">that project </w:t>
      </w:r>
      <w:r w:rsidR="00F61B4F">
        <w:t xml:space="preserve">area </w:t>
      </w:r>
      <w:r w:rsidR="00105781">
        <w:t xml:space="preserve">or part </w:t>
      </w:r>
      <w:r w:rsidR="00955B0C">
        <w:t>we</w:t>
      </w:r>
      <w:r w:rsidR="00F61B4F">
        <w:t>re treated</w:t>
      </w:r>
      <w:r w:rsidR="000F782C">
        <w:t xml:space="preserve"> appropriately within the 12</w:t>
      </w:r>
      <w:r w:rsidR="00423CFA">
        <w:t>-</w:t>
      </w:r>
      <w:r w:rsidR="000F782C">
        <w:t>month</w:t>
      </w:r>
      <w:r w:rsidR="00A267E9">
        <w:t xml:space="preserve"> period</w:t>
      </w:r>
      <w:r w:rsidR="000F782C">
        <w:t xml:space="preserve"> </w:t>
      </w:r>
      <w:r w:rsidR="00632A4F">
        <w:t>preceding</w:t>
      </w:r>
      <w:r w:rsidR="000F782C">
        <w:t xml:space="preserve"> the relevant date</w:t>
      </w:r>
      <w:r w:rsidR="00955B0C">
        <w:t>.</w:t>
      </w:r>
    </w:p>
    <w:p w14:paraId="484641F2" w14:textId="12E5174D" w:rsidR="00B97010" w:rsidRDefault="00DE4C86" w:rsidP="00901897">
      <w:pPr>
        <w:pStyle w:val="subsection"/>
        <w:numPr>
          <w:ilvl w:val="0"/>
          <w:numId w:val="63"/>
        </w:numPr>
        <w:tabs>
          <w:tab w:val="clear" w:pos="1021"/>
          <w:tab w:val="right" w:pos="1134"/>
        </w:tabs>
        <w:ind w:left="1134" w:hanging="425"/>
      </w:pPr>
      <w:r>
        <w:t xml:space="preserve">For the purposes of subsection (1), a </w:t>
      </w:r>
      <w:r w:rsidR="00D3196C">
        <w:t xml:space="preserve">project area </w:t>
      </w:r>
      <w:r w:rsidR="002A77C0" w:rsidRPr="002A77C0">
        <w:t xml:space="preserve">or a project area part </w:t>
      </w:r>
      <w:r w:rsidR="00633709">
        <w:t xml:space="preserve">of a </w:t>
      </w:r>
      <w:r>
        <w:t xml:space="preserve">restarting transferring project </w:t>
      </w:r>
      <w:r w:rsidR="00D3196C">
        <w:t>is taken to be clear of all relevant weed species at the relevant date if all known areas of relevant weed species in th</w:t>
      </w:r>
      <w:r w:rsidR="00A205DF">
        <w:t xml:space="preserve">at </w:t>
      </w:r>
      <w:r w:rsidR="00632A4F">
        <w:t xml:space="preserve">project </w:t>
      </w:r>
      <w:r w:rsidR="00D3196C">
        <w:t xml:space="preserve">area </w:t>
      </w:r>
      <w:r w:rsidR="00105781">
        <w:t xml:space="preserve">or </w:t>
      </w:r>
      <w:r w:rsidR="00632A4F">
        <w:t xml:space="preserve">part </w:t>
      </w:r>
      <w:r w:rsidR="00955B0C">
        <w:t>we</w:t>
      </w:r>
      <w:r w:rsidR="00D3196C">
        <w:t>re treated appropriately within the 12</w:t>
      </w:r>
      <w:r w:rsidR="00423CFA">
        <w:t>-</w:t>
      </w:r>
      <w:r w:rsidR="00D3196C">
        <w:t>month</w:t>
      </w:r>
      <w:r w:rsidR="007E4144">
        <w:t xml:space="preserve"> period</w:t>
      </w:r>
      <w:r w:rsidR="00D3196C">
        <w:t xml:space="preserve"> </w:t>
      </w:r>
      <w:r w:rsidR="00632A4F">
        <w:t>preceding</w:t>
      </w:r>
      <w:r w:rsidR="00D3196C">
        <w:t xml:space="preserve"> the relevant date</w:t>
      </w:r>
      <w:r w:rsidR="00632A4F">
        <w:t>.</w:t>
      </w:r>
    </w:p>
    <w:p w14:paraId="376FC100" w14:textId="779FF1CB" w:rsidR="0074093D" w:rsidRDefault="00651954" w:rsidP="00B97010">
      <w:pPr>
        <w:pStyle w:val="subsection"/>
        <w:numPr>
          <w:ilvl w:val="0"/>
          <w:numId w:val="63"/>
        </w:numPr>
        <w:tabs>
          <w:tab w:val="clear" w:pos="1021"/>
          <w:tab w:val="right" w:pos="1134"/>
        </w:tabs>
        <w:ind w:left="1134" w:hanging="425"/>
      </w:pPr>
      <w:r w:rsidRPr="00D67D75">
        <w:t xml:space="preserve">For the purposes of this section, a </w:t>
      </w:r>
      <w:r w:rsidR="002E789F">
        <w:t xml:space="preserve">project area </w:t>
      </w:r>
      <w:r w:rsidR="00EF70D4">
        <w:t xml:space="preserve">or </w:t>
      </w:r>
      <w:r w:rsidR="003348CD">
        <w:t xml:space="preserve">a </w:t>
      </w:r>
      <w:r w:rsidR="00EF70D4">
        <w:t>project area part</w:t>
      </w:r>
      <w:r w:rsidR="002E789F">
        <w:t xml:space="preserve"> containing a</w:t>
      </w:r>
      <w:r w:rsidR="00511904">
        <w:t xml:space="preserve"> relevant </w:t>
      </w:r>
      <w:r w:rsidRPr="00D67D75">
        <w:t>weed species is treated appropriately if</w:t>
      </w:r>
      <w:r w:rsidR="0074093D">
        <w:t>:</w:t>
      </w:r>
    </w:p>
    <w:p w14:paraId="7F483926" w14:textId="00CAA7D8" w:rsidR="007129F1" w:rsidRDefault="007129F1" w:rsidP="007129F1">
      <w:pPr>
        <w:pStyle w:val="subsection"/>
        <w:numPr>
          <w:ilvl w:val="0"/>
          <w:numId w:val="64"/>
        </w:numPr>
        <w:spacing w:before="0"/>
      </w:pPr>
      <w:r>
        <w:t>the relevant weed species</w:t>
      </w:r>
      <w:r w:rsidRPr="00D67D75">
        <w:t xml:space="preserve"> </w:t>
      </w:r>
      <w:r>
        <w:t>in that project area</w:t>
      </w:r>
      <w:r w:rsidRPr="00D67D75">
        <w:t xml:space="preserve"> </w:t>
      </w:r>
      <w:r w:rsidR="00EF70D4">
        <w:t xml:space="preserve">or part </w:t>
      </w:r>
      <w:r w:rsidRPr="00D67D75">
        <w:t xml:space="preserve">is treated with </w:t>
      </w:r>
      <w:proofErr w:type="gramStart"/>
      <w:r w:rsidRPr="00D67D75">
        <w:t>a</w:t>
      </w:r>
      <w:proofErr w:type="gramEnd"/>
      <w:r w:rsidRPr="00D67D75">
        <w:t xml:space="preserve"> herbicide to kill all aboveground biomass of that weed species or subject to mechanical removal to destroy the aboveground biomass of that weed species</w:t>
      </w:r>
      <w:r w:rsidRPr="00A759AF">
        <w:t xml:space="preserve">; </w:t>
      </w:r>
      <w:r>
        <w:t>and</w:t>
      </w:r>
    </w:p>
    <w:p w14:paraId="0F2DBED1" w14:textId="31A3935A" w:rsidR="007129F1" w:rsidRPr="00DC0CF1" w:rsidRDefault="002D328B" w:rsidP="00901897">
      <w:pPr>
        <w:pStyle w:val="ListParagraph"/>
        <w:numPr>
          <w:ilvl w:val="0"/>
          <w:numId w:val="64"/>
        </w:numPr>
      </w:pPr>
      <w:r>
        <w:t>that treatment or</w:t>
      </w:r>
      <w:r w:rsidR="00DC0CF1">
        <w:t xml:space="preserve"> removal is carried out in accordance with any relevant </w:t>
      </w:r>
      <w:r w:rsidR="00DC0CF1" w:rsidRPr="00DC0CF1">
        <w:rPr>
          <w:rFonts w:eastAsia="Times New Roman" w:cs="Times New Roman"/>
          <w:lang w:eastAsia="en-AU"/>
        </w:rPr>
        <w:t>law of the Commonwealth, a State or a Territory</w:t>
      </w:r>
      <w:r w:rsidR="00DC0CF1">
        <w:rPr>
          <w:rFonts w:eastAsia="Times New Roman" w:cs="Times New Roman"/>
          <w:lang w:eastAsia="en-AU"/>
        </w:rPr>
        <w:t>.</w:t>
      </w:r>
    </w:p>
    <w:p w14:paraId="2A1D2F1D" w14:textId="7FAF2F92" w:rsidR="00B97010" w:rsidRPr="001B424A" w:rsidRDefault="001E6CE3" w:rsidP="00901897">
      <w:pPr>
        <w:pStyle w:val="subsection"/>
        <w:numPr>
          <w:ilvl w:val="0"/>
          <w:numId w:val="63"/>
        </w:numPr>
        <w:tabs>
          <w:tab w:val="clear" w:pos="1021"/>
          <w:tab w:val="right" w:pos="1134"/>
        </w:tabs>
        <w:ind w:left="1134" w:hanging="425"/>
      </w:pPr>
      <w:r w:rsidRPr="001B424A">
        <w:lastRenderedPageBreak/>
        <w:t xml:space="preserve">For the purposes of this section, a </w:t>
      </w:r>
      <w:r w:rsidR="001F3D64">
        <w:t xml:space="preserve">relevant </w:t>
      </w:r>
      <w:r w:rsidRPr="001B424A">
        <w:t xml:space="preserve">weed species is </w:t>
      </w:r>
      <w:r w:rsidR="000F537A">
        <w:t>taken to be</w:t>
      </w:r>
      <w:r w:rsidRPr="001B424A">
        <w:t xml:space="preserve"> eradicated</w:t>
      </w:r>
      <w:r w:rsidR="001F1FAB">
        <w:t xml:space="preserve"> in a</w:t>
      </w:r>
      <w:r w:rsidR="002854AE">
        <w:t xml:space="preserve"> project area </w:t>
      </w:r>
      <w:r w:rsidR="00C77FCB">
        <w:t xml:space="preserve">or </w:t>
      </w:r>
      <w:r w:rsidR="003348CD">
        <w:t xml:space="preserve">a </w:t>
      </w:r>
      <w:r w:rsidR="00C77FCB">
        <w:t xml:space="preserve">project area part </w:t>
      </w:r>
      <w:r w:rsidR="00EE5BFC" w:rsidRPr="001B424A">
        <w:t>when it has not been detected in th</w:t>
      </w:r>
      <w:r w:rsidR="00C26FA0">
        <w:t>at</w:t>
      </w:r>
      <w:r w:rsidR="00EE5BFC" w:rsidRPr="001B424A">
        <w:t xml:space="preserve"> area </w:t>
      </w:r>
      <w:r w:rsidR="00C77FCB">
        <w:t xml:space="preserve">or part </w:t>
      </w:r>
      <w:r w:rsidR="00EE5BFC" w:rsidRPr="001B424A">
        <w:t>for at least 24 months</w:t>
      </w:r>
      <w:r w:rsidR="00B13A7C" w:rsidRPr="001B424A">
        <w:t>.</w:t>
      </w:r>
    </w:p>
    <w:p w14:paraId="01C11362" w14:textId="5B354903" w:rsidR="00651954" w:rsidRPr="001B424A" w:rsidRDefault="00651954" w:rsidP="00901897">
      <w:pPr>
        <w:pStyle w:val="subsection"/>
        <w:numPr>
          <w:ilvl w:val="0"/>
          <w:numId w:val="63"/>
        </w:numPr>
        <w:tabs>
          <w:tab w:val="clear" w:pos="1021"/>
          <w:tab w:val="right" w:pos="1134"/>
        </w:tabs>
        <w:ind w:left="1134" w:hanging="425"/>
      </w:pPr>
      <w:r w:rsidRPr="00A759AF">
        <w:t xml:space="preserve">In this section, </w:t>
      </w:r>
      <w:r w:rsidRPr="00B97010">
        <w:rPr>
          <w:b/>
          <w:bCs/>
          <w:i/>
          <w:iCs/>
        </w:rPr>
        <w:t>relevant date</w:t>
      </w:r>
      <w:r w:rsidRPr="00A759AF">
        <w:t xml:space="preserve"> means the date of the section 22 application</w:t>
      </w:r>
      <w:r w:rsidR="001E5508">
        <w:t>,</w:t>
      </w:r>
      <w:r w:rsidRPr="00A759AF">
        <w:t xml:space="preserve"> section 29 application </w:t>
      </w:r>
      <w:r w:rsidR="001E5508">
        <w:t xml:space="preserve">or section 128 application </w:t>
      </w:r>
      <w:r w:rsidRPr="00A759AF">
        <w:t xml:space="preserve">in which the project area </w:t>
      </w:r>
      <w:r w:rsidR="00C77FCB">
        <w:t xml:space="preserve">or part </w:t>
      </w:r>
      <w:r w:rsidRPr="00A759AF">
        <w:t>is first identified.</w:t>
      </w:r>
    </w:p>
    <w:p w14:paraId="2F27AD2C" w14:textId="7FA7E496" w:rsidR="005E7EE5" w:rsidRPr="00406943" w:rsidRDefault="005E7EE5" w:rsidP="005E7EE5">
      <w:pPr>
        <w:pStyle w:val="ActHead5"/>
        <w:ind w:left="0" w:firstLine="0"/>
      </w:pPr>
      <w:bookmarkStart w:id="27" w:name="_Toc202953802"/>
      <w:proofErr w:type="gramStart"/>
      <w:r w:rsidRPr="00406943">
        <w:t>1</w:t>
      </w:r>
      <w:r w:rsidR="003F0D64" w:rsidRPr="00406943">
        <w:t>5</w:t>
      </w:r>
      <w:r w:rsidRPr="00406943">
        <w:t xml:space="preserve">  </w:t>
      </w:r>
      <w:r w:rsidR="002B4F75" w:rsidRPr="00406943">
        <w:t>Project</w:t>
      </w:r>
      <w:proofErr w:type="gramEnd"/>
      <w:r w:rsidR="002B4F75" w:rsidRPr="00406943">
        <w:t xml:space="preserve"> area not to contain </w:t>
      </w:r>
      <w:r w:rsidR="00EE6FB6" w:rsidRPr="00406943">
        <w:t>previously removed areas</w:t>
      </w:r>
      <w:bookmarkEnd w:id="27"/>
    </w:p>
    <w:p w14:paraId="04F67356" w14:textId="7EDB483A" w:rsidR="001C7403" w:rsidRPr="0063186B" w:rsidRDefault="00EE6FB6" w:rsidP="002A0A38">
      <w:pPr>
        <w:pStyle w:val="subsection"/>
        <w:ind w:left="1130" w:firstLine="0"/>
      </w:pPr>
      <w:r w:rsidRPr="00A759AF">
        <w:t xml:space="preserve">A project area </w:t>
      </w:r>
      <w:r w:rsidR="00D15E3D">
        <w:t xml:space="preserve">or </w:t>
      </w:r>
      <w:r w:rsidR="009638CE">
        <w:t>a</w:t>
      </w:r>
      <w:r w:rsidRPr="00A759AF">
        <w:t xml:space="preserve"> project area part must</w:t>
      </w:r>
      <w:r w:rsidR="00E83DEA">
        <w:t xml:space="preserve"> not include an area of land that </w:t>
      </w:r>
      <w:r w:rsidR="00660C75">
        <w:t>was previously part of the project</w:t>
      </w:r>
      <w:r w:rsidR="002F0591">
        <w:t xml:space="preserve">, or </w:t>
      </w:r>
      <w:r w:rsidR="00426721">
        <w:t xml:space="preserve">previously part of </w:t>
      </w:r>
      <w:r w:rsidR="002F0591">
        <w:t xml:space="preserve">another project under this </w:t>
      </w:r>
      <w:r w:rsidR="00C929D7">
        <w:t>instrument</w:t>
      </w:r>
      <w:r w:rsidR="002F0591">
        <w:t xml:space="preserve"> or</w:t>
      </w:r>
      <w:r w:rsidR="00424E97">
        <w:t xml:space="preserve"> a </w:t>
      </w:r>
      <w:r w:rsidR="00906898">
        <w:t xml:space="preserve">savanna </w:t>
      </w:r>
      <w:r w:rsidR="00A91460">
        <w:rPr>
          <w:color w:val="000000"/>
          <w:szCs w:val="22"/>
        </w:rPr>
        <w:t xml:space="preserve">fire management </w:t>
      </w:r>
      <w:proofErr w:type="gramStart"/>
      <w:r w:rsidR="00424E97">
        <w:t>determination, but</w:t>
      </w:r>
      <w:proofErr w:type="gramEnd"/>
      <w:r w:rsidR="00424E97">
        <w:t xml:space="preserve"> was removed in accordance with paragraphs 1</w:t>
      </w:r>
      <w:r w:rsidR="00C26FA0">
        <w:t>3</w:t>
      </w:r>
      <w:r w:rsidR="00424E97">
        <w:t>(</w:t>
      </w:r>
      <w:r w:rsidR="00E71520">
        <w:t>2</w:t>
      </w:r>
      <w:r w:rsidR="00424E97">
        <w:t xml:space="preserve">)(b) or </w:t>
      </w:r>
      <w:r w:rsidR="00C26FA0">
        <w:t>14</w:t>
      </w:r>
      <w:r w:rsidR="00424E97">
        <w:t>(</w:t>
      </w:r>
      <w:r w:rsidR="00E71520">
        <w:t>2</w:t>
      </w:r>
      <w:r w:rsidR="00424E97">
        <w:t>)(b)</w:t>
      </w:r>
      <w:r w:rsidR="00426721">
        <w:t xml:space="preserve"> (</w:t>
      </w:r>
      <w:r w:rsidR="00874AA1">
        <w:t xml:space="preserve">or an equivalent provision </w:t>
      </w:r>
      <w:r w:rsidR="0018630F">
        <w:t>of</w:t>
      </w:r>
      <w:r w:rsidR="00874AA1">
        <w:t xml:space="preserve"> </w:t>
      </w:r>
      <w:r w:rsidR="009638CE">
        <w:t>the</w:t>
      </w:r>
      <w:r w:rsidR="009A02DD">
        <w:t xml:space="preserve"> </w:t>
      </w:r>
      <w:r w:rsidR="00906898">
        <w:t xml:space="preserve">savanna </w:t>
      </w:r>
      <w:r w:rsidR="000133DE">
        <w:rPr>
          <w:color w:val="000000"/>
          <w:szCs w:val="22"/>
        </w:rPr>
        <w:t xml:space="preserve">fire management </w:t>
      </w:r>
      <w:r w:rsidR="00906898">
        <w:t>determination).</w:t>
      </w:r>
    </w:p>
    <w:p w14:paraId="389CA4D1" w14:textId="5EFD4C18" w:rsidR="00F979FB" w:rsidRPr="00061583" w:rsidRDefault="00F979FB" w:rsidP="00F979FB">
      <w:pPr>
        <w:pStyle w:val="ActHead5"/>
        <w:ind w:left="0" w:firstLine="0"/>
      </w:pPr>
      <w:bookmarkStart w:id="28" w:name="_Toc202953803"/>
      <w:proofErr w:type="gramStart"/>
      <w:r>
        <w:t>16</w:t>
      </w:r>
      <w:r w:rsidRPr="00061583">
        <w:t xml:space="preserve">  </w:t>
      </w:r>
      <w:r>
        <w:rPr>
          <w:bCs/>
          <w:color w:val="000000"/>
        </w:rPr>
        <w:t>Variations</w:t>
      </w:r>
      <w:proofErr w:type="gramEnd"/>
      <w:r>
        <w:rPr>
          <w:bCs/>
          <w:color w:val="000000"/>
        </w:rPr>
        <w:t xml:space="preserve"> to project areas</w:t>
      </w:r>
      <w:bookmarkEnd w:id="28"/>
    </w:p>
    <w:p w14:paraId="073D2CD3" w14:textId="3FBCEBB8" w:rsidR="000331A4" w:rsidRDefault="00000776" w:rsidP="004A7133">
      <w:pPr>
        <w:pStyle w:val="subsection"/>
        <w:numPr>
          <w:ilvl w:val="0"/>
          <w:numId w:val="48"/>
        </w:numPr>
        <w:ind w:left="1134" w:hanging="425"/>
      </w:pPr>
      <w:r w:rsidRPr="0063186B">
        <w:t>Any variation of the section 27 declaration of a savanna sequestration project </w:t>
      </w:r>
      <w:r w:rsidR="003F4C52">
        <w:t xml:space="preserve">in relation to the </w:t>
      </w:r>
      <w:r w:rsidRPr="0063186B">
        <w:t>identifi</w:t>
      </w:r>
      <w:r w:rsidR="003F4C52">
        <w:t>cation of</w:t>
      </w:r>
      <w:r w:rsidRPr="0063186B">
        <w:t xml:space="preserve"> the project area or areas after the start of the crediting period must be for one or more of the following only:</w:t>
      </w:r>
    </w:p>
    <w:p w14:paraId="7C64772D" w14:textId="77777777" w:rsidR="000331A4" w:rsidRDefault="00000776" w:rsidP="004A7133">
      <w:pPr>
        <w:pStyle w:val="subsection"/>
        <w:numPr>
          <w:ilvl w:val="1"/>
          <w:numId w:val="48"/>
        </w:numPr>
        <w:spacing w:before="0"/>
      </w:pPr>
      <w:r w:rsidRPr="0063186B">
        <w:t xml:space="preserve">to add an additional project </w:t>
      </w:r>
      <w:proofErr w:type="gramStart"/>
      <w:r w:rsidRPr="0063186B">
        <w:t>area;</w:t>
      </w:r>
      <w:proofErr w:type="gramEnd"/>
    </w:p>
    <w:p w14:paraId="42B10D66" w14:textId="77777777" w:rsidR="000331A4" w:rsidRDefault="00000776" w:rsidP="004A7133">
      <w:pPr>
        <w:pStyle w:val="subsection"/>
        <w:numPr>
          <w:ilvl w:val="1"/>
          <w:numId w:val="48"/>
        </w:numPr>
        <w:spacing w:before="0"/>
      </w:pPr>
      <w:r w:rsidRPr="0063186B">
        <w:t xml:space="preserve">to remove an entire project area and replace it with subdivided project </w:t>
      </w:r>
      <w:proofErr w:type="gramStart"/>
      <w:r w:rsidRPr="0063186B">
        <w:t>areas;</w:t>
      </w:r>
      <w:proofErr w:type="gramEnd"/>
    </w:p>
    <w:p w14:paraId="27A780E1" w14:textId="0C7013B7" w:rsidR="00000776" w:rsidRPr="0063186B" w:rsidRDefault="00000776" w:rsidP="00031729">
      <w:pPr>
        <w:pStyle w:val="subsection"/>
        <w:numPr>
          <w:ilvl w:val="1"/>
          <w:numId w:val="48"/>
        </w:numPr>
        <w:spacing w:before="0"/>
      </w:pPr>
      <w:r w:rsidRPr="0063186B">
        <w:t>to remove an entire project area and not replace it.</w:t>
      </w:r>
    </w:p>
    <w:p w14:paraId="17699655" w14:textId="5035A6A6" w:rsidR="00F931EC" w:rsidRPr="0063186B" w:rsidRDefault="00F931EC" w:rsidP="007B2786">
      <w:pPr>
        <w:pStyle w:val="notetext"/>
      </w:pPr>
      <w:r w:rsidRPr="007B2786">
        <w:t>Note: </w:t>
      </w:r>
      <w:r w:rsidR="005E1D3E">
        <w:rPr>
          <w:color w:val="000000"/>
          <w:szCs w:val="18"/>
        </w:rPr>
        <w:tab/>
      </w:r>
      <w:r w:rsidRPr="0063186B">
        <w:rPr>
          <w:color w:val="000000"/>
          <w:szCs w:val="18"/>
        </w:rPr>
        <w:t>A project area cannot be increased in size. To remove part of a project area from the project, the project area must first be subdivided so that the area to be removed now constitutes the whole of a (smaller) project area.</w:t>
      </w:r>
    </w:p>
    <w:p w14:paraId="4CBF6B2B" w14:textId="3D6EDDFE" w:rsidR="00713A58" w:rsidRDefault="00000776" w:rsidP="00031729">
      <w:pPr>
        <w:pStyle w:val="subsection"/>
        <w:numPr>
          <w:ilvl w:val="0"/>
          <w:numId w:val="48"/>
        </w:numPr>
        <w:ind w:left="1134" w:hanging="425"/>
      </w:pPr>
      <w:r w:rsidRPr="0063186B">
        <w:t xml:space="preserve"> For </w:t>
      </w:r>
      <w:r w:rsidR="009A5358">
        <w:t xml:space="preserve">the purposes of </w:t>
      </w:r>
      <w:r w:rsidRPr="0063186B">
        <w:t xml:space="preserve">this </w:t>
      </w:r>
      <w:r w:rsidR="00C929D7">
        <w:t>instrument</w:t>
      </w:r>
      <w:r w:rsidRPr="0063186B">
        <w:t>, if</w:t>
      </w:r>
      <w:r w:rsidR="00713A58">
        <w:t>:</w:t>
      </w:r>
    </w:p>
    <w:p w14:paraId="6E283B93" w14:textId="1FED0D0A" w:rsidR="00713A58" w:rsidRDefault="00000776" w:rsidP="004A7133">
      <w:pPr>
        <w:pStyle w:val="subsection"/>
        <w:numPr>
          <w:ilvl w:val="1"/>
          <w:numId w:val="48"/>
        </w:numPr>
        <w:spacing w:before="0"/>
      </w:pPr>
      <w:r w:rsidRPr="0063186B">
        <w:t>a project area (the </w:t>
      </w:r>
      <w:r w:rsidRPr="00713A58">
        <w:rPr>
          <w:b/>
          <w:bCs/>
          <w:i/>
          <w:iCs/>
        </w:rPr>
        <w:t>original project area</w:t>
      </w:r>
      <w:r w:rsidRPr="0063186B">
        <w:t xml:space="preserve">) is divided into </w:t>
      </w:r>
      <w:r w:rsidR="00031729">
        <w:t>two</w:t>
      </w:r>
      <w:r w:rsidRPr="0063186B">
        <w:t xml:space="preserve"> or more smaller project areas; and</w:t>
      </w:r>
    </w:p>
    <w:p w14:paraId="2EF6190C" w14:textId="45B93B64" w:rsidR="00000776" w:rsidRPr="0063186B" w:rsidRDefault="00000776" w:rsidP="004A7133">
      <w:pPr>
        <w:pStyle w:val="subsection"/>
        <w:numPr>
          <w:ilvl w:val="1"/>
          <w:numId w:val="48"/>
        </w:numPr>
        <w:spacing w:before="0"/>
      </w:pPr>
      <w:r w:rsidRPr="0063186B">
        <w:t xml:space="preserve">the area made up of the areas of land covered by those smaller project areas, when taken together, is identical to the area of land covered by the original project </w:t>
      </w:r>
      <w:proofErr w:type="gramStart"/>
      <w:r w:rsidRPr="0063186B">
        <w:t>area;</w:t>
      </w:r>
      <w:proofErr w:type="gramEnd"/>
    </w:p>
    <w:p w14:paraId="3A0C07D0" w14:textId="38740514" w:rsidR="001C7403" w:rsidRDefault="00000776" w:rsidP="00713A58">
      <w:pPr>
        <w:pStyle w:val="subsection"/>
        <w:spacing w:before="0"/>
        <w:ind w:hanging="141"/>
      </w:pPr>
      <w:r w:rsidRPr="0063186B">
        <w:t>  </w:t>
      </w:r>
      <w:r w:rsidR="00932DEF" w:rsidRPr="0063186B">
        <w:tab/>
      </w:r>
      <w:r w:rsidRPr="0063186B">
        <w:t>each smaller project area is a </w:t>
      </w:r>
      <w:r w:rsidRPr="0063186B">
        <w:rPr>
          <w:b/>
          <w:bCs/>
          <w:i/>
          <w:iCs/>
        </w:rPr>
        <w:t>subdivided project area</w:t>
      </w:r>
      <w:r w:rsidRPr="0063186B">
        <w:t>.</w:t>
      </w:r>
    </w:p>
    <w:p w14:paraId="148CFE28" w14:textId="204FB166" w:rsidR="00574A5C" w:rsidRPr="00171E3E" w:rsidRDefault="00574A5C" w:rsidP="00867A6B">
      <w:pPr>
        <w:pStyle w:val="ActHead3"/>
      </w:pPr>
      <w:bookmarkStart w:id="29" w:name="_Toc202953804"/>
      <w:r w:rsidRPr="009D2663">
        <w:t xml:space="preserve">Division </w:t>
      </w:r>
      <w:r>
        <w:t>3</w:t>
      </w:r>
      <w:r w:rsidRPr="00574A5C">
        <w:t>—</w:t>
      </w:r>
      <w:r w:rsidR="00B47820">
        <w:t>Project activity</w:t>
      </w:r>
      <w:bookmarkEnd w:id="29"/>
    </w:p>
    <w:p w14:paraId="2A78E672" w14:textId="608C1333" w:rsidR="00132552" w:rsidRPr="00061583" w:rsidRDefault="00406943" w:rsidP="005E7EE5">
      <w:pPr>
        <w:pStyle w:val="ActHead5"/>
        <w:ind w:left="0" w:firstLine="0"/>
      </w:pPr>
      <w:bookmarkStart w:id="30" w:name="_Toc202953805"/>
      <w:proofErr w:type="gramStart"/>
      <w:r>
        <w:t>17</w:t>
      </w:r>
      <w:r w:rsidR="005E7EE5" w:rsidRPr="00061583">
        <w:t xml:space="preserve">  </w:t>
      </w:r>
      <w:r w:rsidR="00132552" w:rsidRPr="00061583">
        <w:rPr>
          <w:bCs/>
          <w:color w:val="000000"/>
        </w:rPr>
        <w:t>Requirement</w:t>
      </w:r>
      <w:proofErr w:type="gramEnd"/>
      <w:r w:rsidR="00132552" w:rsidRPr="00061583">
        <w:rPr>
          <w:bCs/>
          <w:color w:val="000000"/>
        </w:rPr>
        <w:t> to undertake savanna fire management</w:t>
      </w:r>
      <w:bookmarkEnd w:id="30"/>
    </w:p>
    <w:p w14:paraId="6A8C9D4F" w14:textId="6467C626" w:rsidR="00CD5CF4" w:rsidRPr="00982EA0" w:rsidRDefault="00CD5CF4" w:rsidP="00CD5CF4">
      <w:pPr>
        <w:pStyle w:val="subsection"/>
      </w:pPr>
      <w:r w:rsidRPr="00982EA0">
        <w:tab/>
        <w:t>(1)</w:t>
      </w:r>
      <w:r w:rsidRPr="00982EA0">
        <w:tab/>
      </w:r>
      <w:r w:rsidRPr="00982EA0">
        <w:rPr>
          <w:color w:val="000000"/>
          <w:szCs w:val="22"/>
        </w:rPr>
        <w:t xml:space="preserve">The project proponent must undertake savanna fire management by </w:t>
      </w:r>
      <w:r w:rsidR="00061583">
        <w:rPr>
          <w:color w:val="000000"/>
          <w:szCs w:val="22"/>
        </w:rPr>
        <w:t xml:space="preserve">undertaking </w:t>
      </w:r>
      <w:r w:rsidRPr="00982EA0">
        <w:rPr>
          <w:color w:val="000000"/>
          <w:szCs w:val="22"/>
        </w:rPr>
        <w:t>planned burning in each project area each calendar year</w:t>
      </w:r>
      <w:r w:rsidRPr="00982EA0">
        <w:t>.</w:t>
      </w:r>
    </w:p>
    <w:p w14:paraId="2F7BC800" w14:textId="53F22D5B" w:rsidR="00CD5CF4" w:rsidRPr="00982EA0" w:rsidRDefault="00CD5CF4" w:rsidP="00CD5CF4">
      <w:pPr>
        <w:pStyle w:val="subsection"/>
      </w:pPr>
      <w:r w:rsidRPr="00982EA0">
        <w:tab/>
        <w:t>(2)</w:t>
      </w:r>
      <w:r w:rsidRPr="00982EA0">
        <w:tab/>
      </w:r>
      <w:r w:rsidR="00095290">
        <w:rPr>
          <w:color w:val="000000"/>
          <w:szCs w:val="22"/>
        </w:rPr>
        <w:t>The planned burning must be undertaken each year in such a way that the combination of</w:t>
      </w:r>
      <w:r w:rsidRPr="00982EA0">
        <w:t>:</w:t>
      </w:r>
    </w:p>
    <w:p w14:paraId="3AB47BD8" w14:textId="7CAED267" w:rsidR="00CD5CF4" w:rsidRPr="00A30192" w:rsidRDefault="00CD5CF4" w:rsidP="00CD5CF4">
      <w:pPr>
        <w:pStyle w:val="paragraph"/>
      </w:pPr>
      <w:r w:rsidRPr="00982EA0">
        <w:tab/>
      </w:r>
      <w:r w:rsidRPr="00A30192">
        <w:t>(a)</w:t>
      </w:r>
      <w:r w:rsidRPr="00A30192">
        <w:tab/>
      </w:r>
      <w:r w:rsidR="004C185F" w:rsidRPr="00A30192">
        <w:rPr>
          <w:color w:val="000000"/>
          <w:szCs w:val="22"/>
        </w:rPr>
        <w:t>the pattern of planned and unplanned burning (if any) in all previous calendar years since the project commenced;</w:t>
      </w:r>
      <w:r w:rsidR="00EA07AA">
        <w:rPr>
          <w:color w:val="000000"/>
          <w:szCs w:val="22"/>
        </w:rPr>
        <w:t xml:space="preserve"> and</w:t>
      </w:r>
    </w:p>
    <w:p w14:paraId="79079491" w14:textId="77777777" w:rsidR="00A01E1C" w:rsidRPr="00A30192" w:rsidRDefault="00CD5CF4" w:rsidP="00CD5CF4">
      <w:pPr>
        <w:pStyle w:val="paragraph"/>
        <w:rPr>
          <w:color w:val="000000"/>
          <w:szCs w:val="22"/>
        </w:rPr>
      </w:pPr>
      <w:r w:rsidRPr="00A30192">
        <w:lastRenderedPageBreak/>
        <w:tab/>
        <w:t>(b)</w:t>
      </w:r>
      <w:r w:rsidRPr="00A30192">
        <w:tab/>
      </w:r>
      <w:r w:rsidR="00A01E1C" w:rsidRPr="00A30192">
        <w:rPr>
          <w:color w:val="000000"/>
          <w:szCs w:val="22"/>
        </w:rPr>
        <w:t>the planned burning undertaken in that calendar year (if any); and</w:t>
      </w:r>
    </w:p>
    <w:p w14:paraId="38FFF120" w14:textId="16B464DF" w:rsidR="00CD5CF4" w:rsidRPr="00A30192" w:rsidRDefault="00A01E1C" w:rsidP="00CD5CF4">
      <w:pPr>
        <w:pStyle w:val="paragraph"/>
      </w:pPr>
      <w:r w:rsidRPr="00A30192">
        <w:rPr>
          <w:color w:val="000000"/>
          <w:szCs w:val="22"/>
        </w:rPr>
        <w:tab/>
        <w:t>(c)</w:t>
      </w:r>
      <w:r w:rsidRPr="00A30192">
        <w:rPr>
          <w:color w:val="000000"/>
          <w:szCs w:val="22"/>
        </w:rPr>
        <w:tab/>
        <w:t xml:space="preserve">the planned burning that is proposed to be undertaken for the remainder of the permanence obligation period for the </w:t>
      </w:r>
      <w:proofErr w:type="gramStart"/>
      <w:r w:rsidRPr="00A30192">
        <w:rPr>
          <w:color w:val="000000"/>
          <w:szCs w:val="22"/>
        </w:rPr>
        <w:t>project;</w:t>
      </w:r>
      <w:proofErr w:type="gramEnd"/>
    </w:p>
    <w:p w14:paraId="36B8ACA6" w14:textId="1DF855AE" w:rsidR="0048237C" w:rsidRPr="00A30192" w:rsidRDefault="0048237C" w:rsidP="0048237C">
      <w:pPr>
        <w:pStyle w:val="subsectionsandwich"/>
        <w:spacing w:before="40" w:beforeAutospacing="0" w:after="0" w:afterAutospacing="0"/>
        <w:ind w:left="1134" w:hanging="1134"/>
        <w:rPr>
          <w:color w:val="000000"/>
          <w:sz w:val="22"/>
          <w:szCs w:val="22"/>
        </w:rPr>
      </w:pPr>
      <w:r w:rsidRPr="00A30192">
        <w:rPr>
          <w:color w:val="000000"/>
          <w:sz w:val="22"/>
          <w:szCs w:val="22"/>
        </w:rPr>
        <w:t> </w:t>
      </w:r>
      <w:r w:rsidRPr="00A30192">
        <w:rPr>
          <w:color w:val="000000"/>
          <w:sz w:val="22"/>
          <w:szCs w:val="22"/>
        </w:rPr>
        <w:tab/>
        <w:t>in the project area together demonstrate a program of burning that:</w:t>
      </w:r>
    </w:p>
    <w:p w14:paraId="76CA6028" w14:textId="19B84BEC" w:rsidR="007C7891" w:rsidRPr="00A30192" w:rsidRDefault="007C7891" w:rsidP="007C7891">
      <w:pPr>
        <w:pStyle w:val="paragraph"/>
        <w:rPr>
          <w:color w:val="000000"/>
          <w:szCs w:val="22"/>
        </w:rPr>
      </w:pPr>
      <w:r w:rsidRPr="00A30192">
        <w:tab/>
        <w:t>(d)</w:t>
      </w:r>
      <w:r w:rsidRPr="00A30192">
        <w:tab/>
      </w:r>
      <w:r w:rsidR="0053220D" w:rsidRPr="00A30192">
        <w:rPr>
          <w:color w:val="000000"/>
          <w:szCs w:val="22"/>
        </w:rPr>
        <w:t>meets the objectives referred to in paragraph 1</w:t>
      </w:r>
      <w:r w:rsidR="00126532">
        <w:rPr>
          <w:color w:val="000000"/>
          <w:szCs w:val="22"/>
        </w:rPr>
        <w:t>0</w:t>
      </w:r>
      <w:r w:rsidR="0053220D" w:rsidRPr="00A30192">
        <w:rPr>
          <w:color w:val="000000"/>
          <w:szCs w:val="22"/>
        </w:rPr>
        <w:t>(1)(a); and</w:t>
      </w:r>
    </w:p>
    <w:p w14:paraId="52F27E30" w14:textId="5310A5FA" w:rsidR="0048237C" w:rsidRPr="00CA0A09" w:rsidRDefault="007C7891" w:rsidP="00D049E9">
      <w:pPr>
        <w:pStyle w:val="paragraph"/>
      </w:pPr>
      <w:r w:rsidRPr="00A30192">
        <w:rPr>
          <w:color w:val="000000"/>
          <w:szCs w:val="22"/>
        </w:rPr>
        <w:tab/>
        <w:t>(e)</w:t>
      </w:r>
      <w:r w:rsidRPr="00A30192">
        <w:rPr>
          <w:color w:val="000000"/>
          <w:szCs w:val="22"/>
        </w:rPr>
        <w:tab/>
      </w:r>
      <w:r w:rsidR="00AC6225" w:rsidRPr="00AC6225">
        <w:rPr>
          <w:color w:val="000000"/>
          <w:szCs w:val="22"/>
        </w:rPr>
        <w:t>could reasonably be expected to ensure that the amount of carbon sequestered in savanna in the project area does not decrease significantly over the permanence obligation period for the project</w:t>
      </w:r>
      <w:r w:rsidR="0053220D" w:rsidRPr="00CA0A09">
        <w:rPr>
          <w:color w:val="000000"/>
          <w:szCs w:val="22"/>
        </w:rPr>
        <w:t>.</w:t>
      </w:r>
    </w:p>
    <w:p w14:paraId="4DD2226E" w14:textId="48DB8118" w:rsidR="00CD5CF4" w:rsidRDefault="00CD5CF4" w:rsidP="00CD5CF4">
      <w:pPr>
        <w:pStyle w:val="subsection"/>
        <w:rPr>
          <w:color w:val="000000"/>
          <w:szCs w:val="22"/>
        </w:rPr>
      </w:pPr>
      <w:r w:rsidRPr="00CA0A09">
        <w:tab/>
        <w:t>(3)</w:t>
      </w:r>
      <w:r w:rsidRPr="00CA0A09">
        <w:tab/>
      </w:r>
      <w:r w:rsidR="00396950" w:rsidRPr="00CA0A09">
        <w:rPr>
          <w:color w:val="000000"/>
          <w:szCs w:val="22"/>
        </w:rPr>
        <w:t>A</w:t>
      </w:r>
      <w:r w:rsidR="00D049E9" w:rsidRPr="00CA0A09">
        <w:rPr>
          <w:color w:val="000000"/>
          <w:szCs w:val="22"/>
        </w:rPr>
        <w:t xml:space="preserve"> failure to undertake planned burning in a particular project area in a particular calendar year</w:t>
      </w:r>
      <w:r w:rsidR="00396950" w:rsidRPr="00CA0A09">
        <w:rPr>
          <w:color w:val="000000"/>
          <w:szCs w:val="22"/>
        </w:rPr>
        <w:t xml:space="preserve"> </w:t>
      </w:r>
      <w:r w:rsidR="00CA0A09" w:rsidRPr="00CA0A09">
        <w:rPr>
          <w:color w:val="000000"/>
          <w:szCs w:val="22"/>
        </w:rPr>
        <w:t>is</w:t>
      </w:r>
      <w:r w:rsidR="008C1011" w:rsidRPr="00CA0A09">
        <w:rPr>
          <w:color w:val="000000"/>
          <w:szCs w:val="22"/>
        </w:rPr>
        <w:t xml:space="preserve"> not, of itself, </w:t>
      </w:r>
      <w:r w:rsidR="004D2DFA" w:rsidRPr="00CA0A09">
        <w:rPr>
          <w:color w:val="000000"/>
          <w:szCs w:val="22"/>
        </w:rPr>
        <w:t>a contravention of s</w:t>
      </w:r>
      <w:r w:rsidR="00396950" w:rsidRPr="00CA0A09">
        <w:rPr>
          <w:color w:val="000000"/>
          <w:szCs w:val="22"/>
        </w:rPr>
        <w:t>ubsection (1)</w:t>
      </w:r>
      <w:r w:rsidR="004D2DFA" w:rsidRPr="00CA0A09">
        <w:rPr>
          <w:color w:val="000000"/>
          <w:szCs w:val="22"/>
        </w:rPr>
        <w:t xml:space="preserve"> </w:t>
      </w:r>
      <w:r w:rsidR="00D049E9" w:rsidRPr="00CA0A09">
        <w:rPr>
          <w:color w:val="000000"/>
          <w:szCs w:val="22"/>
        </w:rPr>
        <w:t>if the failure resulted from circumstances beyond the project proponent’s reasonable control.</w:t>
      </w:r>
    </w:p>
    <w:p w14:paraId="400352E1" w14:textId="69DC75EC" w:rsidR="002711D9" w:rsidRDefault="002711D9" w:rsidP="002711D9">
      <w:pPr>
        <w:pStyle w:val="subsection"/>
        <w:rPr>
          <w:color w:val="000000"/>
          <w:szCs w:val="22"/>
        </w:rPr>
      </w:pPr>
      <w:r w:rsidRPr="00CA0A09">
        <w:tab/>
      </w:r>
      <w:r w:rsidRPr="00764978">
        <w:t>(4)</w:t>
      </w:r>
      <w:r w:rsidRPr="00764978">
        <w:tab/>
      </w:r>
      <w:r w:rsidR="00764978" w:rsidRPr="00764978">
        <w:rPr>
          <w:color w:val="000000"/>
          <w:szCs w:val="22"/>
        </w:rPr>
        <w:t xml:space="preserve">If a project area is divided into 2 or more subdivided project areas on a particular date, for the purposes of this section, planned </w:t>
      </w:r>
      <w:proofErr w:type="gramStart"/>
      <w:r w:rsidR="00764978" w:rsidRPr="00764978">
        <w:rPr>
          <w:color w:val="000000"/>
          <w:szCs w:val="22"/>
        </w:rPr>
        <w:t>burning</w:t>
      </w:r>
      <w:proofErr w:type="gramEnd"/>
      <w:r w:rsidR="00764978" w:rsidRPr="00764978">
        <w:rPr>
          <w:color w:val="000000"/>
          <w:szCs w:val="22"/>
        </w:rPr>
        <w:t xml:space="preserve"> that was undertaken in any part of the original project area prior to that date may be treated as having been undertaken in any of the subdivided project areas.</w:t>
      </w:r>
    </w:p>
    <w:p w14:paraId="08AC640A" w14:textId="61473C1A" w:rsidR="003A6C0F" w:rsidRPr="007B2786" w:rsidRDefault="003A6C0F" w:rsidP="007B2786">
      <w:pPr>
        <w:pStyle w:val="notetext"/>
      </w:pPr>
      <w:r>
        <w:rPr>
          <w:color w:val="000000"/>
          <w:szCs w:val="18"/>
        </w:rPr>
        <w:t>Note: </w:t>
      </w:r>
      <w:r w:rsidR="00A94B74">
        <w:rPr>
          <w:color w:val="000000"/>
          <w:szCs w:val="18"/>
        </w:rPr>
        <w:tab/>
      </w:r>
      <w:r>
        <w:rPr>
          <w:color w:val="000000"/>
          <w:szCs w:val="18"/>
        </w:rPr>
        <w:t>In monitoring whether a project continues to meet the requirements of section 1</w:t>
      </w:r>
      <w:r w:rsidR="00EF464A">
        <w:rPr>
          <w:color w:val="000000"/>
          <w:szCs w:val="18"/>
        </w:rPr>
        <w:t>7</w:t>
      </w:r>
      <w:r>
        <w:rPr>
          <w:color w:val="000000"/>
          <w:szCs w:val="18"/>
        </w:rPr>
        <w:t>, the Regulator will consider a range of information, including the project management plan and other information included in an offsets report under subsection 36(</w:t>
      </w:r>
      <w:r w:rsidR="00EF464A">
        <w:rPr>
          <w:color w:val="000000"/>
          <w:szCs w:val="18"/>
        </w:rPr>
        <w:t>2</w:t>
      </w:r>
      <w:r>
        <w:rPr>
          <w:color w:val="000000"/>
          <w:szCs w:val="18"/>
        </w:rPr>
        <w:t>) and the information in any </w:t>
      </w:r>
      <w:proofErr w:type="spellStart"/>
      <w:r w:rsidR="00A93DAA" w:rsidRPr="00A93DAA">
        <w:rPr>
          <w:color w:val="000000"/>
          <w:szCs w:val="18"/>
        </w:rPr>
        <w:t>SavCAM</w:t>
      </w:r>
      <w:proofErr w:type="spellEnd"/>
      <w:r w:rsidR="00A93DAA" w:rsidRPr="00A93DAA">
        <w:rPr>
          <w:color w:val="000000"/>
          <w:szCs w:val="18"/>
        </w:rPr>
        <w:t xml:space="preserve"> </w:t>
      </w:r>
      <w:r>
        <w:rPr>
          <w:color w:val="000000"/>
          <w:szCs w:val="18"/>
        </w:rPr>
        <w:t>reports relating to the project.</w:t>
      </w:r>
    </w:p>
    <w:p w14:paraId="3E572431" w14:textId="698F9BA6" w:rsidR="00B47820" w:rsidRPr="00171E3E" w:rsidRDefault="00B47820" w:rsidP="00867A6B">
      <w:pPr>
        <w:pStyle w:val="ActHead3"/>
      </w:pPr>
      <w:bookmarkStart w:id="31" w:name="_Toc202953806"/>
      <w:r w:rsidRPr="009D2663">
        <w:t xml:space="preserve">Division </w:t>
      </w:r>
      <w:r>
        <w:t>4</w:t>
      </w:r>
      <w:r w:rsidRPr="00574A5C">
        <w:t>—</w:t>
      </w:r>
      <w:r>
        <w:t>Project management plan</w:t>
      </w:r>
      <w:bookmarkEnd w:id="31"/>
    </w:p>
    <w:p w14:paraId="788859AA" w14:textId="2AD28553" w:rsidR="002711D9" w:rsidRPr="00A93DAA" w:rsidRDefault="00406943" w:rsidP="005E6933">
      <w:pPr>
        <w:pStyle w:val="ActHead5"/>
        <w:ind w:left="0" w:firstLine="0"/>
      </w:pPr>
      <w:bookmarkStart w:id="32" w:name="_Toc202953807"/>
      <w:proofErr w:type="gramStart"/>
      <w:r>
        <w:t>18</w:t>
      </w:r>
      <w:r w:rsidR="005E6933" w:rsidRPr="00A93DAA">
        <w:t xml:space="preserve">  </w:t>
      </w:r>
      <w:r w:rsidR="00480F1E" w:rsidRPr="00A93DAA">
        <w:rPr>
          <w:bCs/>
          <w:color w:val="000000"/>
        </w:rPr>
        <w:t>Requirement</w:t>
      </w:r>
      <w:proofErr w:type="gramEnd"/>
      <w:r w:rsidR="00480F1E" w:rsidRPr="00A93DAA">
        <w:rPr>
          <w:bCs/>
          <w:color w:val="000000"/>
        </w:rPr>
        <w:t xml:space="preserve"> to prepare </w:t>
      </w:r>
      <w:r w:rsidR="00A77EB2" w:rsidRPr="00A93DAA">
        <w:rPr>
          <w:bCs/>
          <w:color w:val="000000"/>
        </w:rPr>
        <w:t>plan</w:t>
      </w:r>
      <w:bookmarkEnd w:id="32"/>
    </w:p>
    <w:p w14:paraId="08066223" w14:textId="0A781FCD" w:rsidR="003F21A4" w:rsidRDefault="00DD6A32" w:rsidP="004A7133">
      <w:pPr>
        <w:pStyle w:val="subsection"/>
        <w:numPr>
          <w:ilvl w:val="0"/>
          <w:numId w:val="10"/>
        </w:numPr>
        <w:rPr>
          <w:color w:val="000000"/>
          <w:szCs w:val="22"/>
        </w:rPr>
      </w:pPr>
      <w:r>
        <w:t xml:space="preserve">For </w:t>
      </w:r>
      <w:r w:rsidR="000B7856">
        <w:t xml:space="preserve">each </w:t>
      </w:r>
      <w:r w:rsidR="001D5AE3" w:rsidRPr="001D5AE3">
        <w:t>savanna sequestration project, the</w:t>
      </w:r>
      <w:r w:rsidR="001D5AE3">
        <w:rPr>
          <w:b/>
          <w:bCs/>
          <w:i/>
          <w:iCs/>
        </w:rPr>
        <w:t xml:space="preserve"> </w:t>
      </w:r>
      <w:r w:rsidR="001D5AE3">
        <w:rPr>
          <w:color w:val="000000"/>
          <w:szCs w:val="22"/>
        </w:rPr>
        <w:t>project proponent</w:t>
      </w:r>
      <w:r w:rsidR="00FF2DFC">
        <w:rPr>
          <w:color w:val="000000"/>
          <w:szCs w:val="22"/>
        </w:rPr>
        <w:t xml:space="preserve"> must, each calendar year, prepare a </w:t>
      </w:r>
      <w:r w:rsidR="00C63036">
        <w:rPr>
          <w:color w:val="000000"/>
          <w:szCs w:val="22"/>
        </w:rPr>
        <w:t xml:space="preserve">project management </w:t>
      </w:r>
      <w:r w:rsidR="00FF2DFC">
        <w:rPr>
          <w:color w:val="000000"/>
          <w:szCs w:val="22"/>
        </w:rPr>
        <w:t>plan</w:t>
      </w:r>
      <w:r w:rsidR="006633F5">
        <w:rPr>
          <w:color w:val="000000"/>
          <w:szCs w:val="22"/>
        </w:rPr>
        <w:t xml:space="preserve"> or plans that </w:t>
      </w:r>
      <w:r w:rsidR="00B9483E">
        <w:rPr>
          <w:color w:val="000000"/>
          <w:szCs w:val="22"/>
        </w:rPr>
        <w:t xml:space="preserve">cover </w:t>
      </w:r>
      <w:r w:rsidR="007E20E5">
        <w:rPr>
          <w:color w:val="000000"/>
          <w:szCs w:val="22"/>
        </w:rPr>
        <w:t>all</w:t>
      </w:r>
      <w:r w:rsidR="00B9483E">
        <w:rPr>
          <w:color w:val="000000"/>
          <w:szCs w:val="22"/>
        </w:rPr>
        <w:t xml:space="preserve"> project area</w:t>
      </w:r>
      <w:r w:rsidR="007E20E5">
        <w:rPr>
          <w:color w:val="000000"/>
          <w:szCs w:val="22"/>
        </w:rPr>
        <w:t>s</w:t>
      </w:r>
      <w:r w:rsidR="00901212">
        <w:rPr>
          <w:color w:val="000000"/>
          <w:szCs w:val="22"/>
        </w:rPr>
        <w:t xml:space="preserve"> for that project</w:t>
      </w:r>
      <w:r w:rsidR="00FF2DFC">
        <w:rPr>
          <w:color w:val="000000"/>
          <w:szCs w:val="22"/>
        </w:rPr>
        <w:t>.</w:t>
      </w:r>
    </w:p>
    <w:p w14:paraId="129C025C" w14:textId="04875556" w:rsidR="00BB68FB" w:rsidRDefault="00C63036" w:rsidP="004A7133">
      <w:pPr>
        <w:pStyle w:val="subsection"/>
        <w:numPr>
          <w:ilvl w:val="0"/>
          <w:numId w:val="10"/>
        </w:numPr>
        <w:rPr>
          <w:color w:val="000000"/>
          <w:szCs w:val="22"/>
        </w:rPr>
      </w:pPr>
      <w:r>
        <w:rPr>
          <w:color w:val="000000"/>
          <w:szCs w:val="22"/>
        </w:rPr>
        <w:t>A</w:t>
      </w:r>
      <w:r w:rsidR="00BB68FB">
        <w:rPr>
          <w:color w:val="000000"/>
          <w:szCs w:val="22"/>
        </w:rPr>
        <w:t> </w:t>
      </w:r>
      <w:r w:rsidR="00BB68FB">
        <w:rPr>
          <w:b/>
          <w:bCs/>
          <w:i/>
          <w:iCs/>
          <w:color w:val="000000"/>
          <w:szCs w:val="22"/>
        </w:rPr>
        <w:t>project management plan</w:t>
      </w:r>
      <w:r>
        <w:rPr>
          <w:b/>
          <w:bCs/>
          <w:i/>
          <w:iCs/>
          <w:color w:val="000000"/>
          <w:szCs w:val="22"/>
        </w:rPr>
        <w:t xml:space="preserve"> </w:t>
      </w:r>
      <w:r w:rsidRPr="002A0A38">
        <w:rPr>
          <w:color w:val="000000"/>
          <w:szCs w:val="22"/>
        </w:rPr>
        <w:t>is</w:t>
      </w:r>
      <w:r>
        <w:rPr>
          <w:b/>
          <w:bCs/>
          <w:i/>
          <w:iCs/>
          <w:color w:val="000000"/>
          <w:szCs w:val="22"/>
        </w:rPr>
        <w:t xml:space="preserve"> </w:t>
      </w:r>
      <w:r>
        <w:rPr>
          <w:color w:val="000000"/>
          <w:szCs w:val="22"/>
        </w:rPr>
        <w:t xml:space="preserve">a </w:t>
      </w:r>
      <w:r w:rsidR="004530C9">
        <w:rPr>
          <w:color w:val="000000"/>
          <w:szCs w:val="22"/>
        </w:rPr>
        <w:t>document that</w:t>
      </w:r>
      <w:r>
        <w:rPr>
          <w:color w:val="000000"/>
          <w:szCs w:val="22"/>
        </w:rPr>
        <w:t xml:space="preserve"> describes the planned burning that is intended to be undertaken in </w:t>
      </w:r>
      <w:r w:rsidR="008A2E82">
        <w:rPr>
          <w:color w:val="000000"/>
          <w:szCs w:val="22"/>
        </w:rPr>
        <w:t>a</w:t>
      </w:r>
      <w:r>
        <w:rPr>
          <w:color w:val="000000"/>
          <w:szCs w:val="22"/>
        </w:rPr>
        <w:t xml:space="preserve"> project area for that year</w:t>
      </w:r>
      <w:r w:rsidR="00BB68FB">
        <w:rPr>
          <w:color w:val="000000"/>
          <w:szCs w:val="22"/>
        </w:rPr>
        <w:t>.</w:t>
      </w:r>
    </w:p>
    <w:p w14:paraId="12614A5D" w14:textId="5F4D7DD0" w:rsidR="00884DC1" w:rsidRDefault="00884DC1" w:rsidP="004A7133">
      <w:pPr>
        <w:pStyle w:val="subsection"/>
        <w:numPr>
          <w:ilvl w:val="0"/>
          <w:numId w:val="10"/>
        </w:numPr>
        <w:rPr>
          <w:color w:val="000000"/>
          <w:szCs w:val="22"/>
        </w:rPr>
      </w:pPr>
      <w:r w:rsidRPr="00884DC1">
        <w:rPr>
          <w:color w:val="000000"/>
          <w:szCs w:val="22"/>
        </w:rPr>
        <w:t>A project management plan that relates to a particular project area must be prepared before commencing planned burning in that project area in the year to which the plan relates.</w:t>
      </w:r>
    </w:p>
    <w:p w14:paraId="3E17C984" w14:textId="79E6B831" w:rsidR="00DB7932" w:rsidRPr="007B2786" w:rsidRDefault="00DB7932" w:rsidP="007B2786">
      <w:pPr>
        <w:pStyle w:val="notetext"/>
      </w:pPr>
      <w:r w:rsidRPr="007B2786">
        <w:t>Note:</w:t>
      </w:r>
      <w:r w:rsidR="008E2517" w:rsidRPr="007B2786">
        <w:tab/>
      </w:r>
      <w:r w:rsidRPr="007B2786">
        <w:t xml:space="preserve">The Savanna Fire Management Methods (2025) Technical Guidance Document </w:t>
      </w:r>
      <w:r w:rsidR="00492D57" w:rsidRPr="007B2786">
        <w:t>may</w:t>
      </w:r>
      <w:r w:rsidRPr="007B2786">
        <w:t xml:space="preserve"> contain recommended guidelines for project management plans. A project proponent </w:t>
      </w:r>
      <w:r w:rsidR="00AF0F0C" w:rsidRPr="007B2786">
        <w:t>may</w:t>
      </w:r>
      <w:r w:rsidRPr="007B2786">
        <w:t xml:space="preserve">, but </w:t>
      </w:r>
      <w:r w:rsidR="00200134" w:rsidRPr="007B2786">
        <w:t xml:space="preserve">is not </w:t>
      </w:r>
      <w:r w:rsidR="00AF0F0C" w:rsidRPr="007B2786">
        <w:t>required to</w:t>
      </w:r>
      <w:r w:rsidRPr="007B2786">
        <w:t>, prepare project management plans in accordance with such guidelines.</w:t>
      </w:r>
    </w:p>
    <w:p w14:paraId="55652D71" w14:textId="15060711" w:rsidR="005357D4" w:rsidRPr="00F07F32" w:rsidRDefault="00406943" w:rsidP="005E6933">
      <w:pPr>
        <w:pStyle w:val="ActHead5"/>
      </w:pPr>
      <w:bookmarkStart w:id="33" w:name="_Toc202953808"/>
      <w:proofErr w:type="gramStart"/>
      <w:r>
        <w:t>19</w:t>
      </w:r>
      <w:r w:rsidR="005E6933" w:rsidRPr="00F07F32">
        <w:t xml:space="preserve">  </w:t>
      </w:r>
      <w:r w:rsidR="005357D4" w:rsidRPr="00F07F32">
        <w:rPr>
          <w:bCs/>
          <w:color w:val="000000"/>
        </w:rPr>
        <w:t>Updating</w:t>
      </w:r>
      <w:proofErr w:type="gramEnd"/>
      <w:r w:rsidR="005357D4" w:rsidRPr="00F07F32">
        <w:rPr>
          <w:bCs/>
          <w:color w:val="000000"/>
        </w:rPr>
        <w:t xml:space="preserve"> or revising plan</w:t>
      </w:r>
      <w:bookmarkEnd w:id="33"/>
    </w:p>
    <w:p w14:paraId="797181E9" w14:textId="62FA55BD" w:rsidR="00BE420A" w:rsidRDefault="00BE420A" w:rsidP="004A7133">
      <w:pPr>
        <w:pStyle w:val="tmain"/>
        <w:numPr>
          <w:ilvl w:val="0"/>
          <w:numId w:val="11"/>
        </w:numPr>
        <w:spacing w:before="180" w:beforeAutospacing="0" w:after="0" w:afterAutospacing="0"/>
        <w:rPr>
          <w:color w:val="000000"/>
          <w:sz w:val="22"/>
          <w:szCs w:val="22"/>
        </w:rPr>
      </w:pPr>
      <w:r>
        <w:rPr>
          <w:color w:val="000000"/>
          <w:sz w:val="22"/>
          <w:szCs w:val="22"/>
        </w:rPr>
        <w:t>A project management plan may be revised or updated throughout the year to which it relates.</w:t>
      </w:r>
    </w:p>
    <w:p w14:paraId="1291B771" w14:textId="374A5A6E" w:rsidR="00BE420A" w:rsidRPr="00C96430" w:rsidRDefault="00BE420A" w:rsidP="004A7133">
      <w:pPr>
        <w:pStyle w:val="tmain"/>
        <w:numPr>
          <w:ilvl w:val="0"/>
          <w:numId w:val="11"/>
        </w:numPr>
        <w:spacing w:before="180" w:beforeAutospacing="0" w:after="0" w:afterAutospacing="0"/>
        <w:rPr>
          <w:color w:val="000000"/>
          <w:sz w:val="22"/>
          <w:szCs w:val="22"/>
        </w:rPr>
      </w:pPr>
      <w:r w:rsidRPr="00C96430">
        <w:rPr>
          <w:color w:val="000000"/>
          <w:sz w:val="22"/>
          <w:szCs w:val="22"/>
        </w:rPr>
        <w:t>Any revision or update of the project management plan must include the date of the revision or update.</w:t>
      </w:r>
    </w:p>
    <w:p w14:paraId="599A7055" w14:textId="5EAF7FAA" w:rsidR="00443356" w:rsidRDefault="00443356" w:rsidP="00867A6B">
      <w:pPr>
        <w:pStyle w:val="ActHead3"/>
      </w:pPr>
      <w:bookmarkStart w:id="34" w:name="_Toc202953809"/>
      <w:r w:rsidRPr="009D2663">
        <w:lastRenderedPageBreak/>
        <w:t xml:space="preserve">Division </w:t>
      </w:r>
      <w:r w:rsidR="00067D32">
        <w:t>5</w:t>
      </w:r>
      <w:r w:rsidRPr="00574A5C">
        <w:t>—</w:t>
      </w:r>
      <w:r>
        <w:t>Vegetation fuel type map</w:t>
      </w:r>
      <w:bookmarkEnd w:id="34"/>
    </w:p>
    <w:p w14:paraId="4D3AD593" w14:textId="0BDD33D2" w:rsidR="005935E2" w:rsidRPr="00F07F32" w:rsidRDefault="00406943" w:rsidP="005E6933">
      <w:pPr>
        <w:pStyle w:val="ActHead5"/>
        <w:ind w:left="0" w:firstLine="0"/>
      </w:pPr>
      <w:bookmarkStart w:id="35" w:name="_Toc202953810"/>
      <w:proofErr w:type="gramStart"/>
      <w:r>
        <w:t>20</w:t>
      </w:r>
      <w:r w:rsidR="005E6933" w:rsidRPr="00F07F32">
        <w:t xml:space="preserve">  </w:t>
      </w:r>
      <w:r w:rsidR="005935E2" w:rsidRPr="00F07F32">
        <w:rPr>
          <w:bCs/>
          <w:color w:val="000000"/>
        </w:rPr>
        <w:t>Requirement</w:t>
      </w:r>
      <w:proofErr w:type="gramEnd"/>
      <w:r w:rsidR="005935E2" w:rsidRPr="00F07F32">
        <w:rPr>
          <w:bCs/>
          <w:color w:val="000000"/>
        </w:rPr>
        <w:t> to create and validate vegetation fuel type map</w:t>
      </w:r>
      <w:bookmarkEnd w:id="35"/>
    </w:p>
    <w:p w14:paraId="49CC8621" w14:textId="19F37827" w:rsidR="008461CD" w:rsidRPr="00A30192" w:rsidRDefault="009F72E8" w:rsidP="00D36616">
      <w:pPr>
        <w:pStyle w:val="subsection"/>
        <w:ind w:left="1130" w:firstLine="0"/>
      </w:pPr>
      <w:r w:rsidRPr="0018316C">
        <w:t>For each savanna sequestration project, the</w:t>
      </w:r>
      <w:r w:rsidRPr="0018316C">
        <w:rPr>
          <w:b/>
          <w:bCs/>
          <w:i/>
          <w:iCs/>
        </w:rPr>
        <w:t xml:space="preserve"> </w:t>
      </w:r>
      <w:r w:rsidRPr="0018316C">
        <w:rPr>
          <w:color w:val="000000"/>
          <w:szCs w:val="22"/>
        </w:rPr>
        <w:t xml:space="preserve">project proponent </w:t>
      </w:r>
      <w:r w:rsidRPr="0018316C">
        <w:t>must create and validate a vegetation fuel type map</w:t>
      </w:r>
      <w:r w:rsidR="00D36616">
        <w:t xml:space="preserve"> </w:t>
      </w:r>
      <w:r w:rsidR="00D36616" w:rsidRPr="0018316C">
        <w:t>for each project area (whether the project area was identified in the section 22 application</w:t>
      </w:r>
      <w:r w:rsidR="000D1044">
        <w:t xml:space="preserve"> </w:t>
      </w:r>
      <w:r w:rsidR="0069352F">
        <w:t>or</w:t>
      </w:r>
      <w:r w:rsidR="00057D91">
        <w:t xml:space="preserve"> </w:t>
      </w:r>
      <w:r w:rsidR="000D1044">
        <w:t xml:space="preserve">section 128 </w:t>
      </w:r>
      <w:r w:rsidR="00DC3236">
        <w:t>application</w:t>
      </w:r>
      <w:r w:rsidR="0069352F">
        <w:t>,</w:t>
      </w:r>
      <w:r w:rsidR="00DC3236">
        <w:t xml:space="preserve"> </w:t>
      </w:r>
      <w:r w:rsidR="00D36616" w:rsidRPr="0018316C">
        <w:t>or</w:t>
      </w:r>
      <w:r w:rsidR="0069352F">
        <w:t xml:space="preserve"> was</w:t>
      </w:r>
      <w:r w:rsidR="00D36616" w:rsidRPr="0018316C">
        <w:t xml:space="preserve"> subsequently added to the project in accordance with a section 29 application)</w:t>
      </w:r>
      <w:r w:rsidR="00D36616">
        <w:rPr>
          <w:color w:val="000000"/>
          <w:szCs w:val="22"/>
        </w:rPr>
        <w:t>:</w:t>
      </w:r>
    </w:p>
    <w:p w14:paraId="4642801F" w14:textId="4489DE54" w:rsidR="008461CD" w:rsidRPr="00A30192" w:rsidRDefault="008461CD" w:rsidP="008461CD">
      <w:pPr>
        <w:pStyle w:val="paragraph"/>
        <w:rPr>
          <w:color w:val="000000"/>
          <w:szCs w:val="22"/>
        </w:rPr>
      </w:pPr>
      <w:r w:rsidRPr="00A30192">
        <w:tab/>
        <w:t>(</w:t>
      </w:r>
      <w:r w:rsidR="00D36616">
        <w:t>a</w:t>
      </w:r>
      <w:r w:rsidRPr="00A30192">
        <w:t>)</w:t>
      </w:r>
      <w:r w:rsidRPr="00A30192">
        <w:tab/>
      </w:r>
      <w:r w:rsidRPr="0018316C">
        <w:t>in accordance with the</w:t>
      </w:r>
      <w:r w:rsidR="00D60689" w:rsidRPr="00D60689">
        <w:t xml:space="preserve"> Savanna Fire Management Methods</w:t>
      </w:r>
      <w:r w:rsidR="00D60689">
        <w:t xml:space="preserve"> </w:t>
      </w:r>
      <w:r w:rsidR="00D60689" w:rsidRPr="00D60689">
        <w:t>(2025) Technical Guidance Document</w:t>
      </w:r>
      <w:r>
        <w:t>;</w:t>
      </w:r>
      <w:r w:rsidRPr="0018316C">
        <w:t xml:space="preserve"> </w:t>
      </w:r>
      <w:r w:rsidRPr="00A30192">
        <w:rPr>
          <w:color w:val="000000"/>
          <w:szCs w:val="22"/>
        </w:rPr>
        <w:t>and</w:t>
      </w:r>
    </w:p>
    <w:p w14:paraId="7DCAE6D3" w14:textId="23CD0AD0" w:rsidR="00132552" w:rsidRPr="00E863D2" w:rsidRDefault="008461CD" w:rsidP="00E863D2">
      <w:pPr>
        <w:pStyle w:val="paragraph"/>
      </w:pPr>
      <w:r w:rsidRPr="00A30192">
        <w:rPr>
          <w:color w:val="000000"/>
          <w:szCs w:val="22"/>
        </w:rPr>
        <w:tab/>
        <w:t>(</w:t>
      </w:r>
      <w:r w:rsidR="00D36616">
        <w:rPr>
          <w:color w:val="000000"/>
          <w:szCs w:val="22"/>
        </w:rPr>
        <w:t>b</w:t>
      </w:r>
      <w:r w:rsidRPr="00A30192">
        <w:rPr>
          <w:color w:val="000000"/>
          <w:szCs w:val="22"/>
        </w:rPr>
        <w:t>)</w:t>
      </w:r>
      <w:r w:rsidRPr="00A30192">
        <w:rPr>
          <w:color w:val="000000"/>
          <w:szCs w:val="22"/>
        </w:rPr>
        <w:tab/>
      </w:r>
      <w:r w:rsidRPr="0018316C">
        <w:t>before the project proponent </w:t>
      </w:r>
      <w:r w:rsidR="00DC128A">
        <w:t xml:space="preserve">submits the first </w:t>
      </w:r>
      <w:r w:rsidR="00613B23">
        <w:t xml:space="preserve">offsets report </w:t>
      </w:r>
      <w:r w:rsidRPr="0018316C">
        <w:t xml:space="preserve">under this </w:t>
      </w:r>
      <w:r w:rsidR="00C929D7">
        <w:t>instrument</w:t>
      </w:r>
      <w:r w:rsidRPr="0018316C">
        <w:t> </w:t>
      </w:r>
      <w:r w:rsidR="00613B23">
        <w:t>relating to</w:t>
      </w:r>
      <w:r w:rsidRPr="0018316C">
        <w:t xml:space="preserve"> the project area</w:t>
      </w:r>
      <w:r w:rsidR="00D33074" w:rsidRPr="0018316C">
        <w:t>.</w:t>
      </w:r>
    </w:p>
    <w:p w14:paraId="2F92504D" w14:textId="358A9410" w:rsidR="00E863D2" w:rsidRPr="00F07F32" w:rsidRDefault="00406943" w:rsidP="000165AD">
      <w:pPr>
        <w:pStyle w:val="ActHead5"/>
        <w:ind w:left="0" w:firstLine="0"/>
      </w:pPr>
      <w:bookmarkStart w:id="36" w:name="_Toc202953811"/>
      <w:proofErr w:type="gramStart"/>
      <w:r>
        <w:t>21</w:t>
      </w:r>
      <w:r w:rsidR="000165AD" w:rsidRPr="00F07F32">
        <w:t xml:space="preserve">  </w:t>
      </w:r>
      <w:r w:rsidR="00CA713A" w:rsidRPr="00F07F32">
        <w:rPr>
          <w:bCs/>
          <w:color w:val="000000"/>
        </w:rPr>
        <w:t>Revising</w:t>
      </w:r>
      <w:proofErr w:type="gramEnd"/>
      <w:r w:rsidR="00CA713A" w:rsidRPr="00F07F32">
        <w:rPr>
          <w:bCs/>
          <w:color w:val="000000"/>
        </w:rPr>
        <w:t xml:space="preserve"> </w:t>
      </w:r>
      <w:r w:rsidR="00E863D2" w:rsidRPr="00F07F32">
        <w:rPr>
          <w:bCs/>
          <w:color w:val="000000"/>
        </w:rPr>
        <w:t xml:space="preserve">vegetation fuel type </w:t>
      </w:r>
      <w:proofErr w:type="gramStart"/>
      <w:r w:rsidR="00E863D2" w:rsidRPr="00F07F32">
        <w:rPr>
          <w:bCs/>
          <w:color w:val="000000"/>
        </w:rPr>
        <w:t>map</w:t>
      </w:r>
      <w:bookmarkEnd w:id="36"/>
      <w:proofErr w:type="gramEnd"/>
    </w:p>
    <w:p w14:paraId="7228003E" w14:textId="0BBC8E98" w:rsidR="00D93756" w:rsidRDefault="00E3383F" w:rsidP="004A7133">
      <w:pPr>
        <w:pStyle w:val="tmain"/>
        <w:numPr>
          <w:ilvl w:val="0"/>
          <w:numId w:val="15"/>
        </w:numPr>
        <w:spacing w:before="180" w:beforeAutospacing="0" w:after="0" w:afterAutospacing="0"/>
        <w:ind w:left="1134" w:hanging="425"/>
        <w:rPr>
          <w:color w:val="000000"/>
          <w:sz w:val="22"/>
          <w:szCs w:val="22"/>
        </w:rPr>
      </w:pPr>
      <w:r>
        <w:rPr>
          <w:color w:val="000000"/>
          <w:sz w:val="22"/>
          <w:szCs w:val="22"/>
        </w:rPr>
        <w:t>If the</w:t>
      </w:r>
      <w:r w:rsidR="009F09D3">
        <w:rPr>
          <w:color w:val="000000"/>
          <w:sz w:val="22"/>
          <w:szCs w:val="22"/>
        </w:rPr>
        <w:t xml:space="preserve"> project proponent </w:t>
      </w:r>
      <w:r w:rsidR="0081246F">
        <w:rPr>
          <w:color w:val="000000"/>
          <w:sz w:val="22"/>
          <w:szCs w:val="22"/>
        </w:rPr>
        <w:t>becomes aware that</w:t>
      </w:r>
      <w:r w:rsidR="00897123">
        <w:rPr>
          <w:color w:val="000000"/>
          <w:sz w:val="22"/>
          <w:szCs w:val="22"/>
        </w:rPr>
        <w:t xml:space="preserve"> the vegetation fuel type map</w:t>
      </w:r>
      <w:r w:rsidR="00D93756">
        <w:rPr>
          <w:color w:val="000000"/>
          <w:sz w:val="22"/>
          <w:szCs w:val="22"/>
        </w:rPr>
        <w:t>:</w:t>
      </w:r>
    </w:p>
    <w:p w14:paraId="48F16325" w14:textId="24CCB35B" w:rsidR="009F09D3" w:rsidRPr="00DC0AB6" w:rsidRDefault="00535E31" w:rsidP="004A7133">
      <w:pPr>
        <w:pStyle w:val="tmain"/>
        <w:numPr>
          <w:ilvl w:val="1"/>
          <w:numId w:val="22"/>
        </w:numPr>
        <w:spacing w:before="180" w:beforeAutospacing="0" w:after="0" w:afterAutospacing="0"/>
        <w:rPr>
          <w:color w:val="000000"/>
          <w:sz w:val="22"/>
          <w:szCs w:val="22"/>
        </w:rPr>
      </w:pPr>
      <w:r>
        <w:rPr>
          <w:color w:val="000000"/>
          <w:sz w:val="22"/>
          <w:szCs w:val="22"/>
        </w:rPr>
        <w:t xml:space="preserve">classifies </w:t>
      </w:r>
      <w:r w:rsidR="00835421">
        <w:rPr>
          <w:color w:val="000000"/>
          <w:sz w:val="22"/>
          <w:szCs w:val="22"/>
        </w:rPr>
        <w:t>a</w:t>
      </w:r>
      <w:r w:rsidR="006A7FEB">
        <w:rPr>
          <w:color w:val="000000"/>
          <w:sz w:val="22"/>
          <w:szCs w:val="22"/>
        </w:rPr>
        <w:t xml:space="preserve"> mapping unit</w:t>
      </w:r>
      <w:r w:rsidR="00835421">
        <w:rPr>
          <w:color w:val="000000"/>
          <w:sz w:val="22"/>
          <w:szCs w:val="22"/>
        </w:rPr>
        <w:t xml:space="preserve"> </w:t>
      </w:r>
      <w:r w:rsidR="00E94918">
        <w:rPr>
          <w:color w:val="000000"/>
          <w:sz w:val="22"/>
          <w:szCs w:val="22"/>
        </w:rPr>
        <w:t xml:space="preserve">as a </w:t>
      </w:r>
      <w:r w:rsidR="006E2EE4" w:rsidRPr="00DC0AB6">
        <w:rPr>
          <w:color w:val="000000"/>
          <w:sz w:val="22"/>
          <w:szCs w:val="22"/>
        </w:rPr>
        <w:t>vegetation fuel type</w:t>
      </w:r>
      <w:r w:rsidR="00072688" w:rsidRPr="00DC0AB6">
        <w:rPr>
          <w:color w:val="000000"/>
          <w:sz w:val="22"/>
          <w:szCs w:val="22"/>
        </w:rPr>
        <w:t xml:space="preserve"> </w:t>
      </w:r>
      <w:r w:rsidR="00E94918">
        <w:rPr>
          <w:color w:val="000000"/>
          <w:sz w:val="22"/>
          <w:szCs w:val="22"/>
        </w:rPr>
        <w:t>when</w:t>
      </w:r>
      <w:r w:rsidR="00262A2E">
        <w:rPr>
          <w:color w:val="000000"/>
          <w:sz w:val="22"/>
          <w:szCs w:val="22"/>
        </w:rPr>
        <w:t xml:space="preserve">, </w:t>
      </w:r>
      <w:r w:rsidR="00262A2E" w:rsidRPr="00DC0AB6">
        <w:rPr>
          <w:color w:val="000000"/>
          <w:sz w:val="22"/>
          <w:szCs w:val="22"/>
        </w:rPr>
        <w:t xml:space="preserve">in accordance with the </w:t>
      </w:r>
      <w:r w:rsidR="00262A2E" w:rsidRPr="00DC0AB6">
        <w:rPr>
          <w:sz w:val="22"/>
          <w:szCs w:val="22"/>
        </w:rPr>
        <w:t>Savanna Fire Management Methods (2025) Technical Guidance Document</w:t>
      </w:r>
      <w:r w:rsidR="00262A2E">
        <w:rPr>
          <w:sz w:val="22"/>
          <w:szCs w:val="22"/>
        </w:rPr>
        <w:t>,</w:t>
      </w:r>
      <w:r w:rsidR="00E94918">
        <w:rPr>
          <w:color w:val="000000"/>
          <w:sz w:val="22"/>
          <w:szCs w:val="22"/>
        </w:rPr>
        <w:t xml:space="preserve"> it </w:t>
      </w:r>
      <w:r w:rsidR="00D83993" w:rsidRPr="00DC0AB6">
        <w:rPr>
          <w:color w:val="000000"/>
          <w:sz w:val="22"/>
          <w:szCs w:val="22"/>
        </w:rPr>
        <w:t>should </w:t>
      </w:r>
      <w:r w:rsidR="00AF2391">
        <w:rPr>
          <w:color w:val="000000"/>
          <w:sz w:val="22"/>
          <w:szCs w:val="22"/>
        </w:rPr>
        <w:t>be</w:t>
      </w:r>
      <w:r w:rsidR="00AF2391" w:rsidRPr="00DC0AB6" w:rsidDel="00AF2391">
        <w:rPr>
          <w:color w:val="000000"/>
          <w:sz w:val="22"/>
          <w:szCs w:val="22"/>
        </w:rPr>
        <w:t xml:space="preserve"> </w:t>
      </w:r>
      <w:r w:rsidR="00D83993" w:rsidRPr="00DC0AB6">
        <w:rPr>
          <w:color w:val="000000"/>
          <w:sz w:val="22"/>
          <w:szCs w:val="22"/>
        </w:rPr>
        <w:t>classified as ineligible; or</w:t>
      </w:r>
    </w:p>
    <w:p w14:paraId="5F0737DD" w14:textId="4C16CE2D" w:rsidR="00D83993" w:rsidRPr="00DC0AB6" w:rsidRDefault="00DF1D37" w:rsidP="004A7133">
      <w:pPr>
        <w:pStyle w:val="tmain"/>
        <w:numPr>
          <w:ilvl w:val="1"/>
          <w:numId w:val="22"/>
        </w:numPr>
        <w:spacing w:before="0" w:beforeAutospacing="0" w:after="0" w:afterAutospacing="0"/>
        <w:rPr>
          <w:color w:val="000000"/>
          <w:sz w:val="22"/>
          <w:szCs w:val="22"/>
        </w:rPr>
      </w:pPr>
      <w:r>
        <w:rPr>
          <w:color w:val="000000"/>
          <w:sz w:val="22"/>
          <w:szCs w:val="22"/>
        </w:rPr>
        <w:t xml:space="preserve">classifies a mapping unit as one </w:t>
      </w:r>
      <w:proofErr w:type="gramStart"/>
      <w:r>
        <w:rPr>
          <w:color w:val="000000"/>
          <w:sz w:val="22"/>
          <w:szCs w:val="22"/>
        </w:rPr>
        <w:t>particular vegetation</w:t>
      </w:r>
      <w:proofErr w:type="gramEnd"/>
      <w:r>
        <w:rPr>
          <w:color w:val="000000"/>
          <w:sz w:val="22"/>
          <w:szCs w:val="22"/>
        </w:rPr>
        <w:t xml:space="preserve"> fuel t</w:t>
      </w:r>
      <w:r w:rsidR="004C4531">
        <w:rPr>
          <w:color w:val="000000"/>
          <w:sz w:val="22"/>
          <w:szCs w:val="22"/>
        </w:rPr>
        <w:t>y</w:t>
      </w:r>
      <w:r>
        <w:rPr>
          <w:color w:val="000000"/>
          <w:sz w:val="22"/>
          <w:szCs w:val="22"/>
        </w:rPr>
        <w:t>pe when,</w:t>
      </w:r>
      <w:r w:rsidR="004C4531">
        <w:rPr>
          <w:color w:val="000000"/>
          <w:sz w:val="22"/>
          <w:szCs w:val="22"/>
        </w:rPr>
        <w:t xml:space="preserve"> </w:t>
      </w:r>
      <w:r w:rsidR="004C4531" w:rsidRPr="00DC0AB6">
        <w:rPr>
          <w:color w:val="000000"/>
          <w:sz w:val="22"/>
          <w:szCs w:val="22"/>
        </w:rPr>
        <w:t xml:space="preserve">in accordance with the </w:t>
      </w:r>
      <w:r w:rsidR="004C4531" w:rsidRPr="00DC0AB6">
        <w:rPr>
          <w:sz w:val="22"/>
          <w:szCs w:val="22"/>
        </w:rPr>
        <w:t>Savanna Fire Management Methods (2025) Technical Guidance Document</w:t>
      </w:r>
      <w:r w:rsidR="004C4531">
        <w:rPr>
          <w:color w:val="000000"/>
          <w:sz w:val="22"/>
          <w:szCs w:val="22"/>
        </w:rPr>
        <w:t xml:space="preserve">, it should be classified as another </w:t>
      </w:r>
      <w:r w:rsidR="00D83993" w:rsidRPr="00DC0AB6">
        <w:rPr>
          <w:color w:val="000000"/>
          <w:sz w:val="22"/>
          <w:szCs w:val="22"/>
        </w:rPr>
        <w:t xml:space="preserve">vegetation fuel </w:t>
      </w:r>
      <w:proofErr w:type="gramStart"/>
      <w:r w:rsidR="00D83993" w:rsidRPr="00DC0AB6">
        <w:rPr>
          <w:color w:val="000000"/>
          <w:sz w:val="22"/>
          <w:szCs w:val="22"/>
        </w:rPr>
        <w:t>type</w:t>
      </w:r>
      <w:r w:rsidR="00D249A4" w:rsidRPr="00DC0AB6">
        <w:rPr>
          <w:color w:val="000000"/>
          <w:sz w:val="22"/>
          <w:szCs w:val="22"/>
        </w:rPr>
        <w:t>;</w:t>
      </w:r>
      <w:proofErr w:type="gramEnd"/>
    </w:p>
    <w:p w14:paraId="4218D12D" w14:textId="27376D14" w:rsidR="00D249A4" w:rsidRDefault="00D60689" w:rsidP="00B505DA">
      <w:pPr>
        <w:pStyle w:val="tmain"/>
        <w:spacing w:before="0" w:beforeAutospacing="0" w:after="0" w:afterAutospacing="0"/>
        <w:ind w:left="1134"/>
        <w:rPr>
          <w:color w:val="000000"/>
          <w:sz w:val="22"/>
          <w:szCs w:val="22"/>
        </w:rPr>
      </w:pPr>
      <w:r>
        <w:rPr>
          <w:color w:val="000000"/>
          <w:sz w:val="22"/>
          <w:szCs w:val="22"/>
        </w:rPr>
        <w:t xml:space="preserve">the project proponent must </w:t>
      </w:r>
      <w:r w:rsidRPr="00D60689">
        <w:rPr>
          <w:color w:val="000000"/>
          <w:sz w:val="22"/>
          <w:szCs w:val="22"/>
        </w:rPr>
        <w:t>revise the vegetation fuel type map accordingly.</w:t>
      </w:r>
    </w:p>
    <w:p w14:paraId="6F75705C" w14:textId="265A0F0E" w:rsidR="009F09D3" w:rsidRPr="00DC0AB6" w:rsidRDefault="00DB1642" w:rsidP="004A7133">
      <w:pPr>
        <w:pStyle w:val="tmain"/>
        <w:numPr>
          <w:ilvl w:val="0"/>
          <w:numId w:val="15"/>
        </w:numPr>
        <w:spacing w:before="180" w:beforeAutospacing="0" w:after="0" w:afterAutospacing="0"/>
        <w:ind w:left="1134" w:hanging="425"/>
        <w:rPr>
          <w:color w:val="000000"/>
          <w:sz w:val="22"/>
          <w:szCs w:val="22"/>
        </w:rPr>
      </w:pPr>
      <w:r w:rsidRPr="00DC0AB6">
        <w:rPr>
          <w:color w:val="000000"/>
          <w:sz w:val="22"/>
          <w:szCs w:val="22"/>
        </w:rPr>
        <w:t xml:space="preserve">If the project proponent becomes aware that </w:t>
      </w:r>
      <w:r w:rsidR="00325BE5" w:rsidRPr="00DC0AB6">
        <w:rPr>
          <w:color w:val="000000"/>
          <w:sz w:val="22"/>
          <w:szCs w:val="22"/>
        </w:rPr>
        <w:t>the vegetation fuel type map</w:t>
      </w:r>
      <w:r w:rsidRPr="00DC0AB6">
        <w:rPr>
          <w:color w:val="000000"/>
          <w:sz w:val="22"/>
          <w:szCs w:val="22"/>
        </w:rPr>
        <w:t xml:space="preserve"> </w:t>
      </w:r>
      <w:r w:rsidR="00A70387">
        <w:rPr>
          <w:color w:val="000000"/>
          <w:sz w:val="22"/>
          <w:szCs w:val="22"/>
        </w:rPr>
        <w:t xml:space="preserve">classifies a mapping unit as ineligible when, </w:t>
      </w:r>
      <w:r w:rsidRPr="00DC0AB6">
        <w:rPr>
          <w:color w:val="000000"/>
          <w:sz w:val="22"/>
          <w:szCs w:val="22"/>
        </w:rPr>
        <w:t xml:space="preserve">in accordance with the </w:t>
      </w:r>
      <w:r w:rsidR="00F576D9" w:rsidRPr="00DC0AB6">
        <w:rPr>
          <w:sz w:val="22"/>
          <w:szCs w:val="22"/>
        </w:rPr>
        <w:t>Savanna Fire Management Methods (2025) Technical Guidance Document</w:t>
      </w:r>
      <w:r w:rsidRPr="00DC0AB6">
        <w:rPr>
          <w:color w:val="000000"/>
          <w:sz w:val="22"/>
          <w:szCs w:val="22"/>
        </w:rPr>
        <w:t>,</w:t>
      </w:r>
      <w:r w:rsidR="00517DCF">
        <w:rPr>
          <w:color w:val="000000"/>
          <w:sz w:val="22"/>
          <w:szCs w:val="22"/>
        </w:rPr>
        <w:t xml:space="preserve"> it should be classified as a </w:t>
      </w:r>
      <w:r w:rsidR="00517DCF" w:rsidRPr="00DC0AB6">
        <w:rPr>
          <w:color w:val="000000"/>
          <w:sz w:val="22"/>
          <w:szCs w:val="22"/>
        </w:rPr>
        <w:t>vegetation fuel type</w:t>
      </w:r>
      <w:r w:rsidR="00517DCF">
        <w:rPr>
          <w:color w:val="000000"/>
          <w:sz w:val="22"/>
          <w:szCs w:val="22"/>
        </w:rPr>
        <w:t>,</w:t>
      </w:r>
      <w:r w:rsidRPr="00DC0AB6">
        <w:rPr>
          <w:color w:val="000000"/>
          <w:sz w:val="22"/>
          <w:szCs w:val="22"/>
        </w:rPr>
        <w:t xml:space="preserve"> the project proponent may revise the vegetation fuel type map accordingly.</w:t>
      </w:r>
    </w:p>
    <w:p w14:paraId="0764652C" w14:textId="72809DE5" w:rsidR="009F09D3" w:rsidRPr="00DC0AB6" w:rsidRDefault="003419B0" w:rsidP="004A7133">
      <w:pPr>
        <w:pStyle w:val="tmain"/>
        <w:numPr>
          <w:ilvl w:val="0"/>
          <w:numId w:val="15"/>
        </w:numPr>
        <w:spacing w:before="180" w:beforeAutospacing="0" w:after="0" w:afterAutospacing="0"/>
        <w:ind w:left="1134" w:hanging="425"/>
        <w:rPr>
          <w:color w:val="000000"/>
          <w:sz w:val="22"/>
          <w:szCs w:val="22"/>
        </w:rPr>
      </w:pPr>
      <w:r w:rsidRPr="00DC0AB6">
        <w:rPr>
          <w:color w:val="000000"/>
          <w:sz w:val="22"/>
          <w:szCs w:val="22"/>
        </w:rPr>
        <w:t>A vegetation fuel type map</w:t>
      </w:r>
      <w:r w:rsidR="00883522" w:rsidRPr="00DC0AB6">
        <w:rPr>
          <w:color w:val="000000"/>
          <w:sz w:val="22"/>
          <w:szCs w:val="22"/>
        </w:rPr>
        <w:t xml:space="preserve"> revised in accordance with this section </w:t>
      </w:r>
      <w:r w:rsidR="0070742B" w:rsidRPr="00DC0AB6">
        <w:rPr>
          <w:color w:val="000000"/>
          <w:sz w:val="22"/>
          <w:szCs w:val="22"/>
        </w:rPr>
        <w:t>must be validated</w:t>
      </w:r>
      <w:r w:rsidR="000F1BB5" w:rsidRPr="00DC0AB6">
        <w:rPr>
          <w:color w:val="000000"/>
          <w:sz w:val="22"/>
          <w:szCs w:val="22"/>
        </w:rPr>
        <w:t xml:space="preserve"> in accordance with the </w:t>
      </w:r>
      <w:r w:rsidR="000F1BB5" w:rsidRPr="00DC0AB6">
        <w:rPr>
          <w:sz w:val="22"/>
          <w:szCs w:val="22"/>
        </w:rPr>
        <w:t>Savanna Fire Management Methods (2025) Technical Guidance Document</w:t>
      </w:r>
      <w:r w:rsidR="0076282B" w:rsidRPr="00DC0AB6">
        <w:rPr>
          <w:sz w:val="22"/>
          <w:szCs w:val="22"/>
        </w:rPr>
        <w:t>.</w:t>
      </w:r>
    </w:p>
    <w:p w14:paraId="44A39F76" w14:textId="6B4CAEB2" w:rsidR="00322BC1" w:rsidRPr="007B2786" w:rsidRDefault="00322BC1" w:rsidP="007B2786">
      <w:pPr>
        <w:pStyle w:val="notetext"/>
      </w:pPr>
      <w:r w:rsidRPr="007B2786">
        <w:t>Note: </w:t>
      </w:r>
      <w:r w:rsidR="003F593A">
        <w:rPr>
          <w:color w:val="000000"/>
          <w:szCs w:val="18"/>
        </w:rPr>
        <w:tab/>
      </w:r>
      <w:r w:rsidR="007013B1">
        <w:rPr>
          <w:color w:val="000000"/>
          <w:szCs w:val="18"/>
        </w:rPr>
        <w:t>T</w:t>
      </w:r>
      <w:r>
        <w:rPr>
          <w:color w:val="000000"/>
          <w:szCs w:val="18"/>
        </w:rPr>
        <w:t xml:space="preserve">he </w:t>
      </w:r>
      <w:r w:rsidR="00DC0AB6" w:rsidRPr="00DC0AB6">
        <w:rPr>
          <w:color w:val="000000"/>
          <w:szCs w:val="18"/>
        </w:rPr>
        <w:t xml:space="preserve">Savanna Fire Management Methods (2025) Technical Guidance Document </w:t>
      </w:r>
      <w:r>
        <w:rPr>
          <w:color w:val="000000"/>
          <w:szCs w:val="18"/>
        </w:rPr>
        <w:t xml:space="preserve">may require validation of the entire </w:t>
      </w:r>
      <w:r w:rsidR="001334F8">
        <w:rPr>
          <w:color w:val="000000"/>
          <w:szCs w:val="18"/>
        </w:rPr>
        <w:t xml:space="preserve">vegetation fuel type </w:t>
      </w:r>
      <w:r>
        <w:rPr>
          <w:color w:val="000000"/>
          <w:szCs w:val="18"/>
        </w:rPr>
        <w:t>map</w:t>
      </w:r>
      <w:r w:rsidR="007013B1">
        <w:rPr>
          <w:color w:val="000000"/>
          <w:szCs w:val="18"/>
        </w:rPr>
        <w:t xml:space="preserve"> even if the area of land represented by the mapping unit or units that are being revised </w:t>
      </w:r>
      <w:r w:rsidR="00696E62">
        <w:rPr>
          <w:color w:val="000000"/>
          <w:szCs w:val="18"/>
        </w:rPr>
        <w:t>is</w:t>
      </w:r>
      <w:r w:rsidR="007013B1">
        <w:rPr>
          <w:color w:val="000000"/>
          <w:szCs w:val="18"/>
        </w:rPr>
        <w:t xml:space="preserve"> only part of </w:t>
      </w:r>
      <w:r w:rsidR="00696E62">
        <w:rPr>
          <w:color w:val="000000"/>
          <w:szCs w:val="18"/>
        </w:rPr>
        <w:t>the</w:t>
      </w:r>
      <w:r w:rsidR="007013B1">
        <w:rPr>
          <w:color w:val="000000"/>
          <w:szCs w:val="18"/>
        </w:rPr>
        <w:t xml:space="preserve"> area covered by that vegetation fuel type map</w:t>
      </w:r>
      <w:r>
        <w:rPr>
          <w:color w:val="000000"/>
          <w:szCs w:val="18"/>
        </w:rPr>
        <w:t>.</w:t>
      </w:r>
    </w:p>
    <w:p w14:paraId="09CB1929" w14:textId="651B367F" w:rsidR="00C665D5" w:rsidRPr="00DC0AB6" w:rsidRDefault="00322BC1" w:rsidP="004A7133">
      <w:pPr>
        <w:pStyle w:val="tmain"/>
        <w:numPr>
          <w:ilvl w:val="0"/>
          <w:numId w:val="15"/>
        </w:numPr>
        <w:spacing w:before="180" w:beforeAutospacing="0" w:after="0" w:afterAutospacing="0"/>
        <w:ind w:left="1134" w:hanging="425"/>
        <w:rPr>
          <w:color w:val="000000"/>
          <w:sz w:val="22"/>
          <w:szCs w:val="22"/>
        </w:rPr>
      </w:pPr>
      <w:r w:rsidRPr="00DC0AB6">
        <w:rPr>
          <w:color w:val="000000"/>
          <w:sz w:val="22"/>
          <w:szCs w:val="22"/>
        </w:rPr>
        <w:t>A revision</w:t>
      </w:r>
      <w:r w:rsidR="00D3440C" w:rsidRPr="00DC0AB6">
        <w:rPr>
          <w:color w:val="000000"/>
          <w:sz w:val="22"/>
          <w:szCs w:val="22"/>
        </w:rPr>
        <w:t xml:space="preserve"> and validation </w:t>
      </w:r>
      <w:r w:rsidR="002D18E6" w:rsidRPr="00DC0AB6">
        <w:rPr>
          <w:color w:val="000000"/>
          <w:sz w:val="22"/>
          <w:szCs w:val="22"/>
        </w:rPr>
        <w:t xml:space="preserve">in accordance with this section must be done in accordance with the </w:t>
      </w:r>
      <w:r w:rsidR="002D18E6" w:rsidRPr="00DC0AB6">
        <w:rPr>
          <w:sz w:val="22"/>
          <w:szCs w:val="22"/>
        </w:rPr>
        <w:t>Savanna Fire Management Methods (2025) Technical Guidance Document</w:t>
      </w:r>
      <w:r w:rsidR="00C665D5" w:rsidRPr="00DC0AB6">
        <w:rPr>
          <w:sz w:val="22"/>
          <w:szCs w:val="22"/>
        </w:rPr>
        <w:t xml:space="preserve"> and be completed:</w:t>
      </w:r>
    </w:p>
    <w:p w14:paraId="7E6AD22E" w14:textId="55EB8B52" w:rsidR="00322BC1" w:rsidRPr="00DC0AB6" w:rsidRDefault="00A8395B" w:rsidP="004A7133">
      <w:pPr>
        <w:pStyle w:val="tmain"/>
        <w:numPr>
          <w:ilvl w:val="1"/>
          <w:numId w:val="15"/>
        </w:numPr>
        <w:spacing w:before="180" w:beforeAutospacing="0" w:after="0" w:afterAutospacing="0"/>
        <w:rPr>
          <w:color w:val="000000"/>
          <w:sz w:val="22"/>
          <w:szCs w:val="22"/>
        </w:rPr>
      </w:pPr>
      <w:r w:rsidRPr="00DC0AB6">
        <w:rPr>
          <w:color w:val="000000"/>
          <w:sz w:val="22"/>
          <w:szCs w:val="22"/>
        </w:rPr>
        <w:t>i</w:t>
      </w:r>
      <w:r w:rsidR="00C665D5" w:rsidRPr="00DC0AB6">
        <w:rPr>
          <w:color w:val="000000"/>
          <w:sz w:val="22"/>
          <w:szCs w:val="22"/>
        </w:rPr>
        <w:t xml:space="preserve">n the case of a revision required by </w:t>
      </w:r>
      <w:r w:rsidRPr="00DC0AB6">
        <w:rPr>
          <w:color w:val="000000"/>
          <w:sz w:val="22"/>
          <w:szCs w:val="22"/>
        </w:rPr>
        <w:t>subsection (1</w:t>
      </w:r>
      <w:r w:rsidR="00496359" w:rsidRPr="00DC0AB6">
        <w:rPr>
          <w:color w:val="000000"/>
          <w:sz w:val="22"/>
          <w:szCs w:val="22"/>
        </w:rPr>
        <w:t>)</w:t>
      </w:r>
      <w:r w:rsidR="005858B7" w:rsidRPr="00DC0AB6">
        <w:rPr>
          <w:b/>
          <w:bCs/>
          <w:color w:val="000000"/>
          <w:sz w:val="22"/>
          <w:szCs w:val="22"/>
        </w:rPr>
        <w:t>—</w:t>
      </w:r>
      <w:r w:rsidR="005858B7" w:rsidRPr="00DC0AB6">
        <w:rPr>
          <w:color w:val="000000"/>
          <w:sz w:val="22"/>
          <w:szCs w:val="22"/>
        </w:rPr>
        <w:t>before</w:t>
      </w:r>
      <w:r w:rsidR="005858B7" w:rsidRPr="00DC0AB6">
        <w:rPr>
          <w:b/>
          <w:bCs/>
          <w:color w:val="000000"/>
          <w:sz w:val="22"/>
          <w:szCs w:val="22"/>
        </w:rPr>
        <w:t xml:space="preserve"> </w:t>
      </w:r>
      <w:r w:rsidR="002D5E21" w:rsidRPr="00DC0AB6">
        <w:rPr>
          <w:color w:val="000000"/>
          <w:sz w:val="22"/>
          <w:szCs w:val="22"/>
        </w:rPr>
        <w:t>submitting an offsets report for the reporting period in which the project proponent becomes aware of the matter referred to in that subsection</w:t>
      </w:r>
      <w:r w:rsidR="005858B7" w:rsidRPr="00DC0AB6">
        <w:rPr>
          <w:color w:val="000000"/>
          <w:sz w:val="22"/>
          <w:szCs w:val="22"/>
        </w:rPr>
        <w:t xml:space="preserve">; </w:t>
      </w:r>
      <w:r w:rsidR="00700B07">
        <w:rPr>
          <w:color w:val="000000"/>
          <w:sz w:val="22"/>
          <w:szCs w:val="22"/>
        </w:rPr>
        <w:t>or</w:t>
      </w:r>
    </w:p>
    <w:p w14:paraId="63CA5CFA" w14:textId="258CA9AC" w:rsidR="005858B7" w:rsidRPr="00DC0AB6" w:rsidRDefault="00887320" w:rsidP="004A7133">
      <w:pPr>
        <w:pStyle w:val="tmain"/>
        <w:numPr>
          <w:ilvl w:val="1"/>
          <w:numId w:val="15"/>
        </w:numPr>
        <w:spacing w:before="180" w:beforeAutospacing="0" w:after="0" w:afterAutospacing="0"/>
        <w:rPr>
          <w:color w:val="000000"/>
          <w:sz w:val="22"/>
          <w:szCs w:val="22"/>
        </w:rPr>
      </w:pPr>
      <w:r w:rsidRPr="00DC0AB6">
        <w:rPr>
          <w:color w:val="000000"/>
          <w:sz w:val="22"/>
          <w:szCs w:val="22"/>
        </w:rPr>
        <w:lastRenderedPageBreak/>
        <w:t>in any other case</w:t>
      </w:r>
      <w:r w:rsidRPr="00DC0AB6">
        <w:rPr>
          <w:b/>
          <w:bCs/>
          <w:color w:val="000000"/>
          <w:sz w:val="22"/>
          <w:szCs w:val="22"/>
        </w:rPr>
        <w:t>—</w:t>
      </w:r>
      <w:r w:rsidRPr="00DC0AB6">
        <w:rPr>
          <w:color w:val="000000"/>
          <w:sz w:val="22"/>
          <w:szCs w:val="22"/>
        </w:rPr>
        <w:t>before</w:t>
      </w:r>
      <w:r w:rsidRPr="00DC0AB6">
        <w:rPr>
          <w:b/>
          <w:bCs/>
          <w:color w:val="000000"/>
          <w:sz w:val="22"/>
          <w:szCs w:val="22"/>
        </w:rPr>
        <w:t xml:space="preserve"> </w:t>
      </w:r>
      <w:r w:rsidRPr="00DC0AB6">
        <w:rPr>
          <w:color w:val="000000"/>
          <w:sz w:val="22"/>
          <w:szCs w:val="22"/>
        </w:rPr>
        <w:t xml:space="preserve">submitting </w:t>
      </w:r>
      <w:r w:rsidR="00B9250A" w:rsidRPr="00DC0AB6">
        <w:rPr>
          <w:color w:val="000000"/>
          <w:sz w:val="22"/>
          <w:szCs w:val="22"/>
        </w:rPr>
        <w:t>an offsets report for the first reporting period for which the revised map is used.</w:t>
      </w:r>
    </w:p>
    <w:p w14:paraId="6C449A83" w14:textId="5A5E6FB0" w:rsidR="0083508E" w:rsidRPr="0083508E" w:rsidRDefault="0083508E" w:rsidP="002A0A38">
      <w:pPr>
        <w:pStyle w:val="ActHead5"/>
        <w:ind w:left="0" w:firstLine="0"/>
      </w:pPr>
      <w:bookmarkStart w:id="37" w:name="_Toc202953812"/>
      <w:proofErr w:type="gramStart"/>
      <w:r>
        <w:t>2</w:t>
      </w:r>
      <w:r w:rsidR="00C56370">
        <w:t>2</w:t>
      </w:r>
      <w:r w:rsidRPr="00F07F32">
        <w:t xml:space="preserve">  </w:t>
      </w:r>
      <w:r w:rsidR="00C56370">
        <w:rPr>
          <w:bCs/>
          <w:color w:val="000000"/>
        </w:rPr>
        <w:t>V</w:t>
      </w:r>
      <w:r w:rsidRPr="00F07F32">
        <w:rPr>
          <w:bCs/>
          <w:color w:val="000000"/>
        </w:rPr>
        <w:t>egetation</w:t>
      </w:r>
      <w:proofErr w:type="gramEnd"/>
      <w:r w:rsidRPr="00F07F32">
        <w:rPr>
          <w:bCs/>
          <w:color w:val="000000"/>
        </w:rPr>
        <w:t xml:space="preserve"> fuel type map</w:t>
      </w:r>
      <w:r w:rsidR="00C56370">
        <w:rPr>
          <w:bCs/>
          <w:color w:val="000000"/>
        </w:rPr>
        <w:t xml:space="preserve"> for subdivided project area</w:t>
      </w:r>
      <w:bookmarkEnd w:id="37"/>
    </w:p>
    <w:p w14:paraId="72583DFA" w14:textId="77777777" w:rsidR="00B505DA" w:rsidRDefault="00690416" w:rsidP="004A7133">
      <w:pPr>
        <w:pStyle w:val="tmain"/>
        <w:numPr>
          <w:ilvl w:val="0"/>
          <w:numId w:val="49"/>
        </w:numPr>
        <w:spacing w:before="240" w:beforeAutospacing="0" w:after="0" w:afterAutospacing="0"/>
        <w:ind w:left="1134" w:hanging="425"/>
        <w:rPr>
          <w:color w:val="000000"/>
          <w:sz w:val="22"/>
          <w:szCs w:val="22"/>
        </w:rPr>
      </w:pPr>
      <w:r>
        <w:rPr>
          <w:color w:val="000000"/>
          <w:sz w:val="22"/>
          <w:szCs w:val="22"/>
        </w:rPr>
        <w:t>This section applies if:</w:t>
      </w:r>
    </w:p>
    <w:p w14:paraId="25AA4D5D" w14:textId="745C75EA" w:rsidR="00B505DA" w:rsidRDefault="000E11BF" w:rsidP="004A7133">
      <w:pPr>
        <w:pStyle w:val="tmain"/>
        <w:numPr>
          <w:ilvl w:val="1"/>
          <w:numId w:val="49"/>
        </w:numPr>
        <w:spacing w:before="0" w:beforeAutospacing="0" w:after="0" w:afterAutospacing="0"/>
        <w:rPr>
          <w:color w:val="000000"/>
          <w:sz w:val="22"/>
          <w:szCs w:val="22"/>
        </w:rPr>
      </w:pPr>
      <w:r w:rsidRPr="00B505DA">
        <w:rPr>
          <w:color w:val="000000"/>
          <w:sz w:val="22"/>
          <w:szCs w:val="22"/>
        </w:rPr>
        <w:t>a vegetation fuel type map for a particular project area has been created and validated</w:t>
      </w:r>
      <w:r w:rsidR="00784770">
        <w:rPr>
          <w:color w:val="000000"/>
          <w:sz w:val="22"/>
          <w:szCs w:val="22"/>
        </w:rPr>
        <w:t>,</w:t>
      </w:r>
      <w:r w:rsidRPr="00B505DA">
        <w:rPr>
          <w:color w:val="000000"/>
          <w:sz w:val="22"/>
          <w:szCs w:val="22"/>
        </w:rPr>
        <w:t xml:space="preserve"> or revised and </w:t>
      </w:r>
      <w:r w:rsidR="00784770" w:rsidRPr="00B505DA">
        <w:rPr>
          <w:color w:val="000000"/>
          <w:sz w:val="22"/>
          <w:szCs w:val="22"/>
        </w:rPr>
        <w:t>validated</w:t>
      </w:r>
      <w:r w:rsidR="00784770">
        <w:rPr>
          <w:color w:val="000000"/>
          <w:sz w:val="22"/>
          <w:szCs w:val="22"/>
        </w:rPr>
        <w:t>, as the case requires,</w:t>
      </w:r>
      <w:r w:rsidR="00784770" w:rsidRPr="00B505DA" w:rsidDel="00784770">
        <w:rPr>
          <w:color w:val="000000"/>
          <w:sz w:val="22"/>
          <w:szCs w:val="22"/>
        </w:rPr>
        <w:t xml:space="preserve"> </w:t>
      </w:r>
      <w:r w:rsidRPr="00B505DA">
        <w:rPr>
          <w:color w:val="000000"/>
          <w:sz w:val="22"/>
          <w:szCs w:val="22"/>
        </w:rPr>
        <w:t xml:space="preserve">in accordance with this </w:t>
      </w:r>
      <w:r w:rsidR="00C929D7">
        <w:rPr>
          <w:color w:val="000000"/>
          <w:sz w:val="22"/>
          <w:szCs w:val="22"/>
        </w:rPr>
        <w:t>instrument</w:t>
      </w:r>
      <w:r w:rsidRPr="00B505DA">
        <w:rPr>
          <w:color w:val="000000"/>
          <w:sz w:val="22"/>
          <w:szCs w:val="22"/>
        </w:rPr>
        <w:t>; and</w:t>
      </w:r>
    </w:p>
    <w:p w14:paraId="3D97091A" w14:textId="45CB5C8C" w:rsidR="000E11BF" w:rsidRPr="00B505DA" w:rsidRDefault="000E11BF" w:rsidP="004A7133">
      <w:pPr>
        <w:pStyle w:val="tmain"/>
        <w:numPr>
          <w:ilvl w:val="1"/>
          <w:numId w:val="49"/>
        </w:numPr>
        <w:spacing w:before="0" w:beforeAutospacing="0" w:after="0" w:afterAutospacing="0"/>
        <w:rPr>
          <w:color w:val="000000"/>
          <w:sz w:val="22"/>
          <w:szCs w:val="22"/>
        </w:rPr>
      </w:pPr>
      <w:r w:rsidRPr="00B505DA">
        <w:rPr>
          <w:color w:val="000000"/>
          <w:sz w:val="22"/>
          <w:szCs w:val="22"/>
        </w:rPr>
        <w:t>the project area is divided into 2 or more subdivided project areas.</w:t>
      </w:r>
    </w:p>
    <w:p w14:paraId="448C2450" w14:textId="77777777" w:rsidR="00B505DA" w:rsidRDefault="00690416" w:rsidP="004A7133">
      <w:pPr>
        <w:pStyle w:val="tmain"/>
        <w:numPr>
          <w:ilvl w:val="0"/>
          <w:numId w:val="49"/>
        </w:numPr>
        <w:spacing w:before="240" w:beforeAutospacing="0" w:after="0" w:afterAutospacing="0"/>
        <w:ind w:left="1134" w:hanging="425"/>
        <w:rPr>
          <w:color w:val="000000"/>
          <w:sz w:val="22"/>
          <w:szCs w:val="22"/>
        </w:rPr>
      </w:pPr>
      <w:r>
        <w:rPr>
          <w:color w:val="000000"/>
          <w:sz w:val="22"/>
          <w:szCs w:val="22"/>
        </w:rPr>
        <w:t>The vegetation fuel type map for the original project area is taken:</w:t>
      </w:r>
    </w:p>
    <w:p w14:paraId="2A09F292" w14:textId="77777777" w:rsidR="00B505DA" w:rsidRDefault="00690416" w:rsidP="004A7133">
      <w:pPr>
        <w:pStyle w:val="tmain"/>
        <w:numPr>
          <w:ilvl w:val="1"/>
          <w:numId w:val="49"/>
        </w:numPr>
        <w:spacing w:before="0" w:beforeAutospacing="0" w:after="0" w:afterAutospacing="0"/>
        <w:rPr>
          <w:color w:val="000000"/>
          <w:sz w:val="22"/>
          <w:szCs w:val="22"/>
        </w:rPr>
      </w:pPr>
      <w:r w:rsidRPr="00B505DA">
        <w:rPr>
          <w:color w:val="000000"/>
          <w:sz w:val="22"/>
          <w:szCs w:val="22"/>
        </w:rPr>
        <w:t>to be a single map that relates to each subdivided project area; and</w:t>
      </w:r>
    </w:p>
    <w:p w14:paraId="14C20313" w14:textId="08EA2948" w:rsidR="00690416" w:rsidRPr="00B505DA" w:rsidRDefault="00690416" w:rsidP="004A7133">
      <w:pPr>
        <w:pStyle w:val="tmain"/>
        <w:numPr>
          <w:ilvl w:val="1"/>
          <w:numId w:val="49"/>
        </w:numPr>
        <w:spacing w:before="0" w:beforeAutospacing="0" w:after="0" w:afterAutospacing="0"/>
        <w:rPr>
          <w:color w:val="000000"/>
          <w:sz w:val="22"/>
          <w:szCs w:val="22"/>
        </w:rPr>
      </w:pPr>
      <w:r w:rsidRPr="00B505DA">
        <w:rPr>
          <w:color w:val="000000"/>
          <w:sz w:val="22"/>
          <w:szCs w:val="22"/>
        </w:rPr>
        <w:t>to have been created and validated</w:t>
      </w:r>
      <w:r w:rsidR="00635180">
        <w:rPr>
          <w:color w:val="000000"/>
          <w:sz w:val="22"/>
          <w:szCs w:val="22"/>
        </w:rPr>
        <w:t>,</w:t>
      </w:r>
      <w:r w:rsidRPr="00B505DA">
        <w:rPr>
          <w:color w:val="000000"/>
          <w:sz w:val="22"/>
          <w:szCs w:val="22"/>
        </w:rPr>
        <w:t> or revised and validated</w:t>
      </w:r>
      <w:r w:rsidR="00635180">
        <w:rPr>
          <w:color w:val="000000"/>
          <w:sz w:val="22"/>
          <w:szCs w:val="22"/>
        </w:rPr>
        <w:t>, as the case requires,</w:t>
      </w:r>
      <w:r w:rsidRPr="00B505DA">
        <w:rPr>
          <w:color w:val="000000"/>
          <w:sz w:val="22"/>
          <w:szCs w:val="22"/>
        </w:rPr>
        <w:t xml:space="preserve"> in accordance with this </w:t>
      </w:r>
      <w:r w:rsidR="00C929D7">
        <w:rPr>
          <w:color w:val="000000"/>
          <w:sz w:val="22"/>
          <w:szCs w:val="22"/>
        </w:rPr>
        <w:t>instrument</w:t>
      </w:r>
      <w:r w:rsidRPr="00B505DA">
        <w:rPr>
          <w:color w:val="000000"/>
          <w:sz w:val="22"/>
          <w:szCs w:val="22"/>
        </w:rPr>
        <w:t>.</w:t>
      </w:r>
    </w:p>
    <w:p w14:paraId="2CE1D053" w14:textId="736C172D" w:rsidR="00067D32" w:rsidRDefault="00067D32" w:rsidP="00867A6B">
      <w:pPr>
        <w:pStyle w:val="ActHead3"/>
      </w:pPr>
      <w:bookmarkStart w:id="38" w:name="_Toc202953813"/>
      <w:r w:rsidRPr="009D2663">
        <w:t xml:space="preserve">Division </w:t>
      </w:r>
      <w:r>
        <w:t>6</w:t>
      </w:r>
      <w:r w:rsidRPr="00574A5C">
        <w:t>—</w:t>
      </w:r>
      <w:r>
        <w:t>Newness and additionality</w:t>
      </w:r>
      <w:bookmarkEnd w:id="38"/>
    </w:p>
    <w:p w14:paraId="75256F5C" w14:textId="5641D580" w:rsidR="00693DEF" w:rsidRPr="00F07F32" w:rsidRDefault="000F7625" w:rsidP="000165AD">
      <w:pPr>
        <w:pStyle w:val="ActHead5"/>
        <w:ind w:left="0" w:firstLine="0"/>
      </w:pPr>
      <w:bookmarkStart w:id="39" w:name="_Toc202953814"/>
      <w:proofErr w:type="gramStart"/>
      <w:r w:rsidRPr="00F07F32">
        <w:t>2</w:t>
      </w:r>
      <w:r w:rsidR="00406943">
        <w:t>3</w:t>
      </w:r>
      <w:r w:rsidR="000165AD" w:rsidRPr="00F07F32">
        <w:t xml:space="preserve">  </w:t>
      </w:r>
      <w:r w:rsidR="00A271DF" w:rsidRPr="00F07F32">
        <w:rPr>
          <w:bCs/>
          <w:color w:val="000000"/>
        </w:rPr>
        <w:t>Requirement</w:t>
      </w:r>
      <w:proofErr w:type="gramEnd"/>
      <w:r w:rsidR="00A271DF" w:rsidRPr="00F07F32">
        <w:rPr>
          <w:bCs/>
          <w:color w:val="000000"/>
        </w:rPr>
        <w:t xml:space="preserve"> in lieu of newness requirement</w:t>
      </w:r>
      <w:bookmarkEnd w:id="39"/>
    </w:p>
    <w:p w14:paraId="5499F9AC" w14:textId="4543609A" w:rsidR="00B61BEF" w:rsidRDefault="00FA6097" w:rsidP="004A7133">
      <w:pPr>
        <w:pStyle w:val="tmain"/>
        <w:numPr>
          <w:ilvl w:val="0"/>
          <w:numId w:val="23"/>
        </w:numPr>
        <w:spacing w:before="180" w:beforeAutospacing="0" w:after="0" w:afterAutospacing="0"/>
        <w:ind w:left="1134" w:hanging="425"/>
        <w:rPr>
          <w:color w:val="000000"/>
          <w:sz w:val="22"/>
          <w:szCs w:val="22"/>
        </w:rPr>
      </w:pPr>
      <w:r w:rsidRPr="00B61BEF">
        <w:rPr>
          <w:color w:val="000000"/>
          <w:sz w:val="22"/>
          <w:szCs w:val="22"/>
        </w:rPr>
        <w:t>For the purposes of subparagraph 27(4</w:t>
      </w:r>
      <w:proofErr w:type="gramStart"/>
      <w:r w:rsidRPr="00B61BEF">
        <w:rPr>
          <w:color w:val="000000"/>
          <w:sz w:val="22"/>
          <w:szCs w:val="22"/>
        </w:rPr>
        <w:t>A)(</w:t>
      </w:r>
      <w:proofErr w:type="gramEnd"/>
      <w:r w:rsidRPr="00B61BEF">
        <w:rPr>
          <w:color w:val="000000"/>
          <w:sz w:val="22"/>
          <w:szCs w:val="22"/>
        </w:rPr>
        <w:t xml:space="preserve">a)(ii) of the Act, the requirement in lieu of the newness requirement for a </w:t>
      </w:r>
      <w:r w:rsidR="001A7498" w:rsidRPr="001A7498">
        <w:t>savanna sequestration project</w:t>
      </w:r>
      <w:r w:rsidR="001A7498" w:rsidRPr="00B61BEF">
        <w:rPr>
          <w:color w:val="000000"/>
          <w:sz w:val="22"/>
          <w:szCs w:val="22"/>
        </w:rPr>
        <w:t xml:space="preserve"> </w:t>
      </w:r>
      <w:r w:rsidR="00A041DC">
        <w:rPr>
          <w:color w:val="000000"/>
          <w:sz w:val="22"/>
          <w:szCs w:val="22"/>
        </w:rPr>
        <w:t>is the requi</w:t>
      </w:r>
      <w:r w:rsidR="00E91F36">
        <w:rPr>
          <w:color w:val="000000"/>
          <w:sz w:val="22"/>
          <w:szCs w:val="22"/>
        </w:rPr>
        <w:t>rement in subsection (2).</w:t>
      </w:r>
    </w:p>
    <w:p w14:paraId="5EF86BDD" w14:textId="59100015" w:rsidR="006571B1" w:rsidRDefault="007129BC" w:rsidP="004A7133">
      <w:pPr>
        <w:pStyle w:val="tmain"/>
        <w:numPr>
          <w:ilvl w:val="0"/>
          <w:numId w:val="23"/>
        </w:numPr>
        <w:spacing w:before="180" w:beforeAutospacing="0" w:after="0" w:afterAutospacing="0"/>
        <w:ind w:left="1134" w:hanging="425"/>
        <w:rPr>
          <w:color w:val="000000"/>
          <w:sz w:val="22"/>
          <w:szCs w:val="22"/>
        </w:rPr>
      </w:pPr>
      <w:r>
        <w:rPr>
          <w:color w:val="000000"/>
          <w:sz w:val="22"/>
          <w:szCs w:val="22"/>
        </w:rPr>
        <w:t xml:space="preserve">Each </w:t>
      </w:r>
      <w:r w:rsidR="006571B1">
        <w:rPr>
          <w:color w:val="000000"/>
          <w:sz w:val="22"/>
          <w:szCs w:val="22"/>
        </w:rPr>
        <w:t>project area</w:t>
      </w:r>
      <w:r w:rsidR="00C03A09">
        <w:rPr>
          <w:color w:val="000000"/>
          <w:sz w:val="22"/>
          <w:szCs w:val="22"/>
        </w:rPr>
        <w:t xml:space="preserve"> for the project</w:t>
      </w:r>
      <w:r w:rsidR="006571B1">
        <w:rPr>
          <w:color w:val="000000"/>
          <w:sz w:val="22"/>
          <w:szCs w:val="22"/>
        </w:rPr>
        <w:t>:</w:t>
      </w:r>
    </w:p>
    <w:p w14:paraId="4459EA12" w14:textId="283D4F26" w:rsidR="0056079B" w:rsidRDefault="00891048" w:rsidP="00F4320A">
      <w:pPr>
        <w:pStyle w:val="tmain"/>
        <w:numPr>
          <w:ilvl w:val="1"/>
          <w:numId w:val="23"/>
        </w:numPr>
        <w:spacing w:before="0" w:beforeAutospacing="0" w:after="0" w:afterAutospacing="0"/>
        <w:rPr>
          <w:color w:val="000000"/>
          <w:sz w:val="22"/>
          <w:szCs w:val="22"/>
        </w:rPr>
      </w:pPr>
      <w:r>
        <w:rPr>
          <w:color w:val="000000"/>
          <w:sz w:val="22"/>
          <w:szCs w:val="22"/>
        </w:rPr>
        <w:t xml:space="preserve">must </w:t>
      </w:r>
      <w:r w:rsidR="0056079B">
        <w:rPr>
          <w:color w:val="000000"/>
          <w:sz w:val="22"/>
          <w:szCs w:val="22"/>
        </w:rPr>
        <w:t>be a transferring project area; or</w:t>
      </w:r>
    </w:p>
    <w:p w14:paraId="55422B18" w14:textId="1A3E5A9E" w:rsidR="0056079B" w:rsidRDefault="00891048" w:rsidP="0056079B">
      <w:pPr>
        <w:pStyle w:val="tmain"/>
        <w:numPr>
          <w:ilvl w:val="1"/>
          <w:numId w:val="23"/>
        </w:numPr>
        <w:spacing w:before="0" w:beforeAutospacing="0" w:after="0" w:afterAutospacing="0"/>
        <w:rPr>
          <w:color w:val="000000"/>
          <w:sz w:val="22"/>
          <w:szCs w:val="22"/>
        </w:rPr>
      </w:pPr>
      <w:r>
        <w:rPr>
          <w:color w:val="000000"/>
          <w:sz w:val="22"/>
          <w:szCs w:val="22"/>
        </w:rPr>
        <w:t xml:space="preserve">must </w:t>
      </w:r>
      <w:r w:rsidR="00F4320A">
        <w:rPr>
          <w:color w:val="000000"/>
          <w:sz w:val="22"/>
          <w:szCs w:val="22"/>
        </w:rPr>
        <w:t xml:space="preserve">not have had any project </w:t>
      </w:r>
      <w:r w:rsidR="00F4320A" w:rsidRPr="00B15C9F">
        <w:rPr>
          <w:color w:val="000000"/>
          <w:sz w:val="22"/>
          <w:szCs w:val="22"/>
        </w:rPr>
        <w:t xml:space="preserve">covered by a savanna </w:t>
      </w:r>
      <w:r w:rsidR="00F4320A">
        <w:rPr>
          <w:color w:val="000000"/>
          <w:sz w:val="22"/>
          <w:szCs w:val="22"/>
        </w:rPr>
        <w:t xml:space="preserve">fire management </w:t>
      </w:r>
      <w:r w:rsidR="00F4320A" w:rsidRPr="00B15C9F">
        <w:rPr>
          <w:color w:val="000000"/>
          <w:sz w:val="22"/>
          <w:szCs w:val="22"/>
        </w:rPr>
        <w:t xml:space="preserve">determination or by this </w:t>
      </w:r>
      <w:r w:rsidR="00C929D7">
        <w:rPr>
          <w:color w:val="000000"/>
          <w:sz w:val="22"/>
          <w:szCs w:val="22"/>
        </w:rPr>
        <w:t>instrument</w:t>
      </w:r>
      <w:r w:rsidR="00F4320A" w:rsidRPr="00B15C9F">
        <w:rPr>
          <w:color w:val="000000"/>
          <w:sz w:val="22"/>
          <w:szCs w:val="22"/>
        </w:rPr>
        <w:t xml:space="preserve"> undertaken in any part of the project area</w:t>
      </w:r>
      <w:r w:rsidR="00F4320A">
        <w:rPr>
          <w:color w:val="000000"/>
          <w:sz w:val="22"/>
          <w:szCs w:val="22"/>
        </w:rPr>
        <w:t>; or</w:t>
      </w:r>
    </w:p>
    <w:p w14:paraId="1F0E6B59" w14:textId="6527205C" w:rsidR="003A2C29" w:rsidRPr="00DD7E3F" w:rsidRDefault="000E4FE4" w:rsidP="002A0A38">
      <w:pPr>
        <w:pStyle w:val="tmain"/>
        <w:numPr>
          <w:ilvl w:val="1"/>
          <w:numId w:val="23"/>
        </w:numPr>
        <w:spacing w:before="0" w:beforeAutospacing="0" w:after="0" w:afterAutospacing="0"/>
        <w:rPr>
          <w:color w:val="000000"/>
          <w:sz w:val="22"/>
          <w:szCs w:val="22"/>
        </w:rPr>
      </w:pPr>
      <w:r>
        <w:rPr>
          <w:color w:val="000000"/>
          <w:sz w:val="22"/>
          <w:szCs w:val="22"/>
        </w:rPr>
        <w:t xml:space="preserve">if the project area has </w:t>
      </w:r>
      <w:r w:rsidR="00E426FA">
        <w:rPr>
          <w:color w:val="000000"/>
          <w:sz w:val="22"/>
          <w:szCs w:val="22"/>
        </w:rPr>
        <w:t>had</w:t>
      </w:r>
      <w:r w:rsidR="002F6FB1">
        <w:rPr>
          <w:color w:val="000000"/>
          <w:sz w:val="22"/>
          <w:szCs w:val="22"/>
        </w:rPr>
        <w:t xml:space="preserve"> </w:t>
      </w:r>
      <w:r w:rsidR="00F4320A">
        <w:rPr>
          <w:color w:val="000000"/>
          <w:sz w:val="22"/>
          <w:szCs w:val="22"/>
        </w:rPr>
        <w:t xml:space="preserve">a project </w:t>
      </w:r>
      <w:r w:rsidR="00F4320A" w:rsidRPr="00B15C9F">
        <w:rPr>
          <w:color w:val="000000"/>
          <w:sz w:val="22"/>
          <w:szCs w:val="22"/>
        </w:rPr>
        <w:t xml:space="preserve">covered by a savanna </w:t>
      </w:r>
      <w:r w:rsidR="00F4320A">
        <w:rPr>
          <w:color w:val="000000"/>
          <w:sz w:val="22"/>
          <w:szCs w:val="22"/>
        </w:rPr>
        <w:t xml:space="preserve">fire management </w:t>
      </w:r>
      <w:r w:rsidR="00F4320A" w:rsidRPr="00B15C9F">
        <w:rPr>
          <w:color w:val="000000"/>
          <w:sz w:val="22"/>
          <w:szCs w:val="22"/>
        </w:rPr>
        <w:t xml:space="preserve">determination or by this </w:t>
      </w:r>
      <w:r w:rsidR="00C929D7">
        <w:rPr>
          <w:color w:val="000000"/>
          <w:sz w:val="22"/>
          <w:szCs w:val="22"/>
        </w:rPr>
        <w:t>instrument</w:t>
      </w:r>
      <w:r w:rsidR="00F4320A" w:rsidRPr="00B15C9F">
        <w:rPr>
          <w:color w:val="000000"/>
          <w:sz w:val="22"/>
          <w:szCs w:val="22"/>
        </w:rPr>
        <w:t xml:space="preserve"> undertaken in any part of the project area</w:t>
      </w:r>
      <w:r w:rsidR="00F4320A" w:rsidRPr="005858B7">
        <w:rPr>
          <w:b/>
          <w:bCs/>
          <w:color w:val="000000"/>
          <w:sz w:val="22"/>
          <w:szCs w:val="22"/>
        </w:rPr>
        <w:t>—</w:t>
      </w:r>
      <w:r w:rsidR="006414AD" w:rsidRPr="002A0A38">
        <w:rPr>
          <w:color w:val="000000"/>
          <w:sz w:val="22"/>
          <w:szCs w:val="22"/>
        </w:rPr>
        <w:t>must not have</w:t>
      </w:r>
      <w:r w:rsidR="006414AD">
        <w:rPr>
          <w:b/>
          <w:bCs/>
          <w:color w:val="000000"/>
          <w:sz w:val="22"/>
          <w:szCs w:val="22"/>
        </w:rPr>
        <w:t xml:space="preserve"> </w:t>
      </w:r>
      <w:r w:rsidR="00FF093C">
        <w:rPr>
          <w:color w:val="000000"/>
          <w:sz w:val="22"/>
          <w:szCs w:val="22"/>
        </w:rPr>
        <w:t>had any</w:t>
      </w:r>
      <w:r w:rsidR="00F4320A">
        <w:rPr>
          <w:color w:val="000000"/>
          <w:sz w:val="22"/>
          <w:szCs w:val="22"/>
        </w:rPr>
        <w:t xml:space="preserve"> </w:t>
      </w:r>
      <w:r w:rsidR="00F4320A" w:rsidRPr="004D1F09">
        <w:rPr>
          <w:color w:val="000000"/>
          <w:sz w:val="22"/>
          <w:szCs w:val="22"/>
        </w:rPr>
        <w:t>Australian carbon credit units issued in relation to any part of the project area while the project was covered by any such methodology determination</w:t>
      </w:r>
      <w:r w:rsidR="00F4320A">
        <w:rPr>
          <w:color w:val="000000"/>
          <w:sz w:val="22"/>
          <w:szCs w:val="22"/>
        </w:rPr>
        <w:t>.</w:t>
      </w:r>
    </w:p>
    <w:p w14:paraId="449144FF" w14:textId="291155C5" w:rsidR="00AA7327" w:rsidRDefault="00AA7327" w:rsidP="00AA7327">
      <w:pPr>
        <w:pStyle w:val="h6subsec"/>
        <w:spacing w:before="240" w:beforeAutospacing="0" w:after="0" w:afterAutospacing="0"/>
        <w:ind w:left="720"/>
        <w:rPr>
          <w:i/>
          <w:iCs/>
          <w:color w:val="000000"/>
          <w:sz w:val="22"/>
          <w:szCs w:val="22"/>
        </w:rPr>
      </w:pPr>
      <w:r>
        <w:rPr>
          <w:i/>
          <w:iCs/>
          <w:color w:val="000000"/>
          <w:sz w:val="22"/>
          <w:szCs w:val="22"/>
        </w:rPr>
        <w:t xml:space="preserve">Modification of operation of some provisions of this </w:t>
      </w:r>
      <w:r w:rsidR="00C929D7">
        <w:rPr>
          <w:i/>
          <w:iCs/>
          <w:color w:val="000000"/>
          <w:sz w:val="22"/>
          <w:szCs w:val="22"/>
        </w:rPr>
        <w:t>instrument</w:t>
      </w:r>
      <w:r>
        <w:rPr>
          <w:i/>
          <w:iCs/>
          <w:color w:val="000000"/>
          <w:sz w:val="22"/>
          <w:szCs w:val="22"/>
        </w:rPr>
        <w:t xml:space="preserve"> if paragraph (2)(c) is met</w:t>
      </w:r>
    </w:p>
    <w:p w14:paraId="1410CA53" w14:textId="19143312" w:rsidR="00AA7327" w:rsidRPr="007B2786" w:rsidRDefault="00AA7327" w:rsidP="007B2786">
      <w:pPr>
        <w:pStyle w:val="notetext"/>
      </w:pPr>
      <w:r>
        <w:rPr>
          <w:color w:val="000000"/>
          <w:szCs w:val="18"/>
        </w:rPr>
        <w:t>Note</w:t>
      </w:r>
      <w:r w:rsidRPr="007B2786">
        <w:t>: </w:t>
      </w:r>
      <w:r w:rsidR="003F593A" w:rsidRPr="007B2786">
        <w:tab/>
      </w:r>
      <w:r w:rsidRPr="007B2786">
        <w:t>For a project area that m</w:t>
      </w:r>
      <w:r w:rsidR="007D78EE" w:rsidRPr="007B2786">
        <w:t>e</w:t>
      </w:r>
      <w:r w:rsidR="00EC2856" w:rsidRPr="007B2786">
        <w:t>e</w:t>
      </w:r>
      <w:r w:rsidRPr="007B2786">
        <w:t>t</w:t>
      </w:r>
      <w:r w:rsidR="00EC2856" w:rsidRPr="007B2786">
        <w:t>s</w:t>
      </w:r>
      <w:r w:rsidRPr="007B2786">
        <w:t xml:space="preserve"> the requirement of paragraph (2)(c), some provisions of this </w:t>
      </w:r>
      <w:r w:rsidR="00C929D7">
        <w:t>instrument</w:t>
      </w:r>
      <w:r w:rsidRPr="007B2786">
        <w:t xml:space="preserve"> will operate in a modified manner to account for the project that has been previously undertaken. Subsection (3) sets out these modifications.</w:t>
      </w:r>
    </w:p>
    <w:p w14:paraId="68D33A91" w14:textId="41309B46" w:rsidR="002519A8" w:rsidRDefault="00AA7327" w:rsidP="004A7133">
      <w:pPr>
        <w:pStyle w:val="tmain"/>
        <w:numPr>
          <w:ilvl w:val="0"/>
          <w:numId w:val="23"/>
        </w:numPr>
        <w:spacing w:before="180" w:beforeAutospacing="0" w:after="0" w:afterAutospacing="0"/>
        <w:ind w:left="1134" w:hanging="425"/>
        <w:rPr>
          <w:color w:val="000000"/>
          <w:sz w:val="22"/>
          <w:szCs w:val="22"/>
        </w:rPr>
      </w:pPr>
      <w:r>
        <w:rPr>
          <w:color w:val="000000"/>
          <w:sz w:val="22"/>
          <w:szCs w:val="22"/>
        </w:rPr>
        <w:t>For a project area that me</w:t>
      </w:r>
      <w:r w:rsidR="00EC2856">
        <w:rPr>
          <w:color w:val="000000"/>
          <w:sz w:val="22"/>
          <w:szCs w:val="22"/>
        </w:rPr>
        <w:t>e</w:t>
      </w:r>
      <w:r>
        <w:rPr>
          <w:color w:val="000000"/>
          <w:sz w:val="22"/>
          <w:szCs w:val="22"/>
        </w:rPr>
        <w:t>t</w:t>
      </w:r>
      <w:r w:rsidR="00EC2856">
        <w:rPr>
          <w:color w:val="000000"/>
          <w:sz w:val="22"/>
          <w:szCs w:val="22"/>
        </w:rPr>
        <w:t>s</w:t>
      </w:r>
      <w:r>
        <w:rPr>
          <w:color w:val="000000"/>
          <w:sz w:val="22"/>
          <w:szCs w:val="22"/>
        </w:rPr>
        <w:t xml:space="preserve"> the requirement of paragraph (2)(c):</w:t>
      </w:r>
    </w:p>
    <w:p w14:paraId="5CDEDFBE" w14:textId="3B195330" w:rsidR="002519A8" w:rsidRDefault="00AA7327" w:rsidP="004A7133">
      <w:pPr>
        <w:pStyle w:val="tmain"/>
        <w:numPr>
          <w:ilvl w:val="1"/>
          <w:numId w:val="23"/>
        </w:numPr>
        <w:spacing w:before="0" w:beforeAutospacing="0" w:after="0" w:afterAutospacing="0"/>
        <w:rPr>
          <w:color w:val="000000"/>
          <w:sz w:val="22"/>
          <w:szCs w:val="22"/>
        </w:rPr>
      </w:pPr>
      <w:r w:rsidRPr="002519A8">
        <w:rPr>
          <w:color w:val="000000"/>
          <w:sz w:val="22"/>
          <w:szCs w:val="22"/>
        </w:rPr>
        <w:t>for the purposes of subsection </w:t>
      </w:r>
      <w:r w:rsidR="00D462A8">
        <w:rPr>
          <w:color w:val="000000"/>
          <w:sz w:val="22"/>
          <w:szCs w:val="22"/>
        </w:rPr>
        <w:t>13</w:t>
      </w:r>
      <w:r w:rsidRPr="002519A8">
        <w:rPr>
          <w:color w:val="000000"/>
          <w:sz w:val="22"/>
          <w:szCs w:val="22"/>
        </w:rPr>
        <w:t>(</w:t>
      </w:r>
      <w:r w:rsidR="00A771C1">
        <w:rPr>
          <w:color w:val="000000"/>
          <w:sz w:val="22"/>
          <w:szCs w:val="22"/>
        </w:rPr>
        <w:t>3</w:t>
      </w:r>
      <w:r w:rsidRPr="002519A8">
        <w:rPr>
          <w:color w:val="000000"/>
          <w:sz w:val="22"/>
          <w:szCs w:val="22"/>
        </w:rPr>
        <w:t xml:space="preserve">), disregard the section 22 application or the section 29 application in which the project area referred to in paragraph (2)(c) was first identified; </w:t>
      </w:r>
      <w:r w:rsidR="00EC2856">
        <w:rPr>
          <w:color w:val="000000"/>
          <w:sz w:val="22"/>
          <w:szCs w:val="22"/>
        </w:rPr>
        <w:t>and</w:t>
      </w:r>
    </w:p>
    <w:p w14:paraId="03028B97" w14:textId="29D37652" w:rsidR="002519A8" w:rsidRDefault="00AA7327" w:rsidP="004A7133">
      <w:pPr>
        <w:pStyle w:val="tmain"/>
        <w:numPr>
          <w:ilvl w:val="1"/>
          <w:numId w:val="23"/>
        </w:numPr>
        <w:spacing w:before="0" w:beforeAutospacing="0" w:after="0" w:afterAutospacing="0"/>
        <w:rPr>
          <w:color w:val="000000"/>
          <w:sz w:val="22"/>
          <w:szCs w:val="22"/>
        </w:rPr>
      </w:pPr>
      <w:r w:rsidRPr="002519A8">
        <w:rPr>
          <w:color w:val="000000"/>
          <w:sz w:val="22"/>
          <w:szCs w:val="22"/>
        </w:rPr>
        <w:t>for the purposes of subsection 2</w:t>
      </w:r>
      <w:r w:rsidR="0038565A">
        <w:rPr>
          <w:color w:val="000000"/>
          <w:sz w:val="22"/>
          <w:szCs w:val="22"/>
        </w:rPr>
        <w:t>6</w:t>
      </w:r>
      <w:r w:rsidRPr="002519A8">
        <w:rPr>
          <w:color w:val="000000"/>
          <w:sz w:val="22"/>
          <w:szCs w:val="22"/>
        </w:rPr>
        <w:t xml:space="preserve">(1), disregard the project referred to in paragraph (2)(c); </w:t>
      </w:r>
      <w:r w:rsidR="00E20CB5">
        <w:rPr>
          <w:color w:val="000000"/>
          <w:sz w:val="22"/>
          <w:szCs w:val="22"/>
        </w:rPr>
        <w:t>and</w:t>
      </w:r>
    </w:p>
    <w:p w14:paraId="58FD690B" w14:textId="7AB30A4B" w:rsidR="00AA7327" w:rsidRPr="002519A8" w:rsidRDefault="00AA7327" w:rsidP="004A7133">
      <w:pPr>
        <w:pStyle w:val="tmain"/>
        <w:numPr>
          <w:ilvl w:val="1"/>
          <w:numId w:val="23"/>
        </w:numPr>
        <w:spacing w:before="0" w:beforeAutospacing="0" w:after="0" w:afterAutospacing="0"/>
        <w:rPr>
          <w:color w:val="000000"/>
          <w:sz w:val="22"/>
          <w:szCs w:val="22"/>
        </w:rPr>
      </w:pPr>
      <w:r w:rsidRPr="002519A8">
        <w:rPr>
          <w:color w:val="000000"/>
          <w:sz w:val="22"/>
          <w:szCs w:val="22"/>
        </w:rPr>
        <w:t>for the purposes of the following:</w:t>
      </w:r>
    </w:p>
    <w:p w14:paraId="08AE5425" w14:textId="5F7A1B80" w:rsidR="007C541B" w:rsidRDefault="00AA7327" w:rsidP="004A7133">
      <w:pPr>
        <w:pStyle w:val="tpara"/>
        <w:numPr>
          <w:ilvl w:val="2"/>
          <w:numId w:val="23"/>
        </w:numPr>
        <w:spacing w:before="0" w:beforeAutospacing="0" w:after="0" w:afterAutospacing="0"/>
        <w:rPr>
          <w:color w:val="000000"/>
          <w:sz w:val="22"/>
          <w:szCs w:val="22"/>
        </w:rPr>
      </w:pPr>
      <w:r>
        <w:rPr>
          <w:color w:val="000000"/>
          <w:sz w:val="22"/>
          <w:szCs w:val="22"/>
        </w:rPr>
        <w:lastRenderedPageBreak/>
        <w:t>paragraph 3(1)(a) of Schedule </w:t>
      </w:r>
      <w:proofErr w:type="gramStart"/>
      <w:r>
        <w:rPr>
          <w:color w:val="000000"/>
          <w:sz w:val="22"/>
          <w:szCs w:val="22"/>
        </w:rPr>
        <w:t>1;</w:t>
      </w:r>
      <w:proofErr w:type="gramEnd"/>
    </w:p>
    <w:p w14:paraId="171599B9" w14:textId="77777777" w:rsidR="007C541B" w:rsidRDefault="00AA7327" w:rsidP="004A7133">
      <w:pPr>
        <w:pStyle w:val="tpara"/>
        <w:numPr>
          <w:ilvl w:val="2"/>
          <w:numId w:val="23"/>
        </w:numPr>
        <w:spacing w:before="0" w:beforeAutospacing="0" w:after="0" w:afterAutospacing="0"/>
        <w:rPr>
          <w:color w:val="000000"/>
          <w:sz w:val="22"/>
          <w:szCs w:val="22"/>
        </w:rPr>
      </w:pPr>
      <w:r>
        <w:rPr>
          <w:color w:val="000000"/>
          <w:sz w:val="22"/>
          <w:szCs w:val="22"/>
        </w:rPr>
        <w:t>paragraph 3(1)(a) of Schedule </w:t>
      </w:r>
      <w:proofErr w:type="gramStart"/>
      <w:r>
        <w:rPr>
          <w:color w:val="000000"/>
          <w:sz w:val="22"/>
          <w:szCs w:val="22"/>
        </w:rPr>
        <w:t>2;</w:t>
      </w:r>
      <w:proofErr w:type="gramEnd"/>
    </w:p>
    <w:p w14:paraId="393AE565" w14:textId="7E8D9D4B" w:rsidR="00AA7327" w:rsidRDefault="00AA7327" w:rsidP="00EC4AC2">
      <w:pPr>
        <w:pStyle w:val="tpara"/>
        <w:spacing w:before="0" w:beforeAutospacing="0" w:after="0" w:afterAutospacing="0"/>
        <w:ind w:left="1701"/>
        <w:rPr>
          <w:color w:val="000000"/>
          <w:sz w:val="22"/>
          <w:szCs w:val="22"/>
        </w:rPr>
      </w:pPr>
      <w:r>
        <w:rPr>
          <w:color w:val="000000"/>
          <w:sz w:val="22"/>
          <w:szCs w:val="22"/>
        </w:rPr>
        <w:t>disregard any values that might have been calculated in relation to the project area referred to in paragraph (2)(c).</w:t>
      </w:r>
    </w:p>
    <w:p w14:paraId="7ECE5373" w14:textId="04CF05BC" w:rsidR="004E18D6" w:rsidRPr="0017311D" w:rsidRDefault="000F7625" w:rsidP="000F7625">
      <w:pPr>
        <w:pStyle w:val="ActHead5"/>
      </w:pPr>
      <w:bookmarkStart w:id="40" w:name="_Toc202953815"/>
      <w:proofErr w:type="gramStart"/>
      <w:r w:rsidRPr="0017311D">
        <w:t>2</w:t>
      </w:r>
      <w:r w:rsidR="00406943">
        <w:t>4</w:t>
      </w:r>
      <w:r w:rsidR="000165AD" w:rsidRPr="0017311D">
        <w:t xml:space="preserve">  </w:t>
      </w:r>
      <w:r w:rsidR="004E18D6" w:rsidRPr="0017311D">
        <w:rPr>
          <w:bCs/>
          <w:color w:val="000000"/>
        </w:rPr>
        <w:t>Requirement</w:t>
      </w:r>
      <w:proofErr w:type="gramEnd"/>
      <w:r w:rsidR="004E18D6" w:rsidRPr="0017311D">
        <w:rPr>
          <w:bCs/>
          <w:color w:val="000000"/>
        </w:rPr>
        <w:t xml:space="preserve"> in lieu of </w:t>
      </w:r>
      <w:r w:rsidR="00F33715" w:rsidRPr="0017311D">
        <w:rPr>
          <w:bCs/>
          <w:color w:val="000000"/>
        </w:rPr>
        <w:t>additionality</w:t>
      </w:r>
      <w:r w:rsidR="004E18D6" w:rsidRPr="0017311D">
        <w:rPr>
          <w:bCs/>
          <w:color w:val="000000"/>
        </w:rPr>
        <w:t xml:space="preserve"> requirement</w:t>
      </w:r>
      <w:bookmarkEnd w:id="40"/>
    </w:p>
    <w:p w14:paraId="584E2AF5" w14:textId="18346066" w:rsidR="00915CF2" w:rsidRDefault="0094272E" w:rsidP="004A7133">
      <w:pPr>
        <w:pStyle w:val="tmain"/>
        <w:numPr>
          <w:ilvl w:val="0"/>
          <w:numId w:val="24"/>
        </w:numPr>
        <w:spacing w:before="180" w:beforeAutospacing="0" w:after="0" w:afterAutospacing="0"/>
        <w:ind w:left="1134" w:hanging="425"/>
        <w:rPr>
          <w:color w:val="000000"/>
          <w:sz w:val="22"/>
          <w:szCs w:val="22"/>
        </w:rPr>
      </w:pPr>
      <w:r w:rsidRPr="0094272E">
        <w:rPr>
          <w:color w:val="000000"/>
          <w:sz w:val="22"/>
          <w:szCs w:val="22"/>
        </w:rPr>
        <w:t>For</w:t>
      </w:r>
      <w:r>
        <w:rPr>
          <w:color w:val="000000"/>
          <w:sz w:val="22"/>
          <w:szCs w:val="22"/>
        </w:rPr>
        <w:t xml:space="preserve"> the purposes of</w:t>
      </w:r>
      <w:r w:rsidRPr="0094272E">
        <w:rPr>
          <w:color w:val="000000"/>
          <w:sz w:val="22"/>
          <w:szCs w:val="22"/>
        </w:rPr>
        <w:t xml:space="preserve"> subparagraph 27(4</w:t>
      </w:r>
      <w:proofErr w:type="gramStart"/>
      <w:r w:rsidRPr="0094272E">
        <w:rPr>
          <w:color w:val="000000"/>
          <w:sz w:val="22"/>
          <w:szCs w:val="22"/>
        </w:rPr>
        <w:t>A)(</w:t>
      </w:r>
      <w:proofErr w:type="gramEnd"/>
      <w:r w:rsidRPr="0094272E">
        <w:rPr>
          <w:color w:val="000000"/>
          <w:sz w:val="22"/>
          <w:szCs w:val="22"/>
        </w:rPr>
        <w:t>b)(ii) of the Act, the requirement in lieu of the regulatory additionality requirement for a savanna sequestration project</w:t>
      </w:r>
      <w:r w:rsidR="00973A72">
        <w:rPr>
          <w:color w:val="000000"/>
          <w:sz w:val="22"/>
          <w:szCs w:val="22"/>
        </w:rPr>
        <w:t xml:space="preserve"> is the requirement in subsection (2)</w:t>
      </w:r>
      <w:r w:rsidRPr="0094272E">
        <w:rPr>
          <w:color w:val="000000"/>
          <w:sz w:val="22"/>
          <w:szCs w:val="22"/>
        </w:rPr>
        <w:t>.</w:t>
      </w:r>
    </w:p>
    <w:p w14:paraId="17818F39" w14:textId="48A5FD1D" w:rsidR="00944BDD" w:rsidRDefault="00942049" w:rsidP="004A7133">
      <w:pPr>
        <w:pStyle w:val="ListParagraph"/>
        <w:numPr>
          <w:ilvl w:val="0"/>
          <w:numId w:val="24"/>
        </w:numPr>
        <w:ind w:left="1134" w:hanging="425"/>
        <w:rPr>
          <w:rFonts w:eastAsia="Times New Roman" w:cs="Times New Roman"/>
          <w:color w:val="000000"/>
          <w:szCs w:val="22"/>
          <w:lang w:eastAsia="en-AU"/>
        </w:rPr>
      </w:pPr>
      <w:r w:rsidRPr="00831847">
        <w:rPr>
          <w:color w:val="000000"/>
          <w:szCs w:val="22"/>
        </w:rPr>
        <w:t xml:space="preserve">A project area </w:t>
      </w:r>
      <w:r w:rsidR="00225101">
        <w:rPr>
          <w:color w:val="000000"/>
          <w:szCs w:val="22"/>
        </w:rPr>
        <w:t xml:space="preserve">for the project </w:t>
      </w:r>
      <w:r w:rsidRPr="00831847">
        <w:rPr>
          <w:color w:val="000000"/>
          <w:szCs w:val="22"/>
        </w:rPr>
        <w:t xml:space="preserve">must not include </w:t>
      </w:r>
      <w:r w:rsidR="00225101">
        <w:rPr>
          <w:color w:val="000000"/>
          <w:szCs w:val="22"/>
        </w:rPr>
        <w:t>an area of</w:t>
      </w:r>
      <w:r w:rsidRPr="00831847">
        <w:rPr>
          <w:color w:val="000000"/>
          <w:szCs w:val="22"/>
        </w:rPr>
        <w:t xml:space="preserve"> land </w:t>
      </w:r>
      <w:r w:rsidR="004E0D62">
        <w:rPr>
          <w:color w:val="000000"/>
          <w:szCs w:val="22"/>
        </w:rPr>
        <w:t>if</w:t>
      </w:r>
      <w:r w:rsidR="004E0D62" w:rsidRPr="00831847">
        <w:rPr>
          <w:color w:val="000000"/>
          <w:szCs w:val="22"/>
        </w:rPr>
        <w:t xml:space="preserve"> </w:t>
      </w:r>
      <w:r w:rsidRPr="00831847">
        <w:rPr>
          <w:color w:val="000000"/>
          <w:szCs w:val="22"/>
        </w:rPr>
        <w:t>fire management for the primary purpose of either or both of the following</w:t>
      </w:r>
      <w:r w:rsidR="00831847" w:rsidRPr="00831847">
        <w:rPr>
          <w:rFonts w:eastAsia="Times New Roman" w:cs="Times New Roman"/>
          <w:color w:val="000000"/>
          <w:szCs w:val="22"/>
          <w:lang w:eastAsia="en-AU"/>
        </w:rPr>
        <w:t xml:space="preserve"> is required to be carried out by or under a law of the Commonwealth, a State or a Territory</w:t>
      </w:r>
      <w:r w:rsidR="00915440">
        <w:rPr>
          <w:rFonts w:eastAsia="Times New Roman" w:cs="Times New Roman"/>
          <w:color w:val="000000"/>
          <w:szCs w:val="22"/>
          <w:lang w:eastAsia="en-AU"/>
        </w:rPr>
        <w:t xml:space="preserve"> on that land</w:t>
      </w:r>
      <w:r w:rsidR="006861D8">
        <w:rPr>
          <w:rFonts w:eastAsia="Times New Roman" w:cs="Times New Roman"/>
          <w:color w:val="000000"/>
          <w:szCs w:val="22"/>
          <w:lang w:eastAsia="en-AU"/>
        </w:rPr>
        <w:t>:</w:t>
      </w:r>
    </w:p>
    <w:p w14:paraId="3C90F076" w14:textId="77777777" w:rsidR="00944BDD" w:rsidRDefault="006861D8" w:rsidP="004A7133">
      <w:pPr>
        <w:pStyle w:val="ListParagraph"/>
        <w:numPr>
          <w:ilvl w:val="1"/>
          <w:numId w:val="24"/>
        </w:numPr>
        <w:rPr>
          <w:rFonts w:eastAsia="Times New Roman" w:cs="Times New Roman"/>
          <w:color w:val="000000"/>
          <w:szCs w:val="22"/>
          <w:lang w:eastAsia="en-AU"/>
        </w:rPr>
      </w:pPr>
      <w:r w:rsidRPr="00EC4AC2">
        <w:rPr>
          <w:rFonts w:eastAsia="Times New Roman" w:cs="Times New Roman"/>
          <w:color w:val="000000"/>
          <w:szCs w:val="22"/>
          <w:lang w:eastAsia="en-AU"/>
        </w:rPr>
        <w:t xml:space="preserve">reducing emissions from </w:t>
      </w:r>
      <w:proofErr w:type="gramStart"/>
      <w:r w:rsidRPr="00EC4AC2">
        <w:rPr>
          <w:rFonts w:eastAsia="Times New Roman" w:cs="Times New Roman"/>
          <w:color w:val="000000"/>
          <w:szCs w:val="22"/>
          <w:lang w:eastAsia="en-AU"/>
        </w:rPr>
        <w:t>fire;</w:t>
      </w:r>
      <w:proofErr w:type="gramEnd"/>
    </w:p>
    <w:p w14:paraId="68A2C8FF" w14:textId="64160A2B" w:rsidR="006861D8" w:rsidRPr="00944BDD" w:rsidRDefault="006861D8" w:rsidP="004A7133">
      <w:pPr>
        <w:pStyle w:val="ListParagraph"/>
        <w:numPr>
          <w:ilvl w:val="1"/>
          <w:numId w:val="24"/>
        </w:numPr>
        <w:rPr>
          <w:rFonts w:eastAsia="Times New Roman" w:cs="Times New Roman"/>
          <w:color w:val="000000"/>
          <w:szCs w:val="22"/>
          <w:lang w:eastAsia="en-AU"/>
        </w:rPr>
      </w:pPr>
      <w:r w:rsidRPr="00944BDD">
        <w:rPr>
          <w:rFonts w:eastAsia="Times New Roman" w:cs="Times New Roman"/>
          <w:color w:val="000000"/>
          <w:szCs w:val="22"/>
          <w:lang w:eastAsia="en-AU"/>
        </w:rPr>
        <w:t>sequestering carbon in</w:t>
      </w:r>
      <w:r w:rsidR="005026C9" w:rsidRPr="00944BDD">
        <w:rPr>
          <w:rFonts w:eastAsia="Times New Roman" w:cs="Times New Roman"/>
          <w:color w:val="000000"/>
          <w:szCs w:val="22"/>
          <w:lang w:eastAsia="en-AU"/>
        </w:rPr>
        <w:t xml:space="preserve"> living biomass or</w:t>
      </w:r>
      <w:r w:rsidRPr="00944BDD">
        <w:rPr>
          <w:rFonts w:eastAsia="Times New Roman" w:cs="Times New Roman"/>
          <w:color w:val="000000"/>
          <w:szCs w:val="22"/>
          <w:lang w:eastAsia="en-AU"/>
        </w:rPr>
        <w:t xml:space="preserve"> dead organic matter.</w:t>
      </w:r>
    </w:p>
    <w:p w14:paraId="3D1AC936" w14:textId="7BD82082" w:rsidR="00067D32" w:rsidRPr="00171E3E" w:rsidRDefault="00067D32" w:rsidP="00867A6B">
      <w:pPr>
        <w:pStyle w:val="ActHead3"/>
      </w:pPr>
      <w:bookmarkStart w:id="41" w:name="_Toc202953816"/>
      <w:r w:rsidRPr="009D2663">
        <w:t xml:space="preserve">Division </w:t>
      </w:r>
      <w:r>
        <w:t>7</w:t>
      </w:r>
      <w:r w:rsidRPr="00574A5C">
        <w:t>—</w:t>
      </w:r>
      <w:r>
        <w:t>Projects that include transferring project areas</w:t>
      </w:r>
      <w:bookmarkEnd w:id="41"/>
    </w:p>
    <w:p w14:paraId="770ABCA8" w14:textId="729B91E2" w:rsidR="00AC49AD" w:rsidRPr="0017311D" w:rsidRDefault="000F7625" w:rsidP="004F69D1">
      <w:pPr>
        <w:pStyle w:val="ActHead5"/>
        <w:ind w:left="0" w:firstLine="0"/>
      </w:pPr>
      <w:bookmarkStart w:id="42" w:name="_Toc202953817"/>
      <w:r w:rsidRPr="0017311D">
        <w:t>2</w:t>
      </w:r>
      <w:r w:rsidR="00406943">
        <w:t>5</w:t>
      </w:r>
      <w:r w:rsidR="009866BD" w:rsidRPr="0017311D">
        <w:t xml:space="preserve">   Simplified </w:t>
      </w:r>
      <w:proofErr w:type="gramStart"/>
      <w:r w:rsidR="009866BD" w:rsidRPr="0017311D">
        <w:t>outline</w:t>
      </w:r>
      <w:proofErr w:type="gramEnd"/>
      <w:r w:rsidR="009866BD" w:rsidRPr="0017311D">
        <w:t xml:space="preserve"> of this Division</w:t>
      </w:r>
      <w:bookmarkEnd w:id="42"/>
    </w:p>
    <w:p w14:paraId="66E438B9" w14:textId="36F7FE79" w:rsidR="00BD6C6C" w:rsidRPr="0017311D" w:rsidRDefault="00BD6C6C" w:rsidP="00BD6C6C">
      <w:pPr>
        <w:pStyle w:val="SOText"/>
      </w:pPr>
      <w:r w:rsidRPr="0017311D">
        <w:t xml:space="preserve">This Division is relevant to a savanna sequestration project if it contains a project area that was previously part of either a project covered by a savanna </w:t>
      </w:r>
      <w:r w:rsidR="009B1312">
        <w:rPr>
          <w:color w:val="000000"/>
          <w:szCs w:val="22"/>
        </w:rPr>
        <w:t>emissions avoidance</w:t>
      </w:r>
      <w:r w:rsidR="000133DE" w:rsidRPr="0017311D">
        <w:rPr>
          <w:color w:val="000000"/>
          <w:szCs w:val="22"/>
        </w:rPr>
        <w:t xml:space="preserve"> </w:t>
      </w:r>
      <w:proofErr w:type="gramStart"/>
      <w:r w:rsidRPr="0017311D">
        <w:t>determination</w:t>
      </w:r>
      <w:proofErr w:type="gramEnd"/>
      <w:r w:rsidRPr="0017311D">
        <w:t xml:space="preserve"> or another project covered by this </w:t>
      </w:r>
      <w:r w:rsidR="00C929D7">
        <w:t>instrument</w:t>
      </w:r>
      <w:r w:rsidRPr="0017311D">
        <w:t>. Such a project area is a transferring project area.</w:t>
      </w:r>
    </w:p>
    <w:p w14:paraId="5C60EFEA" w14:textId="62EA45FD" w:rsidR="00BD6C6C" w:rsidRPr="0017311D" w:rsidRDefault="00BD6C6C" w:rsidP="00BD6C6C">
      <w:pPr>
        <w:pStyle w:val="SOText"/>
      </w:pPr>
      <w:r w:rsidRPr="0017311D">
        <w:t xml:space="preserve">There are several ways of moving a transferring project area from its original project to another project that is covered by this </w:t>
      </w:r>
      <w:r w:rsidR="00C929D7">
        <w:t>instrument</w:t>
      </w:r>
      <w:r w:rsidR="008B7D88" w:rsidRPr="0017311D">
        <w:t>.</w:t>
      </w:r>
    </w:p>
    <w:p w14:paraId="6CB8D5F0" w14:textId="77777777" w:rsidR="008B7D88" w:rsidRPr="0017311D" w:rsidRDefault="008B7D88" w:rsidP="008B7D88">
      <w:pPr>
        <w:pStyle w:val="SOText"/>
      </w:pPr>
      <w:r w:rsidRPr="0017311D">
        <w:rPr>
          <w:b/>
          <w:bCs/>
        </w:rPr>
        <w:t>Moving project areas between savanna sequestration projects</w:t>
      </w:r>
    </w:p>
    <w:p w14:paraId="09F45266" w14:textId="77777777" w:rsidR="008B7D88" w:rsidRPr="0017311D" w:rsidRDefault="008B7D88" w:rsidP="008B7D88">
      <w:pPr>
        <w:pStyle w:val="SOText"/>
      </w:pPr>
      <w:r w:rsidRPr="0017311D">
        <w:t>A project area may be moved from one savanna sequestration project to another savanna sequestration project in accordance with section 23 of the CFI Rule. The project’s crediting period would be adjusted in accordance with section 53 of the CFI Rule.</w:t>
      </w:r>
    </w:p>
    <w:p w14:paraId="7D09D06B" w14:textId="77777777" w:rsidR="008B7D88" w:rsidRPr="0017311D" w:rsidRDefault="008B7D88" w:rsidP="008B7D88">
      <w:pPr>
        <w:pStyle w:val="SOText"/>
      </w:pPr>
      <w:r w:rsidRPr="0017311D">
        <w:rPr>
          <w:b/>
          <w:bCs/>
        </w:rPr>
        <w:t>Moving project areas from emissions avoidance project to sequestration project</w:t>
      </w:r>
    </w:p>
    <w:p w14:paraId="7C8D9001" w14:textId="1B54CE7D" w:rsidR="008B7D88" w:rsidRPr="0017311D" w:rsidRDefault="008B7D88" w:rsidP="008B7D88">
      <w:pPr>
        <w:pStyle w:val="SOText"/>
      </w:pPr>
      <w:r w:rsidRPr="0017311D">
        <w:t>If the original project is</w:t>
      </w:r>
      <w:r w:rsidR="00FD4D3E">
        <w:t xml:space="preserve"> an emissions avoidance project</w:t>
      </w:r>
      <w:r w:rsidRPr="0017311D">
        <w:t xml:space="preserve"> covered by a savanna </w:t>
      </w:r>
      <w:r w:rsidR="000133DE" w:rsidRPr="0017311D">
        <w:rPr>
          <w:color w:val="000000"/>
          <w:szCs w:val="22"/>
        </w:rPr>
        <w:t xml:space="preserve">fire management </w:t>
      </w:r>
      <w:r w:rsidRPr="0017311D">
        <w:t>determination, there are several options.</w:t>
      </w:r>
    </w:p>
    <w:p w14:paraId="1FEF76D7" w14:textId="508BF98A" w:rsidR="008B7D88" w:rsidRPr="0017311D" w:rsidRDefault="008B7D88" w:rsidP="008B7D88">
      <w:pPr>
        <w:pStyle w:val="SOText"/>
      </w:pPr>
      <w:r w:rsidRPr="0017311D">
        <w:t>● One option is to apply to move </w:t>
      </w:r>
      <w:proofErr w:type="gramStart"/>
      <w:r w:rsidRPr="0017311D">
        <w:t>all of</w:t>
      </w:r>
      <w:proofErr w:type="gramEnd"/>
      <w:r w:rsidRPr="0017311D">
        <w:t xml:space="preserve"> the original project’s project areas onto a project covered by this </w:t>
      </w:r>
      <w:r w:rsidR="00C929D7">
        <w:t>instrument</w:t>
      </w:r>
      <w:r w:rsidRPr="0017311D">
        <w:t>, in accordance with section 30A of the CFI Rule. This would involve seeking revocation of the original project’s section 27 declaration.</w:t>
      </w:r>
    </w:p>
    <w:p w14:paraId="40AEDC17" w14:textId="24F0FBED" w:rsidR="008B7D88" w:rsidRPr="0017311D" w:rsidRDefault="008B7D88" w:rsidP="008B7D88">
      <w:pPr>
        <w:pStyle w:val="SOText"/>
      </w:pPr>
      <w:r w:rsidRPr="0017311D">
        <w:lastRenderedPageBreak/>
        <w:t xml:space="preserve">● Another option is to apply to move only some of the original project’s project areas onto a project covered by this </w:t>
      </w:r>
      <w:r w:rsidR="00C929D7">
        <w:t>instrument</w:t>
      </w:r>
      <w:r w:rsidRPr="0017311D">
        <w:t>, in accordance with section 30B of the CFI Rule. This would involve seeking a variation of the original project’s section 27 declaration to remove the transferring project area or areas.</w:t>
      </w:r>
    </w:p>
    <w:p w14:paraId="0F3E2ADC" w14:textId="08EF9227" w:rsidR="008B7D88" w:rsidRPr="0017311D" w:rsidRDefault="008B7D88" w:rsidP="008B7D88">
      <w:pPr>
        <w:pStyle w:val="SOText"/>
      </w:pPr>
      <w:r w:rsidRPr="0017311D">
        <w:t>In either case, a new savanna sequestration project would need to be declared as an eligible offsets project. The new project would have a new crediting period</w:t>
      </w:r>
      <w:r w:rsidR="00650B73" w:rsidRPr="0017311D">
        <w:t xml:space="preserve"> </w:t>
      </w:r>
      <w:r w:rsidRPr="0017311D">
        <w:t>and would be a restarting transferring project.</w:t>
      </w:r>
    </w:p>
    <w:p w14:paraId="3821EDB0" w14:textId="77777777" w:rsidR="008B7D88" w:rsidRPr="0017311D" w:rsidRDefault="008B7D88" w:rsidP="008B7D88">
      <w:pPr>
        <w:pStyle w:val="SOText"/>
      </w:pPr>
      <w:r w:rsidRPr="0017311D">
        <w:rPr>
          <w:b/>
          <w:bCs/>
        </w:rPr>
        <w:t>Projects that contain transferring project areas</w:t>
      </w:r>
    </w:p>
    <w:p w14:paraId="037A18D5" w14:textId="4BFD6FF0" w:rsidR="009866BD" w:rsidRPr="0017311D" w:rsidRDefault="008B7D88" w:rsidP="00152F63">
      <w:pPr>
        <w:pStyle w:val="SOText"/>
      </w:pPr>
      <w:r w:rsidRPr="0017311D">
        <w:t xml:space="preserve">Some provisions of this </w:t>
      </w:r>
      <w:r w:rsidR="00C929D7">
        <w:t>instrument</w:t>
      </w:r>
      <w:r w:rsidRPr="0017311D">
        <w:t> apply special rules to projects that contain transferring project areas and apply differently to continuing transferring projects. These provisions are principally set out in this Division.</w:t>
      </w:r>
    </w:p>
    <w:p w14:paraId="7469EB81" w14:textId="711ED075" w:rsidR="000079D3" w:rsidRPr="006F307C" w:rsidRDefault="000079D3" w:rsidP="000079D3">
      <w:pPr>
        <w:pStyle w:val="ActHead5"/>
        <w:ind w:left="0" w:firstLine="0"/>
      </w:pPr>
      <w:bookmarkStart w:id="43" w:name="_Toc202953818"/>
      <w:r w:rsidRPr="0017311D">
        <w:t>2</w:t>
      </w:r>
      <w:r w:rsidR="00406943">
        <w:t>6</w:t>
      </w:r>
      <w:r w:rsidRPr="0017311D">
        <w:t xml:space="preserve">   </w:t>
      </w:r>
      <w:r w:rsidR="006F307C" w:rsidRPr="0017311D">
        <w:rPr>
          <w:bCs/>
        </w:rPr>
        <w:t>Meaning of </w:t>
      </w:r>
      <w:r w:rsidR="006F307C" w:rsidRPr="0017311D">
        <w:rPr>
          <w:bCs/>
          <w:i/>
          <w:iCs/>
        </w:rPr>
        <w:t>transferring project area </w:t>
      </w:r>
      <w:r w:rsidR="006F307C" w:rsidRPr="0017311D">
        <w:rPr>
          <w:bCs/>
        </w:rPr>
        <w:t>and related definitions</w:t>
      </w:r>
      <w:bookmarkEnd w:id="43"/>
    </w:p>
    <w:p w14:paraId="2D69C8FD" w14:textId="3EE35AD6" w:rsidR="00745C77" w:rsidRDefault="00745C77" w:rsidP="004A7133">
      <w:pPr>
        <w:pStyle w:val="ListParagraph"/>
        <w:numPr>
          <w:ilvl w:val="0"/>
          <w:numId w:val="25"/>
        </w:numPr>
        <w:spacing w:before="240"/>
        <w:rPr>
          <w:rFonts w:eastAsia="Times New Roman" w:cs="Times New Roman"/>
          <w:lang w:eastAsia="en-AU"/>
        </w:rPr>
      </w:pPr>
      <w:r w:rsidRPr="00745C77">
        <w:rPr>
          <w:rFonts w:eastAsia="Times New Roman" w:cs="Times New Roman"/>
          <w:lang w:eastAsia="en-AU"/>
        </w:rPr>
        <w:t xml:space="preserve">A project area </w:t>
      </w:r>
      <w:r w:rsidR="002116BA">
        <w:rPr>
          <w:rFonts w:eastAsia="Times New Roman" w:cs="Times New Roman"/>
          <w:lang w:eastAsia="en-AU"/>
        </w:rPr>
        <w:t xml:space="preserve">for </w:t>
      </w:r>
      <w:r w:rsidRPr="00745C77">
        <w:rPr>
          <w:rFonts w:eastAsia="Times New Roman" w:cs="Times New Roman"/>
          <w:lang w:eastAsia="en-AU"/>
        </w:rPr>
        <w:t xml:space="preserve">a savanna sequestration project is a </w:t>
      </w:r>
      <w:r w:rsidRPr="00903FBC">
        <w:rPr>
          <w:rFonts w:eastAsia="Times New Roman" w:cs="Times New Roman"/>
          <w:b/>
          <w:bCs/>
          <w:i/>
          <w:iCs/>
          <w:lang w:eastAsia="en-AU"/>
        </w:rPr>
        <w:t>transferring project area</w:t>
      </w:r>
      <w:r w:rsidRPr="00745C77">
        <w:rPr>
          <w:rFonts w:eastAsia="Times New Roman" w:cs="Times New Roman"/>
          <w:lang w:eastAsia="en-AU"/>
        </w:rPr>
        <w:t xml:space="preserve"> if, immediately before it was a project area </w:t>
      </w:r>
      <w:r w:rsidR="00810D2C">
        <w:rPr>
          <w:rFonts w:eastAsia="Times New Roman" w:cs="Times New Roman"/>
          <w:lang w:eastAsia="en-AU"/>
        </w:rPr>
        <w:t xml:space="preserve">for </w:t>
      </w:r>
      <w:r w:rsidRPr="00745C77">
        <w:rPr>
          <w:rFonts w:eastAsia="Times New Roman" w:cs="Times New Roman"/>
          <w:lang w:eastAsia="en-AU"/>
        </w:rPr>
        <w:t xml:space="preserve">a project covered by this </w:t>
      </w:r>
      <w:r w:rsidR="00C929D7">
        <w:rPr>
          <w:rFonts w:eastAsia="Times New Roman" w:cs="Times New Roman"/>
          <w:lang w:eastAsia="en-AU"/>
        </w:rPr>
        <w:t>instrument</w:t>
      </w:r>
      <w:r w:rsidRPr="00745C77">
        <w:rPr>
          <w:rFonts w:eastAsia="Times New Roman" w:cs="Times New Roman"/>
          <w:lang w:eastAsia="en-AU"/>
        </w:rPr>
        <w:t xml:space="preserve">, it was a project area </w:t>
      </w:r>
      <w:r w:rsidR="00810D2C">
        <w:rPr>
          <w:rFonts w:eastAsia="Times New Roman" w:cs="Times New Roman"/>
          <w:lang w:eastAsia="en-AU"/>
        </w:rPr>
        <w:t>for</w:t>
      </w:r>
      <w:r w:rsidRPr="00745C77">
        <w:rPr>
          <w:rFonts w:eastAsia="Times New Roman" w:cs="Times New Roman"/>
          <w:lang w:eastAsia="en-AU"/>
        </w:rPr>
        <w:t>:</w:t>
      </w:r>
    </w:p>
    <w:p w14:paraId="21567A5C" w14:textId="4F64753A" w:rsidR="0009786C" w:rsidRPr="0009786C" w:rsidRDefault="0009786C" w:rsidP="007B2786">
      <w:pPr>
        <w:pStyle w:val="ListParagraph"/>
        <w:numPr>
          <w:ilvl w:val="1"/>
          <w:numId w:val="25"/>
        </w:numPr>
        <w:spacing w:line="240" w:lineRule="auto"/>
        <w:rPr>
          <w:rFonts w:eastAsia="Times New Roman" w:cs="Times New Roman"/>
          <w:lang w:eastAsia="en-AU"/>
        </w:rPr>
      </w:pPr>
      <w:r>
        <w:rPr>
          <w:rFonts w:eastAsia="Times New Roman" w:cs="Times New Roman"/>
          <w:lang w:eastAsia="en-AU"/>
        </w:rPr>
        <w:t xml:space="preserve">a </w:t>
      </w:r>
      <w:r>
        <w:rPr>
          <w:color w:val="000000"/>
          <w:szCs w:val="22"/>
        </w:rPr>
        <w:t xml:space="preserve">project covered by a </w:t>
      </w:r>
      <w:r w:rsidR="006162E3" w:rsidRPr="006162E3">
        <w:rPr>
          <w:color w:val="000000"/>
          <w:szCs w:val="22"/>
        </w:rPr>
        <w:t>savanna emissions avoidance determination</w:t>
      </w:r>
      <w:r>
        <w:rPr>
          <w:color w:val="000000"/>
          <w:szCs w:val="22"/>
        </w:rPr>
        <w:t>; or</w:t>
      </w:r>
    </w:p>
    <w:p w14:paraId="53F27DC6" w14:textId="33208A67" w:rsidR="0009786C" w:rsidRPr="00745C77" w:rsidRDefault="0009786C" w:rsidP="004A7133">
      <w:pPr>
        <w:pStyle w:val="ListParagraph"/>
        <w:numPr>
          <w:ilvl w:val="1"/>
          <w:numId w:val="25"/>
        </w:numPr>
        <w:rPr>
          <w:rFonts w:eastAsia="Times New Roman" w:cs="Times New Roman"/>
          <w:lang w:eastAsia="en-AU"/>
        </w:rPr>
      </w:pPr>
      <w:r>
        <w:rPr>
          <w:color w:val="000000"/>
          <w:szCs w:val="22"/>
        </w:rPr>
        <w:t xml:space="preserve">a different project covered by this </w:t>
      </w:r>
      <w:r w:rsidR="00C929D7">
        <w:rPr>
          <w:color w:val="000000"/>
          <w:szCs w:val="22"/>
        </w:rPr>
        <w:t>instrument</w:t>
      </w:r>
      <w:r>
        <w:rPr>
          <w:color w:val="000000"/>
          <w:szCs w:val="22"/>
        </w:rPr>
        <w:t>.</w:t>
      </w:r>
    </w:p>
    <w:p w14:paraId="083DA1ED" w14:textId="7E89CD73" w:rsidR="00745C77" w:rsidRPr="00265144" w:rsidRDefault="0009786C" w:rsidP="007B2786">
      <w:pPr>
        <w:pStyle w:val="notetext"/>
        <w:rPr>
          <w:color w:val="000000"/>
          <w:szCs w:val="18"/>
        </w:rPr>
      </w:pPr>
      <w:r>
        <w:t>Note:</w:t>
      </w:r>
      <w:r w:rsidR="003F593A">
        <w:rPr>
          <w:color w:val="000000"/>
          <w:szCs w:val="18"/>
        </w:rPr>
        <w:tab/>
      </w:r>
      <w:r>
        <w:rPr>
          <w:color w:val="000000"/>
          <w:szCs w:val="18"/>
        </w:rPr>
        <w:t>Subsection (1) is modified in some cases if the requirement in lieu of the newness requirement set out in paragraph 2</w:t>
      </w:r>
      <w:r w:rsidR="00F67D47">
        <w:rPr>
          <w:color w:val="000000"/>
          <w:szCs w:val="18"/>
        </w:rPr>
        <w:t>3</w:t>
      </w:r>
      <w:r>
        <w:rPr>
          <w:color w:val="000000"/>
          <w:szCs w:val="18"/>
        </w:rPr>
        <w:t>(2)(c) was met. See paragraph 2</w:t>
      </w:r>
      <w:r w:rsidR="00F67D47">
        <w:rPr>
          <w:color w:val="000000"/>
          <w:szCs w:val="18"/>
        </w:rPr>
        <w:t>3</w:t>
      </w:r>
      <w:r>
        <w:rPr>
          <w:color w:val="000000"/>
          <w:szCs w:val="18"/>
        </w:rPr>
        <w:t>(3)(b).</w:t>
      </w:r>
    </w:p>
    <w:p w14:paraId="13A7C3DA" w14:textId="3875A236" w:rsidR="00265144" w:rsidRPr="00265144" w:rsidRDefault="0009786C" w:rsidP="004A7133">
      <w:pPr>
        <w:pStyle w:val="subsection"/>
        <w:numPr>
          <w:ilvl w:val="0"/>
          <w:numId w:val="25"/>
        </w:numPr>
      </w:pPr>
      <w:r>
        <w:rPr>
          <w:color w:val="000000"/>
          <w:szCs w:val="22"/>
        </w:rPr>
        <w:t>The methodology determination that applied to the project to which the transferring project area most recently belonged is the </w:t>
      </w:r>
      <w:r>
        <w:rPr>
          <w:b/>
          <w:bCs/>
          <w:i/>
          <w:iCs/>
          <w:color w:val="000000"/>
          <w:szCs w:val="22"/>
        </w:rPr>
        <w:t>former determination </w:t>
      </w:r>
      <w:r>
        <w:rPr>
          <w:color w:val="000000"/>
          <w:szCs w:val="22"/>
        </w:rPr>
        <w:t>for the transferring project area.</w:t>
      </w:r>
    </w:p>
    <w:p w14:paraId="21DD77A0" w14:textId="15BCDCF1" w:rsidR="000079D3" w:rsidRPr="00380437" w:rsidRDefault="00062C89" w:rsidP="004A7133">
      <w:pPr>
        <w:pStyle w:val="tmain"/>
        <w:numPr>
          <w:ilvl w:val="0"/>
          <w:numId w:val="25"/>
        </w:numPr>
        <w:spacing w:before="180" w:beforeAutospacing="0" w:after="0" w:afterAutospacing="0"/>
        <w:rPr>
          <w:color w:val="000000"/>
          <w:sz w:val="22"/>
          <w:szCs w:val="22"/>
        </w:rPr>
      </w:pPr>
      <w:r>
        <w:rPr>
          <w:color w:val="000000"/>
          <w:sz w:val="22"/>
          <w:szCs w:val="22"/>
        </w:rPr>
        <w:t>A</w:t>
      </w:r>
      <w:r w:rsidR="000079D3" w:rsidRPr="00380437">
        <w:rPr>
          <w:color w:val="000000"/>
          <w:sz w:val="22"/>
          <w:szCs w:val="22"/>
        </w:rPr>
        <w:t xml:space="preserve"> savanna sequestration project is a </w:t>
      </w:r>
      <w:r w:rsidR="000079D3" w:rsidRPr="00380437">
        <w:rPr>
          <w:b/>
          <w:bCs/>
          <w:i/>
          <w:iCs/>
          <w:color w:val="000000"/>
          <w:sz w:val="22"/>
          <w:szCs w:val="22"/>
        </w:rPr>
        <w:t>restarting transferring project</w:t>
      </w:r>
      <w:r w:rsidR="000079D3" w:rsidRPr="00380437">
        <w:rPr>
          <w:color w:val="000000"/>
          <w:sz w:val="22"/>
          <w:szCs w:val="22"/>
        </w:rPr>
        <w:t> if:</w:t>
      </w:r>
    </w:p>
    <w:p w14:paraId="4842FFAE" w14:textId="37E789F0" w:rsidR="000079D3" w:rsidRDefault="000079D3" w:rsidP="003F593A">
      <w:pPr>
        <w:pStyle w:val="tpara"/>
        <w:numPr>
          <w:ilvl w:val="0"/>
          <w:numId w:val="56"/>
        </w:numPr>
        <w:spacing w:before="40" w:beforeAutospacing="0" w:after="0" w:afterAutospacing="0"/>
        <w:rPr>
          <w:color w:val="000000"/>
          <w:sz w:val="22"/>
          <w:szCs w:val="22"/>
        </w:rPr>
      </w:pPr>
      <w:r>
        <w:rPr>
          <w:color w:val="000000"/>
          <w:sz w:val="22"/>
          <w:szCs w:val="22"/>
        </w:rPr>
        <w:t xml:space="preserve">when the project was first declared eligible, one </w:t>
      </w:r>
      <w:r w:rsidR="00E674EE">
        <w:rPr>
          <w:color w:val="000000"/>
          <w:sz w:val="22"/>
          <w:szCs w:val="22"/>
        </w:rPr>
        <w:t>or more</w:t>
      </w:r>
      <w:r>
        <w:rPr>
          <w:color w:val="000000"/>
          <w:sz w:val="22"/>
          <w:szCs w:val="22"/>
        </w:rPr>
        <w:t xml:space="preserve"> of its project areas was a transferring project area; and</w:t>
      </w:r>
    </w:p>
    <w:p w14:paraId="58274B1F" w14:textId="0C01A601" w:rsidR="00FB036F" w:rsidRDefault="000079D3" w:rsidP="003F593A">
      <w:pPr>
        <w:pStyle w:val="tpara"/>
        <w:numPr>
          <w:ilvl w:val="0"/>
          <w:numId w:val="56"/>
        </w:numPr>
        <w:spacing w:before="40" w:beforeAutospacing="0" w:after="0" w:afterAutospacing="0"/>
        <w:rPr>
          <w:color w:val="000000"/>
          <w:sz w:val="22"/>
          <w:szCs w:val="22"/>
        </w:rPr>
      </w:pPr>
      <w:r w:rsidRPr="00FB036F">
        <w:rPr>
          <w:color w:val="000000"/>
          <w:sz w:val="22"/>
          <w:szCs w:val="22"/>
        </w:rPr>
        <w:t xml:space="preserve">the former determination for </w:t>
      </w:r>
      <w:r w:rsidR="007C62A3">
        <w:rPr>
          <w:color w:val="000000"/>
          <w:sz w:val="22"/>
          <w:szCs w:val="22"/>
        </w:rPr>
        <w:t>each transferring</w:t>
      </w:r>
      <w:r w:rsidRPr="00FB036F">
        <w:rPr>
          <w:color w:val="000000"/>
          <w:sz w:val="22"/>
          <w:szCs w:val="22"/>
        </w:rPr>
        <w:t xml:space="preserve"> project area was a </w:t>
      </w:r>
      <w:r w:rsidR="006162E3" w:rsidRPr="006162E3">
        <w:rPr>
          <w:color w:val="000000"/>
          <w:sz w:val="22"/>
          <w:szCs w:val="22"/>
        </w:rPr>
        <w:t>savanna emissions avoidance determination</w:t>
      </w:r>
      <w:r w:rsidRPr="00FB036F">
        <w:rPr>
          <w:color w:val="000000"/>
          <w:sz w:val="22"/>
          <w:szCs w:val="22"/>
        </w:rPr>
        <w:t>; and</w:t>
      </w:r>
    </w:p>
    <w:p w14:paraId="14E7D61D" w14:textId="14C8A3C8" w:rsidR="000079D3" w:rsidRDefault="000079D3" w:rsidP="003F593A">
      <w:pPr>
        <w:pStyle w:val="tpara"/>
        <w:numPr>
          <w:ilvl w:val="0"/>
          <w:numId w:val="56"/>
        </w:numPr>
        <w:spacing w:before="40" w:beforeAutospacing="0" w:after="0" w:afterAutospacing="0"/>
        <w:rPr>
          <w:color w:val="000000"/>
          <w:sz w:val="22"/>
          <w:szCs w:val="22"/>
        </w:rPr>
      </w:pPr>
      <w:r w:rsidRPr="00FB036F">
        <w:rPr>
          <w:color w:val="000000"/>
          <w:sz w:val="22"/>
          <w:szCs w:val="22"/>
        </w:rPr>
        <w:t xml:space="preserve">before declaring the project an eligible offsets project, the Regulator either revoked the section 27 declaration of the project to which </w:t>
      </w:r>
      <w:r w:rsidR="00030145">
        <w:rPr>
          <w:color w:val="000000"/>
          <w:sz w:val="22"/>
          <w:szCs w:val="22"/>
        </w:rPr>
        <w:t>each transferring</w:t>
      </w:r>
      <w:r w:rsidR="00030145" w:rsidRPr="00FB036F">
        <w:rPr>
          <w:color w:val="000000"/>
          <w:sz w:val="22"/>
          <w:szCs w:val="22"/>
        </w:rPr>
        <w:t xml:space="preserve"> </w:t>
      </w:r>
      <w:r w:rsidRPr="00FB036F">
        <w:rPr>
          <w:color w:val="000000"/>
          <w:sz w:val="22"/>
          <w:szCs w:val="22"/>
        </w:rPr>
        <w:t xml:space="preserve">project area previously </w:t>
      </w:r>
      <w:proofErr w:type="gramStart"/>
      <w:r w:rsidRPr="00FB036F">
        <w:rPr>
          <w:color w:val="000000"/>
          <w:sz w:val="22"/>
          <w:szCs w:val="22"/>
        </w:rPr>
        <w:t>belonged, or</w:t>
      </w:r>
      <w:proofErr w:type="gramEnd"/>
      <w:r w:rsidRPr="00FB036F">
        <w:rPr>
          <w:color w:val="000000"/>
          <w:sz w:val="22"/>
          <w:szCs w:val="22"/>
        </w:rPr>
        <w:t xml:space="preserve"> amended it to remove </w:t>
      </w:r>
      <w:r w:rsidR="00F63986">
        <w:rPr>
          <w:color w:val="000000"/>
          <w:sz w:val="22"/>
          <w:szCs w:val="22"/>
        </w:rPr>
        <w:t>each</w:t>
      </w:r>
      <w:r w:rsidRPr="00FB036F">
        <w:rPr>
          <w:color w:val="000000"/>
          <w:sz w:val="22"/>
          <w:szCs w:val="22"/>
        </w:rPr>
        <w:t xml:space="preserve"> transferring project area</w:t>
      </w:r>
      <w:r w:rsidRPr="00D70CEE">
        <w:rPr>
          <w:color w:val="000000"/>
          <w:sz w:val="22"/>
          <w:szCs w:val="22"/>
        </w:rPr>
        <w:t>.</w:t>
      </w:r>
    </w:p>
    <w:p w14:paraId="611AF8F9" w14:textId="5C41DC65" w:rsidR="00D70CEE" w:rsidRPr="002E1D7A" w:rsidRDefault="002E1D7A" w:rsidP="002E1D7A">
      <w:pPr>
        <w:pStyle w:val="ActHead5"/>
        <w:ind w:left="0" w:firstLine="0"/>
      </w:pPr>
      <w:bookmarkStart w:id="44" w:name="_Toc202953819"/>
      <w:r w:rsidRPr="006F307C">
        <w:t>2</w:t>
      </w:r>
      <w:r w:rsidR="00406943">
        <w:t>7</w:t>
      </w:r>
      <w:r w:rsidRPr="006F307C">
        <w:t xml:space="preserve">   </w:t>
      </w:r>
      <w:r w:rsidRPr="002E1D7A">
        <w:rPr>
          <w:bCs/>
        </w:rPr>
        <w:t xml:space="preserve"> </w:t>
      </w:r>
      <w:r w:rsidR="0029187A">
        <w:rPr>
          <w:bCs/>
        </w:rPr>
        <w:t>R</w:t>
      </w:r>
      <w:r w:rsidRPr="002E1D7A">
        <w:rPr>
          <w:bCs/>
        </w:rPr>
        <w:t>equirements for projects with transferring project areas</w:t>
      </w:r>
      <w:bookmarkEnd w:id="44"/>
      <w:r w:rsidRPr="002E1D7A">
        <w:rPr>
          <w:bCs/>
        </w:rPr>
        <w:t xml:space="preserve"> </w:t>
      </w:r>
    </w:p>
    <w:p w14:paraId="62CE4D4F" w14:textId="73917018" w:rsidR="00D70CEE" w:rsidRDefault="002F7D8B" w:rsidP="00D70CEE">
      <w:pPr>
        <w:pStyle w:val="h6subsec"/>
        <w:spacing w:before="240" w:beforeAutospacing="0" w:after="0" w:afterAutospacing="0"/>
        <w:ind w:left="1134"/>
        <w:rPr>
          <w:i/>
          <w:iCs/>
          <w:color w:val="000000"/>
          <w:sz w:val="22"/>
          <w:szCs w:val="22"/>
        </w:rPr>
      </w:pPr>
      <w:r>
        <w:rPr>
          <w:i/>
          <w:iCs/>
          <w:color w:val="000000"/>
          <w:sz w:val="22"/>
          <w:szCs w:val="22"/>
        </w:rPr>
        <w:t>P</w:t>
      </w:r>
      <w:r w:rsidR="00D70CEE">
        <w:rPr>
          <w:i/>
          <w:iCs/>
          <w:color w:val="000000"/>
          <w:sz w:val="22"/>
          <w:szCs w:val="22"/>
        </w:rPr>
        <w:t>rojects that have a transferring project area</w:t>
      </w:r>
    </w:p>
    <w:p w14:paraId="1F78BC46" w14:textId="02AE7CFE" w:rsidR="00D70CEE" w:rsidRDefault="00D70CEE" w:rsidP="004A7133">
      <w:pPr>
        <w:pStyle w:val="tmain"/>
        <w:numPr>
          <w:ilvl w:val="0"/>
          <w:numId w:val="44"/>
        </w:numPr>
        <w:spacing w:before="180" w:beforeAutospacing="0" w:after="0" w:afterAutospacing="0"/>
        <w:ind w:left="1134" w:hanging="425"/>
        <w:rPr>
          <w:color w:val="000000"/>
          <w:sz w:val="22"/>
          <w:szCs w:val="22"/>
        </w:rPr>
      </w:pPr>
      <w:r>
        <w:rPr>
          <w:color w:val="000000"/>
          <w:sz w:val="22"/>
          <w:szCs w:val="22"/>
        </w:rPr>
        <w:t>If one or more project areas of a savanna sequestration project are transferring project areas, for each such project area, the following must be consecutive years:</w:t>
      </w:r>
    </w:p>
    <w:p w14:paraId="3C8010C7" w14:textId="3A086F93" w:rsidR="00C77A76" w:rsidRDefault="00D70CEE" w:rsidP="004A7133">
      <w:pPr>
        <w:pStyle w:val="tpara"/>
        <w:numPr>
          <w:ilvl w:val="1"/>
          <w:numId w:val="25"/>
        </w:numPr>
        <w:spacing w:before="40" w:beforeAutospacing="0" w:after="0" w:afterAutospacing="0"/>
        <w:rPr>
          <w:color w:val="000000"/>
          <w:sz w:val="22"/>
          <w:szCs w:val="22"/>
        </w:rPr>
      </w:pPr>
      <w:r>
        <w:rPr>
          <w:color w:val="000000"/>
          <w:sz w:val="22"/>
          <w:szCs w:val="22"/>
        </w:rPr>
        <w:lastRenderedPageBreak/>
        <w:t xml:space="preserve">the final calendar year for which the project area was reported on under the former determination for the project </w:t>
      </w:r>
      <w:proofErr w:type="gramStart"/>
      <w:r>
        <w:rPr>
          <w:color w:val="000000"/>
          <w:sz w:val="22"/>
          <w:szCs w:val="22"/>
        </w:rPr>
        <w:t>area;</w:t>
      </w:r>
      <w:proofErr w:type="gramEnd"/>
    </w:p>
    <w:p w14:paraId="0175F4E5" w14:textId="026A4FEA" w:rsidR="00D70CEE" w:rsidRDefault="00D70CEE" w:rsidP="004A7133">
      <w:pPr>
        <w:pStyle w:val="tpara"/>
        <w:numPr>
          <w:ilvl w:val="1"/>
          <w:numId w:val="25"/>
        </w:numPr>
        <w:spacing w:before="40" w:beforeAutospacing="0" w:after="0" w:afterAutospacing="0"/>
        <w:rPr>
          <w:color w:val="000000"/>
          <w:sz w:val="22"/>
          <w:szCs w:val="22"/>
        </w:rPr>
      </w:pPr>
      <w:r>
        <w:rPr>
          <w:color w:val="000000"/>
          <w:sz w:val="22"/>
          <w:szCs w:val="22"/>
        </w:rPr>
        <w:t xml:space="preserve">the first calendar year for which the project area was reported on under this </w:t>
      </w:r>
      <w:r w:rsidR="00C929D7">
        <w:rPr>
          <w:color w:val="000000"/>
          <w:sz w:val="22"/>
          <w:szCs w:val="22"/>
        </w:rPr>
        <w:t>instrument</w:t>
      </w:r>
      <w:r>
        <w:rPr>
          <w:color w:val="000000"/>
          <w:sz w:val="22"/>
          <w:szCs w:val="22"/>
        </w:rPr>
        <w:t>.</w:t>
      </w:r>
    </w:p>
    <w:p w14:paraId="2540AE10" w14:textId="2F688646" w:rsidR="00D70CEE" w:rsidRDefault="002F7D8B" w:rsidP="00D70CEE">
      <w:pPr>
        <w:pStyle w:val="h6subsec"/>
        <w:spacing w:before="240" w:beforeAutospacing="0" w:after="0" w:afterAutospacing="0"/>
        <w:ind w:left="1134"/>
        <w:rPr>
          <w:i/>
          <w:iCs/>
          <w:color w:val="000000"/>
          <w:sz w:val="22"/>
          <w:szCs w:val="22"/>
        </w:rPr>
      </w:pPr>
      <w:r>
        <w:rPr>
          <w:i/>
          <w:iCs/>
          <w:color w:val="000000"/>
          <w:sz w:val="22"/>
          <w:szCs w:val="22"/>
        </w:rPr>
        <w:t>R</w:t>
      </w:r>
      <w:r w:rsidR="00D70CEE">
        <w:rPr>
          <w:i/>
          <w:iCs/>
          <w:color w:val="000000"/>
          <w:sz w:val="22"/>
          <w:szCs w:val="22"/>
        </w:rPr>
        <w:t>estarting transferring projects</w:t>
      </w:r>
    </w:p>
    <w:p w14:paraId="15F2C776" w14:textId="658BEBAF" w:rsidR="00D70CEE" w:rsidRPr="00BE0CCC" w:rsidRDefault="003B135A" w:rsidP="00F417B5">
      <w:pPr>
        <w:pStyle w:val="tmain"/>
        <w:numPr>
          <w:ilvl w:val="0"/>
          <w:numId w:val="44"/>
        </w:numPr>
        <w:spacing w:before="180" w:beforeAutospacing="0" w:after="0" w:afterAutospacing="0"/>
        <w:ind w:left="1134" w:hanging="425"/>
        <w:rPr>
          <w:color w:val="000000"/>
          <w:sz w:val="22"/>
          <w:szCs w:val="22"/>
        </w:rPr>
      </w:pPr>
      <w:r>
        <w:rPr>
          <w:color w:val="000000"/>
          <w:sz w:val="22"/>
          <w:szCs w:val="22"/>
        </w:rPr>
        <w:t>A</w:t>
      </w:r>
      <w:r w:rsidR="00F04F84">
        <w:rPr>
          <w:color w:val="000000"/>
          <w:sz w:val="22"/>
          <w:szCs w:val="22"/>
        </w:rPr>
        <w:t xml:space="preserve"> </w:t>
      </w:r>
      <w:r w:rsidR="00D70CEE" w:rsidRPr="00BE0CCC">
        <w:rPr>
          <w:color w:val="000000"/>
          <w:sz w:val="22"/>
          <w:szCs w:val="22"/>
        </w:rPr>
        <w:t>restarting transferring project</w:t>
      </w:r>
      <w:r w:rsidR="00F417B5">
        <w:rPr>
          <w:color w:val="000000"/>
          <w:sz w:val="22"/>
          <w:szCs w:val="22"/>
        </w:rPr>
        <w:t xml:space="preserve"> must be </w:t>
      </w:r>
      <w:r w:rsidR="00D70CEE" w:rsidRPr="00BE0CCC">
        <w:rPr>
          <w:color w:val="000000"/>
          <w:sz w:val="22"/>
          <w:szCs w:val="22"/>
        </w:rPr>
        <w:t>declared eligible in accordance with the process set out in section 30A or 30B of the CFI Rule.</w:t>
      </w:r>
    </w:p>
    <w:p w14:paraId="37B7B384" w14:textId="0D11A769" w:rsidR="006D3C2A" w:rsidRPr="002A0A38" w:rsidRDefault="006D3C2A" w:rsidP="002A0A38">
      <w:pPr>
        <w:pStyle w:val="h6subsec"/>
        <w:spacing w:before="240" w:beforeAutospacing="0" w:after="0" w:afterAutospacing="0"/>
        <w:ind w:left="1134"/>
        <w:rPr>
          <w:i/>
          <w:iCs/>
          <w:color w:val="000000"/>
          <w:sz w:val="22"/>
          <w:szCs w:val="22"/>
        </w:rPr>
      </w:pPr>
      <w:r>
        <w:rPr>
          <w:i/>
          <w:iCs/>
          <w:color w:val="000000"/>
          <w:sz w:val="22"/>
          <w:szCs w:val="22"/>
        </w:rPr>
        <w:t xml:space="preserve">Modification of </w:t>
      </w:r>
      <w:r w:rsidR="006617E8">
        <w:rPr>
          <w:i/>
          <w:iCs/>
          <w:color w:val="000000"/>
          <w:sz w:val="22"/>
          <w:szCs w:val="22"/>
        </w:rPr>
        <w:t xml:space="preserve">certain definitions </w:t>
      </w:r>
      <w:r w:rsidR="00512D4E">
        <w:rPr>
          <w:i/>
          <w:iCs/>
          <w:color w:val="000000"/>
          <w:sz w:val="22"/>
          <w:szCs w:val="22"/>
        </w:rPr>
        <w:t>for restarting transferring projects</w:t>
      </w:r>
    </w:p>
    <w:p w14:paraId="10D4E539" w14:textId="460DCE86" w:rsidR="00512D4E" w:rsidRPr="00D036B4" w:rsidRDefault="00512D4E" w:rsidP="000A09D8">
      <w:pPr>
        <w:pStyle w:val="subsection"/>
        <w:numPr>
          <w:ilvl w:val="0"/>
          <w:numId w:val="44"/>
        </w:numPr>
        <w:tabs>
          <w:tab w:val="clear" w:pos="1021"/>
          <w:tab w:val="right" w:pos="1276"/>
        </w:tabs>
        <w:ind w:left="1134" w:hanging="425"/>
      </w:pPr>
      <w:r>
        <w:rPr>
          <w:color w:val="000000"/>
          <w:szCs w:val="22"/>
        </w:rPr>
        <w:t xml:space="preserve">For a restarting transferring project, the reference to </w:t>
      </w:r>
      <w:r w:rsidRPr="006F4B4A">
        <w:t xml:space="preserve">the date </w:t>
      </w:r>
      <w:r>
        <w:t>the project was declared an eligible offsets project</w:t>
      </w:r>
      <w:r w:rsidR="00834585">
        <w:t xml:space="preserve"> in the definitions of </w:t>
      </w:r>
      <w:r w:rsidR="00834585" w:rsidRPr="006F4B4A">
        <w:rPr>
          <w:b/>
          <w:bCs/>
          <w:i/>
          <w:iCs/>
        </w:rPr>
        <w:t>Savanna Fire Management High Rainfall Zone spatial data layer</w:t>
      </w:r>
      <w:r w:rsidR="00834585">
        <w:t xml:space="preserve"> and </w:t>
      </w:r>
      <w:r w:rsidR="00834585" w:rsidRPr="006F4B4A">
        <w:rPr>
          <w:b/>
          <w:bCs/>
          <w:i/>
          <w:iCs/>
        </w:rPr>
        <w:t>Savanna Fire Management Low Rainfall Zone spatial data layer</w:t>
      </w:r>
      <w:r w:rsidR="00D8499A">
        <w:rPr>
          <w:b/>
          <w:bCs/>
          <w:i/>
          <w:iCs/>
        </w:rPr>
        <w:t xml:space="preserve"> </w:t>
      </w:r>
      <w:r w:rsidR="003A079E">
        <w:t>is</w:t>
      </w:r>
      <w:r w:rsidR="00D8499A">
        <w:t xml:space="preserve"> taken to be a reference to the date the </w:t>
      </w:r>
      <w:r w:rsidR="00D036B4">
        <w:t>project was declared an eligible offsets project under the former determination.</w:t>
      </w:r>
    </w:p>
    <w:p w14:paraId="1DDAB477" w14:textId="589FF99C" w:rsidR="00D70CEE" w:rsidRDefault="009858D6" w:rsidP="00D70CEE">
      <w:pPr>
        <w:pStyle w:val="h6subsec"/>
        <w:spacing w:before="240" w:beforeAutospacing="0" w:after="0" w:afterAutospacing="0"/>
        <w:ind w:left="1134"/>
        <w:rPr>
          <w:i/>
          <w:iCs/>
          <w:color w:val="000000"/>
          <w:sz w:val="22"/>
          <w:szCs w:val="22"/>
        </w:rPr>
      </w:pPr>
      <w:r>
        <w:rPr>
          <w:i/>
          <w:iCs/>
          <w:color w:val="000000"/>
          <w:sz w:val="22"/>
          <w:szCs w:val="22"/>
        </w:rPr>
        <w:t>P</w:t>
      </w:r>
      <w:r w:rsidR="00D70CEE">
        <w:rPr>
          <w:i/>
          <w:iCs/>
          <w:color w:val="000000"/>
          <w:sz w:val="22"/>
          <w:szCs w:val="22"/>
        </w:rPr>
        <w:t>roject areas</w:t>
      </w:r>
    </w:p>
    <w:p w14:paraId="18A95523" w14:textId="2C1DB0A7" w:rsidR="00BC0D60" w:rsidRDefault="00AA5488" w:rsidP="00700ECB">
      <w:pPr>
        <w:pStyle w:val="tmain"/>
        <w:numPr>
          <w:ilvl w:val="0"/>
          <w:numId w:val="44"/>
        </w:numPr>
        <w:spacing w:before="180" w:beforeAutospacing="0" w:after="0" w:afterAutospacing="0"/>
        <w:ind w:left="1134" w:hanging="425"/>
        <w:rPr>
          <w:color w:val="000000"/>
          <w:sz w:val="22"/>
          <w:szCs w:val="22"/>
        </w:rPr>
      </w:pPr>
      <w:r>
        <w:rPr>
          <w:color w:val="000000"/>
          <w:sz w:val="22"/>
          <w:szCs w:val="22"/>
        </w:rPr>
        <w:t>When a relevant decision on a transferring project area is made</w:t>
      </w:r>
      <w:r w:rsidR="0089454F">
        <w:rPr>
          <w:color w:val="000000"/>
          <w:sz w:val="22"/>
          <w:szCs w:val="22"/>
        </w:rPr>
        <w:t xml:space="preserve">, </w:t>
      </w:r>
      <w:r w:rsidR="00D04FEB">
        <w:rPr>
          <w:color w:val="000000"/>
          <w:sz w:val="22"/>
          <w:szCs w:val="22"/>
        </w:rPr>
        <w:t xml:space="preserve">the requirement in </w:t>
      </w:r>
      <w:r w:rsidR="003C1CC9">
        <w:rPr>
          <w:color w:val="000000"/>
          <w:sz w:val="22"/>
          <w:szCs w:val="22"/>
        </w:rPr>
        <w:t>sub</w:t>
      </w:r>
      <w:r w:rsidR="00D04FEB">
        <w:rPr>
          <w:color w:val="000000"/>
          <w:sz w:val="22"/>
          <w:szCs w:val="22"/>
        </w:rPr>
        <w:t>section 13</w:t>
      </w:r>
      <w:r w:rsidR="00F63E34">
        <w:rPr>
          <w:color w:val="000000"/>
          <w:sz w:val="22"/>
          <w:szCs w:val="22"/>
        </w:rPr>
        <w:t>(1)</w:t>
      </w:r>
      <w:r w:rsidR="00D04FEB">
        <w:rPr>
          <w:color w:val="000000"/>
          <w:sz w:val="22"/>
          <w:szCs w:val="22"/>
        </w:rPr>
        <w:t xml:space="preserve"> </w:t>
      </w:r>
      <w:r w:rsidR="00700ECB">
        <w:rPr>
          <w:color w:val="000000"/>
          <w:sz w:val="22"/>
          <w:szCs w:val="22"/>
        </w:rPr>
        <w:t xml:space="preserve">does not apply to an area of land within the transferring project area if the relevant application indicates </w:t>
      </w:r>
      <w:r w:rsidR="00CC25C8">
        <w:rPr>
          <w:color w:val="000000"/>
          <w:sz w:val="22"/>
          <w:szCs w:val="22"/>
        </w:rPr>
        <w:t xml:space="preserve">that the area of land will be removed from the project in accordance with </w:t>
      </w:r>
      <w:r w:rsidR="00203469">
        <w:rPr>
          <w:color w:val="000000"/>
          <w:sz w:val="22"/>
          <w:szCs w:val="22"/>
        </w:rPr>
        <w:t>section 16</w:t>
      </w:r>
      <w:r w:rsidR="00BC0D60">
        <w:rPr>
          <w:color w:val="000000"/>
          <w:sz w:val="22"/>
          <w:szCs w:val="22"/>
        </w:rPr>
        <w:t>.</w:t>
      </w:r>
    </w:p>
    <w:p w14:paraId="521580BD" w14:textId="2E915555" w:rsidR="00517920" w:rsidRDefault="00517920" w:rsidP="00517920">
      <w:pPr>
        <w:pStyle w:val="tmain"/>
        <w:numPr>
          <w:ilvl w:val="0"/>
          <w:numId w:val="44"/>
        </w:numPr>
        <w:spacing w:before="180" w:beforeAutospacing="0" w:after="0" w:afterAutospacing="0"/>
        <w:ind w:left="1134" w:hanging="425"/>
        <w:rPr>
          <w:color w:val="000000"/>
          <w:sz w:val="22"/>
          <w:szCs w:val="22"/>
        </w:rPr>
      </w:pPr>
      <w:r>
        <w:rPr>
          <w:color w:val="000000"/>
          <w:sz w:val="22"/>
          <w:szCs w:val="22"/>
        </w:rPr>
        <w:t xml:space="preserve">When a relevant decision on a transferring project area is made, the requirement in </w:t>
      </w:r>
      <w:r w:rsidR="003C1CC9">
        <w:rPr>
          <w:color w:val="000000"/>
          <w:sz w:val="22"/>
          <w:szCs w:val="22"/>
        </w:rPr>
        <w:t>sub</w:t>
      </w:r>
      <w:r>
        <w:rPr>
          <w:color w:val="000000"/>
          <w:sz w:val="22"/>
          <w:szCs w:val="22"/>
        </w:rPr>
        <w:t>section 14</w:t>
      </w:r>
      <w:r w:rsidR="00F63E34">
        <w:rPr>
          <w:color w:val="000000"/>
          <w:sz w:val="22"/>
          <w:szCs w:val="22"/>
        </w:rPr>
        <w:t>(1)</w:t>
      </w:r>
      <w:r>
        <w:rPr>
          <w:color w:val="000000"/>
          <w:sz w:val="22"/>
          <w:szCs w:val="22"/>
        </w:rPr>
        <w:t xml:space="preserve"> does not apply to an area of land within the transferring project area if the relevant application indicates that the area of land will be removed from the project in accordance with section 16.</w:t>
      </w:r>
    </w:p>
    <w:p w14:paraId="3899825F" w14:textId="51A4A0E2" w:rsidR="00AA5488" w:rsidRPr="00667E39" w:rsidRDefault="006A1975" w:rsidP="00667E39">
      <w:pPr>
        <w:pStyle w:val="tmain"/>
        <w:numPr>
          <w:ilvl w:val="0"/>
          <w:numId w:val="44"/>
        </w:numPr>
        <w:spacing w:before="180" w:beforeAutospacing="0" w:after="0" w:afterAutospacing="0"/>
        <w:ind w:left="1134" w:hanging="425"/>
        <w:rPr>
          <w:color w:val="000000"/>
          <w:sz w:val="22"/>
          <w:szCs w:val="22"/>
        </w:rPr>
      </w:pPr>
      <w:r>
        <w:rPr>
          <w:color w:val="000000"/>
          <w:sz w:val="22"/>
          <w:szCs w:val="22"/>
        </w:rPr>
        <w:t xml:space="preserve">When a relevant decision on a transferring project area is made, the requirement in section 15 that a project area </w:t>
      </w:r>
      <w:r w:rsidR="009858D6">
        <w:rPr>
          <w:color w:val="000000"/>
          <w:sz w:val="22"/>
          <w:szCs w:val="22"/>
        </w:rPr>
        <w:t>must not include a</w:t>
      </w:r>
      <w:r w:rsidR="00F41271">
        <w:rPr>
          <w:color w:val="000000"/>
          <w:sz w:val="22"/>
          <w:szCs w:val="22"/>
        </w:rPr>
        <w:t xml:space="preserve">n area </w:t>
      </w:r>
      <w:r w:rsidR="009858D6" w:rsidRPr="007B2786">
        <w:rPr>
          <w:sz w:val="22"/>
          <w:szCs w:val="22"/>
        </w:rPr>
        <w:t xml:space="preserve">that was previously part of the project, or previously part of another project under this </w:t>
      </w:r>
      <w:r w:rsidR="00C929D7">
        <w:rPr>
          <w:sz w:val="22"/>
          <w:szCs w:val="22"/>
        </w:rPr>
        <w:t>instrument</w:t>
      </w:r>
      <w:r w:rsidR="009858D6" w:rsidRPr="007B2786">
        <w:rPr>
          <w:sz w:val="22"/>
          <w:szCs w:val="22"/>
        </w:rPr>
        <w:t xml:space="preserve"> or a savanna </w:t>
      </w:r>
      <w:r w:rsidR="009858D6" w:rsidRPr="007B2786">
        <w:rPr>
          <w:color w:val="000000"/>
          <w:sz w:val="22"/>
          <w:szCs w:val="22"/>
        </w:rPr>
        <w:t xml:space="preserve">fire management </w:t>
      </w:r>
      <w:r w:rsidR="009858D6" w:rsidRPr="007B2786">
        <w:rPr>
          <w:sz w:val="22"/>
          <w:szCs w:val="22"/>
        </w:rPr>
        <w:t xml:space="preserve">determination, but was removed in accordance with paragraph 13(1)(b) or 14(1)(b) (or an equivalent provision of a savanna </w:t>
      </w:r>
      <w:r w:rsidR="009858D6" w:rsidRPr="007B2786">
        <w:rPr>
          <w:color w:val="000000"/>
          <w:sz w:val="22"/>
          <w:szCs w:val="22"/>
        </w:rPr>
        <w:t xml:space="preserve">fire management </w:t>
      </w:r>
      <w:r w:rsidR="009858D6" w:rsidRPr="007B2786">
        <w:rPr>
          <w:sz w:val="22"/>
          <w:szCs w:val="22"/>
        </w:rPr>
        <w:t>determination)</w:t>
      </w:r>
      <w:r w:rsidR="00F41271" w:rsidRPr="007B2786">
        <w:rPr>
          <w:sz w:val="22"/>
          <w:szCs w:val="22"/>
        </w:rPr>
        <w:t xml:space="preserve"> </w:t>
      </w:r>
      <w:r>
        <w:rPr>
          <w:color w:val="000000"/>
          <w:sz w:val="22"/>
          <w:szCs w:val="22"/>
        </w:rPr>
        <w:t>does not apply to an area of land within the transferring project area if the relevant application indicates that the area of land will be removed from the project in accordance with section 16.</w:t>
      </w:r>
    </w:p>
    <w:p w14:paraId="3283C3A2" w14:textId="3956E462" w:rsidR="00142923" w:rsidRPr="00142923" w:rsidRDefault="00D70CEE" w:rsidP="004A7133">
      <w:pPr>
        <w:pStyle w:val="tmain"/>
        <w:numPr>
          <w:ilvl w:val="0"/>
          <w:numId w:val="44"/>
        </w:numPr>
        <w:spacing w:before="180" w:beforeAutospacing="0" w:after="0" w:afterAutospacing="0"/>
        <w:ind w:left="1134"/>
        <w:rPr>
          <w:color w:val="000000"/>
          <w:sz w:val="22"/>
          <w:szCs w:val="22"/>
        </w:rPr>
      </w:pPr>
      <w:r>
        <w:rPr>
          <w:color w:val="000000"/>
          <w:sz w:val="22"/>
          <w:szCs w:val="22"/>
        </w:rPr>
        <w:t>In</w:t>
      </w:r>
      <w:r w:rsidR="00667E39">
        <w:rPr>
          <w:color w:val="000000"/>
          <w:sz w:val="22"/>
          <w:szCs w:val="22"/>
        </w:rPr>
        <w:t xml:space="preserve"> this section</w:t>
      </w:r>
      <w:r>
        <w:rPr>
          <w:color w:val="000000"/>
          <w:sz w:val="22"/>
          <w:szCs w:val="22"/>
        </w:rPr>
        <w:t>:</w:t>
      </w:r>
    </w:p>
    <w:p w14:paraId="63B05685" w14:textId="77777777" w:rsidR="00D70CEE" w:rsidRDefault="00D70CEE" w:rsidP="00D70CEE">
      <w:pPr>
        <w:pStyle w:val="tdefn"/>
        <w:spacing w:before="180" w:beforeAutospacing="0" w:after="0" w:afterAutospacing="0"/>
        <w:ind w:left="1134"/>
        <w:rPr>
          <w:color w:val="000000"/>
          <w:sz w:val="22"/>
          <w:szCs w:val="22"/>
        </w:rPr>
      </w:pPr>
      <w:r>
        <w:rPr>
          <w:b/>
          <w:bCs/>
          <w:i/>
          <w:iCs/>
          <w:color w:val="000000"/>
          <w:sz w:val="22"/>
          <w:szCs w:val="22"/>
        </w:rPr>
        <w:t>relevant application</w:t>
      </w:r>
      <w:r>
        <w:rPr>
          <w:color w:val="000000"/>
          <w:sz w:val="22"/>
          <w:szCs w:val="22"/>
        </w:rPr>
        <w:t> means a section 22 application, a section 29 application or an application under section 128 of the Act.</w:t>
      </w:r>
    </w:p>
    <w:p w14:paraId="5F2F8365" w14:textId="33BCD432" w:rsidR="00442A27" w:rsidRDefault="00D70CEE" w:rsidP="00E96D24">
      <w:pPr>
        <w:pStyle w:val="tdefn"/>
        <w:spacing w:before="180" w:beforeAutospacing="0" w:after="0" w:afterAutospacing="0"/>
        <w:ind w:left="1134"/>
        <w:rPr>
          <w:color w:val="000000"/>
          <w:sz w:val="22"/>
          <w:szCs w:val="22"/>
        </w:rPr>
      </w:pPr>
      <w:r>
        <w:rPr>
          <w:b/>
          <w:bCs/>
          <w:i/>
          <w:iCs/>
          <w:color w:val="000000"/>
          <w:sz w:val="22"/>
          <w:szCs w:val="22"/>
        </w:rPr>
        <w:t>relevant decision on a transferring project area </w:t>
      </w:r>
      <w:r>
        <w:rPr>
          <w:color w:val="000000"/>
          <w:sz w:val="22"/>
          <w:szCs w:val="22"/>
        </w:rPr>
        <w:t xml:space="preserve">means a decision on a relevant application that would result in a transferring project area becoming a project area, or part of a project area, of a project covered by this </w:t>
      </w:r>
      <w:r w:rsidR="00C929D7">
        <w:rPr>
          <w:color w:val="000000"/>
          <w:sz w:val="22"/>
          <w:szCs w:val="22"/>
        </w:rPr>
        <w:t>instrument</w:t>
      </w:r>
      <w:r>
        <w:rPr>
          <w:color w:val="000000"/>
          <w:sz w:val="22"/>
          <w:szCs w:val="22"/>
        </w:rPr>
        <w:t>.</w:t>
      </w:r>
    </w:p>
    <w:p w14:paraId="70B8557E" w14:textId="37686FD5" w:rsidR="00442A27" w:rsidRPr="0063186B" w:rsidRDefault="0063186B" w:rsidP="005C30FC">
      <w:pPr>
        <w:pStyle w:val="ActHead5"/>
        <w:ind w:left="567" w:hanging="425"/>
      </w:pPr>
      <w:bookmarkStart w:id="45" w:name="_Toc202953820"/>
      <w:r w:rsidRPr="00406943">
        <w:lastRenderedPageBreak/>
        <w:t>2</w:t>
      </w:r>
      <w:r>
        <w:t>8</w:t>
      </w:r>
      <w:r w:rsidRPr="00406943">
        <w:t xml:space="preserve">   </w:t>
      </w:r>
      <w:r>
        <w:rPr>
          <w:bCs/>
          <w:color w:val="000000"/>
        </w:rPr>
        <w:t>Crediting period for projects that include restarting transferring project areas</w:t>
      </w:r>
      <w:bookmarkEnd w:id="45"/>
    </w:p>
    <w:p w14:paraId="214ABA42" w14:textId="6E2550B0" w:rsidR="00442A27" w:rsidRDefault="00442A27" w:rsidP="007B2786">
      <w:pPr>
        <w:pStyle w:val="notetext"/>
        <w:rPr>
          <w:color w:val="000000"/>
          <w:szCs w:val="18"/>
        </w:rPr>
      </w:pPr>
      <w:r>
        <w:t>Note: </w:t>
      </w:r>
      <w:r w:rsidR="003F7DDD">
        <w:rPr>
          <w:color w:val="000000"/>
          <w:szCs w:val="18"/>
        </w:rPr>
        <w:tab/>
      </w:r>
      <w:r>
        <w:rPr>
          <w:color w:val="000000"/>
          <w:szCs w:val="18"/>
        </w:rPr>
        <w:t>Subsection 69(2) of the Act sets out the basic rule for the crediting period for a project</w:t>
      </w:r>
      <w:r w:rsidR="00823239">
        <w:rPr>
          <w:color w:val="000000"/>
          <w:szCs w:val="18"/>
        </w:rPr>
        <w:t xml:space="preserve">. </w:t>
      </w:r>
      <w:r>
        <w:rPr>
          <w:color w:val="000000"/>
          <w:szCs w:val="18"/>
        </w:rPr>
        <w:t xml:space="preserve">Generally, a project covered by this </w:t>
      </w:r>
      <w:r w:rsidR="00C929D7">
        <w:rPr>
          <w:color w:val="000000"/>
          <w:szCs w:val="18"/>
        </w:rPr>
        <w:t>instrument</w:t>
      </w:r>
      <w:r w:rsidR="00823239">
        <w:rPr>
          <w:color w:val="000000"/>
          <w:szCs w:val="18"/>
        </w:rPr>
        <w:t xml:space="preserve"> will have</w:t>
      </w:r>
      <w:r>
        <w:rPr>
          <w:color w:val="000000"/>
          <w:szCs w:val="18"/>
        </w:rPr>
        <w:t xml:space="preserve"> the crediting period of 25 years </w:t>
      </w:r>
      <w:r w:rsidR="008F44AE">
        <w:rPr>
          <w:color w:val="000000"/>
          <w:szCs w:val="18"/>
        </w:rPr>
        <w:t>specified in</w:t>
      </w:r>
      <w:r>
        <w:rPr>
          <w:color w:val="000000"/>
          <w:szCs w:val="18"/>
        </w:rPr>
        <w:t xml:space="preserve"> paragraph 69(2)(a) of the Act.</w:t>
      </w:r>
      <w:r w:rsidR="00E97874">
        <w:rPr>
          <w:color w:val="000000"/>
          <w:szCs w:val="18"/>
        </w:rPr>
        <w:t xml:space="preserve"> </w:t>
      </w:r>
      <w:r>
        <w:rPr>
          <w:color w:val="000000"/>
          <w:szCs w:val="18"/>
        </w:rPr>
        <w:t xml:space="preserve">Under paragraph 69(2)(b) of the Act, if another period is specified in the applicable methodology determination for the project, that period is the project’s crediting period. </w:t>
      </w:r>
      <w:r w:rsidR="00E97874">
        <w:rPr>
          <w:color w:val="000000"/>
          <w:szCs w:val="18"/>
        </w:rPr>
        <w:t xml:space="preserve">This section </w:t>
      </w:r>
      <w:r>
        <w:rPr>
          <w:color w:val="000000"/>
          <w:szCs w:val="18"/>
        </w:rPr>
        <w:t>specifies a shorter period for restarting transferring projects.</w:t>
      </w:r>
    </w:p>
    <w:p w14:paraId="4AD830F2" w14:textId="5A72FECB" w:rsidR="00442A27" w:rsidRDefault="00442A27" w:rsidP="007B2786">
      <w:pPr>
        <w:pStyle w:val="notetext"/>
        <w:ind w:firstLine="0"/>
        <w:rPr>
          <w:color w:val="000000"/>
          <w:szCs w:val="18"/>
        </w:rPr>
      </w:pPr>
      <w:r>
        <w:t>For restructured projects, see section 57 of the Act and section 53 of the CFI Rule for adjustments to the crediting period resulting from the restructure. In any other case, see section 69 of the Act for the crediting period.</w:t>
      </w:r>
    </w:p>
    <w:p w14:paraId="1ED03230" w14:textId="0F3FCE90" w:rsidR="00DB1C60" w:rsidRDefault="00442A27" w:rsidP="007B2786">
      <w:pPr>
        <w:pStyle w:val="tmain"/>
        <w:numPr>
          <w:ilvl w:val="0"/>
          <w:numId w:val="71"/>
        </w:numPr>
        <w:spacing w:before="180" w:beforeAutospacing="0" w:after="0" w:afterAutospacing="0"/>
        <w:rPr>
          <w:color w:val="000000"/>
          <w:sz w:val="22"/>
          <w:szCs w:val="22"/>
        </w:rPr>
      </w:pPr>
      <w:r>
        <w:rPr>
          <w:color w:val="000000"/>
          <w:sz w:val="22"/>
          <w:szCs w:val="22"/>
        </w:rPr>
        <w:t>For</w:t>
      </w:r>
      <w:r w:rsidR="006C5E81">
        <w:rPr>
          <w:color w:val="000000"/>
          <w:sz w:val="22"/>
          <w:szCs w:val="22"/>
        </w:rPr>
        <w:t xml:space="preserve"> the purposes of</w:t>
      </w:r>
      <w:r>
        <w:rPr>
          <w:color w:val="000000"/>
          <w:sz w:val="22"/>
          <w:szCs w:val="22"/>
        </w:rPr>
        <w:t xml:space="preserve"> paragraph 69(2)(b) of the Act, </w:t>
      </w:r>
      <w:r w:rsidR="00DF03D2">
        <w:rPr>
          <w:color w:val="000000"/>
          <w:sz w:val="22"/>
          <w:szCs w:val="22"/>
        </w:rPr>
        <w:t>the</w:t>
      </w:r>
      <w:r w:rsidR="009D34C3">
        <w:rPr>
          <w:color w:val="000000"/>
          <w:sz w:val="22"/>
          <w:szCs w:val="22"/>
        </w:rPr>
        <w:t xml:space="preserve"> period specified for the crediting period</w:t>
      </w:r>
      <w:r w:rsidR="00B56799">
        <w:rPr>
          <w:color w:val="000000"/>
          <w:sz w:val="22"/>
          <w:szCs w:val="22"/>
        </w:rPr>
        <w:t xml:space="preserve"> for a restarting transferring project</w:t>
      </w:r>
      <w:r w:rsidR="009D34C3">
        <w:rPr>
          <w:color w:val="000000"/>
          <w:sz w:val="22"/>
          <w:szCs w:val="22"/>
        </w:rPr>
        <w:t xml:space="preserve"> is 25 years</w:t>
      </w:r>
      <w:r w:rsidR="00851050">
        <w:rPr>
          <w:color w:val="000000"/>
          <w:sz w:val="22"/>
          <w:szCs w:val="22"/>
        </w:rPr>
        <w:t xml:space="preserve"> minus the </w:t>
      </w:r>
      <w:proofErr w:type="gramStart"/>
      <w:r w:rsidR="007D6E36">
        <w:rPr>
          <w:color w:val="000000"/>
          <w:sz w:val="22"/>
          <w:szCs w:val="22"/>
        </w:rPr>
        <w:t>period of time</w:t>
      </w:r>
      <w:proofErr w:type="gramEnd"/>
      <w:r w:rsidR="007D6E36">
        <w:rPr>
          <w:color w:val="000000"/>
          <w:sz w:val="22"/>
          <w:szCs w:val="22"/>
        </w:rPr>
        <w:t xml:space="preserve"> </w:t>
      </w:r>
      <w:r w:rsidR="008539E7" w:rsidRPr="008539E7">
        <w:rPr>
          <w:color w:val="000000"/>
          <w:sz w:val="22"/>
          <w:szCs w:val="22"/>
        </w:rPr>
        <w:t xml:space="preserve">for which </w:t>
      </w:r>
      <w:r w:rsidR="004661D9">
        <w:rPr>
          <w:color w:val="000000"/>
          <w:sz w:val="22"/>
          <w:szCs w:val="22"/>
        </w:rPr>
        <w:t>the</w:t>
      </w:r>
      <w:r w:rsidR="008539E7" w:rsidRPr="008539E7">
        <w:rPr>
          <w:color w:val="000000"/>
          <w:sz w:val="22"/>
          <w:szCs w:val="22"/>
        </w:rPr>
        <w:t xml:space="preserve"> project area was reported on while </w:t>
      </w:r>
      <w:r w:rsidR="00A9503A">
        <w:rPr>
          <w:color w:val="000000"/>
          <w:sz w:val="22"/>
          <w:szCs w:val="22"/>
        </w:rPr>
        <w:t xml:space="preserve">covered by </w:t>
      </w:r>
      <w:r w:rsidR="00DF2F10">
        <w:rPr>
          <w:color w:val="000000"/>
          <w:sz w:val="22"/>
          <w:szCs w:val="22"/>
        </w:rPr>
        <w:t>the</w:t>
      </w:r>
      <w:r w:rsidR="008539E7" w:rsidRPr="008539E7">
        <w:rPr>
          <w:color w:val="000000"/>
          <w:sz w:val="22"/>
          <w:szCs w:val="22"/>
        </w:rPr>
        <w:t xml:space="preserve"> former determination</w:t>
      </w:r>
      <w:r w:rsidR="00DF2F10">
        <w:rPr>
          <w:color w:val="000000"/>
          <w:sz w:val="22"/>
          <w:szCs w:val="22"/>
        </w:rPr>
        <w:t xml:space="preserve"> and any other </w:t>
      </w:r>
      <w:r w:rsidR="00DF2F10" w:rsidRPr="006162E3">
        <w:rPr>
          <w:color w:val="000000"/>
          <w:szCs w:val="22"/>
        </w:rPr>
        <w:t>savanna emissions avoidance determination</w:t>
      </w:r>
      <w:r w:rsidR="00A9503A">
        <w:rPr>
          <w:color w:val="000000"/>
          <w:sz w:val="22"/>
          <w:szCs w:val="22"/>
        </w:rPr>
        <w:t>,</w:t>
      </w:r>
      <w:r w:rsidR="00DB1C60">
        <w:rPr>
          <w:color w:val="000000"/>
          <w:sz w:val="22"/>
          <w:szCs w:val="22"/>
        </w:rPr>
        <w:t xml:space="preserve"> as</w:t>
      </w:r>
      <w:r w:rsidR="00A9503A">
        <w:rPr>
          <w:color w:val="000000"/>
          <w:sz w:val="22"/>
          <w:szCs w:val="22"/>
        </w:rPr>
        <w:t xml:space="preserve"> calculated in accordance with subsection 2</w:t>
      </w:r>
      <w:r w:rsidR="00F54D2F">
        <w:rPr>
          <w:color w:val="000000"/>
          <w:sz w:val="22"/>
          <w:szCs w:val="22"/>
        </w:rPr>
        <w:t>.</w:t>
      </w:r>
    </w:p>
    <w:p w14:paraId="6F18C341" w14:textId="51FC8350" w:rsidR="00637CDC" w:rsidRDefault="00C23477" w:rsidP="007B2786">
      <w:pPr>
        <w:pStyle w:val="tmain"/>
        <w:numPr>
          <w:ilvl w:val="0"/>
          <w:numId w:val="71"/>
        </w:numPr>
        <w:spacing w:before="180" w:beforeAutospacing="0" w:after="0" w:afterAutospacing="0"/>
        <w:ind w:left="1134" w:hanging="425"/>
        <w:rPr>
          <w:color w:val="000000"/>
          <w:sz w:val="22"/>
          <w:szCs w:val="22"/>
        </w:rPr>
      </w:pPr>
      <w:r>
        <w:rPr>
          <w:color w:val="000000"/>
          <w:sz w:val="22"/>
          <w:szCs w:val="22"/>
        </w:rPr>
        <w:t>For the purposes of subsection (1), the</w:t>
      </w:r>
      <w:r w:rsidR="004661D9">
        <w:rPr>
          <w:color w:val="000000"/>
          <w:sz w:val="22"/>
          <w:szCs w:val="22"/>
        </w:rPr>
        <w:t xml:space="preserve"> </w:t>
      </w:r>
      <w:proofErr w:type="gramStart"/>
      <w:r w:rsidR="004661D9">
        <w:rPr>
          <w:color w:val="000000"/>
          <w:sz w:val="22"/>
          <w:szCs w:val="22"/>
        </w:rPr>
        <w:t>period of time</w:t>
      </w:r>
      <w:proofErr w:type="gramEnd"/>
      <w:r>
        <w:rPr>
          <w:color w:val="000000"/>
          <w:sz w:val="22"/>
          <w:szCs w:val="22"/>
        </w:rPr>
        <w:t xml:space="preserve"> </w:t>
      </w:r>
      <w:r w:rsidR="004661D9" w:rsidRPr="004661D9">
        <w:rPr>
          <w:color w:val="000000"/>
          <w:sz w:val="22"/>
          <w:szCs w:val="22"/>
        </w:rPr>
        <w:t xml:space="preserve">for which </w:t>
      </w:r>
      <w:r w:rsidR="0089306E">
        <w:rPr>
          <w:color w:val="000000"/>
          <w:sz w:val="22"/>
          <w:szCs w:val="22"/>
        </w:rPr>
        <w:t>the</w:t>
      </w:r>
      <w:r w:rsidR="004661D9" w:rsidRPr="004661D9">
        <w:rPr>
          <w:color w:val="000000"/>
          <w:sz w:val="22"/>
          <w:szCs w:val="22"/>
        </w:rPr>
        <w:t xml:space="preserve"> project area was reported on while </w:t>
      </w:r>
      <w:r w:rsidR="0089306E">
        <w:rPr>
          <w:color w:val="000000"/>
          <w:sz w:val="22"/>
          <w:szCs w:val="22"/>
        </w:rPr>
        <w:t xml:space="preserve">covered by </w:t>
      </w:r>
      <w:r w:rsidR="004661D9" w:rsidRPr="004661D9">
        <w:rPr>
          <w:color w:val="000000"/>
          <w:sz w:val="22"/>
          <w:szCs w:val="22"/>
        </w:rPr>
        <w:t>the former determination</w:t>
      </w:r>
      <w:r w:rsidR="00613922">
        <w:rPr>
          <w:color w:val="000000"/>
          <w:sz w:val="22"/>
          <w:szCs w:val="22"/>
        </w:rPr>
        <w:t xml:space="preserve"> and any other </w:t>
      </w:r>
      <w:r w:rsidR="00613922" w:rsidRPr="006162E3">
        <w:rPr>
          <w:color w:val="000000"/>
          <w:szCs w:val="22"/>
        </w:rPr>
        <w:t>savanna emissions avoidance determination</w:t>
      </w:r>
      <w:r w:rsidR="002645CE">
        <w:rPr>
          <w:color w:val="000000"/>
          <w:szCs w:val="22"/>
        </w:rPr>
        <w:t xml:space="preserve"> is the </w:t>
      </w:r>
      <w:r w:rsidR="00B56799">
        <w:rPr>
          <w:color w:val="000000"/>
          <w:sz w:val="22"/>
          <w:szCs w:val="22"/>
        </w:rPr>
        <w:t>time between</w:t>
      </w:r>
      <w:r w:rsidR="00C31F9E">
        <w:rPr>
          <w:color w:val="000000"/>
          <w:sz w:val="22"/>
          <w:szCs w:val="22"/>
        </w:rPr>
        <w:t>:</w:t>
      </w:r>
    </w:p>
    <w:p w14:paraId="6C4C0470" w14:textId="5F466A9A" w:rsidR="00D83CFE" w:rsidRDefault="00B113AD" w:rsidP="004A7133">
      <w:pPr>
        <w:pStyle w:val="tmain"/>
        <w:numPr>
          <w:ilvl w:val="1"/>
          <w:numId w:val="47"/>
        </w:numPr>
        <w:spacing w:before="0" w:beforeAutospacing="0" w:after="0" w:afterAutospacing="0"/>
        <w:rPr>
          <w:color w:val="000000"/>
          <w:sz w:val="22"/>
          <w:szCs w:val="22"/>
        </w:rPr>
      </w:pPr>
      <w:r>
        <w:rPr>
          <w:color w:val="000000"/>
          <w:sz w:val="22"/>
          <w:szCs w:val="22"/>
        </w:rPr>
        <w:t xml:space="preserve">1 January </w:t>
      </w:r>
      <w:r w:rsidR="00145B71">
        <w:rPr>
          <w:color w:val="000000"/>
          <w:sz w:val="22"/>
          <w:szCs w:val="22"/>
        </w:rPr>
        <w:t xml:space="preserve">2015 or </w:t>
      </w:r>
      <w:r w:rsidR="00C31F9E" w:rsidRPr="00C31F9E">
        <w:rPr>
          <w:color w:val="000000"/>
          <w:sz w:val="22"/>
          <w:szCs w:val="22"/>
        </w:rPr>
        <w:t xml:space="preserve">the start </w:t>
      </w:r>
      <w:r w:rsidR="002645CE">
        <w:rPr>
          <w:color w:val="000000"/>
          <w:sz w:val="22"/>
          <w:szCs w:val="22"/>
        </w:rPr>
        <w:t>time</w:t>
      </w:r>
      <w:r w:rsidR="002645CE" w:rsidRPr="00C31F9E">
        <w:rPr>
          <w:color w:val="000000"/>
          <w:sz w:val="22"/>
          <w:szCs w:val="22"/>
        </w:rPr>
        <w:t xml:space="preserve"> </w:t>
      </w:r>
      <w:r w:rsidR="00C31F9E" w:rsidRPr="00C31F9E">
        <w:rPr>
          <w:color w:val="000000"/>
          <w:sz w:val="22"/>
          <w:szCs w:val="22"/>
        </w:rPr>
        <w:t xml:space="preserve">of the </w:t>
      </w:r>
      <w:r w:rsidR="00F75A4D">
        <w:rPr>
          <w:color w:val="000000"/>
          <w:sz w:val="22"/>
          <w:szCs w:val="22"/>
        </w:rPr>
        <w:t xml:space="preserve">crediting period for </w:t>
      </w:r>
      <w:r w:rsidR="00E967AB">
        <w:rPr>
          <w:color w:val="000000"/>
          <w:sz w:val="22"/>
          <w:szCs w:val="22"/>
        </w:rPr>
        <w:t>the</w:t>
      </w:r>
      <w:r w:rsidR="0099667D">
        <w:rPr>
          <w:color w:val="000000"/>
          <w:sz w:val="22"/>
          <w:szCs w:val="22"/>
        </w:rPr>
        <w:t xml:space="preserve"> project </w:t>
      </w:r>
      <w:r w:rsidR="00865574">
        <w:rPr>
          <w:color w:val="000000"/>
          <w:sz w:val="22"/>
          <w:szCs w:val="22"/>
        </w:rPr>
        <w:t xml:space="preserve">under </w:t>
      </w:r>
      <w:r w:rsidR="0099667D">
        <w:rPr>
          <w:color w:val="000000"/>
          <w:sz w:val="22"/>
          <w:szCs w:val="22"/>
        </w:rPr>
        <w:t>the former determination</w:t>
      </w:r>
      <w:r w:rsidR="00145B71">
        <w:rPr>
          <w:color w:val="000000"/>
          <w:sz w:val="22"/>
          <w:szCs w:val="22"/>
        </w:rPr>
        <w:t>, whichever is the later</w:t>
      </w:r>
      <w:r w:rsidR="00C31F9E" w:rsidRPr="00C31F9E">
        <w:rPr>
          <w:color w:val="000000"/>
          <w:sz w:val="22"/>
          <w:szCs w:val="22"/>
        </w:rPr>
        <w:t>; and</w:t>
      </w:r>
    </w:p>
    <w:p w14:paraId="1D343D87" w14:textId="28955791" w:rsidR="00442A27" w:rsidRPr="00D83CFE" w:rsidRDefault="00C31F9E" w:rsidP="004A7133">
      <w:pPr>
        <w:pStyle w:val="tmain"/>
        <w:numPr>
          <w:ilvl w:val="1"/>
          <w:numId w:val="47"/>
        </w:numPr>
        <w:spacing w:before="0" w:beforeAutospacing="0" w:after="0" w:afterAutospacing="0"/>
        <w:rPr>
          <w:color w:val="000000"/>
          <w:sz w:val="22"/>
          <w:szCs w:val="22"/>
        </w:rPr>
      </w:pPr>
      <w:r w:rsidRPr="00D83CFE">
        <w:rPr>
          <w:color w:val="000000"/>
          <w:sz w:val="22"/>
          <w:szCs w:val="22"/>
        </w:rPr>
        <w:t>the date</w:t>
      </w:r>
      <w:r w:rsidR="00AC6C55">
        <w:rPr>
          <w:color w:val="000000"/>
          <w:sz w:val="22"/>
          <w:szCs w:val="22"/>
        </w:rPr>
        <w:t xml:space="preserve"> that the </w:t>
      </w:r>
      <w:r w:rsidR="00F55FEE">
        <w:rPr>
          <w:color w:val="000000"/>
          <w:sz w:val="22"/>
          <w:szCs w:val="22"/>
        </w:rPr>
        <w:t xml:space="preserve">project became a </w:t>
      </w:r>
      <w:r w:rsidR="00AC6C55">
        <w:rPr>
          <w:color w:val="000000"/>
          <w:sz w:val="22"/>
          <w:szCs w:val="22"/>
        </w:rPr>
        <w:t>restarting</w:t>
      </w:r>
      <w:r w:rsidR="00F55FEE">
        <w:rPr>
          <w:color w:val="000000"/>
          <w:sz w:val="22"/>
          <w:szCs w:val="22"/>
        </w:rPr>
        <w:t xml:space="preserve"> transferring project under this </w:t>
      </w:r>
      <w:r w:rsidR="00C929D7">
        <w:rPr>
          <w:color w:val="000000"/>
          <w:sz w:val="22"/>
          <w:szCs w:val="22"/>
        </w:rPr>
        <w:t>instrument</w:t>
      </w:r>
      <w:r w:rsidR="00CD542B" w:rsidRPr="00D83CFE">
        <w:rPr>
          <w:color w:val="000000"/>
          <w:sz w:val="22"/>
          <w:szCs w:val="22"/>
        </w:rPr>
        <w:t>.</w:t>
      </w:r>
    </w:p>
    <w:p w14:paraId="585D5ADF" w14:textId="115D3AE3" w:rsidR="00BB2A3B" w:rsidRPr="00867A6B" w:rsidRDefault="00690E4E" w:rsidP="00867A6B">
      <w:pPr>
        <w:pStyle w:val="ActHead5"/>
        <w:ind w:left="0" w:firstLine="0"/>
        <w:rPr>
          <w:b w:val="0"/>
        </w:rPr>
      </w:pPr>
      <w:bookmarkStart w:id="46" w:name="_Toc202953821"/>
      <w:r w:rsidRPr="00867A6B">
        <w:t>28</w:t>
      </w:r>
      <w:proofErr w:type="gramStart"/>
      <w:r w:rsidRPr="00867A6B">
        <w:t>A</w:t>
      </w:r>
      <w:r w:rsidR="00D8244E" w:rsidRPr="00867A6B">
        <w:t xml:space="preserve">  </w:t>
      </w:r>
      <w:r w:rsidR="00BB2A3B" w:rsidRPr="00867A6B">
        <w:t>Vegetation</w:t>
      </w:r>
      <w:proofErr w:type="gramEnd"/>
      <w:r w:rsidR="00BB2A3B" w:rsidRPr="00867A6B">
        <w:t> fuel type map for transferring project area</w:t>
      </w:r>
      <w:bookmarkEnd w:id="46"/>
    </w:p>
    <w:p w14:paraId="1073FD39" w14:textId="0CEF809E" w:rsidR="00BB2A3B" w:rsidRDefault="00BB2A3B" w:rsidP="007B2786">
      <w:pPr>
        <w:pStyle w:val="tmain"/>
        <w:numPr>
          <w:ilvl w:val="0"/>
          <w:numId w:val="72"/>
        </w:numPr>
        <w:spacing w:before="180" w:beforeAutospacing="0" w:after="0" w:afterAutospacing="0"/>
        <w:rPr>
          <w:color w:val="000000"/>
          <w:sz w:val="22"/>
          <w:szCs w:val="22"/>
        </w:rPr>
      </w:pPr>
      <w:r>
        <w:rPr>
          <w:color w:val="000000"/>
          <w:sz w:val="22"/>
          <w:szCs w:val="22"/>
        </w:rPr>
        <w:t>This section applies if:</w:t>
      </w:r>
    </w:p>
    <w:p w14:paraId="4CC62FE0" w14:textId="044D113F" w:rsidR="00BB2A3B" w:rsidRDefault="00ED3E36" w:rsidP="00867A6B">
      <w:pPr>
        <w:pStyle w:val="paragraph"/>
        <w:rPr>
          <w:color w:val="000000"/>
          <w:szCs w:val="22"/>
        </w:rPr>
      </w:pPr>
      <w:r>
        <w:tab/>
        <w:t>(a)</w:t>
      </w:r>
      <w:r>
        <w:tab/>
        <w:t xml:space="preserve">a project area </w:t>
      </w:r>
      <w:r w:rsidR="003A6E3F">
        <w:t xml:space="preserve">for </w:t>
      </w:r>
      <w:r w:rsidR="00BB2A3B" w:rsidRPr="00867A6B">
        <w:rPr>
          <w:rStyle w:val="paragraphChar"/>
        </w:rPr>
        <w:t>a savanna sequestration project is a transferring project area;</w:t>
      </w:r>
      <w:r w:rsidR="00BB2A3B">
        <w:rPr>
          <w:color w:val="000000"/>
          <w:szCs w:val="22"/>
        </w:rPr>
        <w:t xml:space="preserve"> and</w:t>
      </w:r>
    </w:p>
    <w:p w14:paraId="6A2778BE" w14:textId="29452EB8" w:rsidR="00BB2A3B" w:rsidRDefault="001217BB" w:rsidP="00867A6B">
      <w:pPr>
        <w:pStyle w:val="paragraph"/>
      </w:pPr>
      <w:r>
        <w:tab/>
      </w:r>
      <w:r w:rsidR="00D9558C">
        <w:t>(b)</w:t>
      </w:r>
      <w:r w:rsidR="00D9558C">
        <w:tab/>
        <w:t xml:space="preserve">a </w:t>
      </w:r>
      <w:r w:rsidR="00BB2A3B">
        <w:t xml:space="preserve">vegetation </w:t>
      </w:r>
      <w:r w:rsidR="00BC3168" w:rsidRPr="00934319">
        <w:t xml:space="preserve">map or </w:t>
      </w:r>
      <w:r w:rsidR="00BC3168">
        <w:t xml:space="preserve">a </w:t>
      </w:r>
      <w:r w:rsidR="00BB2A3B">
        <w:t>vegetation fuel type map has been created and validated for the transferring project area in accordance with the former determination</w:t>
      </w:r>
      <w:r w:rsidR="00AF22DB">
        <w:t xml:space="preserve"> for that area</w:t>
      </w:r>
      <w:r w:rsidR="00BB2A3B">
        <w:t>.</w:t>
      </w:r>
    </w:p>
    <w:p w14:paraId="074FFF19" w14:textId="1B9B60E0" w:rsidR="00BB2A3B" w:rsidRDefault="00BB2A3B" w:rsidP="007B2786">
      <w:pPr>
        <w:pStyle w:val="tmain"/>
        <w:numPr>
          <w:ilvl w:val="0"/>
          <w:numId w:val="72"/>
        </w:numPr>
        <w:spacing w:before="180" w:beforeAutospacing="0" w:after="0" w:afterAutospacing="0"/>
        <w:rPr>
          <w:color w:val="000000"/>
          <w:sz w:val="22"/>
          <w:szCs w:val="22"/>
        </w:rPr>
      </w:pPr>
      <w:r>
        <w:rPr>
          <w:color w:val="000000"/>
          <w:sz w:val="22"/>
          <w:szCs w:val="22"/>
        </w:rPr>
        <w:t>The map is taken to be a vegetation fuel type map for the project area that has been created and validated in accordance with</w:t>
      </w:r>
      <w:r w:rsidR="00D8244E">
        <w:rPr>
          <w:color w:val="000000"/>
          <w:sz w:val="22"/>
          <w:szCs w:val="22"/>
        </w:rPr>
        <w:t xml:space="preserve"> </w:t>
      </w:r>
      <w:r>
        <w:rPr>
          <w:color w:val="000000"/>
          <w:sz w:val="22"/>
          <w:szCs w:val="22"/>
        </w:rPr>
        <w:t xml:space="preserve">this </w:t>
      </w:r>
      <w:r w:rsidR="00C929D7">
        <w:rPr>
          <w:color w:val="000000"/>
          <w:sz w:val="22"/>
          <w:szCs w:val="22"/>
        </w:rPr>
        <w:t>instrument</w:t>
      </w:r>
      <w:r>
        <w:rPr>
          <w:color w:val="000000"/>
          <w:sz w:val="22"/>
          <w:szCs w:val="22"/>
        </w:rPr>
        <w:t>, and the pixels of the map are taken to be mapping units.</w:t>
      </w:r>
    </w:p>
    <w:p w14:paraId="5C0F00D5" w14:textId="32E033B0" w:rsidR="0038651D" w:rsidRPr="007C26C5" w:rsidRDefault="00213E71" w:rsidP="007B2786">
      <w:pPr>
        <w:pStyle w:val="tmain"/>
        <w:numPr>
          <w:ilvl w:val="0"/>
          <w:numId w:val="72"/>
        </w:numPr>
        <w:spacing w:before="180" w:beforeAutospacing="0" w:after="0" w:afterAutospacing="0"/>
        <w:rPr>
          <w:szCs w:val="22"/>
        </w:rPr>
      </w:pPr>
      <w:r w:rsidRPr="007B2786">
        <w:rPr>
          <w:color w:val="000000"/>
          <w:sz w:val="22"/>
          <w:szCs w:val="22"/>
        </w:rPr>
        <w:t xml:space="preserve">For the purposes of this </w:t>
      </w:r>
      <w:r w:rsidR="00C929D7" w:rsidRPr="007B2786">
        <w:rPr>
          <w:color w:val="000000"/>
          <w:sz w:val="22"/>
          <w:szCs w:val="22"/>
        </w:rPr>
        <w:t>instrument</w:t>
      </w:r>
      <w:r w:rsidRPr="007B2786">
        <w:rPr>
          <w:color w:val="000000"/>
          <w:sz w:val="22"/>
          <w:szCs w:val="22"/>
        </w:rPr>
        <w:t>, a</w:t>
      </w:r>
      <w:r w:rsidR="0038651D" w:rsidRPr="007B2786">
        <w:rPr>
          <w:color w:val="000000"/>
          <w:sz w:val="22"/>
          <w:szCs w:val="22"/>
        </w:rPr>
        <w:t xml:space="preserve"> reference to a vegetation class on a map that was created under a savanna emissions avoidance determination is taken to be a reference to the corresponding</w:t>
      </w:r>
      <w:r w:rsidR="0038651D" w:rsidRPr="007B2786">
        <w:rPr>
          <w:sz w:val="22"/>
          <w:szCs w:val="22"/>
        </w:rPr>
        <w:t xml:space="preserve"> vegetation fuel type</w:t>
      </w:r>
      <w:r w:rsidR="006628DC" w:rsidRPr="007B2786">
        <w:rPr>
          <w:sz w:val="22"/>
          <w:szCs w:val="22"/>
        </w:rPr>
        <w:t>,</w:t>
      </w:r>
      <w:r w:rsidR="0038651D" w:rsidRPr="007B2786">
        <w:rPr>
          <w:sz w:val="22"/>
          <w:szCs w:val="22"/>
        </w:rPr>
        <w:t xml:space="preserve"> in accordance with the </w:t>
      </w:r>
      <w:r w:rsidR="00BA10FB" w:rsidRPr="0098716A">
        <w:rPr>
          <w:sz w:val="22"/>
          <w:szCs w:val="22"/>
        </w:rPr>
        <w:t>Savanna Fire Management Methods (2025) Technical Guidance Document</w:t>
      </w:r>
      <w:r w:rsidR="0038651D" w:rsidRPr="007B2786">
        <w:rPr>
          <w:sz w:val="22"/>
          <w:szCs w:val="22"/>
        </w:rPr>
        <w:t>.</w:t>
      </w:r>
    </w:p>
    <w:p w14:paraId="3B4CA5A4" w14:textId="3902DFC2" w:rsidR="003F1BB4" w:rsidRPr="00171E3E" w:rsidRDefault="003F1BB4" w:rsidP="00867A6B">
      <w:pPr>
        <w:pStyle w:val="ActHead3"/>
      </w:pPr>
      <w:bookmarkStart w:id="47" w:name="_Toc202953822"/>
      <w:r w:rsidRPr="009D2663">
        <w:lastRenderedPageBreak/>
        <w:t xml:space="preserve">Division </w:t>
      </w:r>
      <w:r>
        <w:t>8</w:t>
      </w:r>
      <w:r w:rsidRPr="00FD6A3B">
        <w:t>—</w:t>
      </w:r>
      <w:r w:rsidR="006E1A3B">
        <w:t>Project applications</w:t>
      </w:r>
      <w:bookmarkEnd w:id="47"/>
    </w:p>
    <w:p w14:paraId="07420A97" w14:textId="6D356E47" w:rsidR="009B45B1" w:rsidRPr="00406943" w:rsidRDefault="002F683A" w:rsidP="004B52E6">
      <w:pPr>
        <w:pStyle w:val="ActHead5"/>
        <w:ind w:left="0" w:firstLine="0"/>
      </w:pPr>
      <w:bookmarkStart w:id="48" w:name="_Toc202953823"/>
      <w:r w:rsidRPr="00406943">
        <w:t>2</w:t>
      </w:r>
      <w:r w:rsidR="00406943" w:rsidRPr="00406943">
        <w:t>9</w:t>
      </w:r>
      <w:r w:rsidR="000D7648" w:rsidRPr="00406943">
        <w:t xml:space="preserve">   Information to include in section 22</w:t>
      </w:r>
      <w:r w:rsidR="00FF0ED9">
        <w:t>, 29</w:t>
      </w:r>
      <w:r w:rsidR="00DC3236" w:rsidRPr="00406943">
        <w:t xml:space="preserve"> and 128</w:t>
      </w:r>
      <w:r w:rsidR="000D7648" w:rsidRPr="00406943">
        <w:t xml:space="preserve"> application</w:t>
      </w:r>
      <w:r w:rsidR="00DC3236" w:rsidRPr="00406943">
        <w:t>s</w:t>
      </w:r>
      <w:bookmarkEnd w:id="48"/>
    </w:p>
    <w:p w14:paraId="1D9F1C61" w14:textId="411D3E27" w:rsidR="00AD6B3A" w:rsidRPr="007C26C5" w:rsidRDefault="00AD6B3A" w:rsidP="007B2786">
      <w:pPr>
        <w:pStyle w:val="tmain"/>
        <w:numPr>
          <w:ilvl w:val="0"/>
          <w:numId w:val="73"/>
        </w:numPr>
        <w:spacing w:before="180" w:beforeAutospacing="0" w:after="0" w:afterAutospacing="0"/>
        <w:rPr>
          <w:szCs w:val="22"/>
        </w:rPr>
      </w:pPr>
      <w:r w:rsidRPr="007B2786">
        <w:rPr>
          <w:sz w:val="22"/>
          <w:szCs w:val="22"/>
        </w:rPr>
        <w:t>If one or more project areas of a savanna sequestration project will be transferring project areas, the section 22 application</w:t>
      </w:r>
      <w:r w:rsidR="00FF0ED9" w:rsidRPr="007B2786">
        <w:rPr>
          <w:sz w:val="22"/>
          <w:szCs w:val="22"/>
        </w:rPr>
        <w:t>, section 29 application</w:t>
      </w:r>
      <w:r w:rsidR="00E757C9" w:rsidRPr="007B2786">
        <w:rPr>
          <w:sz w:val="22"/>
          <w:szCs w:val="22"/>
        </w:rPr>
        <w:t xml:space="preserve"> or section 128 application</w:t>
      </w:r>
      <w:r w:rsidRPr="007B2786">
        <w:rPr>
          <w:sz w:val="22"/>
          <w:szCs w:val="22"/>
        </w:rPr>
        <w:t xml:space="preserve"> must include:</w:t>
      </w:r>
    </w:p>
    <w:p w14:paraId="43B93AAF" w14:textId="017EC0E6" w:rsidR="004B52E6" w:rsidRPr="00A235B7" w:rsidRDefault="00AD6B3A" w:rsidP="004A7133">
      <w:pPr>
        <w:pStyle w:val="subsection"/>
        <w:numPr>
          <w:ilvl w:val="1"/>
          <w:numId w:val="45"/>
        </w:numPr>
        <w:spacing w:before="0"/>
      </w:pPr>
      <w:r w:rsidRPr="00A235B7">
        <w:rPr>
          <w:color w:val="000000"/>
          <w:szCs w:val="22"/>
        </w:rPr>
        <w:t>a statement of that fact</w:t>
      </w:r>
      <w:r w:rsidR="004B52E6" w:rsidRPr="00A235B7">
        <w:rPr>
          <w:color w:val="000000"/>
          <w:szCs w:val="22"/>
        </w:rPr>
        <w:t>;</w:t>
      </w:r>
      <w:r w:rsidR="00776279">
        <w:rPr>
          <w:color w:val="000000"/>
          <w:szCs w:val="22"/>
        </w:rPr>
        <w:t xml:space="preserve"> and</w:t>
      </w:r>
    </w:p>
    <w:p w14:paraId="2143962E" w14:textId="77777777" w:rsidR="004B52E6" w:rsidRPr="00A235B7" w:rsidRDefault="00AD6B3A" w:rsidP="004A7133">
      <w:pPr>
        <w:pStyle w:val="subsection"/>
        <w:numPr>
          <w:ilvl w:val="1"/>
          <w:numId w:val="45"/>
        </w:numPr>
        <w:spacing w:before="0"/>
      </w:pPr>
      <w:r w:rsidRPr="00A235B7">
        <w:rPr>
          <w:color w:val="000000"/>
          <w:szCs w:val="22"/>
        </w:rPr>
        <w:t>the identity of the transferring project areas; and</w:t>
      </w:r>
    </w:p>
    <w:p w14:paraId="14A390C6" w14:textId="46A44647" w:rsidR="00AD6B3A" w:rsidRPr="00A235B7" w:rsidRDefault="00AD6B3A" w:rsidP="004A7133">
      <w:pPr>
        <w:pStyle w:val="subsection"/>
        <w:numPr>
          <w:ilvl w:val="1"/>
          <w:numId w:val="45"/>
        </w:numPr>
        <w:spacing w:before="0"/>
      </w:pPr>
      <w:r w:rsidRPr="00A235B7">
        <w:rPr>
          <w:color w:val="000000"/>
          <w:szCs w:val="22"/>
        </w:rPr>
        <w:t>the unique project identifiers for the projects from which the project areas will be transferring.</w:t>
      </w:r>
    </w:p>
    <w:p w14:paraId="7B48678B" w14:textId="76C1A207" w:rsidR="004B52E6" w:rsidRPr="007C26C5" w:rsidRDefault="004B52E6" w:rsidP="007B2786">
      <w:pPr>
        <w:pStyle w:val="tmain"/>
        <w:numPr>
          <w:ilvl w:val="0"/>
          <w:numId w:val="73"/>
        </w:numPr>
        <w:spacing w:before="180" w:beforeAutospacing="0" w:after="0" w:afterAutospacing="0"/>
        <w:rPr>
          <w:szCs w:val="22"/>
        </w:rPr>
      </w:pPr>
      <w:r w:rsidRPr="007B2786">
        <w:rPr>
          <w:sz w:val="22"/>
          <w:szCs w:val="22"/>
        </w:rPr>
        <w:t xml:space="preserve">If one or more project areas of a savanna sequestration project </w:t>
      </w:r>
      <w:r w:rsidR="00686092" w:rsidRPr="007B2786">
        <w:rPr>
          <w:sz w:val="22"/>
          <w:szCs w:val="22"/>
        </w:rPr>
        <w:t xml:space="preserve">is an area in which </w:t>
      </w:r>
      <w:r w:rsidR="00F66653" w:rsidRPr="007B2786">
        <w:rPr>
          <w:sz w:val="22"/>
          <w:szCs w:val="22"/>
        </w:rPr>
        <w:t>capacity building fire management is conducted</w:t>
      </w:r>
      <w:r w:rsidR="00686092" w:rsidRPr="007B2786">
        <w:rPr>
          <w:sz w:val="22"/>
          <w:szCs w:val="22"/>
        </w:rPr>
        <w:t xml:space="preserve">, </w:t>
      </w:r>
      <w:r w:rsidRPr="007B2786">
        <w:rPr>
          <w:sz w:val="22"/>
          <w:szCs w:val="22"/>
        </w:rPr>
        <w:t>the section 22 application</w:t>
      </w:r>
      <w:r w:rsidR="004F2FAC" w:rsidRPr="007B2786">
        <w:rPr>
          <w:sz w:val="22"/>
          <w:szCs w:val="22"/>
        </w:rPr>
        <w:t xml:space="preserve"> or section 29 application</w:t>
      </w:r>
      <w:r w:rsidRPr="007B2786">
        <w:rPr>
          <w:sz w:val="22"/>
          <w:szCs w:val="22"/>
        </w:rPr>
        <w:t xml:space="preserve"> must include:</w:t>
      </w:r>
    </w:p>
    <w:p w14:paraId="5D1A85B6" w14:textId="630E5FEC" w:rsidR="006C66EA" w:rsidRPr="007B2786" w:rsidRDefault="006C66EA" w:rsidP="007B2786">
      <w:pPr>
        <w:pStyle w:val="subsection"/>
        <w:numPr>
          <w:ilvl w:val="0"/>
          <w:numId w:val="77"/>
        </w:numPr>
        <w:spacing w:before="0"/>
        <w:ind w:left="1638"/>
        <w:rPr>
          <w:color w:val="000000"/>
          <w:szCs w:val="22"/>
        </w:rPr>
      </w:pPr>
      <w:r w:rsidRPr="00A235B7">
        <w:rPr>
          <w:color w:val="000000"/>
          <w:szCs w:val="22"/>
        </w:rPr>
        <w:t>a statement of that fact;</w:t>
      </w:r>
      <w:r w:rsidR="00757B50">
        <w:rPr>
          <w:color w:val="000000"/>
          <w:szCs w:val="22"/>
        </w:rPr>
        <w:t xml:space="preserve"> and</w:t>
      </w:r>
    </w:p>
    <w:p w14:paraId="5D8880EA" w14:textId="5827503B" w:rsidR="006C66EA" w:rsidRPr="007B2786" w:rsidRDefault="006C66EA" w:rsidP="007B2786">
      <w:pPr>
        <w:pStyle w:val="subsection"/>
        <w:numPr>
          <w:ilvl w:val="0"/>
          <w:numId w:val="77"/>
        </w:numPr>
        <w:spacing w:before="0"/>
        <w:ind w:left="1638"/>
        <w:rPr>
          <w:color w:val="000000"/>
          <w:szCs w:val="22"/>
        </w:rPr>
      </w:pPr>
      <w:r w:rsidRPr="00A235B7">
        <w:rPr>
          <w:color w:val="000000"/>
          <w:szCs w:val="22"/>
        </w:rPr>
        <w:t xml:space="preserve">the identity of the </w:t>
      </w:r>
      <w:r w:rsidRPr="007B2786">
        <w:rPr>
          <w:color w:val="000000"/>
          <w:szCs w:val="22"/>
        </w:rPr>
        <w:t>capacity building fire management areas</w:t>
      </w:r>
      <w:r w:rsidRPr="00A235B7">
        <w:rPr>
          <w:color w:val="000000"/>
          <w:szCs w:val="22"/>
        </w:rPr>
        <w:t xml:space="preserve">; </w:t>
      </w:r>
      <w:r w:rsidR="00757B50">
        <w:rPr>
          <w:color w:val="000000"/>
          <w:szCs w:val="22"/>
        </w:rPr>
        <w:t>and</w:t>
      </w:r>
    </w:p>
    <w:p w14:paraId="58C67D21" w14:textId="4F1BF5A7" w:rsidR="006C66EA" w:rsidRPr="007B2786" w:rsidRDefault="006C66EA" w:rsidP="007B2786">
      <w:pPr>
        <w:pStyle w:val="subsection"/>
        <w:numPr>
          <w:ilvl w:val="0"/>
          <w:numId w:val="77"/>
        </w:numPr>
        <w:spacing w:before="0"/>
        <w:ind w:left="1638"/>
        <w:rPr>
          <w:color w:val="000000"/>
          <w:szCs w:val="22"/>
        </w:rPr>
      </w:pPr>
      <w:r w:rsidRPr="00A235B7">
        <w:rPr>
          <w:color w:val="000000"/>
          <w:szCs w:val="22"/>
        </w:rPr>
        <w:t>details of the capacity building fire management carried out in each area;</w:t>
      </w:r>
      <w:r w:rsidR="00757B50">
        <w:rPr>
          <w:color w:val="000000"/>
          <w:szCs w:val="22"/>
        </w:rPr>
        <w:t xml:space="preserve"> and</w:t>
      </w:r>
    </w:p>
    <w:p w14:paraId="36F43AEB" w14:textId="22E5B277" w:rsidR="006C66EA" w:rsidRPr="007B2786" w:rsidRDefault="00101ABC" w:rsidP="007B2786">
      <w:pPr>
        <w:pStyle w:val="subsection"/>
        <w:numPr>
          <w:ilvl w:val="0"/>
          <w:numId w:val="77"/>
        </w:numPr>
        <w:spacing w:before="0"/>
        <w:ind w:left="1638"/>
        <w:rPr>
          <w:color w:val="000000"/>
          <w:szCs w:val="22"/>
        </w:rPr>
      </w:pPr>
      <w:r>
        <w:rPr>
          <w:color w:val="000000"/>
          <w:szCs w:val="22"/>
        </w:rPr>
        <w:t xml:space="preserve">any relevant </w:t>
      </w:r>
      <w:r w:rsidRPr="00A235B7">
        <w:rPr>
          <w:color w:val="000000"/>
          <w:szCs w:val="22"/>
        </w:rPr>
        <w:t>fire permits, burning records</w:t>
      </w:r>
      <w:r>
        <w:rPr>
          <w:color w:val="000000"/>
          <w:szCs w:val="22"/>
        </w:rPr>
        <w:t xml:space="preserve"> or </w:t>
      </w:r>
      <w:r w:rsidRPr="00A235B7">
        <w:rPr>
          <w:color w:val="000000"/>
          <w:szCs w:val="22"/>
        </w:rPr>
        <w:t>reports to relevant bodies</w:t>
      </w:r>
      <w:r>
        <w:rPr>
          <w:color w:val="000000"/>
          <w:szCs w:val="22"/>
        </w:rPr>
        <w:t>, and any other</w:t>
      </w:r>
      <w:r w:rsidRPr="00A235B7">
        <w:rPr>
          <w:color w:val="000000"/>
          <w:szCs w:val="22"/>
        </w:rPr>
        <w:t xml:space="preserve"> </w:t>
      </w:r>
      <w:r w:rsidR="006C66EA" w:rsidRPr="00A235B7">
        <w:rPr>
          <w:color w:val="000000"/>
          <w:szCs w:val="22"/>
        </w:rPr>
        <w:t xml:space="preserve">evidence that </w:t>
      </w:r>
      <w:r w:rsidR="00604DB5">
        <w:rPr>
          <w:color w:val="000000"/>
          <w:szCs w:val="22"/>
        </w:rPr>
        <w:t xml:space="preserve">demonstrates </w:t>
      </w:r>
      <w:r w:rsidR="006C66EA" w:rsidRPr="00A235B7">
        <w:rPr>
          <w:color w:val="000000"/>
          <w:szCs w:val="22"/>
        </w:rPr>
        <w:t>th</w:t>
      </w:r>
      <w:r w:rsidR="00604DB5">
        <w:rPr>
          <w:color w:val="000000"/>
          <w:szCs w:val="22"/>
        </w:rPr>
        <w:t>e</w:t>
      </w:r>
      <w:r w:rsidR="006C66EA" w:rsidRPr="00A235B7">
        <w:rPr>
          <w:color w:val="000000"/>
          <w:szCs w:val="22"/>
        </w:rPr>
        <w:t xml:space="preserve"> capacity building fire management has taken place.</w:t>
      </w:r>
    </w:p>
    <w:p w14:paraId="71A9C8D9" w14:textId="1FAB3CA3" w:rsidR="00FF3C9A" w:rsidRDefault="00FF3C9A" w:rsidP="00FF3C9A">
      <w:pPr>
        <w:pStyle w:val="ActHead2"/>
      </w:pPr>
      <w:bookmarkStart w:id="49" w:name="_Toc202953824"/>
      <w:r w:rsidRPr="00C55737">
        <w:t xml:space="preserve">Part </w:t>
      </w:r>
      <w:r>
        <w:t>4</w:t>
      </w:r>
      <w:r w:rsidRPr="00C55737">
        <w:t>—</w:t>
      </w:r>
      <w:r>
        <w:t>Net abatement amount</w:t>
      </w:r>
      <w:bookmarkEnd w:id="49"/>
    </w:p>
    <w:p w14:paraId="55F71535" w14:textId="3B129EF4" w:rsidR="00862EDD" w:rsidRPr="00171E3E" w:rsidRDefault="00862EDD" w:rsidP="00867A6B">
      <w:pPr>
        <w:pStyle w:val="ActHead3"/>
      </w:pPr>
      <w:bookmarkStart w:id="50" w:name="_Toc202953825"/>
      <w:r w:rsidRPr="009D2663">
        <w:t xml:space="preserve">Division </w:t>
      </w:r>
      <w:r>
        <w:t>1</w:t>
      </w:r>
      <w:r w:rsidR="00FD6A3B" w:rsidRPr="00FD6A3B">
        <w:t>—</w:t>
      </w:r>
      <w:r>
        <w:t>Preliminary</w:t>
      </w:r>
      <w:bookmarkEnd w:id="50"/>
    </w:p>
    <w:p w14:paraId="02F56581" w14:textId="3A8ECE13" w:rsidR="00862EDD" w:rsidRDefault="00406943" w:rsidP="00862EDD">
      <w:pPr>
        <w:pStyle w:val="ActHead5"/>
      </w:pPr>
      <w:bookmarkStart w:id="51" w:name="_Toc202953826"/>
      <w:proofErr w:type="gramStart"/>
      <w:r>
        <w:t>30</w:t>
      </w:r>
      <w:r w:rsidR="00862EDD" w:rsidRPr="00B96B17">
        <w:t xml:space="preserve">  Operation</w:t>
      </w:r>
      <w:proofErr w:type="gramEnd"/>
      <w:r w:rsidR="00862EDD" w:rsidRPr="00B96B17">
        <w:t xml:space="preserve"> of this Part</w:t>
      </w:r>
      <w:bookmarkEnd w:id="51"/>
    </w:p>
    <w:p w14:paraId="1B43B1C6" w14:textId="710F7861" w:rsidR="00862EDD" w:rsidRPr="007A3E20" w:rsidRDefault="00862EDD" w:rsidP="00862EDD">
      <w:pPr>
        <w:pStyle w:val="subsection"/>
      </w:pPr>
      <w:r>
        <w:tab/>
      </w:r>
      <w:r>
        <w:tab/>
      </w:r>
      <w:r w:rsidRPr="00054623">
        <w:t xml:space="preserve">For </w:t>
      </w:r>
      <w:r>
        <w:t>the purpose</w:t>
      </w:r>
      <w:r w:rsidR="003570BC">
        <w:t>s</w:t>
      </w:r>
      <w:r>
        <w:t xml:space="preserve"> of paragraph</w:t>
      </w:r>
      <w:r w:rsidRPr="00054623">
        <w:t xml:space="preserve"> 106(1)(c) of the Act, this Part specifies the method for working out the net abatement amount for a reporting period for a savanna </w:t>
      </w:r>
      <w:r w:rsidRPr="007A3E20">
        <w:t>sequestration project that is an eligible offsets project.</w:t>
      </w:r>
    </w:p>
    <w:p w14:paraId="0F07BD58" w14:textId="5D472D28" w:rsidR="00862EDD" w:rsidRPr="00767FC2" w:rsidRDefault="00406943" w:rsidP="00862EDD">
      <w:pPr>
        <w:pStyle w:val="ActHead5"/>
      </w:pPr>
      <w:bookmarkStart w:id="52" w:name="_Toc483306134"/>
      <w:bookmarkStart w:id="53" w:name="_Toc509567212"/>
      <w:bookmarkStart w:id="54" w:name="_Toc202953827"/>
      <w:proofErr w:type="gramStart"/>
      <w:r>
        <w:t>31</w:t>
      </w:r>
      <w:r w:rsidR="00862EDD" w:rsidRPr="007A3E20">
        <w:t xml:space="preserve">  Simplified</w:t>
      </w:r>
      <w:proofErr w:type="gramEnd"/>
      <w:r w:rsidR="00862EDD" w:rsidRPr="007A3E20">
        <w:t xml:space="preserve"> </w:t>
      </w:r>
      <w:proofErr w:type="gramStart"/>
      <w:r w:rsidR="00862EDD" w:rsidRPr="007A3E20">
        <w:t>outline</w:t>
      </w:r>
      <w:proofErr w:type="gramEnd"/>
      <w:r w:rsidR="00862EDD" w:rsidRPr="007A3E20">
        <w:t xml:space="preserve"> of this Part</w:t>
      </w:r>
      <w:bookmarkEnd w:id="52"/>
      <w:bookmarkEnd w:id="53"/>
      <w:bookmarkEnd w:id="54"/>
    </w:p>
    <w:p w14:paraId="36F79D3B" w14:textId="4FE1F10C" w:rsidR="00862EDD" w:rsidRDefault="00862EDD" w:rsidP="00862EDD">
      <w:pPr>
        <w:pStyle w:val="SOText"/>
        <w:spacing w:before="0"/>
      </w:pPr>
      <w:r>
        <w:t xml:space="preserve">This </w:t>
      </w:r>
      <w:r w:rsidR="00C929D7">
        <w:t>instrument</w:t>
      </w:r>
      <w:r>
        <w:t xml:space="preserve"> accounts for carbon abatement from undertaking savanna fire management. Carbon abatement is achieved through the avoidance of emitting greenhouse gases into the atmosphere and removing carbon dioxide from the atmosphere by sequestering carbon in living biomass and dead organic matter in savannas. </w:t>
      </w:r>
    </w:p>
    <w:p w14:paraId="5457A61E" w14:textId="29E930BA" w:rsidR="00862EDD" w:rsidRDefault="00862EDD" w:rsidP="00862EDD">
      <w:pPr>
        <w:pStyle w:val="SOText"/>
      </w:pPr>
      <w:r>
        <w:t xml:space="preserve">A project covered by this </w:t>
      </w:r>
      <w:r w:rsidR="00C929D7">
        <w:t>instrument</w:t>
      </w:r>
      <w:r>
        <w:t xml:space="preserve"> is a sequestration offsets project, and as such is subject to the obligations under the Act that relate to the permanence period. </w:t>
      </w:r>
    </w:p>
    <w:p w14:paraId="418CA3E4" w14:textId="5ED3142D" w:rsidR="00862EDD" w:rsidRDefault="00862EDD" w:rsidP="00862EDD">
      <w:pPr>
        <w:pStyle w:val="SOText"/>
      </w:pPr>
      <w:r>
        <w:t xml:space="preserve">To ascertain the net abatement amount in relation to a reporting period for a savanna sequestration project, the project proponent must calculate the adjusted </w:t>
      </w:r>
      <w:r>
        <w:lastRenderedPageBreak/>
        <w:t xml:space="preserve">contributions from emissions avoidance and from sequestration of carbon each calendar year that ends during the reporting period and add these together. These calculations must be performed using </w:t>
      </w:r>
      <w:proofErr w:type="spellStart"/>
      <w:r>
        <w:t>SavCAM</w:t>
      </w:r>
      <w:proofErr w:type="spellEnd"/>
      <w:r>
        <w:t xml:space="preserve">. </w:t>
      </w:r>
    </w:p>
    <w:p w14:paraId="4B78373F" w14:textId="77777777" w:rsidR="00862EDD" w:rsidRDefault="00862EDD" w:rsidP="00862EDD">
      <w:pPr>
        <w:pStyle w:val="SOText"/>
        <w:spacing w:after="240"/>
      </w:pPr>
      <w:r>
        <w:t xml:space="preserve">If the project has 2 or more project areas, adjusted contributions to the net abatement amount must be calculated separately for each project area and added together. </w:t>
      </w:r>
    </w:p>
    <w:p w14:paraId="5DEC486C" w14:textId="109CBF77" w:rsidR="00862EDD" w:rsidRDefault="00862EDD" w:rsidP="00862EDD">
      <w:pPr>
        <w:pStyle w:val="SOText"/>
        <w:spacing w:before="0"/>
      </w:pPr>
      <w:r>
        <w:t xml:space="preserve">When calculating the contribution to the net abatement amount from emissions avoidance, </w:t>
      </w:r>
      <w:proofErr w:type="spellStart"/>
      <w:r>
        <w:t>SavCAM</w:t>
      </w:r>
      <w:proofErr w:type="spellEnd"/>
      <w:r>
        <w:t xml:space="preserve"> calculations account for emissions for all fuel classes (that is, grass fuel, fine fuel, coarse fuel, and heavy fuel and the fire impacted proportion of living biomass). In contrast, when calculating the contribution to the net abatement amount from sequestration, </w:t>
      </w:r>
      <w:proofErr w:type="spellStart"/>
      <w:r>
        <w:t>SavCAM</w:t>
      </w:r>
      <w:proofErr w:type="spellEnd"/>
      <w:r>
        <w:t xml:space="preserve"> calculations account for living biomass and dead organic matter that consists of coarse fuel and heavy fuel. </w:t>
      </w:r>
    </w:p>
    <w:p w14:paraId="4CA33D96" w14:textId="2B4A0232" w:rsidR="00862EDD" w:rsidRPr="009E29D4" w:rsidRDefault="00406943" w:rsidP="00862EDD">
      <w:pPr>
        <w:pStyle w:val="ActHead5"/>
      </w:pPr>
      <w:bookmarkStart w:id="55" w:name="_Toc509567213"/>
      <w:bookmarkStart w:id="56" w:name="_Toc202953828"/>
      <w:proofErr w:type="gramStart"/>
      <w:r>
        <w:t>32</w:t>
      </w:r>
      <w:r w:rsidR="00862EDD" w:rsidRPr="009E29D4">
        <w:t xml:space="preserve">  </w:t>
      </w:r>
      <w:r w:rsidR="00DE4F44">
        <w:t>U</w:t>
      </w:r>
      <w:r w:rsidR="009E29D4">
        <w:t>se</w:t>
      </w:r>
      <w:proofErr w:type="gramEnd"/>
      <w:r w:rsidR="00862EDD" w:rsidRPr="009E29D4">
        <w:t xml:space="preserve"> </w:t>
      </w:r>
      <w:bookmarkEnd w:id="55"/>
      <w:r w:rsidR="00DE4F44">
        <w:t xml:space="preserve">of </w:t>
      </w:r>
      <w:proofErr w:type="spellStart"/>
      <w:r w:rsidR="00862EDD" w:rsidRPr="009E29D4">
        <w:t>SavCAM</w:t>
      </w:r>
      <w:bookmarkEnd w:id="56"/>
      <w:proofErr w:type="spellEnd"/>
    </w:p>
    <w:p w14:paraId="3C064464" w14:textId="71FF2177" w:rsidR="00EC4D54" w:rsidRDefault="00737FF6" w:rsidP="00737FF6">
      <w:pPr>
        <w:pStyle w:val="subsection"/>
        <w:tabs>
          <w:tab w:val="clear" w:pos="1021"/>
          <w:tab w:val="right" w:pos="1276"/>
        </w:tabs>
        <w:ind w:firstLine="0"/>
      </w:pPr>
      <w:r w:rsidRPr="00155C63">
        <w:rPr>
          <w:color w:val="000000" w:themeColor="text1"/>
        </w:rPr>
        <w:t>If a calculation is undertaken using </w:t>
      </w:r>
      <w:proofErr w:type="spellStart"/>
      <w:r w:rsidRPr="00155C63">
        <w:rPr>
          <w:color w:val="000000" w:themeColor="text1"/>
        </w:rPr>
        <w:t>Sav</w:t>
      </w:r>
      <w:r w:rsidR="00E02201">
        <w:rPr>
          <w:color w:val="000000" w:themeColor="text1"/>
        </w:rPr>
        <w:t>CAM</w:t>
      </w:r>
      <w:proofErr w:type="spellEnd"/>
      <w:r w:rsidRPr="00155C63">
        <w:rPr>
          <w:color w:val="000000" w:themeColor="text1"/>
        </w:rPr>
        <w:t xml:space="preserve"> for the purposes of this </w:t>
      </w:r>
      <w:r w:rsidR="00E97191">
        <w:rPr>
          <w:color w:val="000000" w:themeColor="text1"/>
        </w:rPr>
        <w:t>instrument</w:t>
      </w:r>
      <w:r w:rsidRPr="00155C63">
        <w:rPr>
          <w:color w:val="000000" w:themeColor="text1"/>
        </w:rPr>
        <w:t>, </w:t>
      </w:r>
      <w:proofErr w:type="spellStart"/>
      <w:r w:rsidRPr="00155C63">
        <w:rPr>
          <w:color w:val="000000" w:themeColor="text1"/>
        </w:rPr>
        <w:t>Sav</w:t>
      </w:r>
      <w:r>
        <w:rPr>
          <w:color w:val="000000" w:themeColor="text1"/>
        </w:rPr>
        <w:t>CAM</w:t>
      </w:r>
      <w:proofErr w:type="spellEnd"/>
      <w:r w:rsidRPr="00155C63">
        <w:rPr>
          <w:color w:val="000000" w:themeColor="text1"/>
        </w:rPr>
        <w:t> must be used in accordance with any guidance material on the </w:t>
      </w:r>
      <w:proofErr w:type="spellStart"/>
      <w:r w:rsidRPr="00155C63">
        <w:rPr>
          <w:color w:val="000000" w:themeColor="text1"/>
        </w:rPr>
        <w:t>Sav</w:t>
      </w:r>
      <w:r>
        <w:rPr>
          <w:color w:val="000000" w:themeColor="text1"/>
        </w:rPr>
        <w:t>CAM</w:t>
      </w:r>
      <w:proofErr w:type="spellEnd"/>
      <w:r w:rsidRPr="00155C63">
        <w:rPr>
          <w:color w:val="000000" w:themeColor="text1"/>
        </w:rPr>
        <w:t> website.</w:t>
      </w:r>
    </w:p>
    <w:p w14:paraId="694D2F88" w14:textId="4AD113C1" w:rsidR="00862EDD" w:rsidRPr="00767FC2" w:rsidRDefault="00406943" w:rsidP="000C7A3A">
      <w:pPr>
        <w:pStyle w:val="ActHead5"/>
        <w:tabs>
          <w:tab w:val="right" w:pos="1276"/>
        </w:tabs>
      </w:pPr>
      <w:bookmarkStart w:id="57" w:name="_Toc405377034"/>
      <w:bookmarkStart w:id="58" w:name="_Toc413155568"/>
      <w:bookmarkStart w:id="59" w:name="_Toc509567214"/>
      <w:bookmarkStart w:id="60" w:name="_Toc202953829"/>
      <w:proofErr w:type="gramStart"/>
      <w:r>
        <w:t>33</w:t>
      </w:r>
      <w:r w:rsidR="00862EDD" w:rsidRPr="00F05331">
        <w:t xml:space="preserve">  Overview</w:t>
      </w:r>
      <w:proofErr w:type="gramEnd"/>
      <w:r w:rsidR="00862EDD" w:rsidRPr="00F05331">
        <w:t xml:space="preserve"> of gases accounted for in abatement calculations</w:t>
      </w:r>
      <w:bookmarkEnd w:id="57"/>
      <w:bookmarkEnd w:id="58"/>
      <w:bookmarkEnd w:id="59"/>
      <w:bookmarkEnd w:id="60"/>
    </w:p>
    <w:p w14:paraId="51255AD5" w14:textId="38AB8832" w:rsidR="00862EDD" w:rsidRDefault="00862EDD" w:rsidP="000C7A3A">
      <w:pPr>
        <w:pStyle w:val="subsection"/>
        <w:tabs>
          <w:tab w:val="clear" w:pos="1021"/>
          <w:tab w:val="right" w:pos="1276"/>
        </w:tabs>
      </w:pPr>
      <w:r w:rsidRPr="00767FC2">
        <w:tab/>
      </w:r>
      <w:r w:rsidRPr="00767FC2">
        <w:tab/>
      </w:r>
      <w:r w:rsidR="006C03B0" w:rsidRPr="006C03B0">
        <w:t>The following table provides an overview of the emissions sources and carbon pools, and the associated greenhouse gases, that are relevant to working out the net abatement amount for a savanna sequestration project.</w:t>
      </w:r>
    </w:p>
    <w:p w14:paraId="2BD2F900" w14:textId="77777777" w:rsidR="00600DA7" w:rsidRPr="00767FC2" w:rsidRDefault="00600DA7" w:rsidP="00600DA7">
      <w:pPr>
        <w:pStyle w:val="subsection"/>
        <w:ind w:left="0" w:firstLine="0"/>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1459"/>
        <w:gridCol w:w="3096"/>
        <w:gridCol w:w="1931"/>
      </w:tblGrid>
      <w:tr w:rsidR="00862EDD" w:rsidRPr="00767FC2" w14:paraId="1119FCF9" w14:textId="77777777" w:rsidTr="00247BA1">
        <w:tc>
          <w:tcPr>
            <w:tcW w:w="7882" w:type="dxa"/>
            <w:gridSpan w:val="4"/>
            <w:tcBorders>
              <w:top w:val="single" w:sz="12" w:space="0" w:color="auto"/>
              <w:bottom w:val="single" w:sz="2" w:space="0" w:color="auto"/>
            </w:tcBorders>
          </w:tcPr>
          <w:p w14:paraId="211A82D6" w14:textId="77777777" w:rsidR="00862EDD" w:rsidRPr="00767FC2" w:rsidRDefault="00862EDD" w:rsidP="00F16DD7">
            <w:pPr>
              <w:pStyle w:val="TableHeading"/>
              <w:jc w:val="center"/>
            </w:pPr>
            <w:r w:rsidRPr="00767FC2">
              <w:t>Overview of gases accounted for in abatement calculations</w:t>
            </w:r>
          </w:p>
        </w:tc>
      </w:tr>
      <w:tr w:rsidR="00862EDD" w:rsidRPr="00767FC2" w14:paraId="0863F65A" w14:textId="77777777" w:rsidTr="007B2786">
        <w:tc>
          <w:tcPr>
            <w:tcW w:w="709" w:type="dxa"/>
            <w:tcBorders>
              <w:top w:val="single" w:sz="2" w:space="0" w:color="auto"/>
              <w:bottom w:val="single" w:sz="12" w:space="0" w:color="auto"/>
            </w:tcBorders>
          </w:tcPr>
          <w:p w14:paraId="2D0A9CE6" w14:textId="77777777" w:rsidR="00862EDD" w:rsidRPr="00767FC2" w:rsidRDefault="00862EDD" w:rsidP="00F16DD7">
            <w:pPr>
              <w:pStyle w:val="TableHeading"/>
            </w:pPr>
            <w:r w:rsidRPr="00767FC2">
              <w:t>Item</w:t>
            </w:r>
          </w:p>
        </w:tc>
        <w:tc>
          <w:tcPr>
            <w:tcW w:w="5103" w:type="dxa"/>
            <w:gridSpan w:val="2"/>
            <w:tcBorders>
              <w:top w:val="single" w:sz="2" w:space="0" w:color="auto"/>
              <w:bottom w:val="single" w:sz="12" w:space="0" w:color="auto"/>
            </w:tcBorders>
          </w:tcPr>
          <w:p w14:paraId="0B31DF20" w14:textId="77777777" w:rsidR="00862EDD" w:rsidRPr="00767FC2" w:rsidRDefault="00862EDD" w:rsidP="00F16DD7">
            <w:pPr>
              <w:pStyle w:val="TableHeading"/>
            </w:pPr>
            <w:r w:rsidRPr="00767FC2">
              <w:t>Relevant carbon pool or emission source</w:t>
            </w:r>
          </w:p>
        </w:tc>
        <w:tc>
          <w:tcPr>
            <w:tcW w:w="2070" w:type="dxa"/>
            <w:tcBorders>
              <w:top w:val="single" w:sz="2" w:space="0" w:color="auto"/>
              <w:bottom w:val="single" w:sz="12" w:space="0" w:color="auto"/>
            </w:tcBorders>
          </w:tcPr>
          <w:p w14:paraId="1349919D" w14:textId="77777777" w:rsidR="00862EDD" w:rsidRPr="00767FC2" w:rsidRDefault="00862EDD" w:rsidP="00F16DD7">
            <w:pPr>
              <w:pStyle w:val="TableHeading"/>
            </w:pPr>
            <w:r w:rsidRPr="00767FC2">
              <w:t>Greenhouse gas</w:t>
            </w:r>
          </w:p>
        </w:tc>
      </w:tr>
      <w:tr w:rsidR="00862EDD" w:rsidRPr="00767FC2" w14:paraId="0A1702D4" w14:textId="77777777" w:rsidTr="007B2786">
        <w:tc>
          <w:tcPr>
            <w:tcW w:w="709" w:type="dxa"/>
            <w:tcBorders>
              <w:top w:val="single" w:sz="12" w:space="0" w:color="auto"/>
              <w:bottom w:val="single" w:sz="4" w:space="0" w:color="auto"/>
            </w:tcBorders>
          </w:tcPr>
          <w:p w14:paraId="7DEE84A7" w14:textId="77777777" w:rsidR="00862EDD" w:rsidRPr="00FB49FB" w:rsidRDefault="00862EDD" w:rsidP="00F16DD7">
            <w:pPr>
              <w:pStyle w:val="Tabletext"/>
            </w:pPr>
            <w:r w:rsidRPr="00FB49FB">
              <w:t>1</w:t>
            </w:r>
          </w:p>
        </w:tc>
        <w:tc>
          <w:tcPr>
            <w:tcW w:w="1559" w:type="dxa"/>
            <w:tcBorders>
              <w:top w:val="single" w:sz="12" w:space="0" w:color="auto"/>
              <w:bottom w:val="single" w:sz="4" w:space="0" w:color="auto"/>
            </w:tcBorders>
          </w:tcPr>
          <w:p w14:paraId="4263F015" w14:textId="77777777" w:rsidR="00862EDD" w:rsidRPr="00FB49FB" w:rsidRDefault="00862EDD" w:rsidP="00F16DD7">
            <w:pPr>
              <w:pStyle w:val="Tabletext"/>
            </w:pPr>
            <w:r w:rsidRPr="00FB49FB">
              <w:t>Emission source</w:t>
            </w:r>
          </w:p>
        </w:tc>
        <w:tc>
          <w:tcPr>
            <w:tcW w:w="3544" w:type="dxa"/>
            <w:tcBorders>
              <w:top w:val="single" w:sz="12" w:space="0" w:color="auto"/>
              <w:bottom w:val="single" w:sz="4" w:space="0" w:color="auto"/>
            </w:tcBorders>
          </w:tcPr>
          <w:p w14:paraId="0EFE2162" w14:textId="77777777" w:rsidR="00862EDD" w:rsidRPr="00FB49FB" w:rsidRDefault="00862EDD" w:rsidP="00F16DD7">
            <w:pPr>
              <w:pStyle w:val="Tabletext"/>
            </w:pPr>
            <w:r w:rsidRPr="00FB49FB">
              <w:t>Fire</w:t>
            </w:r>
          </w:p>
        </w:tc>
        <w:tc>
          <w:tcPr>
            <w:tcW w:w="2070" w:type="dxa"/>
            <w:tcBorders>
              <w:top w:val="single" w:sz="12" w:space="0" w:color="auto"/>
              <w:bottom w:val="single" w:sz="4" w:space="0" w:color="auto"/>
            </w:tcBorders>
          </w:tcPr>
          <w:p w14:paraId="46537894" w14:textId="77777777" w:rsidR="00862EDD" w:rsidRPr="00FB49FB" w:rsidRDefault="00862EDD" w:rsidP="00F16DD7">
            <w:pPr>
              <w:pStyle w:val="Tabletext"/>
            </w:pPr>
            <w:r w:rsidRPr="00FB49FB">
              <w:t>Methane (CH</w:t>
            </w:r>
            <w:r w:rsidRPr="00FB49FB">
              <w:rPr>
                <w:vertAlign w:val="subscript"/>
              </w:rPr>
              <w:t>4</w:t>
            </w:r>
            <w:r w:rsidRPr="00FB49FB">
              <w:t>)</w:t>
            </w:r>
          </w:p>
          <w:p w14:paraId="0B45A6A7" w14:textId="77777777" w:rsidR="00862EDD" w:rsidRPr="00FB49FB" w:rsidRDefault="00862EDD" w:rsidP="00F16DD7">
            <w:pPr>
              <w:pStyle w:val="Tabletext"/>
            </w:pPr>
            <w:r w:rsidRPr="00FB49FB">
              <w:t>Nitrous oxide (N</w:t>
            </w:r>
            <w:r w:rsidRPr="00FB49FB">
              <w:rPr>
                <w:vertAlign w:val="subscript"/>
              </w:rPr>
              <w:t>2</w:t>
            </w:r>
            <w:r w:rsidRPr="00FB49FB">
              <w:t>O)</w:t>
            </w:r>
          </w:p>
        </w:tc>
      </w:tr>
      <w:tr w:rsidR="00862EDD" w:rsidRPr="00767FC2" w14:paraId="616F02C8" w14:textId="77777777" w:rsidTr="007B2786">
        <w:tc>
          <w:tcPr>
            <w:tcW w:w="709" w:type="dxa"/>
            <w:tcBorders>
              <w:top w:val="single" w:sz="4" w:space="0" w:color="auto"/>
              <w:bottom w:val="single" w:sz="12" w:space="0" w:color="auto"/>
            </w:tcBorders>
          </w:tcPr>
          <w:p w14:paraId="2FD42E4C" w14:textId="77777777" w:rsidR="00862EDD" w:rsidRPr="00FB49FB" w:rsidRDefault="00862EDD" w:rsidP="00F16DD7">
            <w:pPr>
              <w:pStyle w:val="Tabletext"/>
            </w:pPr>
            <w:r w:rsidRPr="00FB49FB">
              <w:t>2</w:t>
            </w:r>
          </w:p>
        </w:tc>
        <w:tc>
          <w:tcPr>
            <w:tcW w:w="1559" w:type="dxa"/>
            <w:tcBorders>
              <w:top w:val="single" w:sz="4" w:space="0" w:color="auto"/>
              <w:bottom w:val="single" w:sz="12" w:space="0" w:color="auto"/>
            </w:tcBorders>
          </w:tcPr>
          <w:p w14:paraId="7A00E4AF" w14:textId="77777777" w:rsidR="00862EDD" w:rsidRPr="00FB49FB" w:rsidRDefault="00862EDD" w:rsidP="00F16DD7">
            <w:pPr>
              <w:pStyle w:val="Tabletext"/>
            </w:pPr>
            <w:r w:rsidRPr="00FB49FB">
              <w:t>Carbon pool</w:t>
            </w:r>
          </w:p>
        </w:tc>
        <w:tc>
          <w:tcPr>
            <w:tcW w:w="3544" w:type="dxa"/>
            <w:tcBorders>
              <w:top w:val="single" w:sz="4" w:space="0" w:color="auto"/>
              <w:bottom w:val="single" w:sz="12" w:space="0" w:color="auto"/>
            </w:tcBorders>
          </w:tcPr>
          <w:p w14:paraId="0F520DEE" w14:textId="77777777" w:rsidR="00862EDD" w:rsidRPr="00FB49FB" w:rsidRDefault="00862EDD" w:rsidP="00F16DD7">
            <w:pPr>
              <w:pStyle w:val="Tabletext"/>
            </w:pPr>
            <w:r w:rsidRPr="00FB49FB">
              <w:t xml:space="preserve">Living biomass </w:t>
            </w:r>
          </w:p>
          <w:p w14:paraId="59ED1CC8" w14:textId="77777777" w:rsidR="00862EDD" w:rsidRPr="00FB49FB" w:rsidRDefault="00862EDD" w:rsidP="00F16DD7">
            <w:pPr>
              <w:pStyle w:val="Tabletext"/>
            </w:pPr>
            <w:r w:rsidRPr="00FB49FB">
              <w:t>Dead organic matter</w:t>
            </w:r>
          </w:p>
        </w:tc>
        <w:tc>
          <w:tcPr>
            <w:tcW w:w="2070" w:type="dxa"/>
            <w:tcBorders>
              <w:top w:val="single" w:sz="4" w:space="0" w:color="auto"/>
              <w:bottom w:val="single" w:sz="12" w:space="0" w:color="auto"/>
            </w:tcBorders>
          </w:tcPr>
          <w:p w14:paraId="7875FCC5" w14:textId="77777777" w:rsidR="00862EDD" w:rsidRPr="00FB49FB" w:rsidRDefault="00862EDD" w:rsidP="00F16DD7">
            <w:pPr>
              <w:pStyle w:val="Tabletext"/>
              <w:rPr>
                <w:vertAlign w:val="subscript"/>
              </w:rPr>
            </w:pPr>
            <w:r w:rsidRPr="00FB49FB">
              <w:t>Carbon Dioxide (CO</w:t>
            </w:r>
            <w:r w:rsidRPr="00FB49FB">
              <w:rPr>
                <w:vertAlign w:val="subscript"/>
              </w:rPr>
              <w:t>2</w:t>
            </w:r>
            <w:r w:rsidRPr="00FB49FB">
              <w:t>)</w:t>
            </w:r>
          </w:p>
        </w:tc>
      </w:tr>
    </w:tbl>
    <w:p w14:paraId="7ACA9E2D" w14:textId="77777777" w:rsidR="00862EDD" w:rsidRDefault="00862EDD" w:rsidP="00862EDD">
      <w:pPr>
        <w:pStyle w:val="Tabletext"/>
      </w:pPr>
    </w:p>
    <w:p w14:paraId="4A23174A" w14:textId="7F4AF10D" w:rsidR="00862EDD" w:rsidRPr="00171E3E" w:rsidRDefault="00862EDD" w:rsidP="00867A6B">
      <w:pPr>
        <w:pStyle w:val="ActHead3"/>
      </w:pPr>
      <w:bookmarkStart w:id="61" w:name="_Toc202953830"/>
      <w:r w:rsidRPr="009D2663">
        <w:t xml:space="preserve">Division </w:t>
      </w:r>
      <w:r>
        <w:t>2</w:t>
      </w:r>
      <w:r w:rsidR="00FD6A3B" w:rsidRPr="00FD6A3B">
        <w:t>—</w:t>
      </w:r>
      <w:r>
        <w:t>Calculation of net abatement amount</w:t>
      </w:r>
      <w:bookmarkEnd w:id="61"/>
    </w:p>
    <w:p w14:paraId="3F413DEF" w14:textId="1F3573DC" w:rsidR="00862EDD" w:rsidRPr="00767FC2" w:rsidRDefault="00406943" w:rsidP="00862EDD">
      <w:pPr>
        <w:pStyle w:val="ActHead5"/>
        <w:rPr>
          <w:i/>
        </w:rPr>
      </w:pPr>
      <w:bookmarkStart w:id="62" w:name="_Toc509567216"/>
      <w:bookmarkStart w:id="63" w:name="_Toc202953831"/>
      <w:proofErr w:type="gramStart"/>
      <w:r>
        <w:t>34</w:t>
      </w:r>
      <w:r w:rsidR="00862EDD" w:rsidRPr="006C38A4">
        <w:t xml:space="preserve">  The</w:t>
      </w:r>
      <w:proofErr w:type="gramEnd"/>
      <w:r w:rsidR="00862EDD" w:rsidRPr="006C38A4">
        <w:t xml:space="preserve"> net abatement amount, </w:t>
      </w:r>
      <w:r w:rsidR="00862EDD" w:rsidRPr="006C38A4">
        <w:rPr>
          <w:i/>
        </w:rPr>
        <w:t>A</w:t>
      </w:r>
      <w:bookmarkEnd w:id="62"/>
      <w:bookmarkEnd w:id="63"/>
    </w:p>
    <w:p w14:paraId="59ADBCB6" w14:textId="1874DD29" w:rsidR="00A77FF5" w:rsidRPr="00767FC2" w:rsidRDefault="00862EDD" w:rsidP="00862EDD">
      <w:pPr>
        <w:pStyle w:val="subsection"/>
      </w:pPr>
      <w:r w:rsidRPr="00767FC2">
        <w:tab/>
        <w:t>(1)</w:t>
      </w:r>
      <w:r w:rsidRPr="00767FC2">
        <w:tab/>
        <w:t>For</w:t>
      </w:r>
      <w:r>
        <w:t xml:space="preserve"> the purpose</w:t>
      </w:r>
      <w:r w:rsidR="003570BC">
        <w:t>s</w:t>
      </w:r>
      <w:r>
        <w:t xml:space="preserve"> of</w:t>
      </w:r>
      <w:r w:rsidRPr="00767FC2">
        <w:t xml:space="preserve"> paragraph 106(1)(c) of the Act, the net abatement amount for a reporting period,</w:t>
      </w:r>
      <w:r w:rsidR="00003D6A" w:rsidRPr="00003D6A">
        <w:t> </w:t>
      </w:r>
      <w:r w:rsidRPr="00767FC2">
        <w:t>in tonnes CO</w:t>
      </w:r>
      <w:r w:rsidRPr="00767FC2">
        <w:rPr>
          <w:vertAlign w:val="subscript"/>
        </w:rPr>
        <w:t>2</w:t>
      </w:r>
      <w:r w:rsidRPr="00767FC2">
        <w:noBreakHyphen/>
        <w:t>e, is, subject to subsection (2), given by the following equation:</w:t>
      </w:r>
    </w:p>
    <w:p w14:paraId="0E6B7A40" w14:textId="77777777" w:rsidR="00862EDD" w:rsidRPr="00767FC2" w:rsidRDefault="00862EDD" w:rsidP="00A77FF5">
      <w:pPr>
        <w:pStyle w:val="subsection"/>
      </w:pPr>
    </w:p>
    <w:tbl>
      <w:tblPr>
        <w:tblStyle w:val="TableGrid"/>
        <w:tblW w:w="0" w:type="auto"/>
        <w:tblInd w:w="1129" w:type="dxa"/>
        <w:tblLook w:val="04A0" w:firstRow="1" w:lastRow="0" w:firstColumn="1" w:lastColumn="0" w:noHBand="0" w:noVBand="1"/>
      </w:tblPr>
      <w:tblGrid>
        <w:gridCol w:w="5773"/>
        <w:gridCol w:w="1401"/>
      </w:tblGrid>
      <w:tr w:rsidR="00862EDD" w:rsidRPr="002E4B0D" w14:paraId="47A8D47D" w14:textId="77777777" w:rsidTr="00867A6B">
        <w:trPr>
          <w:trHeight w:val="1108"/>
        </w:trPr>
        <w:tc>
          <w:tcPr>
            <w:tcW w:w="6350" w:type="dxa"/>
            <w:vAlign w:val="center"/>
          </w:tcPr>
          <w:p w14:paraId="4C3D98E7" w14:textId="6673482E" w:rsidR="00862EDD" w:rsidRPr="002E4B0D" w:rsidRDefault="002C2EB6" w:rsidP="00F16DD7">
            <w:r w:rsidRPr="00102BF7">
              <w:rPr>
                <w:noProof/>
                <w:sz w:val="20"/>
              </w:rPr>
              <w:lastRenderedPageBreak/>
              <w:drawing>
                <wp:inline distT="0" distB="0" distL="0" distR="0" wp14:anchorId="6FA4F59C" wp14:editId="702243CD">
                  <wp:extent cx="2186925" cy="633372"/>
                  <wp:effectExtent l="0" t="0" r="4445" b="0"/>
                  <wp:docPr id="284113852" name="Picture 1" descr="A formula to work out the net abatement amount for a calendar year in the reporting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113852" name="Picture 1" descr="A formula to work out the net abatement amount for a calendar year in the reporting period."/>
                          <pic:cNvPicPr/>
                        </pic:nvPicPr>
                        <pic:blipFill>
                          <a:blip r:embed="rId24"/>
                          <a:stretch>
                            <a:fillRect/>
                          </a:stretch>
                        </pic:blipFill>
                        <pic:spPr>
                          <a:xfrm>
                            <a:off x="0" y="0"/>
                            <a:ext cx="2215064" cy="641522"/>
                          </a:xfrm>
                          <a:prstGeom prst="rect">
                            <a:avLst/>
                          </a:prstGeom>
                        </pic:spPr>
                      </pic:pic>
                    </a:graphicData>
                  </a:graphic>
                </wp:inline>
              </w:drawing>
            </w:r>
          </w:p>
        </w:tc>
        <w:tc>
          <w:tcPr>
            <w:tcW w:w="1537" w:type="dxa"/>
            <w:vAlign w:val="center"/>
          </w:tcPr>
          <w:p w14:paraId="721FC3D6" w14:textId="77777777" w:rsidR="00862EDD" w:rsidRPr="002E4B0D" w:rsidRDefault="00862EDD" w:rsidP="00F16DD7">
            <w:pPr>
              <w:pStyle w:val="Tabletext"/>
            </w:pPr>
            <w:bookmarkStart w:id="64" w:name="_Ref441669182"/>
            <w:r w:rsidRPr="002E4B0D">
              <w:t xml:space="preserve">equation </w:t>
            </w:r>
            <w:r w:rsidRPr="002E4B0D">
              <w:rPr>
                <w:noProof/>
              </w:rPr>
              <w:t>1</w:t>
            </w:r>
            <w:bookmarkEnd w:id="64"/>
          </w:p>
        </w:tc>
      </w:tr>
    </w:tbl>
    <w:p w14:paraId="32ECA10B" w14:textId="77777777" w:rsidR="00862EDD" w:rsidRPr="002E4B0D" w:rsidRDefault="00862EDD" w:rsidP="00862EDD">
      <w:pPr>
        <w:pStyle w:val="subsection"/>
      </w:pPr>
      <w:r w:rsidRPr="002E4B0D">
        <w:tab/>
      </w:r>
      <w:r w:rsidRPr="002E4B0D">
        <w:tab/>
        <w:t>where:</w:t>
      </w:r>
    </w:p>
    <w:p w14:paraId="3AEAF079" w14:textId="4A499BEF" w:rsidR="00862EDD" w:rsidRPr="0047395D" w:rsidRDefault="00862EDD" w:rsidP="00862EDD">
      <w:pPr>
        <w:pStyle w:val="Definition"/>
        <w:rPr>
          <w:bCs/>
          <w:iCs/>
        </w:rPr>
      </w:pPr>
      <w:r w:rsidRPr="0047395D">
        <w:rPr>
          <w:b/>
          <w:i/>
        </w:rPr>
        <w:t>A</w:t>
      </w:r>
      <w:r>
        <w:rPr>
          <w:b/>
          <w:i/>
        </w:rPr>
        <w:t xml:space="preserve"> </w:t>
      </w:r>
      <w:r>
        <w:rPr>
          <w:bCs/>
          <w:iCs/>
        </w:rPr>
        <w:t>is the net abatement amount for a project area for a reporting period</w:t>
      </w:r>
      <w:r w:rsidR="00FF2211">
        <w:rPr>
          <w:bCs/>
          <w:iCs/>
        </w:rPr>
        <w:t>.</w:t>
      </w:r>
    </w:p>
    <w:p w14:paraId="621824C0" w14:textId="77777777" w:rsidR="00862EDD" w:rsidRPr="002E4B0D" w:rsidRDefault="00862EDD" w:rsidP="00862EDD">
      <w:pPr>
        <w:pStyle w:val="Definition"/>
      </w:pPr>
      <w:r w:rsidRPr="002E4B0D">
        <w:rPr>
          <w:b/>
          <w:i/>
        </w:rPr>
        <w:t xml:space="preserve">y </w:t>
      </w:r>
      <w:r w:rsidRPr="002E4B0D">
        <w:t>is a calendar year that ends during the reporting period.</w:t>
      </w:r>
    </w:p>
    <w:p w14:paraId="5346CEF0" w14:textId="77777777" w:rsidR="00862EDD" w:rsidRPr="002E4B0D" w:rsidRDefault="00862EDD" w:rsidP="00862EDD">
      <w:pPr>
        <w:pStyle w:val="Definition"/>
      </w:pPr>
      <w:r w:rsidRPr="002E4B0D">
        <w:rPr>
          <w:b/>
          <w:i/>
        </w:rPr>
        <w:t>N</w:t>
      </w:r>
      <w:r w:rsidRPr="002E4B0D">
        <w:t xml:space="preserve"> is the number of calendar years that end during the reporting period (1</w:t>
      </w:r>
      <w:r>
        <w:t xml:space="preserve">, </w:t>
      </w:r>
      <w:r w:rsidRPr="002E4B0D">
        <w:t>2</w:t>
      </w:r>
      <w:r>
        <w:t>, 3, 4 or 5</w:t>
      </w:r>
      <w:r w:rsidRPr="002E4B0D">
        <w:t>).</w:t>
      </w:r>
    </w:p>
    <w:p w14:paraId="5E7DAA52" w14:textId="77777777" w:rsidR="00862EDD" w:rsidRPr="002E4B0D" w:rsidRDefault="00862EDD" w:rsidP="00862EDD">
      <w:pPr>
        <w:pStyle w:val="Definition"/>
      </w:pPr>
      <w:proofErr w:type="spellStart"/>
      <w:proofErr w:type="gramStart"/>
      <w:r w:rsidRPr="002E4B0D">
        <w:rPr>
          <w:b/>
          <w:i/>
        </w:rPr>
        <w:t>A</w:t>
      </w:r>
      <w:r w:rsidRPr="002E4B0D">
        <w:rPr>
          <w:b/>
          <w:i/>
          <w:vertAlign w:val="subscript"/>
        </w:rPr>
        <w:t>EA,adj</w:t>
      </w:r>
      <w:proofErr w:type="gramEnd"/>
      <w:r w:rsidRPr="002E4B0D">
        <w:rPr>
          <w:b/>
          <w:i/>
          <w:vertAlign w:val="subscript"/>
        </w:rPr>
        <w:t>,y</w:t>
      </w:r>
      <w:proofErr w:type="spellEnd"/>
      <w:r w:rsidRPr="002E4B0D">
        <w:t xml:space="preserve"> is the adjusted contribution to the net abatement amount from emissions avoidance for calendar year </w:t>
      </w:r>
      <w:r w:rsidRPr="002E4B0D">
        <w:rPr>
          <w:i/>
        </w:rPr>
        <w:t>y</w:t>
      </w:r>
      <w:r w:rsidRPr="002E4B0D">
        <w:t>, in tonnes CO</w:t>
      </w:r>
      <w:r w:rsidRPr="002E4B0D">
        <w:rPr>
          <w:vertAlign w:val="subscript"/>
        </w:rPr>
        <w:t>2</w:t>
      </w:r>
      <w:r w:rsidRPr="002E4B0D">
        <w:noBreakHyphen/>
        <w:t>e, and:</w:t>
      </w:r>
    </w:p>
    <w:p w14:paraId="15FC0387" w14:textId="77777777" w:rsidR="00862EDD" w:rsidRPr="002E4B0D" w:rsidRDefault="00862EDD" w:rsidP="00862EDD">
      <w:pPr>
        <w:pStyle w:val="paragraph"/>
      </w:pPr>
      <w:r w:rsidRPr="002E4B0D">
        <w:tab/>
        <w:t>(a)</w:t>
      </w:r>
      <w:r w:rsidRPr="002E4B0D">
        <w:tab/>
        <w:t xml:space="preserve">is calculated using </w:t>
      </w:r>
      <w:proofErr w:type="spellStart"/>
      <w:r>
        <w:t>SavCAM</w:t>
      </w:r>
      <w:proofErr w:type="spellEnd"/>
      <w:r w:rsidRPr="002E4B0D">
        <w:t>; or</w:t>
      </w:r>
    </w:p>
    <w:p w14:paraId="00200F90" w14:textId="77777777" w:rsidR="00862EDD" w:rsidRPr="002E4B0D" w:rsidRDefault="00862EDD" w:rsidP="00862EDD">
      <w:pPr>
        <w:pStyle w:val="paragraph"/>
      </w:pPr>
      <w:r w:rsidRPr="002E4B0D">
        <w:tab/>
        <w:t>(b)</w:t>
      </w:r>
      <w:r w:rsidRPr="002E4B0D">
        <w:tab/>
        <w:t xml:space="preserve">is given by the amount </w:t>
      </w:r>
      <w:proofErr w:type="spellStart"/>
      <w:proofErr w:type="gramStart"/>
      <w:r w:rsidRPr="002E4B0D">
        <w:rPr>
          <w:i/>
        </w:rPr>
        <w:t>A</w:t>
      </w:r>
      <w:r w:rsidRPr="002E4B0D">
        <w:rPr>
          <w:i/>
          <w:vertAlign w:val="subscript"/>
        </w:rPr>
        <w:t>EA,adj</w:t>
      </w:r>
      <w:proofErr w:type="spellEnd"/>
      <w:proofErr w:type="gramEnd"/>
      <w:r w:rsidRPr="002E4B0D">
        <w:t xml:space="preserve"> as calculated for calendar year </w:t>
      </w:r>
      <w:r w:rsidRPr="002E4B0D">
        <w:rPr>
          <w:i/>
        </w:rPr>
        <w:t>y</w:t>
      </w:r>
      <w:r w:rsidRPr="002E4B0D">
        <w:t xml:space="preserve"> in accordance with Schedule 1.</w:t>
      </w:r>
    </w:p>
    <w:p w14:paraId="6901BFA8" w14:textId="01B8D954" w:rsidR="00862EDD" w:rsidRDefault="00862EDD" w:rsidP="00862EDD">
      <w:pPr>
        <w:pStyle w:val="notetext"/>
        <w:rPr>
          <w:noProof/>
        </w:rPr>
      </w:pPr>
      <w:r w:rsidRPr="002E4B0D">
        <w:t>Note:</w:t>
      </w:r>
      <w:r w:rsidRPr="002E4B0D">
        <w:tab/>
        <w:t xml:space="preserve">For </w:t>
      </w:r>
      <w:r w:rsidR="0047263D">
        <w:t xml:space="preserve">the purposes of </w:t>
      </w:r>
      <w:r w:rsidRPr="002E4B0D">
        <w:t>paragraph (b), see section 2</w:t>
      </w:r>
      <w:r w:rsidRPr="002E4B0D">
        <w:rPr>
          <w:noProof/>
        </w:rPr>
        <w:t xml:space="preserve"> of Schedule 1.</w:t>
      </w:r>
    </w:p>
    <w:p w14:paraId="032280A7" w14:textId="16D9ED9B" w:rsidR="00862EDD" w:rsidRDefault="00862EDD" w:rsidP="00862EDD">
      <w:pPr>
        <w:pStyle w:val="notetext"/>
        <w:rPr>
          <w:color w:val="000000"/>
          <w:sz w:val="22"/>
          <w:szCs w:val="22"/>
        </w:rPr>
      </w:pPr>
      <w:proofErr w:type="spellStart"/>
      <w:proofErr w:type="gramStart"/>
      <w:r w:rsidRPr="00880E86">
        <w:rPr>
          <w:b/>
          <w:i/>
          <w:sz w:val="22"/>
          <w:szCs w:val="24"/>
        </w:rPr>
        <w:t>A</w:t>
      </w:r>
      <w:r>
        <w:rPr>
          <w:b/>
          <w:i/>
          <w:sz w:val="22"/>
          <w:szCs w:val="24"/>
          <w:vertAlign w:val="subscript"/>
        </w:rPr>
        <w:t>Seq</w:t>
      </w:r>
      <w:r w:rsidRPr="00880E86">
        <w:rPr>
          <w:b/>
          <w:i/>
          <w:sz w:val="22"/>
          <w:szCs w:val="24"/>
          <w:vertAlign w:val="subscript"/>
        </w:rPr>
        <w:t>,adj</w:t>
      </w:r>
      <w:proofErr w:type="gramEnd"/>
      <w:r w:rsidRPr="00880E86">
        <w:rPr>
          <w:b/>
          <w:i/>
          <w:sz w:val="22"/>
          <w:szCs w:val="24"/>
          <w:vertAlign w:val="subscript"/>
        </w:rPr>
        <w:t>,y</w:t>
      </w:r>
      <w:proofErr w:type="spellEnd"/>
      <w:r>
        <w:rPr>
          <w:b/>
          <w:i/>
          <w:sz w:val="22"/>
          <w:szCs w:val="24"/>
          <w:vertAlign w:val="subscript"/>
        </w:rPr>
        <w:t xml:space="preserve"> </w:t>
      </w:r>
      <w:r>
        <w:rPr>
          <w:color w:val="000000"/>
          <w:sz w:val="22"/>
          <w:szCs w:val="22"/>
        </w:rPr>
        <w:t xml:space="preserve">is the adjusted contribution to the net abatement amount from sequestration of carbon in </w:t>
      </w:r>
      <w:r w:rsidR="00CF46BE" w:rsidRPr="00CF46BE">
        <w:rPr>
          <w:color w:val="000000"/>
          <w:sz w:val="22"/>
          <w:szCs w:val="22"/>
        </w:rPr>
        <w:t>living biomass or dead organic matter</w:t>
      </w:r>
      <w:r w:rsidR="00CF46BE" w:rsidRPr="00CF46BE" w:rsidDel="00CF46BE">
        <w:rPr>
          <w:color w:val="000000"/>
          <w:sz w:val="22"/>
          <w:szCs w:val="22"/>
        </w:rPr>
        <w:t xml:space="preserve"> </w:t>
      </w:r>
      <w:r>
        <w:rPr>
          <w:color w:val="000000"/>
          <w:sz w:val="22"/>
          <w:szCs w:val="22"/>
        </w:rPr>
        <w:t>for calendar year </w:t>
      </w:r>
      <w:r>
        <w:rPr>
          <w:i/>
          <w:iCs/>
          <w:color w:val="000000"/>
          <w:sz w:val="22"/>
          <w:szCs w:val="22"/>
        </w:rPr>
        <w:t>y</w:t>
      </w:r>
      <w:r>
        <w:rPr>
          <w:color w:val="000000"/>
          <w:sz w:val="22"/>
          <w:szCs w:val="22"/>
        </w:rPr>
        <w:t>, in tonnes CO</w:t>
      </w:r>
      <w:r>
        <w:rPr>
          <w:color w:val="000000"/>
          <w:sz w:val="15"/>
          <w:szCs w:val="15"/>
          <w:vertAlign w:val="subscript"/>
        </w:rPr>
        <w:t>2</w:t>
      </w:r>
      <w:r>
        <w:rPr>
          <w:color w:val="000000"/>
          <w:sz w:val="22"/>
          <w:szCs w:val="22"/>
        </w:rPr>
        <w:noBreakHyphen/>
        <w:t>e, and:</w:t>
      </w:r>
    </w:p>
    <w:p w14:paraId="5DAE48C1" w14:textId="77777777" w:rsidR="00862EDD" w:rsidRDefault="00862EDD" w:rsidP="004A7133">
      <w:pPr>
        <w:pStyle w:val="notetext"/>
        <w:numPr>
          <w:ilvl w:val="0"/>
          <w:numId w:val="12"/>
        </w:numPr>
        <w:spacing w:before="120" w:line="240" w:lineRule="auto"/>
        <w:ind w:left="1701" w:hanging="425"/>
        <w:rPr>
          <w:bCs/>
          <w:iCs/>
          <w:sz w:val="22"/>
          <w:szCs w:val="24"/>
        </w:rPr>
      </w:pPr>
      <w:r>
        <w:rPr>
          <w:bCs/>
          <w:iCs/>
          <w:sz w:val="22"/>
          <w:szCs w:val="24"/>
        </w:rPr>
        <w:t>i</w:t>
      </w:r>
      <w:r w:rsidRPr="00FF0B17">
        <w:rPr>
          <w:bCs/>
          <w:iCs/>
          <w:sz w:val="22"/>
          <w:szCs w:val="24"/>
        </w:rPr>
        <w:t xml:space="preserve">s calculated using </w:t>
      </w:r>
      <w:proofErr w:type="spellStart"/>
      <w:r w:rsidRPr="00FF0B17">
        <w:rPr>
          <w:bCs/>
          <w:iCs/>
          <w:sz w:val="22"/>
          <w:szCs w:val="24"/>
        </w:rPr>
        <w:t>Sa</w:t>
      </w:r>
      <w:r>
        <w:rPr>
          <w:bCs/>
          <w:iCs/>
          <w:sz w:val="22"/>
          <w:szCs w:val="24"/>
        </w:rPr>
        <w:t>vCAM</w:t>
      </w:r>
      <w:proofErr w:type="spellEnd"/>
      <w:r w:rsidRPr="00FF0B17">
        <w:rPr>
          <w:bCs/>
          <w:iCs/>
          <w:sz w:val="22"/>
          <w:szCs w:val="24"/>
        </w:rPr>
        <w:t>; or</w:t>
      </w:r>
    </w:p>
    <w:p w14:paraId="0229F5E7" w14:textId="77777777" w:rsidR="00862EDD" w:rsidRDefault="00862EDD" w:rsidP="004A7133">
      <w:pPr>
        <w:pStyle w:val="notetext"/>
        <w:numPr>
          <w:ilvl w:val="0"/>
          <w:numId w:val="12"/>
        </w:numPr>
        <w:spacing w:before="120" w:line="240" w:lineRule="auto"/>
        <w:ind w:left="1701" w:hanging="425"/>
        <w:rPr>
          <w:bCs/>
          <w:iCs/>
          <w:sz w:val="22"/>
          <w:szCs w:val="24"/>
        </w:rPr>
      </w:pPr>
      <w:r w:rsidRPr="00CE4732">
        <w:rPr>
          <w:bCs/>
          <w:iCs/>
          <w:sz w:val="22"/>
          <w:szCs w:val="24"/>
        </w:rPr>
        <w:t xml:space="preserve">is given by the amount </w:t>
      </w:r>
      <w:proofErr w:type="spellStart"/>
      <w:proofErr w:type="gramStart"/>
      <w:r w:rsidRPr="00CE4732">
        <w:rPr>
          <w:bCs/>
          <w:iCs/>
          <w:sz w:val="22"/>
          <w:szCs w:val="24"/>
        </w:rPr>
        <w:t>ASeq,adj</w:t>
      </w:r>
      <w:proofErr w:type="spellEnd"/>
      <w:proofErr w:type="gramEnd"/>
      <w:r w:rsidRPr="00CE4732">
        <w:rPr>
          <w:bCs/>
          <w:iCs/>
          <w:sz w:val="22"/>
          <w:szCs w:val="24"/>
        </w:rPr>
        <w:t xml:space="preserve"> as calculated for calendar year y in accordance with Schedule 2.</w:t>
      </w:r>
    </w:p>
    <w:p w14:paraId="1ECB449C" w14:textId="7D93EEE5" w:rsidR="00862EDD" w:rsidRPr="00EA0C2A" w:rsidRDefault="00862EDD" w:rsidP="00862EDD">
      <w:pPr>
        <w:pStyle w:val="notetext"/>
        <w:rPr>
          <w:bCs/>
          <w:iCs/>
          <w:sz w:val="22"/>
          <w:szCs w:val="24"/>
        </w:rPr>
      </w:pPr>
      <w:r w:rsidRPr="002E4B0D">
        <w:t>Note:</w:t>
      </w:r>
      <w:r w:rsidRPr="002E4B0D">
        <w:tab/>
        <w:t xml:space="preserve">For </w:t>
      </w:r>
      <w:r w:rsidR="0047263D">
        <w:t xml:space="preserve">the purposes of </w:t>
      </w:r>
      <w:r w:rsidRPr="002E4B0D">
        <w:t>paragraph (b), see section 2</w:t>
      </w:r>
      <w:r w:rsidRPr="002E4B0D">
        <w:rPr>
          <w:noProof/>
        </w:rPr>
        <w:t xml:space="preserve"> of Schedule </w:t>
      </w:r>
      <w:r>
        <w:rPr>
          <w:noProof/>
        </w:rPr>
        <w:t>2</w:t>
      </w:r>
      <w:r w:rsidRPr="002E4B0D">
        <w:rPr>
          <w:noProof/>
        </w:rPr>
        <w:t>.</w:t>
      </w:r>
    </w:p>
    <w:p w14:paraId="7713D629" w14:textId="77777777" w:rsidR="00862EDD" w:rsidRPr="002E4B0D" w:rsidRDefault="00862EDD" w:rsidP="00862EDD">
      <w:pPr>
        <w:pStyle w:val="SubsectionHead"/>
      </w:pPr>
      <w:r w:rsidRPr="002E4B0D">
        <w:rPr>
          <w:noProof/>
        </w:rPr>
        <w:t>Adjustments to calculations—</w:t>
      </w:r>
      <w:r w:rsidRPr="002E4B0D">
        <w:t>multiple project areas</w:t>
      </w:r>
    </w:p>
    <w:p w14:paraId="4F0BCA4C" w14:textId="77777777" w:rsidR="00862EDD" w:rsidRPr="002E4B0D" w:rsidRDefault="00862EDD" w:rsidP="00862EDD">
      <w:pPr>
        <w:pStyle w:val="subsection"/>
      </w:pPr>
      <w:r w:rsidRPr="002E4B0D">
        <w:tab/>
        <w:t>(2)</w:t>
      </w:r>
      <w:r w:rsidRPr="002E4B0D">
        <w:tab/>
        <w:t>If a project includes more than one project area, the net abatement amount for the project is ascertained by:</w:t>
      </w:r>
    </w:p>
    <w:p w14:paraId="125C9290" w14:textId="77777777" w:rsidR="00862EDD" w:rsidRPr="002E4B0D" w:rsidRDefault="00862EDD" w:rsidP="00862EDD">
      <w:pPr>
        <w:pStyle w:val="paragraph"/>
      </w:pPr>
      <w:r w:rsidRPr="002E4B0D">
        <w:tab/>
        <w:t>(a)</w:t>
      </w:r>
      <w:r w:rsidRPr="002E4B0D">
        <w:tab/>
        <w:t xml:space="preserve">calculating a value of </w:t>
      </w:r>
      <w:r w:rsidRPr="002E4B0D">
        <w:rPr>
          <w:i/>
        </w:rPr>
        <w:t xml:space="preserve">A </w:t>
      </w:r>
      <w:r w:rsidRPr="002E4B0D">
        <w:t>in tonnes CO</w:t>
      </w:r>
      <w:r w:rsidRPr="002E4B0D">
        <w:rPr>
          <w:vertAlign w:val="subscript"/>
        </w:rPr>
        <w:t>2</w:t>
      </w:r>
      <w:r w:rsidRPr="002E4B0D">
        <w:noBreakHyphen/>
        <w:t xml:space="preserve">e in accordance with equation </w:t>
      </w:r>
      <w:r w:rsidRPr="002E4B0D">
        <w:rPr>
          <w:noProof/>
        </w:rPr>
        <w:t>1</w:t>
      </w:r>
      <w:r w:rsidRPr="002E4B0D">
        <w:t xml:space="preserve"> for each project area individually; and</w:t>
      </w:r>
    </w:p>
    <w:p w14:paraId="046F66B2" w14:textId="77777777" w:rsidR="00862EDD" w:rsidRPr="002E4B0D" w:rsidRDefault="00862EDD" w:rsidP="00862EDD">
      <w:pPr>
        <w:pStyle w:val="paragraph"/>
      </w:pPr>
      <w:r w:rsidRPr="002E4B0D">
        <w:tab/>
        <w:t>(b)</w:t>
      </w:r>
      <w:r w:rsidRPr="002E4B0D">
        <w:tab/>
        <w:t>summing the values so calculated.</w:t>
      </w:r>
    </w:p>
    <w:p w14:paraId="14F489E7" w14:textId="1F74B459" w:rsidR="00DA19FD" w:rsidRDefault="00DA19FD" w:rsidP="00DA19FD">
      <w:pPr>
        <w:pStyle w:val="ActHead2"/>
      </w:pPr>
      <w:bookmarkStart w:id="65" w:name="_Toc202953832"/>
      <w:r w:rsidRPr="00C55737">
        <w:lastRenderedPageBreak/>
        <w:t xml:space="preserve">Part </w:t>
      </w:r>
      <w:r>
        <w:t>5</w:t>
      </w:r>
      <w:r w:rsidRPr="00C55737">
        <w:t>—</w:t>
      </w:r>
      <w:r w:rsidR="00DA6A78" w:rsidRPr="00DA6A78">
        <w:t>Reporting, record-keeping</w:t>
      </w:r>
      <w:r w:rsidR="00C50904">
        <w:t xml:space="preserve">, </w:t>
      </w:r>
      <w:r w:rsidR="00DA6A78" w:rsidRPr="00DA6A78">
        <w:t xml:space="preserve">monitoring </w:t>
      </w:r>
      <w:r w:rsidR="00C50904">
        <w:t xml:space="preserve">and notification </w:t>
      </w:r>
      <w:r w:rsidR="00DA6A78" w:rsidRPr="00DA6A78">
        <w:t>requirements</w:t>
      </w:r>
      <w:bookmarkEnd w:id="65"/>
    </w:p>
    <w:p w14:paraId="6CAF9B0F" w14:textId="03346820" w:rsidR="00FD6A3B" w:rsidRPr="00171E3E" w:rsidRDefault="00FD6A3B" w:rsidP="00867A6B">
      <w:pPr>
        <w:pStyle w:val="ActHead3"/>
      </w:pPr>
      <w:bookmarkStart w:id="66" w:name="_Toc202953833"/>
      <w:r w:rsidRPr="009D2663">
        <w:t xml:space="preserve">Division </w:t>
      </w:r>
      <w:r>
        <w:t>1</w:t>
      </w:r>
      <w:r w:rsidRPr="00FD6A3B">
        <w:t>—</w:t>
      </w:r>
      <w:r w:rsidR="00171F8D" w:rsidRPr="00171F8D">
        <w:t>Offsets report requirements</w:t>
      </w:r>
      <w:bookmarkEnd w:id="66"/>
    </w:p>
    <w:p w14:paraId="3BC9BCC7" w14:textId="75844E34" w:rsidR="00171F8D" w:rsidRDefault="00406943" w:rsidP="00171F8D">
      <w:pPr>
        <w:pStyle w:val="ActHead5"/>
      </w:pPr>
      <w:bookmarkStart w:id="67" w:name="_Toc202953834"/>
      <w:proofErr w:type="gramStart"/>
      <w:r>
        <w:t>35</w:t>
      </w:r>
      <w:r w:rsidR="00171F8D" w:rsidRPr="00B96B17">
        <w:t xml:space="preserve">  Operation</w:t>
      </w:r>
      <w:proofErr w:type="gramEnd"/>
      <w:r w:rsidR="00171F8D" w:rsidRPr="00B96B17">
        <w:t xml:space="preserve"> of this </w:t>
      </w:r>
      <w:r w:rsidR="00753461">
        <w:t>Division</w:t>
      </w:r>
      <w:bookmarkEnd w:id="67"/>
    </w:p>
    <w:p w14:paraId="455BDFA1" w14:textId="6651FF99" w:rsidR="00171F8D" w:rsidRPr="007A3E20" w:rsidRDefault="00171F8D" w:rsidP="00171F8D">
      <w:pPr>
        <w:pStyle w:val="subsection"/>
      </w:pPr>
      <w:r>
        <w:tab/>
      </w:r>
      <w:r>
        <w:tab/>
      </w:r>
      <w:r w:rsidRPr="00054623">
        <w:t xml:space="preserve">For </w:t>
      </w:r>
      <w:r>
        <w:t>the purpose</w:t>
      </w:r>
      <w:r w:rsidR="003570BC">
        <w:t>s</w:t>
      </w:r>
      <w:r>
        <w:t xml:space="preserve"> of paragraph</w:t>
      </w:r>
      <w:r w:rsidRPr="00054623">
        <w:t xml:space="preserve"> 106(</w:t>
      </w:r>
      <w:r>
        <w:t>3</w:t>
      </w:r>
      <w:r w:rsidRPr="00054623">
        <w:t>)(</w:t>
      </w:r>
      <w:r>
        <w:t>a</w:t>
      </w:r>
      <w:r w:rsidRPr="00054623">
        <w:t xml:space="preserve">) of the Act, </w:t>
      </w:r>
      <w:r w:rsidR="00C9111D" w:rsidRPr="00C9111D">
        <w:t>this Division sets out information that must be included in an offsets report about a savanna sequestration project that is an eligible offsets project.</w:t>
      </w:r>
    </w:p>
    <w:p w14:paraId="444F0F2E" w14:textId="56552F4F" w:rsidR="00753461" w:rsidRDefault="00753461" w:rsidP="007B2786">
      <w:pPr>
        <w:pStyle w:val="nmain"/>
        <w:spacing w:before="120" w:beforeAutospacing="0" w:after="0" w:afterAutospacing="0"/>
        <w:ind w:left="414" w:firstLine="720"/>
        <w:rPr>
          <w:color w:val="000000"/>
          <w:sz w:val="18"/>
          <w:szCs w:val="18"/>
        </w:rPr>
      </w:pPr>
      <w:r>
        <w:rPr>
          <w:color w:val="000000"/>
          <w:sz w:val="18"/>
          <w:szCs w:val="18"/>
        </w:rPr>
        <w:t>Note:</w:t>
      </w:r>
      <w:r w:rsidR="009625A8">
        <w:rPr>
          <w:color w:val="000000"/>
          <w:sz w:val="18"/>
          <w:szCs w:val="18"/>
        </w:rPr>
        <w:tab/>
      </w:r>
      <w:r>
        <w:rPr>
          <w:color w:val="000000"/>
          <w:sz w:val="18"/>
          <w:szCs w:val="18"/>
        </w:rPr>
        <w:t>Other reporting requirements are set out in the CFI Rule.</w:t>
      </w:r>
    </w:p>
    <w:p w14:paraId="0A3E065E" w14:textId="2FFA451E" w:rsidR="00B85656" w:rsidRPr="00B85656" w:rsidRDefault="00406943" w:rsidP="00B52D29">
      <w:pPr>
        <w:pStyle w:val="ActHead5"/>
        <w:spacing w:after="240"/>
      </w:pPr>
      <w:bookmarkStart w:id="68" w:name="_Toc202953835"/>
      <w:proofErr w:type="gramStart"/>
      <w:r>
        <w:t>36</w:t>
      </w:r>
      <w:r w:rsidR="00753461" w:rsidRPr="00B96B17">
        <w:t xml:space="preserve">  </w:t>
      </w:r>
      <w:r w:rsidR="002058CF">
        <w:t>I</w:t>
      </w:r>
      <w:r w:rsidR="002058CF" w:rsidRPr="002058CF">
        <w:t>nformation</w:t>
      </w:r>
      <w:proofErr w:type="gramEnd"/>
      <w:r w:rsidR="002058CF" w:rsidRPr="002058CF">
        <w:t> that must be included in offsets reports</w:t>
      </w:r>
      <w:bookmarkEnd w:id="68"/>
    </w:p>
    <w:p w14:paraId="4BDD91B6" w14:textId="77777777" w:rsidR="00A33722" w:rsidRDefault="002058CF" w:rsidP="004A7133">
      <w:pPr>
        <w:pStyle w:val="subsection"/>
        <w:numPr>
          <w:ilvl w:val="0"/>
          <w:numId w:val="50"/>
        </w:numPr>
        <w:spacing w:before="0" w:after="240"/>
      </w:pPr>
      <w:r>
        <w:t>For each project area reported on, the offsets report must include the following:</w:t>
      </w:r>
    </w:p>
    <w:p w14:paraId="08C3FEE1" w14:textId="2382CD9E" w:rsidR="00CB2048" w:rsidRDefault="00CB2048" w:rsidP="004A7133">
      <w:pPr>
        <w:pStyle w:val="subsection"/>
        <w:numPr>
          <w:ilvl w:val="1"/>
          <w:numId w:val="50"/>
        </w:numPr>
        <w:spacing w:before="0"/>
      </w:pPr>
      <w:r>
        <w:t xml:space="preserve">a statement that the project area was not varied, and did not result from a project area that was varied, other than in accordance with section </w:t>
      </w:r>
      <w:proofErr w:type="gramStart"/>
      <w:r>
        <w:t>1</w:t>
      </w:r>
      <w:r w:rsidR="003C2F26">
        <w:t>6</w:t>
      </w:r>
      <w:r>
        <w:t>;</w:t>
      </w:r>
      <w:proofErr w:type="gramEnd"/>
    </w:p>
    <w:p w14:paraId="5A58F1B0" w14:textId="77777777" w:rsidR="00ED29EE" w:rsidRDefault="00E207F8" w:rsidP="004A7133">
      <w:pPr>
        <w:pStyle w:val="subsection"/>
        <w:numPr>
          <w:ilvl w:val="1"/>
          <w:numId w:val="50"/>
        </w:numPr>
        <w:spacing w:before="0"/>
      </w:pPr>
      <w:r>
        <w:t xml:space="preserve">if the project area was added to the project as the result of a variation to the section 27 declaration and is being reported on for the first time—a statement of that </w:t>
      </w:r>
      <w:proofErr w:type="gramStart"/>
      <w:r>
        <w:t>fact;</w:t>
      </w:r>
      <w:proofErr w:type="gramEnd"/>
      <w:r w:rsidR="00ED29EE" w:rsidRPr="00ED29EE">
        <w:t xml:space="preserve"> </w:t>
      </w:r>
    </w:p>
    <w:p w14:paraId="64C9BB9F" w14:textId="11A6FB94" w:rsidR="00ED29EE" w:rsidRDefault="00ED29EE" w:rsidP="004A7133">
      <w:pPr>
        <w:pStyle w:val="subsection"/>
        <w:numPr>
          <w:ilvl w:val="1"/>
          <w:numId w:val="50"/>
        </w:numPr>
        <w:spacing w:before="0"/>
      </w:pPr>
      <w:r>
        <w:t>if the project area is a subdivided project area that is first reported on during that reporting period:</w:t>
      </w:r>
    </w:p>
    <w:p w14:paraId="558D3EC0" w14:textId="7A81EE3E" w:rsidR="00ED29EE" w:rsidRDefault="00022628" w:rsidP="004A7133">
      <w:pPr>
        <w:pStyle w:val="subsection"/>
        <w:numPr>
          <w:ilvl w:val="2"/>
          <w:numId w:val="50"/>
        </w:numPr>
        <w:spacing w:before="0"/>
      </w:pPr>
      <w:r>
        <w:t>a statement of that fact; and</w:t>
      </w:r>
    </w:p>
    <w:p w14:paraId="362F9B6E" w14:textId="6D383F32" w:rsidR="00ED29EE" w:rsidRDefault="00FF4E24" w:rsidP="004A7133">
      <w:pPr>
        <w:pStyle w:val="subsection"/>
        <w:numPr>
          <w:ilvl w:val="2"/>
          <w:numId w:val="50"/>
        </w:numPr>
        <w:spacing w:before="0"/>
      </w:pPr>
      <w:r>
        <w:t xml:space="preserve">the date on which the relevant variation of the section 27 declaration took </w:t>
      </w:r>
      <w:proofErr w:type="gramStart"/>
      <w:r>
        <w:t>effect;</w:t>
      </w:r>
      <w:proofErr w:type="gramEnd"/>
    </w:p>
    <w:p w14:paraId="4D5A49BC" w14:textId="20478C1F" w:rsidR="00ED29EE" w:rsidRDefault="00FF4E24" w:rsidP="004A7133">
      <w:pPr>
        <w:pStyle w:val="subsection"/>
        <w:numPr>
          <w:ilvl w:val="1"/>
          <w:numId w:val="50"/>
        </w:numPr>
        <w:spacing w:before="0"/>
      </w:pPr>
      <w:r>
        <w:t>a copy of</w:t>
      </w:r>
      <w:r w:rsidR="00AB1063">
        <w:t xml:space="preserve"> the following </w:t>
      </w:r>
      <w:r w:rsidR="00AE1D1A">
        <w:t xml:space="preserve">(as </w:t>
      </w:r>
      <w:r w:rsidR="008104A1">
        <w:t xml:space="preserve">produced by </w:t>
      </w:r>
      <w:proofErr w:type="spellStart"/>
      <w:r w:rsidR="008104A1">
        <w:t>Sav</w:t>
      </w:r>
      <w:r w:rsidR="003A4291">
        <w:t>CAM</w:t>
      </w:r>
      <w:proofErr w:type="spellEnd"/>
      <w:r w:rsidR="003A4291">
        <w:t xml:space="preserve"> </w:t>
      </w:r>
      <w:r w:rsidR="008104A1">
        <w:t>for the reporting period</w:t>
      </w:r>
      <w:r w:rsidR="00AE1D1A">
        <w:t>)</w:t>
      </w:r>
      <w:r>
        <w:t>:</w:t>
      </w:r>
    </w:p>
    <w:p w14:paraId="22DAD8C8" w14:textId="3DFE4E51" w:rsidR="00F3625E" w:rsidRDefault="00D763E6" w:rsidP="004A7133">
      <w:pPr>
        <w:pStyle w:val="subsection"/>
        <w:numPr>
          <w:ilvl w:val="2"/>
          <w:numId w:val="50"/>
        </w:numPr>
        <w:spacing w:before="0"/>
      </w:pPr>
      <w:r>
        <w:t xml:space="preserve">each abatement </w:t>
      </w:r>
      <w:proofErr w:type="gramStart"/>
      <w:r>
        <w:t>report;</w:t>
      </w:r>
      <w:proofErr w:type="gramEnd"/>
      <w:r>
        <w:t xml:space="preserve"> </w:t>
      </w:r>
    </w:p>
    <w:p w14:paraId="0EC42ABD" w14:textId="514102EA" w:rsidR="00D763E6" w:rsidRDefault="00386709" w:rsidP="004A7133">
      <w:pPr>
        <w:pStyle w:val="subsection"/>
        <w:numPr>
          <w:ilvl w:val="2"/>
          <w:numId w:val="50"/>
        </w:numPr>
        <w:spacing w:before="0"/>
      </w:pPr>
      <w:r>
        <w:t xml:space="preserve">if the project area is a subdivided project area that is first reported on during the reporting period—the subdivision </w:t>
      </w:r>
      <w:proofErr w:type="gramStart"/>
      <w:r>
        <w:t>report;</w:t>
      </w:r>
      <w:proofErr w:type="gramEnd"/>
    </w:p>
    <w:p w14:paraId="2CE1D769" w14:textId="41E10733" w:rsidR="006A2FCB" w:rsidRDefault="006A2FCB" w:rsidP="004A7133">
      <w:pPr>
        <w:pStyle w:val="subsection"/>
        <w:numPr>
          <w:ilvl w:val="1"/>
          <w:numId w:val="50"/>
        </w:numPr>
        <w:spacing w:before="0"/>
      </w:pPr>
      <w:r>
        <w:t xml:space="preserve">if the project proponent is required to monitor the project area in accordance with section 40—the results of the </w:t>
      </w:r>
      <w:proofErr w:type="gramStart"/>
      <w:r>
        <w:t>monitoring;</w:t>
      </w:r>
      <w:proofErr w:type="gramEnd"/>
    </w:p>
    <w:p w14:paraId="7F0933BC" w14:textId="69330AB7" w:rsidR="00460A90" w:rsidRDefault="00B92BC5" w:rsidP="004A7133">
      <w:pPr>
        <w:pStyle w:val="subsection"/>
        <w:numPr>
          <w:ilvl w:val="1"/>
          <w:numId w:val="50"/>
        </w:numPr>
        <w:spacing w:before="0"/>
      </w:pPr>
      <w:r>
        <w:t xml:space="preserve">if the project proponent is not required to monitor the project area in accordance with section 40—a statement as to whether, to the best of the project proponent’s knowledge, any relevant weed species is present in the project </w:t>
      </w:r>
      <w:proofErr w:type="gramStart"/>
      <w:r>
        <w:t>area</w:t>
      </w:r>
      <w:r w:rsidR="00FA0416">
        <w:t>;</w:t>
      </w:r>
      <w:proofErr w:type="gramEnd"/>
    </w:p>
    <w:p w14:paraId="22D5C4DB" w14:textId="20496816" w:rsidR="00FA0416" w:rsidRDefault="00201E90" w:rsidP="004A7133">
      <w:pPr>
        <w:pStyle w:val="subsection"/>
        <w:numPr>
          <w:ilvl w:val="1"/>
          <w:numId w:val="50"/>
        </w:numPr>
        <w:spacing w:before="0"/>
      </w:pPr>
      <w:r>
        <w:t xml:space="preserve">a declaration to the effect that the density of livestock in the project area has not increased </w:t>
      </w:r>
      <w:proofErr w:type="gramStart"/>
      <w:r>
        <w:t>as a consequence of</w:t>
      </w:r>
      <w:proofErr w:type="gramEnd"/>
      <w:r>
        <w:t xml:space="preserve"> the </w:t>
      </w:r>
      <w:proofErr w:type="gramStart"/>
      <w:r>
        <w:t>project;</w:t>
      </w:r>
      <w:proofErr w:type="gramEnd"/>
    </w:p>
    <w:p w14:paraId="1F4FC39F" w14:textId="3931E59E" w:rsidR="00E207F8" w:rsidRDefault="00A47C66" w:rsidP="004A7133">
      <w:pPr>
        <w:pStyle w:val="subsection"/>
        <w:numPr>
          <w:ilvl w:val="1"/>
          <w:numId w:val="50"/>
        </w:numPr>
        <w:spacing w:before="0"/>
      </w:pPr>
      <w:r>
        <w:t>if</w:t>
      </w:r>
      <w:r w:rsidR="00E00179">
        <w:t xml:space="preserve"> relevant weed species are eradicated from an area</w:t>
      </w:r>
      <w:r>
        <w:t>—a map of the area impacted by relevant weed species and evidence that the weeds were permanently removed from that area.</w:t>
      </w:r>
    </w:p>
    <w:p w14:paraId="325B0172" w14:textId="570673F6" w:rsidR="002058CF" w:rsidRDefault="00A33722" w:rsidP="004A7133">
      <w:pPr>
        <w:pStyle w:val="subsection"/>
        <w:numPr>
          <w:ilvl w:val="0"/>
          <w:numId w:val="50"/>
        </w:numPr>
        <w:spacing w:before="0"/>
      </w:pPr>
      <w:r>
        <w:t>For each project area being reported on, and for each calendar year of the reporting period, the offsets report must include the following:</w:t>
      </w:r>
    </w:p>
    <w:p w14:paraId="692E80D5" w14:textId="6FA42CE0" w:rsidR="000A6DDB" w:rsidRDefault="000A6DDB" w:rsidP="004A7133">
      <w:pPr>
        <w:pStyle w:val="subsection"/>
        <w:numPr>
          <w:ilvl w:val="1"/>
          <w:numId w:val="50"/>
        </w:numPr>
        <w:spacing w:before="0"/>
      </w:pPr>
      <w:r>
        <w:t>if planned burning was undertaken:</w:t>
      </w:r>
    </w:p>
    <w:p w14:paraId="0E7343F6" w14:textId="77777777" w:rsidR="00A83F67" w:rsidRDefault="00CA437C" w:rsidP="004A7133">
      <w:pPr>
        <w:pStyle w:val="subsection"/>
        <w:numPr>
          <w:ilvl w:val="2"/>
          <w:numId w:val="50"/>
        </w:numPr>
        <w:spacing w:before="0"/>
      </w:pPr>
      <w:r>
        <w:lastRenderedPageBreak/>
        <w:t>a statement of that fact; and</w:t>
      </w:r>
    </w:p>
    <w:p w14:paraId="47AD579B" w14:textId="4AB4A037" w:rsidR="00A83F67" w:rsidRDefault="00A83F67" w:rsidP="004A7133">
      <w:pPr>
        <w:pStyle w:val="subsection"/>
        <w:numPr>
          <w:ilvl w:val="2"/>
          <w:numId w:val="50"/>
        </w:numPr>
        <w:spacing w:before="0"/>
      </w:pPr>
      <w:r>
        <w:t xml:space="preserve">a description of the location, timing and extent of that planned </w:t>
      </w:r>
      <w:proofErr w:type="gramStart"/>
      <w:r>
        <w:t>burning</w:t>
      </w:r>
      <w:proofErr w:type="gramEnd"/>
      <w:r>
        <w:t>; and</w:t>
      </w:r>
    </w:p>
    <w:p w14:paraId="5C1E4CB7" w14:textId="1FF430B1" w:rsidR="00CA437C" w:rsidRDefault="00A83F67" w:rsidP="004A7133">
      <w:pPr>
        <w:pStyle w:val="subsection"/>
        <w:numPr>
          <w:ilvl w:val="2"/>
          <w:numId w:val="50"/>
        </w:numPr>
        <w:spacing w:before="0"/>
      </w:pPr>
      <w:r w:rsidRPr="00A83F67">
        <w:t xml:space="preserve">an indication of whether, and the extent to which, that planned </w:t>
      </w:r>
      <w:proofErr w:type="gramStart"/>
      <w:r w:rsidRPr="00A83F67">
        <w:t>burning</w:t>
      </w:r>
      <w:proofErr w:type="gramEnd"/>
      <w:r w:rsidRPr="00A83F67">
        <w:t xml:space="preserve"> satisfied section </w:t>
      </w:r>
      <w:proofErr w:type="gramStart"/>
      <w:r w:rsidRPr="00A83F67">
        <w:t>1</w:t>
      </w:r>
      <w:r w:rsidR="00C362CE">
        <w:t>7</w:t>
      </w:r>
      <w:r w:rsidRPr="00A83F67">
        <w:t>;</w:t>
      </w:r>
      <w:proofErr w:type="gramEnd"/>
    </w:p>
    <w:p w14:paraId="300BF8DB" w14:textId="6DC7FA57" w:rsidR="000A6DDB" w:rsidRDefault="000A6DDB" w:rsidP="004A7133">
      <w:pPr>
        <w:pStyle w:val="subsection"/>
        <w:numPr>
          <w:ilvl w:val="1"/>
          <w:numId w:val="50"/>
        </w:numPr>
        <w:spacing w:before="0"/>
      </w:pPr>
      <w:r>
        <w:t>if planned burning was not undertaken:</w:t>
      </w:r>
    </w:p>
    <w:p w14:paraId="0EE616D0" w14:textId="4F1C30AF" w:rsidR="006B3E96" w:rsidRDefault="005257CD" w:rsidP="004A7133">
      <w:pPr>
        <w:pStyle w:val="subsection"/>
        <w:numPr>
          <w:ilvl w:val="2"/>
          <w:numId w:val="50"/>
        </w:numPr>
        <w:spacing w:before="0"/>
      </w:pPr>
      <w:r>
        <w:t>a statement of that fact; and</w:t>
      </w:r>
    </w:p>
    <w:p w14:paraId="744156F3" w14:textId="1040A86B" w:rsidR="005257CD" w:rsidRDefault="005257CD" w:rsidP="004A7133">
      <w:pPr>
        <w:pStyle w:val="subsection"/>
        <w:numPr>
          <w:ilvl w:val="2"/>
          <w:numId w:val="50"/>
        </w:numPr>
        <w:spacing w:before="0"/>
      </w:pPr>
      <w:r>
        <w:t xml:space="preserve">the reasons why planned burning was not </w:t>
      </w:r>
      <w:proofErr w:type="gramStart"/>
      <w:r>
        <w:t>undertaken;</w:t>
      </w:r>
      <w:proofErr w:type="gramEnd"/>
    </w:p>
    <w:p w14:paraId="39158AB2" w14:textId="0BA26F28" w:rsidR="000A6DDB" w:rsidRDefault="000A6DDB" w:rsidP="004A7133">
      <w:pPr>
        <w:pStyle w:val="subsection"/>
        <w:numPr>
          <w:ilvl w:val="1"/>
          <w:numId w:val="50"/>
        </w:numPr>
        <w:spacing w:before="0"/>
      </w:pPr>
      <w:r>
        <w:t>a copy of:</w:t>
      </w:r>
    </w:p>
    <w:p w14:paraId="324595D4" w14:textId="01A8D18F" w:rsidR="005257CD" w:rsidRDefault="00A43890" w:rsidP="004A7133">
      <w:pPr>
        <w:pStyle w:val="subsection"/>
        <w:numPr>
          <w:ilvl w:val="2"/>
          <w:numId w:val="50"/>
        </w:numPr>
        <w:spacing w:before="0"/>
      </w:pPr>
      <w:r>
        <w:t>the project management plan that was prepared for the year; and</w:t>
      </w:r>
    </w:p>
    <w:p w14:paraId="12D14043" w14:textId="2AF7A239" w:rsidR="00A43890" w:rsidRDefault="00A43890" w:rsidP="004A7133">
      <w:pPr>
        <w:pStyle w:val="subsection"/>
        <w:numPr>
          <w:ilvl w:val="2"/>
          <w:numId w:val="50"/>
        </w:numPr>
        <w:spacing w:before="0"/>
      </w:pPr>
      <w:r>
        <w:t xml:space="preserve">if the project management plan was revised or updated during the year—either the revisions or updates, or the revised or updated </w:t>
      </w:r>
      <w:proofErr w:type="gramStart"/>
      <w:r>
        <w:t>plan;</w:t>
      </w:r>
      <w:proofErr w:type="gramEnd"/>
    </w:p>
    <w:p w14:paraId="6A1815CE" w14:textId="4AEF552D" w:rsidR="0030486B" w:rsidRDefault="00CD512C" w:rsidP="00CB0E0B">
      <w:pPr>
        <w:pStyle w:val="subsection"/>
        <w:numPr>
          <w:ilvl w:val="1"/>
          <w:numId w:val="50"/>
        </w:numPr>
        <w:spacing w:before="0"/>
      </w:pPr>
      <w:r>
        <w:t>the</w:t>
      </w:r>
      <w:r w:rsidR="007F2048">
        <w:t xml:space="preserve"> baseline carbon stock and </w:t>
      </w:r>
      <w:r w:rsidR="00A277A6">
        <w:rPr>
          <w:color w:val="000000"/>
          <w:szCs w:val="22"/>
        </w:rPr>
        <w:t>carbon stock at the end of the calendar year</w:t>
      </w:r>
      <w:r w:rsidR="00CF7248">
        <w:rPr>
          <w:color w:val="000000"/>
          <w:szCs w:val="22"/>
        </w:rPr>
        <w:t xml:space="preserve"> for each project area</w:t>
      </w:r>
      <w:r>
        <w:t>, as calculated in accordance with</w:t>
      </w:r>
      <w:r w:rsidR="00CB0E0B">
        <w:t xml:space="preserve"> </w:t>
      </w:r>
      <w:proofErr w:type="spellStart"/>
      <w:r w:rsidR="0030486B" w:rsidRPr="0030486B">
        <w:t>Sav</w:t>
      </w:r>
      <w:r w:rsidR="00E315A8">
        <w:t>CAM</w:t>
      </w:r>
      <w:proofErr w:type="spellEnd"/>
      <w:r w:rsidR="0030486B">
        <w:t>.</w:t>
      </w:r>
    </w:p>
    <w:p w14:paraId="7AF8FD23" w14:textId="54C3098B" w:rsidR="008B27FA" w:rsidRDefault="008B27FA" w:rsidP="004A7133">
      <w:pPr>
        <w:pStyle w:val="ListParagraph"/>
        <w:numPr>
          <w:ilvl w:val="0"/>
          <w:numId w:val="50"/>
        </w:numPr>
        <w:spacing w:line="240" w:lineRule="auto"/>
      </w:pPr>
      <w:r>
        <w:t xml:space="preserve">If the project proponent was required or elected, under Division </w:t>
      </w:r>
      <w:r w:rsidR="00BA6A28">
        <w:t>5</w:t>
      </w:r>
      <w:r>
        <w:t xml:space="preserve"> of Part 3, to create or revise a vegetation fuel type map during the reporting period, the offsets report must include the following:</w:t>
      </w:r>
    </w:p>
    <w:p w14:paraId="15B7D423" w14:textId="15120BC5" w:rsidR="0037198A" w:rsidRDefault="0037198A" w:rsidP="004A7133">
      <w:pPr>
        <w:pStyle w:val="ListParagraph"/>
        <w:numPr>
          <w:ilvl w:val="1"/>
          <w:numId w:val="50"/>
        </w:numPr>
        <w:spacing w:line="240" w:lineRule="auto"/>
      </w:pPr>
      <w:r>
        <w:t xml:space="preserve">a statement of that </w:t>
      </w:r>
      <w:proofErr w:type="gramStart"/>
      <w:r>
        <w:t>fact;</w:t>
      </w:r>
      <w:proofErr w:type="gramEnd"/>
    </w:p>
    <w:p w14:paraId="6B4C66F8" w14:textId="5AA37AE9" w:rsidR="0037198A" w:rsidRDefault="0037198A" w:rsidP="004A7133">
      <w:pPr>
        <w:pStyle w:val="ListParagraph"/>
        <w:numPr>
          <w:ilvl w:val="1"/>
          <w:numId w:val="50"/>
        </w:numPr>
        <w:spacing w:line="240" w:lineRule="auto"/>
      </w:pPr>
      <w:r>
        <w:t>a</w:t>
      </w:r>
      <w:r w:rsidR="003F1881">
        <w:t xml:space="preserve"> description </w:t>
      </w:r>
      <w:r>
        <w:t xml:space="preserve">of which </w:t>
      </w:r>
      <w:proofErr w:type="gramStart"/>
      <w:r>
        <w:t>map</w:t>
      </w:r>
      <w:proofErr w:type="gramEnd"/>
      <w:r>
        <w:t xml:space="preserve"> or maps were revised</w:t>
      </w:r>
      <w:r w:rsidR="002661A7">
        <w:t xml:space="preserve">, the date </w:t>
      </w:r>
      <w:r w:rsidR="0079278E">
        <w:t xml:space="preserve">of revision for each map and the </w:t>
      </w:r>
      <w:r w:rsidR="0086341A">
        <w:t xml:space="preserve">area </w:t>
      </w:r>
      <w:r w:rsidR="0079278E">
        <w:t xml:space="preserve">covered by each </w:t>
      </w:r>
      <w:proofErr w:type="gramStart"/>
      <w:r w:rsidR="0079278E">
        <w:t>map</w:t>
      </w:r>
      <w:r>
        <w:t>;</w:t>
      </w:r>
      <w:proofErr w:type="gramEnd"/>
    </w:p>
    <w:p w14:paraId="633A8757" w14:textId="56C5BC4B" w:rsidR="0037198A" w:rsidRDefault="0037198A" w:rsidP="004A7133">
      <w:pPr>
        <w:pStyle w:val="ListParagraph"/>
        <w:numPr>
          <w:ilvl w:val="1"/>
          <w:numId w:val="50"/>
        </w:numPr>
        <w:spacing w:line="240" w:lineRule="auto"/>
      </w:pPr>
      <w:r>
        <w:t>for each such map</w:t>
      </w:r>
      <w:r w:rsidR="00E15D59">
        <w:t>:</w:t>
      </w:r>
    </w:p>
    <w:p w14:paraId="0A872A46" w14:textId="77777777" w:rsidR="00E15D59" w:rsidRDefault="0037198A" w:rsidP="004A7133">
      <w:pPr>
        <w:pStyle w:val="ListParagraph"/>
        <w:numPr>
          <w:ilvl w:val="2"/>
          <w:numId w:val="50"/>
        </w:numPr>
        <w:spacing w:line="240" w:lineRule="auto"/>
      </w:pPr>
      <w:r>
        <w:t>a copy of the map that was created and validated or revised and (if necessary) validated in accordance with that Division; and</w:t>
      </w:r>
    </w:p>
    <w:p w14:paraId="75490807" w14:textId="4CAF1522" w:rsidR="00E15D59" w:rsidRDefault="0037198A" w:rsidP="004A7133">
      <w:pPr>
        <w:pStyle w:val="ListParagraph"/>
        <w:numPr>
          <w:ilvl w:val="2"/>
          <w:numId w:val="50"/>
        </w:numPr>
        <w:spacing w:line="240" w:lineRule="auto"/>
      </w:pPr>
      <w:r>
        <w:t>if the map was created—a map combining that map and the spatial data layers showing in which rainfall zone or zones each area to which the map relates is located; and</w:t>
      </w:r>
    </w:p>
    <w:p w14:paraId="5CD2CD01" w14:textId="77777777" w:rsidR="00E65B16" w:rsidRDefault="0037198A" w:rsidP="004A7133">
      <w:pPr>
        <w:pStyle w:val="ListParagraph"/>
        <w:numPr>
          <w:ilvl w:val="2"/>
          <w:numId w:val="50"/>
        </w:numPr>
        <w:spacing w:line="240" w:lineRule="auto"/>
      </w:pPr>
      <w:r>
        <w:t>if the map was revised—a statement of the reasons for which the map was revised; and</w:t>
      </w:r>
    </w:p>
    <w:p w14:paraId="5D64A4D6" w14:textId="4FEFA705" w:rsidR="0037198A" w:rsidRDefault="0037198A" w:rsidP="004A7133">
      <w:pPr>
        <w:pStyle w:val="ListParagraph"/>
        <w:numPr>
          <w:ilvl w:val="2"/>
          <w:numId w:val="50"/>
        </w:numPr>
        <w:spacing w:line="240" w:lineRule="auto"/>
      </w:pPr>
      <w:r>
        <w:t>in either case—any ERF audit report relating to the validation of the map.</w:t>
      </w:r>
    </w:p>
    <w:p w14:paraId="5137DD16" w14:textId="6290E459" w:rsidR="00B92CFD" w:rsidRDefault="008B27FA" w:rsidP="004A7133">
      <w:pPr>
        <w:pStyle w:val="subsection"/>
        <w:numPr>
          <w:ilvl w:val="0"/>
          <w:numId w:val="50"/>
        </w:numPr>
        <w:spacing w:before="0"/>
      </w:pPr>
      <w:r>
        <w:t xml:space="preserve">If, during the reporting period, any project area (including a subdivided project area) was removed from the project </w:t>
      </w:r>
      <w:proofErr w:type="gramStart"/>
      <w:r>
        <w:t>as a result of</w:t>
      </w:r>
      <w:proofErr w:type="gramEnd"/>
      <w:r>
        <w:t xml:space="preserve"> </w:t>
      </w:r>
      <w:r w:rsidR="00EA0B8C">
        <w:t>section 13 or 14</w:t>
      </w:r>
      <w:r>
        <w:t>, the offsets report must include, for each such project area:</w:t>
      </w:r>
    </w:p>
    <w:p w14:paraId="18392E5B" w14:textId="6FEFD57E" w:rsidR="00C90DEF" w:rsidRDefault="00B92CFD" w:rsidP="004A7133">
      <w:pPr>
        <w:pStyle w:val="subsection"/>
        <w:numPr>
          <w:ilvl w:val="1"/>
          <w:numId w:val="50"/>
        </w:numPr>
        <w:spacing w:before="0"/>
      </w:pPr>
      <w:r>
        <w:t>a statement of that fact; and</w:t>
      </w:r>
    </w:p>
    <w:p w14:paraId="3A898892" w14:textId="2991C419" w:rsidR="00395731" w:rsidRDefault="00957032" w:rsidP="00901897">
      <w:pPr>
        <w:pStyle w:val="ListParagraph"/>
        <w:numPr>
          <w:ilvl w:val="1"/>
          <w:numId w:val="50"/>
        </w:numPr>
        <w:spacing w:line="240" w:lineRule="auto"/>
      </w:pPr>
      <w:r>
        <w:t xml:space="preserve">a description of </w:t>
      </w:r>
      <w:r w:rsidR="004D11C4">
        <w:t>each</w:t>
      </w:r>
      <w:r>
        <w:t xml:space="preserve"> area removed and the</w:t>
      </w:r>
      <w:r w:rsidR="005C1619">
        <w:t xml:space="preserve"> date of removal</w:t>
      </w:r>
      <w:r w:rsidR="007D107E">
        <w:t xml:space="preserve"> </w:t>
      </w:r>
      <w:r w:rsidR="005C1619">
        <w:t xml:space="preserve">each map </w:t>
      </w:r>
      <w:r w:rsidR="004D11C4">
        <w:t>area</w:t>
      </w:r>
      <w:r w:rsidR="005C1619">
        <w:t>;</w:t>
      </w:r>
      <w:r w:rsidR="005F3901">
        <w:t xml:space="preserve"> and</w:t>
      </w:r>
    </w:p>
    <w:p w14:paraId="79654580" w14:textId="4E67CF26" w:rsidR="00B92CFD" w:rsidRDefault="00B92CFD" w:rsidP="004A7133">
      <w:pPr>
        <w:pStyle w:val="subsection"/>
        <w:numPr>
          <w:ilvl w:val="1"/>
          <w:numId w:val="50"/>
        </w:numPr>
        <w:spacing w:before="0"/>
      </w:pPr>
      <w:r>
        <w:t>the portion of the cumulative net abatement amount that was attributable to sequestration in the removed project area up to the end of the year before the project area was removed, as calculated in accordance with section 1</w:t>
      </w:r>
      <w:r w:rsidR="00EA0B8C">
        <w:t>0</w:t>
      </w:r>
      <w:r>
        <w:t xml:space="preserve"> of Schedule 2.</w:t>
      </w:r>
    </w:p>
    <w:p w14:paraId="40555379" w14:textId="6FF73EE0" w:rsidR="00DA1B58" w:rsidRDefault="00C32C8E" w:rsidP="004A7133">
      <w:pPr>
        <w:pStyle w:val="subsection"/>
        <w:numPr>
          <w:ilvl w:val="0"/>
          <w:numId w:val="50"/>
        </w:numPr>
        <w:spacing w:before="0"/>
      </w:pPr>
      <w:r>
        <w:t xml:space="preserve">If, in the circumstances described in paragraph </w:t>
      </w:r>
      <w:r w:rsidR="00E3248B">
        <w:t>9</w:t>
      </w:r>
      <w:r>
        <w:t xml:space="preserve">(2)(b), a factor or parameter is defined or calculated for a reporting period by reference to an instrument or writing as in force from time to time, the offsets report about the project for the </w:t>
      </w:r>
      <w:r>
        <w:lastRenderedPageBreak/>
        <w:t>reporting period must include the following information for the factor or parameter:</w:t>
      </w:r>
    </w:p>
    <w:p w14:paraId="7D987FF8" w14:textId="431CAC78" w:rsidR="00DA1B58" w:rsidRDefault="00DA1B58" w:rsidP="004A7133">
      <w:pPr>
        <w:pStyle w:val="ListParagraph"/>
        <w:numPr>
          <w:ilvl w:val="1"/>
          <w:numId w:val="50"/>
        </w:numPr>
        <w:spacing w:line="240" w:lineRule="auto"/>
      </w:pPr>
      <w:r>
        <w:t xml:space="preserve">the versions of the instrument or writing </w:t>
      </w:r>
      <w:proofErr w:type="gramStart"/>
      <w:r>
        <w:t>used;</w:t>
      </w:r>
      <w:proofErr w:type="gramEnd"/>
    </w:p>
    <w:p w14:paraId="04C342CD" w14:textId="77777777" w:rsidR="00DA1B58" w:rsidRDefault="00DA1B58" w:rsidP="004A7133">
      <w:pPr>
        <w:pStyle w:val="ListParagraph"/>
        <w:numPr>
          <w:ilvl w:val="1"/>
          <w:numId w:val="50"/>
        </w:numPr>
        <w:spacing w:line="240" w:lineRule="auto"/>
      </w:pPr>
      <w:r>
        <w:t xml:space="preserve">the start and end dates of each </w:t>
      </w:r>
      <w:proofErr w:type="gramStart"/>
      <w:r>
        <w:t>use;</w:t>
      </w:r>
      <w:proofErr w:type="gramEnd"/>
    </w:p>
    <w:p w14:paraId="371E256A" w14:textId="498808E5" w:rsidR="00B32CCD" w:rsidRDefault="00DA1B58" w:rsidP="007B2786">
      <w:pPr>
        <w:pStyle w:val="ListParagraph"/>
        <w:numPr>
          <w:ilvl w:val="1"/>
          <w:numId w:val="50"/>
        </w:numPr>
        <w:spacing w:line="240" w:lineRule="auto"/>
      </w:pPr>
      <w:r>
        <w:t>the reasons why it was not possible to define or calculate the factor or parameter by reference to the instrument or writing as in force at the end of the reporting period.</w:t>
      </w:r>
    </w:p>
    <w:p w14:paraId="6C0F494D" w14:textId="70F37F0E" w:rsidR="002852AB" w:rsidRDefault="002852AB" w:rsidP="004A7133">
      <w:pPr>
        <w:pStyle w:val="subsection"/>
        <w:numPr>
          <w:ilvl w:val="0"/>
          <w:numId w:val="50"/>
        </w:numPr>
        <w:spacing w:before="0"/>
      </w:pPr>
      <w:r>
        <w:t>If, during the reporting period, a relevant weed species is detected in any project area, the offsets report must include, for each such project area:</w:t>
      </w:r>
    </w:p>
    <w:p w14:paraId="217C0BBB" w14:textId="1032642C" w:rsidR="002852AB" w:rsidRDefault="002852AB" w:rsidP="004A7133">
      <w:pPr>
        <w:pStyle w:val="subsection"/>
        <w:numPr>
          <w:ilvl w:val="1"/>
          <w:numId w:val="50"/>
        </w:numPr>
        <w:spacing w:before="0"/>
      </w:pPr>
      <w:r>
        <w:t xml:space="preserve">a statement of that fact; </w:t>
      </w:r>
      <w:r w:rsidR="00407A79">
        <w:t>and</w:t>
      </w:r>
    </w:p>
    <w:p w14:paraId="62BF762C" w14:textId="12C5052F" w:rsidR="00FC5B01" w:rsidRDefault="00FC5B01" w:rsidP="004A7133">
      <w:pPr>
        <w:pStyle w:val="subsection"/>
        <w:numPr>
          <w:ilvl w:val="1"/>
          <w:numId w:val="50"/>
        </w:numPr>
        <w:spacing w:before="0"/>
      </w:pPr>
      <w:r>
        <w:t>the location of</w:t>
      </w:r>
      <w:r w:rsidR="0015381E">
        <w:t xml:space="preserve"> weed-affected areas in geospatial format;</w:t>
      </w:r>
      <w:r w:rsidR="00407A79">
        <w:t xml:space="preserve"> and</w:t>
      </w:r>
    </w:p>
    <w:p w14:paraId="51D171BB" w14:textId="567FEFF6" w:rsidR="005D069D" w:rsidRDefault="005D069D" w:rsidP="004A7133">
      <w:pPr>
        <w:pStyle w:val="subsection"/>
        <w:numPr>
          <w:ilvl w:val="1"/>
          <w:numId w:val="50"/>
        </w:numPr>
        <w:spacing w:before="0"/>
      </w:pPr>
      <w:r>
        <w:t>evidence of when and how the we</w:t>
      </w:r>
      <w:r w:rsidR="0074488F">
        <w:t>e</w:t>
      </w:r>
      <w:r>
        <w:t xml:space="preserve">d species was </w:t>
      </w:r>
      <w:r w:rsidR="0074488F">
        <w:t xml:space="preserve">first </w:t>
      </w:r>
      <w:r>
        <w:t>treated</w:t>
      </w:r>
      <w:r w:rsidR="0074488F">
        <w:t>;</w:t>
      </w:r>
      <w:r>
        <w:t xml:space="preserve"> </w:t>
      </w:r>
      <w:r w:rsidR="00407A79">
        <w:t>and</w:t>
      </w:r>
    </w:p>
    <w:p w14:paraId="64188B48" w14:textId="6A329FBA" w:rsidR="00FC5B01" w:rsidRDefault="0074488F" w:rsidP="004A7133">
      <w:pPr>
        <w:pStyle w:val="subsection"/>
        <w:numPr>
          <w:ilvl w:val="1"/>
          <w:numId w:val="50"/>
        </w:numPr>
        <w:spacing w:before="0"/>
      </w:pPr>
      <w:r>
        <w:t>evidence of continu</w:t>
      </w:r>
      <w:r w:rsidR="00FC5B01">
        <w:t>ing treatment of the weed species;</w:t>
      </w:r>
      <w:r w:rsidR="00407A79">
        <w:t xml:space="preserve"> and</w:t>
      </w:r>
    </w:p>
    <w:p w14:paraId="665F95AB" w14:textId="4565F57F" w:rsidR="002852AB" w:rsidRDefault="0059693C" w:rsidP="004A7133">
      <w:pPr>
        <w:pStyle w:val="subsection"/>
        <w:numPr>
          <w:ilvl w:val="1"/>
          <w:numId w:val="50"/>
        </w:numPr>
        <w:spacing w:before="0"/>
      </w:pPr>
      <w:proofErr w:type="gramStart"/>
      <w:r>
        <w:t>if and when</w:t>
      </w:r>
      <w:proofErr w:type="gramEnd"/>
      <w:r>
        <w:t xml:space="preserve"> the weed species is eradicated</w:t>
      </w:r>
      <w:r w:rsidR="009E4D59">
        <w:t>, a statement of that fact and evidence to support that fact</w:t>
      </w:r>
      <w:r w:rsidR="00A761DF">
        <w:t>; and</w:t>
      </w:r>
    </w:p>
    <w:p w14:paraId="7B976071" w14:textId="3481ED20" w:rsidR="002852AB" w:rsidRDefault="00A761DF" w:rsidP="004A7133">
      <w:pPr>
        <w:pStyle w:val="subsection"/>
        <w:numPr>
          <w:ilvl w:val="1"/>
          <w:numId w:val="50"/>
        </w:numPr>
        <w:spacing w:before="0"/>
      </w:pPr>
      <w:r>
        <w:t>if any area if removed form a project because of the detection of weed species, details of that removal.</w:t>
      </w:r>
    </w:p>
    <w:p w14:paraId="16C292C0" w14:textId="77777777" w:rsidR="002852AB" w:rsidRDefault="002852AB" w:rsidP="00A761DF">
      <w:pPr>
        <w:pStyle w:val="subsection"/>
        <w:spacing w:before="0"/>
        <w:ind w:left="0" w:firstLine="0"/>
      </w:pPr>
    </w:p>
    <w:p w14:paraId="3D7E8040" w14:textId="56DD0948" w:rsidR="00F60DB1" w:rsidRDefault="00F60DB1" w:rsidP="004A7133">
      <w:pPr>
        <w:pStyle w:val="subsection"/>
        <w:numPr>
          <w:ilvl w:val="0"/>
          <w:numId w:val="50"/>
        </w:numPr>
        <w:spacing w:before="0"/>
      </w:pPr>
      <w:r w:rsidRPr="00CB2048">
        <w:t xml:space="preserve">For </w:t>
      </w:r>
      <w:r w:rsidR="009A5358">
        <w:t>the purposes of</w:t>
      </w:r>
      <w:r w:rsidRPr="00CB2048">
        <w:t xml:space="preserve"> this section, </w:t>
      </w:r>
      <w:r w:rsidRPr="00CB2048">
        <w:rPr>
          <w:b/>
          <w:bCs/>
          <w:i/>
          <w:iCs/>
        </w:rPr>
        <w:t>ERF audit report</w:t>
      </w:r>
      <w:r w:rsidRPr="00CB2048">
        <w:rPr>
          <w:b/>
          <w:bCs/>
        </w:rPr>
        <w:t> </w:t>
      </w:r>
      <w:r w:rsidRPr="00CB2048">
        <w:t>has the same meaning as it has in the </w:t>
      </w:r>
      <w:r w:rsidRPr="00CB2048">
        <w:rPr>
          <w:i/>
          <w:iCs/>
        </w:rPr>
        <w:t>National Greenhouse and Energy Reporting Act 2007</w:t>
      </w:r>
      <w:r w:rsidRPr="00CB2048">
        <w:t>.</w:t>
      </w:r>
    </w:p>
    <w:p w14:paraId="2CED6603" w14:textId="44A92751" w:rsidR="00BE1AA0" w:rsidRPr="00171E3E" w:rsidRDefault="00C40EB1" w:rsidP="00867A6B">
      <w:pPr>
        <w:pStyle w:val="ActHead3"/>
      </w:pPr>
      <w:bookmarkStart w:id="69" w:name="_Toc202953836"/>
      <w:r>
        <w:t>D</w:t>
      </w:r>
      <w:r w:rsidR="00BE1AA0" w:rsidRPr="009D2663">
        <w:t xml:space="preserve">ivision </w:t>
      </w:r>
      <w:r w:rsidR="00BE1AA0">
        <w:t>2</w:t>
      </w:r>
      <w:r w:rsidR="00BE1AA0" w:rsidRPr="00FD6A3B">
        <w:t>—</w:t>
      </w:r>
      <w:r w:rsidR="00BA4912" w:rsidRPr="00BA4912">
        <w:t>Record</w:t>
      </w:r>
      <w:r w:rsidR="00BA4912" w:rsidRPr="00BA4912">
        <w:noBreakHyphen/>
        <w:t>keeping requirements</w:t>
      </w:r>
      <w:bookmarkEnd w:id="69"/>
    </w:p>
    <w:p w14:paraId="1DA063BD" w14:textId="3AFB77E6" w:rsidR="00BA4912" w:rsidRPr="0063186B" w:rsidRDefault="00406943" w:rsidP="00882603">
      <w:pPr>
        <w:pStyle w:val="ActHead5"/>
        <w:ind w:left="0" w:firstLine="0"/>
      </w:pPr>
      <w:bookmarkStart w:id="70" w:name="_Toc202953837"/>
      <w:r w:rsidRPr="0063186B">
        <w:t>37</w:t>
      </w:r>
      <w:r w:rsidR="00882603" w:rsidRPr="0063186B">
        <w:t xml:space="preserve">   </w:t>
      </w:r>
      <w:r w:rsidR="00BA4912" w:rsidRPr="0063186B">
        <w:rPr>
          <w:bCs/>
          <w:color w:val="000000"/>
        </w:rPr>
        <w:t>Operation of this Division</w:t>
      </w:r>
      <w:bookmarkEnd w:id="70"/>
    </w:p>
    <w:p w14:paraId="2D1F1484" w14:textId="66C672C6" w:rsidR="00BA4912" w:rsidRDefault="00BA4912" w:rsidP="00BA4912">
      <w:pPr>
        <w:pStyle w:val="tmain"/>
        <w:spacing w:before="180" w:beforeAutospacing="0" w:after="0" w:afterAutospacing="0"/>
        <w:ind w:left="1134" w:hanging="1134"/>
        <w:rPr>
          <w:color w:val="000000"/>
          <w:sz w:val="22"/>
          <w:szCs w:val="22"/>
        </w:rPr>
      </w:pPr>
      <w:r>
        <w:rPr>
          <w:color w:val="000000"/>
          <w:sz w:val="22"/>
          <w:szCs w:val="22"/>
        </w:rPr>
        <w:t> </w:t>
      </w:r>
      <w:r>
        <w:rPr>
          <w:color w:val="000000"/>
          <w:sz w:val="22"/>
          <w:szCs w:val="22"/>
        </w:rPr>
        <w:tab/>
        <w:t xml:space="preserve">For </w:t>
      </w:r>
      <w:r w:rsidR="0047263D">
        <w:rPr>
          <w:color w:val="000000"/>
          <w:szCs w:val="22"/>
        </w:rPr>
        <w:t>the purposes of</w:t>
      </w:r>
      <w:r>
        <w:rPr>
          <w:color w:val="000000"/>
          <w:szCs w:val="22"/>
        </w:rPr>
        <w:t xml:space="preserve"> </w:t>
      </w:r>
      <w:r>
        <w:rPr>
          <w:color w:val="000000"/>
          <w:sz w:val="22"/>
          <w:szCs w:val="22"/>
        </w:rPr>
        <w:t>paragraph 106(3)(c) of the Act, this Division sets out record</w:t>
      </w:r>
      <w:r>
        <w:rPr>
          <w:color w:val="000000"/>
          <w:sz w:val="22"/>
          <w:szCs w:val="22"/>
        </w:rPr>
        <w:noBreakHyphen/>
        <w:t>keeping requirements for a savanna sequestration project that is an eligible offsets project.</w:t>
      </w:r>
    </w:p>
    <w:p w14:paraId="7A706EEB" w14:textId="79035D40" w:rsidR="00BA4912" w:rsidRDefault="00BA4912" w:rsidP="007B2786">
      <w:pPr>
        <w:pStyle w:val="nmain"/>
        <w:spacing w:before="120" w:beforeAutospacing="0" w:after="0" w:afterAutospacing="0"/>
        <w:ind w:left="414" w:firstLine="720"/>
        <w:rPr>
          <w:color w:val="000000"/>
          <w:sz w:val="18"/>
          <w:szCs w:val="18"/>
        </w:rPr>
      </w:pPr>
      <w:r>
        <w:rPr>
          <w:color w:val="000000"/>
          <w:sz w:val="18"/>
          <w:szCs w:val="18"/>
        </w:rPr>
        <w:t>Note:</w:t>
      </w:r>
      <w:r w:rsidR="00B170E2">
        <w:rPr>
          <w:color w:val="000000"/>
          <w:sz w:val="18"/>
          <w:szCs w:val="18"/>
        </w:rPr>
        <w:tab/>
      </w:r>
      <w:r>
        <w:rPr>
          <w:color w:val="000000"/>
          <w:sz w:val="18"/>
          <w:szCs w:val="18"/>
        </w:rPr>
        <w:t>Other record</w:t>
      </w:r>
      <w:r>
        <w:rPr>
          <w:color w:val="000000"/>
          <w:sz w:val="18"/>
          <w:szCs w:val="18"/>
        </w:rPr>
        <w:noBreakHyphen/>
        <w:t>keeping requirements are set out in the CFI Rule.</w:t>
      </w:r>
    </w:p>
    <w:p w14:paraId="4FEDA5B4" w14:textId="762A11CA" w:rsidR="00864853" w:rsidRPr="0063186B" w:rsidRDefault="00406943" w:rsidP="00097946">
      <w:pPr>
        <w:pStyle w:val="ActHead5"/>
        <w:ind w:left="0" w:firstLine="0"/>
      </w:pPr>
      <w:bookmarkStart w:id="71" w:name="_Toc202953838"/>
      <w:r w:rsidRPr="0063186B">
        <w:t>38</w:t>
      </w:r>
      <w:r w:rsidR="00097946" w:rsidRPr="0063186B">
        <w:t xml:space="preserve">   </w:t>
      </w:r>
      <w:r w:rsidR="00864853" w:rsidRPr="0063186B">
        <w:rPr>
          <w:bCs/>
          <w:color w:val="000000"/>
        </w:rPr>
        <w:t>Record</w:t>
      </w:r>
      <w:r w:rsidR="00864853" w:rsidRPr="0063186B">
        <w:rPr>
          <w:bCs/>
          <w:color w:val="000000"/>
        </w:rPr>
        <w:noBreakHyphen/>
        <w:t>keeping requirements</w:t>
      </w:r>
      <w:bookmarkEnd w:id="71"/>
    </w:p>
    <w:p w14:paraId="0B2A4747" w14:textId="77777777" w:rsidR="005335F1" w:rsidRDefault="00AB6C51" w:rsidP="005335F1">
      <w:pPr>
        <w:pStyle w:val="tmain"/>
        <w:spacing w:before="240" w:beforeAutospacing="0" w:after="0" w:afterAutospacing="0"/>
        <w:ind w:left="1140"/>
        <w:rPr>
          <w:color w:val="000000"/>
          <w:sz w:val="22"/>
          <w:szCs w:val="22"/>
        </w:rPr>
      </w:pPr>
      <w:r>
        <w:rPr>
          <w:color w:val="000000"/>
          <w:sz w:val="22"/>
          <w:szCs w:val="22"/>
        </w:rPr>
        <w:t>T</w:t>
      </w:r>
      <w:r w:rsidR="00864853">
        <w:rPr>
          <w:color w:val="000000"/>
          <w:sz w:val="22"/>
          <w:szCs w:val="22"/>
        </w:rPr>
        <w:t>he project proponent must retain records of:</w:t>
      </w:r>
    </w:p>
    <w:p w14:paraId="785CAE8E" w14:textId="24F4A6F8" w:rsidR="00864853" w:rsidRDefault="00864853" w:rsidP="004A7133">
      <w:pPr>
        <w:pStyle w:val="tmain"/>
        <w:numPr>
          <w:ilvl w:val="1"/>
          <w:numId w:val="27"/>
        </w:numPr>
        <w:spacing w:before="0" w:beforeAutospacing="0" w:after="0" w:afterAutospacing="0"/>
        <w:rPr>
          <w:color w:val="000000"/>
          <w:sz w:val="22"/>
          <w:szCs w:val="22"/>
        </w:rPr>
      </w:pPr>
      <w:r>
        <w:rPr>
          <w:color w:val="000000"/>
          <w:sz w:val="22"/>
          <w:szCs w:val="22"/>
        </w:rPr>
        <w:t>each </w:t>
      </w:r>
      <w:proofErr w:type="spellStart"/>
      <w:r>
        <w:rPr>
          <w:color w:val="000000"/>
          <w:sz w:val="22"/>
          <w:szCs w:val="22"/>
        </w:rPr>
        <w:t>Sav</w:t>
      </w:r>
      <w:r w:rsidR="00AB6C51">
        <w:rPr>
          <w:color w:val="000000"/>
          <w:sz w:val="22"/>
          <w:szCs w:val="22"/>
        </w:rPr>
        <w:t>CAM</w:t>
      </w:r>
      <w:proofErr w:type="spellEnd"/>
      <w:r>
        <w:rPr>
          <w:color w:val="000000"/>
          <w:sz w:val="22"/>
          <w:szCs w:val="22"/>
        </w:rPr>
        <w:t xml:space="preserve"> record</w:t>
      </w:r>
      <w:r>
        <w:rPr>
          <w:color w:val="000000"/>
          <w:sz w:val="22"/>
          <w:szCs w:val="22"/>
        </w:rPr>
        <w:noBreakHyphen/>
        <w:t>keeping report; and</w:t>
      </w:r>
    </w:p>
    <w:p w14:paraId="3F6A751C" w14:textId="3DE77E5E" w:rsidR="008B46C9" w:rsidRPr="00097946" w:rsidRDefault="00864853" w:rsidP="004A7133">
      <w:pPr>
        <w:pStyle w:val="tmain"/>
        <w:numPr>
          <w:ilvl w:val="1"/>
          <w:numId w:val="27"/>
        </w:numPr>
        <w:spacing w:before="0" w:beforeAutospacing="0" w:after="0" w:afterAutospacing="0"/>
        <w:rPr>
          <w:color w:val="000000"/>
          <w:sz w:val="22"/>
          <w:szCs w:val="22"/>
        </w:rPr>
      </w:pPr>
      <w:r w:rsidRPr="00864853">
        <w:rPr>
          <w:color w:val="000000"/>
          <w:sz w:val="22"/>
          <w:szCs w:val="22"/>
        </w:rPr>
        <w:t>all data files that were used when calculating the net abatement amount.</w:t>
      </w:r>
    </w:p>
    <w:p w14:paraId="09F69627" w14:textId="05704742" w:rsidR="00EC09C0" w:rsidRPr="00171E3E" w:rsidRDefault="00EC09C0" w:rsidP="00867A6B">
      <w:pPr>
        <w:pStyle w:val="ActHead3"/>
      </w:pPr>
      <w:bookmarkStart w:id="72" w:name="_Toc202953839"/>
      <w:r w:rsidRPr="009D2663">
        <w:t xml:space="preserve">Division </w:t>
      </w:r>
      <w:r>
        <w:t>3</w:t>
      </w:r>
      <w:r w:rsidRPr="00FD6A3B">
        <w:t>—</w:t>
      </w:r>
      <w:r w:rsidR="004128C9" w:rsidRPr="004128C9">
        <w:rPr>
          <w:rFonts w:eastAsiaTheme="minorHAnsi" w:cstheme="minorBidi"/>
          <w:kern w:val="0"/>
          <w:sz w:val="22"/>
          <w:lang w:eastAsia="en-US"/>
        </w:rPr>
        <w:t xml:space="preserve"> </w:t>
      </w:r>
      <w:r w:rsidR="004128C9" w:rsidRPr="004128C9">
        <w:t>Monitoring requirements</w:t>
      </w:r>
      <w:bookmarkEnd w:id="72"/>
    </w:p>
    <w:p w14:paraId="007F1003" w14:textId="0C199604" w:rsidR="00B711EC" w:rsidRPr="0063186B" w:rsidRDefault="00406943" w:rsidP="00B711EC">
      <w:pPr>
        <w:pStyle w:val="ActHead5"/>
        <w:ind w:left="0" w:firstLine="0"/>
      </w:pPr>
      <w:bookmarkStart w:id="73" w:name="_Toc193265654"/>
      <w:bookmarkStart w:id="74" w:name="_Toc202953840"/>
      <w:r w:rsidRPr="0063186B">
        <w:t>39</w:t>
      </w:r>
      <w:r w:rsidR="00B711EC" w:rsidRPr="0063186B">
        <w:t xml:space="preserve">   Operation of this Division</w:t>
      </w:r>
      <w:bookmarkEnd w:id="73"/>
      <w:bookmarkEnd w:id="74"/>
    </w:p>
    <w:p w14:paraId="0384AFA4" w14:textId="7EC9807C" w:rsidR="001A3F08" w:rsidRDefault="001A3F08" w:rsidP="001A3F08">
      <w:pPr>
        <w:pStyle w:val="tmain"/>
        <w:spacing w:before="180" w:beforeAutospacing="0" w:after="0" w:afterAutospacing="0"/>
        <w:ind w:left="1134" w:hanging="1134"/>
        <w:rPr>
          <w:color w:val="000000"/>
          <w:sz w:val="22"/>
          <w:szCs w:val="22"/>
        </w:rPr>
      </w:pPr>
      <w:r>
        <w:rPr>
          <w:color w:val="000000"/>
          <w:sz w:val="22"/>
          <w:szCs w:val="22"/>
        </w:rPr>
        <w:t> </w:t>
      </w:r>
      <w:r>
        <w:rPr>
          <w:color w:val="000000"/>
          <w:sz w:val="22"/>
          <w:szCs w:val="22"/>
        </w:rPr>
        <w:tab/>
        <w:t xml:space="preserve">For </w:t>
      </w:r>
      <w:r w:rsidR="0047263D">
        <w:rPr>
          <w:color w:val="000000"/>
          <w:szCs w:val="22"/>
        </w:rPr>
        <w:t>the purposes of</w:t>
      </w:r>
      <w:r>
        <w:rPr>
          <w:color w:val="000000"/>
          <w:szCs w:val="22"/>
        </w:rPr>
        <w:t xml:space="preserve"> </w:t>
      </w:r>
      <w:r>
        <w:rPr>
          <w:color w:val="000000"/>
          <w:sz w:val="22"/>
          <w:szCs w:val="22"/>
        </w:rPr>
        <w:t>paragraph 106(3)(d) of the Act, this Division sets out monitoring requirements for a savanna sequestration project that is an eligible offsets project.</w:t>
      </w:r>
    </w:p>
    <w:p w14:paraId="1452E898" w14:textId="2A7B4FE7" w:rsidR="001A3F08" w:rsidRDefault="001A3F08" w:rsidP="007B2786">
      <w:pPr>
        <w:pStyle w:val="nmain"/>
        <w:spacing w:before="120" w:beforeAutospacing="0" w:after="0" w:afterAutospacing="0"/>
        <w:ind w:left="414" w:firstLine="720"/>
        <w:rPr>
          <w:color w:val="000000"/>
          <w:sz w:val="18"/>
          <w:szCs w:val="18"/>
        </w:rPr>
      </w:pPr>
      <w:r>
        <w:rPr>
          <w:color w:val="000000"/>
          <w:sz w:val="18"/>
          <w:szCs w:val="18"/>
        </w:rPr>
        <w:t>Note: </w:t>
      </w:r>
      <w:r w:rsidR="00B170E2">
        <w:rPr>
          <w:color w:val="000000"/>
          <w:sz w:val="18"/>
          <w:szCs w:val="18"/>
        </w:rPr>
        <w:tab/>
      </w:r>
      <w:r>
        <w:rPr>
          <w:color w:val="000000"/>
          <w:sz w:val="18"/>
          <w:szCs w:val="18"/>
        </w:rPr>
        <w:t>Other monitoring requirements are set out in the CFI Rule.</w:t>
      </w:r>
    </w:p>
    <w:p w14:paraId="18F04D49" w14:textId="5AC784EE" w:rsidR="008D7F8F" w:rsidRPr="0063186B" w:rsidRDefault="00406943" w:rsidP="00235007">
      <w:pPr>
        <w:pStyle w:val="ActHead5"/>
        <w:ind w:left="0" w:firstLine="0"/>
      </w:pPr>
      <w:bookmarkStart w:id="75" w:name="_Toc202953841"/>
      <w:r w:rsidRPr="0063186B">
        <w:lastRenderedPageBreak/>
        <w:t>40</w:t>
      </w:r>
      <w:r w:rsidR="00235007" w:rsidRPr="0063186B">
        <w:t xml:space="preserve">   </w:t>
      </w:r>
      <w:r w:rsidR="008D7F8F" w:rsidRPr="0063186B">
        <w:rPr>
          <w:bCs/>
          <w:color w:val="000000"/>
          <w:szCs w:val="24"/>
        </w:rPr>
        <w:t>Monitoring requirements</w:t>
      </w:r>
      <w:bookmarkEnd w:id="75"/>
    </w:p>
    <w:p w14:paraId="55D1B9C4" w14:textId="0667C02F" w:rsidR="008D7F8F" w:rsidRPr="008D7F8F" w:rsidRDefault="008D7F8F" w:rsidP="008D7F8F">
      <w:pPr>
        <w:spacing w:before="180" w:after="120" w:line="240" w:lineRule="auto"/>
        <w:ind w:left="1134" w:hanging="1134"/>
        <w:rPr>
          <w:rFonts w:eastAsia="Times New Roman" w:cs="Times New Roman"/>
          <w:color w:val="000000"/>
          <w:szCs w:val="22"/>
          <w:lang w:eastAsia="en-AU"/>
        </w:rPr>
      </w:pPr>
      <w:r w:rsidRPr="008D7F8F">
        <w:rPr>
          <w:rFonts w:eastAsia="Times New Roman" w:cs="Times New Roman"/>
          <w:color w:val="000000"/>
          <w:szCs w:val="22"/>
          <w:lang w:eastAsia="en-AU"/>
        </w:rPr>
        <w:t>  </w:t>
      </w:r>
      <w:r>
        <w:rPr>
          <w:rFonts w:eastAsia="Times New Roman" w:cs="Times New Roman"/>
          <w:color w:val="000000"/>
          <w:szCs w:val="22"/>
          <w:lang w:eastAsia="en-AU"/>
        </w:rPr>
        <w:tab/>
      </w:r>
      <w:r w:rsidRPr="008D7F8F">
        <w:rPr>
          <w:rFonts w:eastAsia="Times New Roman" w:cs="Times New Roman"/>
          <w:color w:val="000000"/>
          <w:szCs w:val="22"/>
          <w:lang w:eastAsia="en-AU"/>
        </w:rPr>
        <w:t>The project proponent for a savanna sequestration project must comply with the monitoring requirements set out in the following table in accordance with the instructions given in the table.</w:t>
      </w:r>
    </w:p>
    <w:tbl>
      <w:tblPr>
        <w:tblW w:w="0" w:type="auto"/>
        <w:tblInd w:w="113" w:type="dxa"/>
        <w:tblCellMar>
          <w:left w:w="0" w:type="dxa"/>
          <w:right w:w="0" w:type="dxa"/>
        </w:tblCellMar>
        <w:tblLook w:val="04A0" w:firstRow="1" w:lastRow="0" w:firstColumn="1" w:lastColumn="0" w:noHBand="0" w:noVBand="1"/>
      </w:tblPr>
      <w:tblGrid>
        <w:gridCol w:w="616"/>
        <w:gridCol w:w="1599"/>
        <w:gridCol w:w="3298"/>
        <w:gridCol w:w="2687"/>
      </w:tblGrid>
      <w:tr w:rsidR="008D7F8F" w:rsidRPr="008D7F8F" w14:paraId="7F30EA1A" w14:textId="77777777" w:rsidTr="00247BA1">
        <w:trPr>
          <w:tblHeader/>
        </w:trPr>
        <w:tc>
          <w:tcPr>
            <w:tcW w:w="0" w:type="auto"/>
            <w:gridSpan w:val="4"/>
            <w:tcBorders>
              <w:top w:val="single" w:sz="12" w:space="0" w:color="000000"/>
              <w:bottom w:val="single" w:sz="6" w:space="0" w:color="000000"/>
            </w:tcBorders>
            <w:tcMar>
              <w:top w:w="0" w:type="dxa"/>
              <w:left w:w="108" w:type="dxa"/>
              <w:bottom w:w="0" w:type="dxa"/>
              <w:right w:w="108" w:type="dxa"/>
            </w:tcMar>
            <w:hideMark/>
          </w:tcPr>
          <w:p w14:paraId="69D082A5" w14:textId="77777777" w:rsidR="008D7F8F" w:rsidRPr="008D7F8F" w:rsidRDefault="008D7F8F" w:rsidP="008D7F8F">
            <w:pPr>
              <w:spacing w:before="60" w:line="240" w:lineRule="atLeast"/>
              <w:rPr>
                <w:rFonts w:eastAsia="Times New Roman" w:cs="Times New Roman"/>
                <w:b/>
                <w:bCs/>
                <w:color w:val="000000"/>
                <w:sz w:val="20"/>
                <w:lang w:eastAsia="en-AU"/>
              </w:rPr>
            </w:pPr>
            <w:r w:rsidRPr="008D7F8F">
              <w:rPr>
                <w:rFonts w:eastAsia="Times New Roman" w:cs="Times New Roman"/>
                <w:b/>
                <w:bCs/>
                <w:color w:val="000000"/>
                <w:sz w:val="20"/>
                <w:lang w:eastAsia="en-AU"/>
              </w:rPr>
              <w:t>Monitoring requirements</w:t>
            </w:r>
          </w:p>
        </w:tc>
      </w:tr>
      <w:tr w:rsidR="008D7F8F" w:rsidRPr="008D7F8F" w14:paraId="019DE18A" w14:textId="77777777" w:rsidTr="00247BA1">
        <w:trPr>
          <w:tblHeader/>
        </w:trPr>
        <w:tc>
          <w:tcPr>
            <w:tcW w:w="0" w:type="auto"/>
            <w:tcBorders>
              <w:top w:val="single" w:sz="6" w:space="0" w:color="000000"/>
              <w:bottom w:val="single" w:sz="12" w:space="0" w:color="000000"/>
            </w:tcBorders>
            <w:tcMar>
              <w:top w:w="0" w:type="dxa"/>
              <w:left w:w="108" w:type="dxa"/>
              <w:bottom w:w="0" w:type="dxa"/>
              <w:right w:w="108" w:type="dxa"/>
            </w:tcMar>
            <w:hideMark/>
          </w:tcPr>
          <w:p w14:paraId="1291D272" w14:textId="77777777" w:rsidR="008D7F8F" w:rsidRPr="008D7F8F" w:rsidRDefault="008D7F8F" w:rsidP="008D7F8F">
            <w:pPr>
              <w:spacing w:before="60" w:line="240" w:lineRule="atLeast"/>
              <w:rPr>
                <w:rFonts w:eastAsia="Times New Roman" w:cs="Times New Roman"/>
                <w:b/>
                <w:bCs/>
                <w:color w:val="000000"/>
                <w:sz w:val="20"/>
                <w:lang w:eastAsia="en-AU"/>
              </w:rPr>
            </w:pPr>
            <w:r w:rsidRPr="008D7F8F">
              <w:rPr>
                <w:rFonts w:eastAsia="Times New Roman" w:cs="Times New Roman"/>
                <w:b/>
                <w:bCs/>
                <w:color w:val="000000"/>
                <w:sz w:val="20"/>
                <w:lang w:eastAsia="en-AU"/>
              </w:rPr>
              <w:t>Item</w:t>
            </w:r>
          </w:p>
        </w:tc>
        <w:tc>
          <w:tcPr>
            <w:tcW w:w="1599" w:type="dxa"/>
            <w:tcBorders>
              <w:top w:val="single" w:sz="6" w:space="0" w:color="000000"/>
              <w:bottom w:val="single" w:sz="12" w:space="0" w:color="000000"/>
            </w:tcBorders>
            <w:tcMar>
              <w:top w:w="0" w:type="dxa"/>
              <w:left w:w="108" w:type="dxa"/>
              <w:bottom w:w="0" w:type="dxa"/>
              <w:right w:w="108" w:type="dxa"/>
            </w:tcMar>
            <w:hideMark/>
          </w:tcPr>
          <w:p w14:paraId="7F432192" w14:textId="77777777" w:rsidR="008D7F8F" w:rsidRPr="008D7F8F" w:rsidRDefault="008D7F8F" w:rsidP="008D7F8F">
            <w:pPr>
              <w:spacing w:before="60" w:line="240" w:lineRule="atLeast"/>
              <w:rPr>
                <w:rFonts w:eastAsia="Times New Roman" w:cs="Times New Roman"/>
                <w:b/>
                <w:bCs/>
                <w:color w:val="000000"/>
                <w:sz w:val="20"/>
                <w:lang w:eastAsia="en-AU"/>
              </w:rPr>
            </w:pPr>
            <w:r w:rsidRPr="008D7F8F">
              <w:rPr>
                <w:rFonts w:eastAsia="Times New Roman" w:cs="Times New Roman"/>
                <w:b/>
                <w:bCs/>
                <w:color w:val="000000"/>
                <w:sz w:val="20"/>
                <w:lang w:eastAsia="en-AU"/>
              </w:rPr>
              <w:t>Requirement</w:t>
            </w:r>
          </w:p>
        </w:tc>
        <w:tc>
          <w:tcPr>
            <w:tcW w:w="3298" w:type="dxa"/>
            <w:tcBorders>
              <w:top w:val="single" w:sz="6" w:space="0" w:color="000000"/>
              <w:bottom w:val="single" w:sz="12" w:space="0" w:color="000000"/>
            </w:tcBorders>
            <w:tcMar>
              <w:top w:w="0" w:type="dxa"/>
              <w:left w:w="108" w:type="dxa"/>
              <w:bottom w:w="0" w:type="dxa"/>
              <w:right w:w="108" w:type="dxa"/>
            </w:tcMar>
            <w:hideMark/>
          </w:tcPr>
          <w:p w14:paraId="4D6BED27" w14:textId="77777777" w:rsidR="008D7F8F" w:rsidRPr="008D7F8F" w:rsidRDefault="008D7F8F" w:rsidP="008D7F8F">
            <w:pPr>
              <w:spacing w:before="60" w:line="240" w:lineRule="atLeast"/>
              <w:rPr>
                <w:rFonts w:eastAsia="Times New Roman" w:cs="Times New Roman"/>
                <w:b/>
                <w:bCs/>
                <w:color w:val="000000"/>
                <w:sz w:val="20"/>
                <w:lang w:eastAsia="en-AU"/>
              </w:rPr>
            </w:pPr>
            <w:r w:rsidRPr="008D7F8F">
              <w:rPr>
                <w:rFonts w:eastAsia="Times New Roman" w:cs="Times New Roman"/>
                <w:b/>
                <w:bCs/>
                <w:color w:val="000000"/>
                <w:sz w:val="20"/>
                <w:lang w:eastAsia="en-AU"/>
              </w:rPr>
              <w:t>How monitoring must be done</w:t>
            </w:r>
          </w:p>
        </w:tc>
        <w:tc>
          <w:tcPr>
            <w:tcW w:w="2687" w:type="dxa"/>
            <w:tcBorders>
              <w:top w:val="single" w:sz="6" w:space="0" w:color="000000"/>
              <w:bottom w:val="single" w:sz="12" w:space="0" w:color="000000"/>
            </w:tcBorders>
            <w:tcMar>
              <w:top w:w="0" w:type="dxa"/>
              <w:left w:w="108" w:type="dxa"/>
              <w:bottom w:w="0" w:type="dxa"/>
              <w:right w:w="108" w:type="dxa"/>
            </w:tcMar>
            <w:hideMark/>
          </w:tcPr>
          <w:p w14:paraId="4075C89C" w14:textId="77777777" w:rsidR="008D7F8F" w:rsidRPr="008D7F8F" w:rsidRDefault="008D7F8F" w:rsidP="008D7F8F">
            <w:pPr>
              <w:spacing w:before="60" w:line="240" w:lineRule="atLeast"/>
              <w:rPr>
                <w:rFonts w:eastAsia="Times New Roman" w:cs="Times New Roman"/>
                <w:b/>
                <w:bCs/>
                <w:color w:val="000000"/>
                <w:sz w:val="20"/>
                <w:lang w:eastAsia="en-AU"/>
              </w:rPr>
            </w:pPr>
            <w:r w:rsidRPr="008D7F8F">
              <w:rPr>
                <w:rFonts w:eastAsia="Times New Roman" w:cs="Times New Roman"/>
                <w:b/>
                <w:bCs/>
                <w:color w:val="000000"/>
                <w:sz w:val="20"/>
                <w:lang w:eastAsia="en-AU"/>
              </w:rPr>
              <w:t>Other instructions</w:t>
            </w:r>
          </w:p>
        </w:tc>
      </w:tr>
      <w:tr w:rsidR="008D7F8F" w:rsidRPr="008D7F8F" w14:paraId="37D513AC" w14:textId="77777777" w:rsidTr="00247BA1">
        <w:tc>
          <w:tcPr>
            <w:tcW w:w="0" w:type="auto"/>
            <w:tcBorders>
              <w:top w:val="single" w:sz="12" w:space="0" w:color="000000"/>
              <w:bottom w:val="single" w:sz="12" w:space="0" w:color="000000"/>
            </w:tcBorders>
            <w:tcMar>
              <w:top w:w="0" w:type="dxa"/>
              <w:left w:w="108" w:type="dxa"/>
              <w:bottom w:w="0" w:type="dxa"/>
              <w:right w:w="108" w:type="dxa"/>
            </w:tcMar>
            <w:hideMark/>
          </w:tcPr>
          <w:p w14:paraId="20E22EF2" w14:textId="77777777" w:rsidR="008D7F8F" w:rsidRPr="008D7F8F" w:rsidRDefault="008D7F8F" w:rsidP="008D7F8F">
            <w:pPr>
              <w:spacing w:before="60" w:line="240" w:lineRule="atLeast"/>
              <w:rPr>
                <w:rFonts w:eastAsia="Times New Roman" w:cs="Times New Roman"/>
                <w:color w:val="000000"/>
                <w:sz w:val="20"/>
                <w:lang w:eastAsia="en-AU"/>
              </w:rPr>
            </w:pPr>
            <w:r w:rsidRPr="008D7F8F">
              <w:rPr>
                <w:rFonts w:eastAsia="Times New Roman" w:cs="Times New Roman"/>
                <w:color w:val="000000"/>
                <w:sz w:val="20"/>
                <w:lang w:eastAsia="en-AU"/>
              </w:rPr>
              <w:t>1</w:t>
            </w:r>
          </w:p>
        </w:tc>
        <w:tc>
          <w:tcPr>
            <w:tcW w:w="1599" w:type="dxa"/>
            <w:tcBorders>
              <w:top w:val="single" w:sz="12" w:space="0" w:color="000000"/>
              <w:bottom w:val="single" w:sz="12" w:space="0" w:color="000000"/>
            </w:tcBorders>
            <w:tcMar>
              <w:top w:w="0" w:type="dxa"/>
              <w:left w:w="108" w:type="dxa"/>
              <w:bottom w:w="0" w:type="dxa"/>
              <w:right w:w="108" w:type="dxa"/>
            </w:tcMar>
            <w:hideMark/>
          </w:tcPr>
          <w:p w14:paraId="202FBC27" w14:textId="77777777" w:rsidR="008D7F8F" w:rsidRPr="008D7F8F" w:rsidRDefault="008D7F8F" w:rsidP="008D7F8F">
            <w:pPr>
              <w:spacing w:before="60" w:line="240" w:lineRule="atLeast"/>
              <w:rPr>
                <w:rFonts w:eastAsia="Times New Roman" w:cs="Times New Roman"/>
                <w:color w:val="000000"/>
                <w:sz w:val="20"/>
                <w:lang w:eastAsia="en-AU"/>
              </w:rPr>
            </w:pPr>
            <w:r w:rsidRPr="008D7F8F">
              <w:rPr>
                <w:rFonts w:eastAsia="Times New Roman" w:cs="Times New Roman"/>
                <w:color w:val="000000"/>
                <w:sz w:val="20"/>
                <w:lang w:eastAsia="en-AU"/>
              </w:rPr>
              <w:t>The project proponent must monitor for the presence of each relevant weed species in each project area.</w:t>
            </w:r>
          </w:p>
        </w:tc>
        <w:tc>
          <w:tcPr>
            <w:tcW w:w="3298" w:type="dxa"/>
            <w:tcBorders>
              <w:top w:val="single" w:sz="12" w:space="0" w:color="000000"/>
              <w:bottom w:val="single" w:sz="12" w:space="0" w:color="000000"/>
            </w:tcBorders>
            <w:tcMar>
              <w:top w:w="0" w:type="dxa"/>
              <w:left w:w="108" w:type="dxa"/>
              <w:bottom w:w="0" w:type="dxa"/>
              <w:right w:w="108" w:type="dxa"/>
            </w:tcMar>
            <w:hideMark/>
          </w:tcPr>
          <w:p w14:paraId="6251F906" w14:textId="77777777" w:rsidR="008D7F8F" w:rsidRPr="008D7F8F" w:rsidRDefault="008D7F8F" w:rsidP="008D7F8F">
            <w:pPr>
              <w:spacing w:before="60" w:line="240" w:lineRule="atLeast"/>
              <w:rPr>
                <w:rFonts w:eastAsia="Times New Roman" w:cs="Times New Roman"/>
                <w:color w:val="000000"/>
                <w:sz w:val="20"/>
                <w:lang w:eastAsia="en-AU"/>
              </w:rPr>
            </w:pPr>
            <w:r w:rsidRPr="008D7F8F">
              <w:rPr>
                <w:rFonts w:eastAsia="Times New Roman" w:cs="Times New Roman"/>
                <w:color w:val="000000"/>
                <w:sz w:val="20"/>
                <w:lang w:eastAsia="en-AU"/>
              </w:rPr>
              <w:t>The monitoring must be done:</w:t>
            </w:r>
          </w:p>
          <w:p w14:paraId="7DCB3CFF" w14:textId="5480D9A9" w:rsidR="008D7F8F" w:rsidRPr="008D7F8F" w:rsidRDefault="008D7F8F" w:rsidP="008D7F8F">
            <w:pPr>
              <w:spacing w:before="60" w:line="240" w:lineRule="auto"/>
              <w:ind w:left="284" w:hanging="284"/>
              <w:rPr>
                <w:rFonts w:eastAsia="Times New Roman" w:cs="Times New Roman"/>
                <w:color w:val="000000"/>
                <w:sz w:val="20"/>
                <w:lang w:eastAsia="en-AU"/>
              </w:rPr>
            </w:pPr>
            <w:r w:rsidRPr="008D7F8F">
              <w:rPr>
                <w:rFonts w:eastAsia="Times New Roman" w:cs="Times New Roman"/>
                <w:color w:val="000000"/>
                <w:sz w:val="20"/>
                <w:lang w:eastAsia="en-AU"/>
              </w:rPr>
              <w:t xml:space="preserve">(a) using the methods specified in the </w:t>
            </w:r>
            <w:r w:rsidR="00DC0AB6" w:rsidRPr="00DC0AB6">
              <w:rPr>
                <w:rFonts w:eastAsia="Times New Roman" w:cs="Times New Roman"/>
                <w:color w:val="000000"/>
                <w:sz w:val="20"/>
                <w:lang w:eastAsia="en-AU"/>
              </w:rPr>
              <w:t xml:space="preserve">Savanna Fire Management Methods (2025) Technical Guidance Document </w:t>
            </w:r>
            <w:r w:rsidRPr="008D7F8F">
              <w:rPr>
                <w:rFonts w:eastAsia="Times New Roman" w:cs="Times New Roman"/>
                <w:color w:val="000000"/>
                <w:sz w:val="20"/>
                <w:lang w:eastAsia="en-AU"/>
              </w:rPr>
              <w:t>for the weed species; and</w:t>
            </w:r>
          </w:p>
          <w:p w14:paraId="78EFF4AD" w14:textId="73CAA70B" w:rsidR="008D7F8F" w:rsidRPr="008D7F8F" w:rsidRDefault="008D7F8F" w:rsidP="008D7F8F">
            <w:pPr>
              <w:spacing w:before="60" w:line="240" w:lineRule="auto"/>
              <w:ind w:left="284" w:hanging="284"/>
              <w:rPr>
                <w:rFonts w:eastAsia="Times New Roman" w:cs="Times New Roman"/>
                <w:color w:val="000000"/>
                <w:sz w:val="20"/>
                <w:lang w:eastAsia="en-AU"/>
              </w:rPr>
            </w:pPr>
            <w:r w:rsidRPr="008D7F8F">
              <w:rPr>
                <w:rFonts w:eastAsia="Times New Roman" w:cs="Times New Roman"/>
                <w:color w:val="000000"/>
                <w:sz w:val="20"/>
                <w:lang w:eastAsia="en-AU"/>
              </w:rPr>
              <w:t>(b) at the frequencies ascertained in accordance with</w:t>
            </w:r>
            <w:r w:rsidR="002E0162">
              <w:rPr>
                <w:rFonts w:eastAsia="Times New Roman" w:cs="Times New Roman"/>
                <w:color w:val="000000"/>
                <w:sz w:val="20"/>
                <w:lang w:eastAsia="en-AU"/>
              </w:rPr>
              <w:t>:</w:t>
            </w:r>
          </w:p>
          <w:p w14:paraId="744ED0CB" w14:textId="41AE6B60" w:rsidR="00527900" w:rsidRDefault="008D7F8F" w:rsidP="008D7F8F">
            <w:pPr>
              <w:spacing w:line="240" w:lineRule="atLeast"/>
              <w:ind w:left="709" w:hanging="284"/>
              <w:rPr>
                <w:rFonts w:eastAsia="Times New Roman" w:cs="Times New Roman"/>
                <w:color w:val="000000"/>
                <w:sz w:val="20"/>
                <w:lang w:eastAsia="en-AU"/>
              </w:rPr>
            </w:pPr>
            <w:r w:rsidRPr="008D7F8F">
              <w:rPr>
                <w:rFonts w:eastAsia="Times New Roman" w:cs="Times New Roman"/>
                <w:color w:val="000000"/>
                <w:sz w:val="20"/>
                <w:lang w:eastAsia="en-AU"/>
              </w:rPr>
              <w:t>(</w:t>
            </w:r>
            <w:proofErr w:type="spellStart"/>
            <w:r w:rsidRPr="008D7F8F">
              <w:rPr>
                <w:rFonts w:eastAsia="Times New Roman" w:cs="Times New Roman"/>
                <w:color w:val="000000"/>
                <w:sz w:val="20"/>
                <w:lang w:eastAsia="en-AU"/>
              </w:rPr>
              <w:t>i</w:t>
            </w:r>
            <w:proofErr w:type="spellEnd"/>
            <w:r w:rsidRPr="008D7F8F">
              <w:rPr>
                <w:rFonts w:eastAsia="Times New Roman" w:cs="Times New Roman"/>
                <w:color w:val="000000"/>
                <w:sz w:val="20"/>
                <w:lang w:eastAsia="en-AU"/>
              </w:rPr>
              <w:t>) </w:t>
            </w:r>
            <w:r w:rsidR="00014CF1">
              <w:rPr>
                <w:rFonts w:eastAsia="Times New Roman" w:cs="Times New Roman"/>
                <w:color w:val="000000"/>
                <w:sz w:val="20"/>
                <w:lang w:eastAsia="en-AU"/>
              </w:rPr>
              <w:t xml:space="preserve">if </w:t>
            </w:r>
            <w:r w:rsidR="00906352">
              <w:rPr>
                <w:rFonts w:eastAsia="Times New Roman" w:cs="Times New Roman"/>
                <w:color w:val="000000"/>
                <w:sz w:val="20"/>
                <w:lang w:eastAsia="en-AU"/>
              </w:rPr>
              <w:t>the</w:t>
            </w:r>
            <w:r w:rsidR="00C41084">
              <w:rPr>
                <w:rFonts w:eastAsia="Times New Roman" w:cs="Times New Roman"/>
                <w:color w:val="000000"/>
                <w:sz w:val="20"/>
                <w:lang w:eastAsia="en-AU"/>
              </w:rPr>
              <w:t xml:space="preserve"> </w:t>
            </w:r>
            <w:r w:rsidR="00527900" w:rsidRPr="008D7F8F">
              <w:rPr>
                <w:rFonts w:eastAsia="Times New Roman" w:cs="Times New Roman"/>
                <w:color w:val="000000"/>
                <w:sz w:val="20"/>
                <w:lang w:eastAsia="en-AU"/>
              </w:rPr>
              <w:t>Relevant Weeds Risk spatial data layer</w:t>
            </w:r>
            <w:r w:rsidR="00C41084">
              <w:rPr>
                <w:rFonts w:eastAsia="Times New Roman" w:cs="Times New Roman"/>
                <w:color w:val="000000"/>
                <w:sz w:val="20"/>
                <w:lang w:eastAsia="en-AU"/>
              </w:rPr>
              <w:t xml:space="preserve"> is available</w:t>
            </w:r>
            <w:r w:rsidR="00C41084">
              <w:t>—</w:t>
            </w:r>
            <w:r w:rsidR="00FF4658">
              <w:rPr>
                <w:rFonts w:eastAsia="Times New Roman" w:cs="Times New Roman"/>
                <w:color w:val="000000"/>
                <w:sz w:val="20"/>
                <w:lang w:eastAsia="en-AU"/>
              </w:rPr>
              <w:t xml:space="preserve">that data </w:t>
            </w:r>
            <w:proofErr w:type="gramStart"/>
            <w:r w:rsidR="00FF4658">
              <w:rPr>
                <w:rFonts w:eastAsia="Times New Roman" w:cs="Times New Roman"/>
                <w:color w:val="000000"/>
                <w:sz w:val="20"/>
                <w:lang w:eastAsia="en-AU"/>
              </w:rPr>
              <w:t>layer</w:t>
            </w:r>
            <w:r w:rsidR="00527900" w:rsidRPr="008D7F8F">
              <w:rPr>
                <w:rFonts w:eastAsia="Times New Roman" w:cs="Times New Roman"/>
                <w:color w:val="000000"/>
                <w:sz w:val="20"/>
                <w:lang w:eastAsia="en-AU"/>
              </w:rPr>
              <w:t>;</w:t>
            </w:r>
            <w:proofErr w:type="gramEnd"/>
          </w:p>
          <w:p w14:paraId="63D21529" w14:textId="4A1AA2F4" w:rsidR="008D7F8F" w:rsidRPr="008D7F8F" w:rsidRDefault="008D7F8F" w:rsidP="00362F9F">
            <w:pPr>
              <w:spacing w:line="240" w:lineRule="atLeast"/>
              <w:ind w:left="709" w:hanging="284"/>
              <w:rPr>
                <w:rFonts w:eastAsia="Times New Roman" w:cs="Times New Roman"/>
                <w:color w:val="000000"/>
                <w:sz w:val="20"/>
                <w:lang w:eastAsia="en-AU"/>
              </w:rPr>
            </w:pPr>
            <w:r w:rsidRPr="008D7F8F">
              <w:rPr>
                <w:rFonts w:eastAsia="Times New Roman" w:cs="Times New Roman"/>
                <w:color w:val="000000"/>
                <w:sz w:val="20"/>
                <w:lang w:eastAsia="en-AU"/>
              </w:rPr>
              <w:t>(ii) </w:t>
            </w:r>
            <w:r w:rsidR="00362F9F">
              <w:rPr>
                <w:rFonts w:eastAsia="Times New Roman" w:cs="Times New Roman"/>
                <w:color w:val="000000"/>
                <w:sz w:val="20"/>
                <w:lang w:eastAsia="en-AU"/>
              </w:rPr>
              <w:t>in any other case</w:t>
            </w:r>
            <w:r w:rsidR="00362F9F">
              <w:t>—</w:t>
            </w:r>
            <w:r w:rsidR="00362F9F" w:rsidRPr="008D7F8F">
              <w:rPr>
                <w:rFonts w:eastAsia="Times New Roman" w:cs="Times New Roman"/>
                <w:color w:val="000000"/>
                <w:sz w:val="20"/>
                <w:lang w:eastAsia="en-AU"/>
              </w:rPr>
              <w:t xml:space="preserve">the </w:t>
            </w:r>
            <w:r w:rsidR="00362F9F" w:rsidRPr="00DC0AB6">
              <w:rPr>
                <w:rFonts w:eastAsia="Times New Roman" w:cs="Times New Roman"/>
                <w:color w:val="000000"/>
                <w:sz w:val="20"/>
                <w:lang w:eastAsia="en-AU"/>
              </w:rPr>
              <w:t xml:space="preserve">Savanna Fire Management Methods (2025) Technical Guidance </w:t>
            </w:r>
            <w:proofErr w:type="gramStart"/>
            <w:r w:rsidR="00362F9F" w:rsidRPr="00DC0AB6">
              <w:rPr>
                <w:rFonts w:eastAsia="Times New Roman" w:cs="Times New Roman"/>
                <w:color w:val="000000"/>
                <w:sz w:val="20"/>
                <w:lang w:eastAsia="en-AU"/>
              </w:rPr>
              <w:t>Document</w:t>
            </w:r>
            <w:r w:rsidR="00362F9F" w:rsidRPr="008D7F8F">
              <w:rPr>
                <w:rFonts w:eastAsia="Times New Roman" w:cs="Times New Roman"/>
                <w:color w:val="000000"/>
                <w:sz w:val="20"/>
                <w:lang w:eastAsia="en-AU"/>
              </w:rPr>
              <w:t>;</w:t>
            </w:r>
            <w:proofErr w:type="gramEnd"/>
          </w:p>
          <w:p w14:paraId="0D82BF22" w14:textId="1B7F2F12" w:rsidR="008D7F8F" w:rsidRPr="008D7F8F" w:rsidRDefault="008D7F8F" w:rsidP="00A77FF5">
            <w:pPr>
              <w:spacing w:before="60" w:line="240" w:lineRule="auto"/>
              <w:ind w:left="288"/>
              <w:rPr>
                <w:rFonts w:eastAsia="Times New Roman" w:cs="Times New Roman"/>
                <w:color w:val="000000"/>
                <w:sz w:val="20"/>
                <w:lang w:eastAsia="en-AU"/>
              </w:rPr>
            </w:pPr>
            <w:r w:rsidRPr="008D7F8F">
              <w:rPr>
                <w:rFonts w:eastAsia="Times New Roman" w:cs="Times New Roman"/>
                <w:color w:val="000000"/>
                <w:sz w:val="20"/>
                <w:lang w:eastAsia="en-AU"/>
              </w:rPr>
              <w:t>for the weed species and the area of</w:t>
            </w:r>
            <w:r w:rsidR="00E1379A">
              <w:rPr>
                <w:rFonts w:eastAsia="Times New Roman" w:cs="Times New Roman"/>
                <w:color w:val="000000"/>
                <w:sz w:val="20"/>
                <w:lang w:eastAsia="en-AU"/>
              </w:rPr>
              <w:t xml:space="preserve"> </w:t>
            </w:r>
            <w:r w:rsidRPr="008D7F8F">
              <w:rPr>
                <w:rFonts w:eastAsia="Times New Roman" w:cs="Times New Roman"/>
                <w:color w:val="000000"/>
                <w:sz w:val="20"/>
                <w:lang w:eastAsia="en-AU"/>
              </w:rPr>
              <w:t>land that constitutes the project area.</w:t>
            </w:r>
          </w:p>
        </w:tc>
        <w:tc>
          <w:tcPr>
            <w:tcW w:w="2687" w:type="dxa"/>
            <w:tcBorders>
              <w:top w:val="single" w:sz="12" w:space="0" w:color="000000"/>
              <w:bottom w:val="single" w:sz="12" w:space="0" w:color="000000"/>
            </w:tcBorders>
            <w:tcMar>
              <w:top w:w="0" w:type="dxa"/>
              <w:left w:w="108" w:type="dxa"/>
              <w:bottom w:w="0" w:type="dxa"/>
              <w:right w:w="108" w:type="dxa"/>
            </w:tcMar>
            <w:hideMark/>
          </w:tcPr>
          <w:p w14:paraId="6BEB2AC7" w14:textId="2CF4E274" w:rsidR="008D7F8F" w:rsidRPr="008D7F8F" w:rsidRDefault="008D7F8F" w:rsidP="008D7F8F">
            <w:pPr>
              <w:spacing w:before="60" w:line="240" w:lineRule="atLeast"/>
              <w:rPr>
                <w:rFonts w:eastAsia="Times New Roman" w:cs="Times New Roman"/>
                <w:color w:val="000000"/>
                <w:sz w:val="20"/>
                <w:lang w:eastAsia="en-AU"/>
              </w:rPr>
            </w:pPr>
            <w:r w:rsidRPr="008D7F8F">
              <w:rPr>
                <w:rFonts w:eastAsia="Times New Roman" w:cs="Times New Roman"/>
                <w:color w:val="000000"/>
                <w:sz w:val="20"/>
                <w:lang w:eastAsia="en-AU"/>
              </w:rPr>
              <w:t xml:space="preserve">Monitoring of a particular weed species in accordance with this item is required only if the </w:t>
            </w:r>
            <w:r w:rsidR="00DC0AB6" w:rsidRPr="00DC0AB6">
              <w:rPr>
                <w:rFonts w:eastAsia="Times New Roman" w:cs="Times New Roman"/>
                <w:color w:val="000000"/>
                <w:sz w:val="20"/>
                <w:lang w:eastAsia="en-AU"/>
              </w:rPr>
              <w:t xml:space="preserve">Savanna Fire Management Methods (2025) Technical Guidance Document </w:t>
            </w:r>
            <w:r w:rsidRPr="008D7F8F">
              <w:rPr>
                <w:rFonts w:eastAsia="Times New Roman" w:cs="Times New Roman"/>
                <w:color w:val="000000"/>
                <w:sz w:val="20"/>
                <w:lang w:eastAsia="en-AU"/>
              </w:rPr>
              <w:t>specifies one or more methods for monitoring for the weed species for the purposes of this item.</w:t>
            </w:r>
          </w:p>
        </w:tc>
      </w:tr>
    </w:tbl>
    <w:p w14:paraId="79970DA1" w14:textId="7AEA4ED1" w:rsidR="009714D4" w:rsidRPr="00C545C3" w:rsidRDefault="009714D4" w:rsidP="00867A6B">
      <w:pPr>
        <w:pStyle w:val="ActHead3"/>
      </w:pPr>
      <w:bookmarkStart w:id="76" w:name="_Toc202953842"/>
      <w:r w:rsidRPr="00C545C3">
        <w:t xml:space="preserve">Division </w:t>
      </w:r>
      <w:r w:rsidR="00D27A78" w:rsidRPr="00C545C3">
        <w:t>4</w:t>
      </w:r>
      <w:r w:rsidRPr="00C545C3">
        <w:t>—Notification requirements</w:t>
      </w:r>
      <w:bookmarkEnd w:id="76"/>
    </w:p>
    <w:p w14:paraId="32F2E006" w14:textId="1A6CB82F" w:rsidR="009714D4" w:rsidRPr="0063186B" w:rsidRDefault="00406943" w:rsidP="009714D4">
      <w:pPr>
        <w:pStyle w:val="ActHead5"/>
        <w:ind w:left="0" w:firstLine="0"/>
      </w:pPr>
      <w:bookmarkStart w:id="77" w:name="_Toc202953843"/>
      <w:r w:rsidRPr="0063186B">
        <w:t>4</w:t>
      </w:r>
      <w:r w:rsidR="009714D4" w:rsidRPr="0063186B">
        <w:t>1   Operation of this Division</w:t>
      </w:r>
      <w:bookmarkEnd w:id="77"/>
    </w:p>
    <w:p w14:paraId="2A891215" w14:textId="231AAD54" w:rsidR="009714D4" w:rsidRDefault="009714D4" w:rsidP="009714D4">
      <w:pPr>
        <w:pStyle w:val="tmain"/>
        <w:spacing w:before="180" w:beforeAutospacing="0" w:after="0" w:afterAutospacing="0"/>
        <w:ind w:left="1134" w:hanging="1134"/>
        <w:rPr>
          <w:color w:val="000000"/>
          <w:sz w:val="22"/>
          <w:szCs w:val="22"/>
        </w:rPr>
      </w:pPr>
      <w:r>
        <w:rPr>
          <w:color w:val="000000"/>
          <w:sz w:val="22"/>
          <w:szCs w:val="22"/>
        </w:rPr>
        <w:t> </w:t>
      </w:r>
      <w:r>
        <w:rPr>
          <w:color w:val="000000"/>
          <w:sz w:val="22"/>
          <w:szCs w:val="22"/>
        </w:rPr>
        <w:tab/>
      </w:r>
      <w:r w:rsidRPr="0047263D">
        <w:rPr>
          <w:color w:val="000000"/>
          <w:sz w:val="22"/>
          <w:szCs w:val="22"/>
        </w:rPr>
        <w:t xml:space="preserve">For </w:t>
      </w:r>
      <w:r w:rsidR="0047263D" w:rsidRPr="007B2786">
        <w:rPr>
          <w:color w:val="000000"/>
          <w:sz w:val="22"/>
          <w:szCs w:val="22"/>
        </w:rPr>
        <w:t>the purposes of</w:t>
      </w:r>
      <w:r>
        <w:rPr>
          <w:color w:val="000000"/>
          <w:szCs w:val="22"/>
        </w:rPr>
        <w:t xml:space="preserve"> </w:t>
      </w:r>
      <w:r>
        <w:rPr>
          <w:color w:val="000000"/>
          <w:sz w:val="22"/>
          <w:szCs w:val="22"/>
        </w:rPr>
        <w:t xml:space="preserve">paragraph </w:t>
      </w:r>
      <w:r w:rsidR="00F122D2">
        <w:rPr>
          <w:color w:val="000000"/>
          <w:sz w:val="22"/>
          <w:szCs w:val="22"/>
        </w:rPr>
        <w:t>80</w:t>
      </w:r>
      <w:r>
        <w:rPr>
          <w:color w:val="000000"/>
          <w:sz w:val="22"/>
          <w:szCs w:val="22"/>
        </w:rPr>
        <w:t>(</w:t>
      </w:r>
      <w:r w:rsidR="00F122D2">
        <w:rPr>
          <w:color w:val="000000"/>
          <w:sz w:val="22"/>
          <w:szCs w:val="22"/>
        </w:rPr>
        <w:t>1</w:t>
      </w:r>
      <w:r>
        <w:rPr>
          <w:color w:val="000000"/>
          <w:sz w:val="22"/>
          <w:szCs w:val="22"/>
        </w:rPr>
        <w:t>)(</w:t>
      </w:r>
      <w:r w:rsidR="00F122D2">
        <w:rPr>
          <w:color w:val="000000"/>
          <w:sz w:val="22"/>
          <w:szCs w:val="22"/>
        </w:rPr>
        <w:t>b</w:t>
      </w:r>
      <w:r>
        <w:rPr>
          <w:color w:val="000000"/>
          <w:sz w:val="22"/>
          <w:szCs w:val="22"/>
        </w:rPr>
        <w:t>) of the Act, this Division sets out </w:t>
      </w:r>
      <w:r w:rsidR="00F122D2">
        <w:rPr>
          <w:color w:val="000000"/>
          <w:sz w:val="22"/>
          <w:szCs w:val="22"/>
        </w:rPr>
        <w:t xml:space="preserve">notification </w:t>
      </w:r>
      <w:r>
        <w:rPr>
          <w:color w:val="000000"/>
          <w:sz w:val="22"/>
          <w:szCs w:val="22"/>
        </w:rPr>
        <w:t>requirements for a savanna sequestration project that is an eligible offsets project.</w:t>
      </w:r>
    </w:p>
    <w:p w14:paraId="55B47223" w14:textId="3CDDAD9D" w:rsidR="009714D4" w:rsidRPr="0063186B" w:rsidRDefault="00406943" w:rsidP="009714D4">
      <w:pPr>
        <w:pStyle w:val="ActHead5"/>
        <w:ind w:left="0" w:firstLine="0"/>
      </w:pPr>
      <w:bookmarkStart w:id="78" w:name="_Toc202953844"/>
      <w:r w:rsidRPr="0063186B">
        <w:t>42</w:t>
      </w:r>
      <w:r w:rsidR="009714D4" w:rsidRPr="0063186B">
        <w:t xml:space="preserve">   </w:t>
      </w:r>
      <w:r w:rsidR="00C50904" w:rsidRPr="0063186B">
        <w:rPr>
          <w:bCs/>
          <w:color w:val="000000"/>
          <w:szCs w:val="24"/>
        </w:rPr>
        <w:t>Notification</w:t>
      </w:r>
      <w:r w:rsidR="009714D4" w:rsidRPr="0063186B">
        <w:rPr>
          <w:bCs/>
          <w:color w:val="000000"/>
          <w:szCs w:val="24"/>
        </w:rPr>
        <w:t> requirements</w:t>
      </w:r>
      <w:bookmarkEnd w:id="78"/>
    </w:p>
    <w:p w14:paraId="04607F3C" w14:textId="3FA4F61C" w:rsidR="008D7F8F" w:rsidRPr="00406943" w:rsidRDefault="009714D4" w:rsidP="00406943">
      <w:pPr>
        <w:spacing w:before="180" w:after="120" w:line="240" w:lineRule="auto"/>
        <w:ind w:left="1134" w:hanging="1134"/>
        <w:rPr>
          <w:rFonts w:eastAsia="Times New Roman" w:cs="Times New Roman"/>
          <w:color w:val="000000"/>
          <w:szCs w:val="22"/>
          <w:lang w:eastAsia="en-AU"/>
        </w:rPr>
      </w:pPr>
      <w:r w:rsidRPr="008D7F8F">
        <w:rPr>
          <w:rFonts w:eastAsia="Times New Roman" w:cs="Times New Roman"/>
          <w:color w:val="000000"/>
          <w:szCs w:val="22"/>
          <w:lang w:eastAsia="en-AU"/>
        </w:rPr>
        <w:t>  </w:t>
      </w:r>
      <w:r>
        <w:rPr>
          <w:rFonts w:eastAsia="Times New Roman" w:cs="Times New Roman"/>
          <w:color w:val="000000"/>
          <w:szCs w:val="22"/>
          <w:lang w:eastAsia="en-AU"/>
        </w:rPr>
        <w:tab/>
      </w:r>
      <w:r w:rsidR="002E70C0">
        <w:rPr>
          <w:rFonts w:eastAsia="Times New Roman" w:cs="Times New Roman"/>
          <w:color w:val="000000"/>
          <w:szCs w:val="22"/>
          <w:lang w:eastAsia="en-AU"/>
        </w:rPr>
        <w:t xml:space="preserve">If a </w:t>
      </w:r>
      <w:r w:rsidR="00633698">
        <w:rPr>
          <w:rFonts w:eastAsia="Times New Roman" w:cs="Times New Roman"/>
          <w:color w:val="000000"/>
          <w:szCs w:val="22"/>
          <w:lang w:eastAsia="en-AU"/>
        </w:rPr>
        <w:t xml:space="preserve">relevant </w:t>
      </w:r>
      <w:r w:rsidR="002E70C0">
        <w:rPr>
          <w:rFonts w:eastAsia="Times New Roman" w:cs="Times New Roman"/>
          <w:color w:val="000000"/>
          <w:szCs w:val="22"/>
          <w:lang w:eastAsia="en-AU"/>
        </w:rPr>
        <w:t xml:space="preserve">weed species is </w:t>
      </w:r>
      <w:r w:rsidR="00ED3D97">
        <w:rPr>
          <w:rFonts w:eastAsia="Times New Roman" w:cs="Times New Roman"/>
          <w:color w:val="000000"/>
          <w:szCs w:val="22"/>
          <w:lang w:eastAsia="en-AU"/>
        </w:rPr>
        <w:t>detected in a project area for the first time, the project proponent</w:t>
      </w:r>
      <w:r w:rsidR="00480CEC">
        <w:rPr>
          <w:rFonts w:eastAsia="Times New Roman" w:cs="Times New Roman"/>
          <w:color w:val="000000"/>
          <w:szCs w:val="22"/>
          <w:lang w:eastAsia="en-AU"/>
        </w:rPr>
        <w:t xml:space="preserve"> must</w:t>
      </w:r>
      <w:r w:rsidR="00ED3D97">
        <w:rPr>
          <w:rFonts w:eastAsia="Times New Roman" w:cs="Times New Roman"/>
          <w:color w:val="000000"/>
          <w:szCs w:val="22"/>
          <w:lang w:eastAsia="en-AU"/>
        </w:rPr>
        <w:t xml:space="preserve"> </w:t>
      </w:r>
      <w:r w:rsidR="009623CB">
        <w:rPr>
          <w:rFonts w:eastAsia="Times New Roman" w:cs="Times New Roman"/>
          <w:color w:val="000000"/>
          <w:szCs w:val="22"/>
          <w:lang w:eastAsia="en-AU"/>
        </w:rPr>
        <w:t>notify the Regulator</w:t>
      </w:r>
      <w:r w:rsidR="00480CEC">
        <w:rPr>
          <w:rFonts w:eastAsia="Times New Roman" w:cs="Times New Roman"/>
          <w:color w:val="000000"/>
          <w:szCs w:val="22"/>
          <w:lang w:eastAsia="en-AU"/>
        </w:rPr>
        <w:t>, within 60 days of becoming aware of the detection of the weed species</w:t>
      </w:r>
      <w:r w:rsidR="00333FF9">
        <w:rPr>
          <w:rFonts w:eastAsia="Times New Roman" w:cs="Times New Roman"/>
          <w:color w:val="000000"/>
          <w:szCs w:val="22"/>
          <w:lang w:eastAsia="en-AU"/>
        </w:rPr>
        <w:t>,</w:t>
      </w:r>
      <w:r w:rsidR="009623CB">
        <w:rPr>
          <w:rFonts w:eastAsia="Times New Roman" w:cs="Times New Roman"/>
          <w:color w:val="000000"/>
          <w:szCs w:val="22"/>
          <w:lang w:eastAsia="en-AU"/>
        </w:rPr>
        <w:t xml:space="preserve"> of the date of the detection and the</w:t>
      </w:r>
      <w:r w:rsidR="00333FF9">
        <w:rPr>
          <w:rFonts w:eastAsia="Times New Roman" w:cs="Times New Roman"/>
          <w:color w:val="000000"/>
          <w:szCs w:val="22"/>
          <w:lang w:eastAsia="en-AU"/>
        </w:rPr>
        <w:t xml:space="preserve"> name of the </w:t>
      </w:r>
      <w:r w:rsidR="009623CB">
        <w:rPr>
          <w:rFonts w:eastAsia="Times New Roman" w:cs="Times New Roman"/>
          <w:color w:val="000000"/>
          <w:szCs w:val="22"/>
          <w:lang w:eastAsia="en-AU"/>
        </w:rPr>
        <w:t>weed species detected</w:t>
      </w:r>
      <w:r w:rsidRPr="008D7F8F">
        <w:rPr>
          <w:rFonts w:eastAsia="Times New Roman" w:cs="Times New Roman"/>
          <w:color w:val="000000"/>
          <w:szCs w:val="22"/>
          <w:lang w:eastAsia="en-AU"/>
        </w:rPr>
        <w:t>.</w:t>
      </w:r>
    </w:p>
    <w:p w14:paraId="1011E1A7" w14:textId="6D756C72" w:rsidR="0061561E" w:rsidRDefault="0061561E" w:rsidP="0061561E">
      <w:pPr>
        <w:pStyle w:val="ActHead2"/>
      </w:pPr>
      <w:bookmarkStart w:id="79" w:name="_Toc202953845"/>
      <w:r w:rsidRPr="00C55737">
        <w:lastRenderedPageBreak/>
        <w:t xml:space="preserve">Part </w:t>
      </w:r>
      <w:r>
        <w:t>6</w:t>
      </w:r>
      <w:r w:rsidRPr="00C55737">
        <w:t>—</w:t>
      </w:r>
      <w:r>
        <w:t>Partial r</w:t>
      </w:r>
      <w:r w:rsidRPr="00DA6A78">
        <w:t>eporting</w:t>
      </w:r>
      <w:bookmarkEnd w:id="79"/>
    </w:p>
    <w:p w14:paraId="08A6B6CB" w14:textId="01D8B896" w:rsidR="004E239E" w:rsidRPr="00C545C3" w:rsidRDefault="004E239E" w:rsidP="00867A6B">
      <w:pPr>
        <w:pStyle w:val="ActHead5"/>
        <w:ind w:left="0" w:firstLine="0"/>
        <w:rPr>
          <w:color w:val="000000"/>
        </w:rPr>
      </w:pPr>
      <w:bookmarkStart w:id="80" w:name="_Toc202953846"/>
      <w:proofErr w:type="gramStart"/>
      <w:r w:rsidRPr="00C545C3">
        <w:rPr>
          <w:bCs/>
          <w:color w:val="000000"/>
          <w:szCs w:val="24"/>
        </w:rPr>
        <w:t>4</w:t>
      </w:r>
      <w:r w:rsidR="00406943" w:rsidRPr="00C545C3">
        <w:rPr>
          <w:bCs/>
          <w:color w:val="000000"/>
          <w:szCs w:val="24"/>
        </w:rPr>
        <w:t>3</w:t>
      </w:r>
      <w:r w:rsidRPr="00C545C3">
        <w:rPr>
          <w:bCs/>
          <w:color w:val="000000"/>
          <w:szCs w:val="24"/>
        </w:rPr>
        <w:t>  Partial</w:t>
      </w:r>
      <w:proofErr w:type="gramEnd"/>
      <w:r w:rsidRPr="00C545C3">
        <w:rPr>
          <w:bCs/>
          <w:color w:val="000000"/>
          <w:szCs w:val="24"/>
        </w:rPr>
        <w:t> reporting</w:t>
      </w:r>
      <w:bookmarkEnd w:id="80"/>
    </w:p>
    <w:p w14:paraId="3BDF716D" w14:textId="5A93ED88" w:rsidR="0061561E" w:rsidRDefault="004E239E" w:rsidP="00B170E2">
      <w:pPr>
        <w:pStyle w:val="tmain"/>
        <w:spacing w:before="180" w:beforeAutospacing="0" w:after="0" w:afterAutospacing="0"/>
        <w:ind w:left="1134" w:hanging="1134"/>
        <w:rPr>
          <w:color w:val="000000"/>
          <w:sz w:val="22"/>
          <w:szCs w:val="22"/>
        </w:rPr>
      </w:pPr>
      <w:r>
        <w:rPr>
          <w:color w:val="000000"/>
          <w:sz w:val="22"/>
          <w:szCs w:val="22"/>
        </w:rPr>
        <w:t> </w:t>
      </w:r>
      <w:r>
        <w:rPr>
          <w:color w:val="000000"/>
          <w:sz w:val="22"/>
          <w:szCs w:val="22"/>
        </w:rPr>
        <w:tab/>
        <w:t xml:space="preserve">For </w:t>
      </w:r>
      <w:r w:rsidR="002E0185">
        <w:rPr>
          <w:color w:val="000000"/>
          <w:sz w:val="22"/>
          <w:szCs w:val="22"/>
        </w:rPr>
        <w:t>the purposes of</w:t>
      </w:r>
      <w:r>
        <w:rPr>
          <w:color w:val="000000"/>
          <w:sz w:val="22"/>
          <w:szCs w:val="22"/>
        </w:rPr>
        <w:t xml:space="preserve"> section 77A of the Act, an overall project may only be divided into parts that consist of one or more whole project areas.</w:t>
      </w:r>
    </w:p>
    <w:p w14:paraId="27EF3662" w14:textId="77777777" w:rsidR="001A5824" w:rsidRDefault="001A5824" w:rsidP="00554826">
      <w:pPr>
        <w:spacing w:line="240" w:lineRule="auto"/>
        <w:rPr>
          <w:rFonts w:eastAsia="Times New Roman" w:cs="Times New Roman"/>
          <w:b/>
          <w:bCs/>
          <w:color w:val="000000"/>
          <w:sz w:val="32"/>
          <w:szCs w:val="32"/>
          <w:lang w:eastAsia="en-AU"/>
        </w:rPr>
      </w:pPr>
    </w:p>
    <w:p w14:paraId="69684D56" w14:textId="77777777" w:rsidR="00E216BC" w:rsidRDefault="00E216BC">
      <w:pPr>
        <w:spacing w:line="240" w:lineRule="auto"/>
        <w:rPr>
          <w:rFonts w:ascii="Arial" w:eastAsia="Times New Roman" w:hAnsi="Arial" w:cs="Times New Roman"/>
          <w:b/>
          <w:kern w:val="28"/>
          <w:sz w:val="32"/>
          <w:lang w:eastAsia="en-AU"/>
        </w:rPr>
      </w:pPr>
      <w:r>
        <w:br w:type="page"/>
      </w:r>
    </w:p>
    <w:p w14:paraId="463A8D5D" w14:textId="3758EC26" w:rsidR="00C37DDE" w:rsidRPr="00963063" w:rsidRDefault="00C01FE1" w:rsidP="00867A6B">
      <w:pPr>
        <w:pStyle w:val="ActHead1"/>
      </w:pPr>
      <w:bookmarkStart w:id="81" w:name="_Toc202953847"/>
      <w:r>
        <w:lastRenderedPageBreak/>
        <w:t xml:space="preserve">Schedule </w:t>
      </w:r>
      <w:r w:rsidRPr="004E1307">
        <w:t>1</w:t>
      </w:r>
      <w:r w:rsidR="00620458" w:rsidRPr="00620458">
        <w:t>—Emissions avoidance—calculation of adjusted contribution to net abatement amount for a calendar year</w:t>
      </w:r>
      <w:bookmarkEnd w:id="81"/>
    </w:p>
    <w:p w14:paraId="27D57EE6" w14:textId="77777777" w:rsidR="00C27E88" w:rsidRPr="009A4107" w:rsidRDefault="00C27E88" w:rsidP="00867A6B">
      <w:pPr>
        <w:pStyle w:val="ActHead3"/>
      </w:pPr>
      <w:bookmarkStart w:id="82" w:name="_Toc202953848"/>
      <w:r w:rsidRPr="009A4107">
        <w:t>Division 1—Preliminary</w:t>
      </w:r>
      <w:bookmarkEnd w:id="82"/>
    </w:p>
    <w:p w14:paraId="47125112" w14:textId="4C4E094F" w:rsidR="00963063" w:rsidRPr="009E76D2" w:rsidRDefault="009E76D2" w:rsidP="009E76D2">
      <w:pPr>
        <w:pStyle w:val="ActHead5"/>
        <w:ind w:left="0" w:firstLine="0"/>
      </w:pPr>
      <w:bookmarkStart w:id="83" w:name="_Toc202953849"/>
      <w:r w:rsidRPr="009E76D2">
        <w:t>1   </w:t>
      </w:r>
      <w:r w:rsidRPr="009E76D2">
        <w:rPr>
          <w:bCs/>
          <w:color w:val="000000"/>
          <w:szCs w:val="24"/>
        </w:rPr>
        <w:t>Simplified outline of this Schedule</w:t>
      </w:r>
      <w:bookmarkEnd w:id="83"/>
    </w:p>
    <w:p w14:paraId="288559F7" w14:textId="123A2B8B" w:rsidR="00D31EDA" w:rsidRDefault="00D31EDA" w:rsidP="00D31EDA">
      <w:pPr>
        <w:pStyle w:val="SOText"/>
      </w:pPr>
      <w:r>
        <w:t xml:space="preserve">First, the contribution to the net abatement amount for the project area from emissions avoidance in the project area for the calendar year, </w:t>
      </w:r>
      <w:r w:rsidR="00FC1C4C" w:rsidRPr="000C0A9D">
        <w:rPr>
          <w:i/>
          <w:iCs/>
        </w:rPr>
        <w:t>A</w:t>
      </w:r>
      <w:r w:rsidR="00FC1C4C" w:rsidRPr="000C0A9D">
        <w:rPr>
          <w:i/>
          <w:iCs/>
          <w:vertAlign w:val="subscript"/>
        </w:rPr>
        <w:t>EA</w:t>
      </w:r>
      <w:r>
        <w:t xml:space="preserve">, is calculated. This is calculated as the difference between the mean annual emissions from savanna burning over the baseline period, and the emissions from savanna burning during that year.  </w:t>
      </w:r>
    </w:p>
    <w:p w14:paraId="571E0323" w14:textId="19FF04FB" w:rsidR="00D31EDA" w:rsidRDefault="00D31EDA" w:rsidP="00D31EDA">
      <w:pPr>
        <w:pStyle w:val="SOText"/>
      </w:pPr>
      <w:r>
        <w:t xml:space="preserve">Then, from </w:t>
      </w:r>
      <w:r w:rsidR="00FC1C4C" w:rsidRPr="000C0A9D">
        <w:rPr>
          <w:i/>
          <w:iCs/>
        </w:rPr>
        <w:t>A</w:t>
      </w:r>
      <w:r w:rsidR="00FC1C4C" w:rsidRPr="000C0A9D">
        <w:rPr>
          <w:i/>
          <w:iCs/>
          <w:vertAlign w:val="subscript"/>
        </w:rPr>
        <w:t>EA</w:t>
      </w:r>
      <w:r>
        <w:t xml:space="preserve">, the adjusted contribution to the net abatement amount for the calendar year, </w:t>
      </w:r>
      <w:proofErr w:type="spellStart"/>
      <w:proofErr w:type="gramStart"/>
      <w:r w:rsidR="006B600F" w:rsidRPr="000C0A9D">
        <w:rPr>
          <w:i/>
          <w:iCs/>
        </w:rPr>
        <w:t>A</w:t>
      </w:r>
      <w:r w:rsidR="006B600F" w:rsidRPr="000C0A9D">
        <w:rPr>
          <w:i/>
          <w:iCs/>
          <w:vertAlign w:val="subscript"/>
        </w:rPr>
        <w:t>EA,adj</w:t>
      </w:r>
      <w:proofErr w:type="spellEnd"/>
      <w:proofErr w:type="gramEnd"/>
      <w:r>
        <w:t xml:space="preserve">, is calculated. The adjustment manages the risk of the project containing some years in which emissions are higher than the mean annual baseline </w:t>
      </w:r>
      <w:proofErr w:type="gramStart"/>
      <w:r>
        <w:t>emissions, and</w:t>
      </w:r>
      <w:proofErr w:type="gramEnd"/>
      <w:r>
        <w:t xml:space="preserve"> involves apportioning the amount </w:t>
      </w:r>
      <w:r w:rsidR="006B600F" w:rsidRPr="000C0A9D">
        <w:rPr>
          <w:i/>
          <w:iCs/>
        </w:rPr>
        <w:t>A</w:t>
      </w:r>
      <w:r w:rsidR="006B600F" w:rsidRPr="000C0A9D">
        <w:rPr>
          <w:i/>
          <w:iCs/>
          <w:vertAlign w:val="subscript"/>
        </w:rPr>
        <w:t>EA</w:t>
      </w:r>
      <w:r w:rsidR="006B600F">
        <w:t xml:space="preserve"> </w:t>
      </w:r>
      <w:r>
        <w:t xml:space="preserve">between the adjusted contribution </w:t>
      </w:r>
      <w:proofErr w:type="spellStart"/>
      <w:proofErr w:type="gramStart"/>
      <w:r w:rsidR="006B600F" w:rsidRPr="000C0A9D">
        <w:rPr>
          <w:i/>
          <w:iCs/>
        </w:rPr>
        <w:t>A</w:t>
      </w:r>
      <w:r w:rsidR="006B600F" w:rsidRPr="000C0A9D">
        <w:rPr>
          <w:i/>
          <w:iCs/>
          <w:vertAlign w:val="subscript"/>
        </w:rPr>
        <w:t>EA,adj</w:t>
      </w:r>
      <w:proofErr w:type="spellEnd"/>
      <w:proofErr w:type="gramEnd"/>
      <w:r>
        <w:t xml:space="preserve"> and an ‘uncertainty buffer’. Generally, the uncertainty buffer starts at zero (unless the project area is a transferring project area). The uncertainty buffer is capped at a maximum, </w:t>
      </w:r>
      <w:proofErr w:type="spellStart"/>
      <w:proofErr w:type="gramStart"/>
      <w:r w:rsidR="00D160CA" w:rsidRPr="000C0A9D">
        <w:rPr>
          <w:i/>
          <w:iCs/>
        </w:rPr>
        <w:t>B</w:t>
      </w:r>
      <w:r w:rsidR="00D160CA" w:rsidRPr="000C0A9D">
        <w:rPr>
          <w:i/>
          <w:iCs/>
          <w:vertAlign w:val="subscript"/>
        </w:rPr>
        <w:t>U,Cap</w:t>
      </w:r>
      <w:proofErr w:type="spellEnd"/>
      <w:proofErr w:type="gramEnd"/>
      <w:r>
        <w:t xml:space="preserve">, which is equal to 5 per cent of the mean annual baseline emissions. The uncertainty buffer is subtracted from in years in which </w:t>
      </w:r>
      <w:r w:rsidR="00824D06" w:rsidRPr="000C0A9D">
        <w:rPr>
          <w:i/>
          <w:iCs/>
        </w:rPr>
        <w:t>A</w:t>
      </w:r>
      <w:r w:rsidR="00824D06" w:rsidRPr="000C0A9D">
        <w:rPr>
          <w:i/>
          <w:iCs/>
          <w:vertAlign w:val="subscript"/>
        </w:rPr>
        <w:t>EA</w:t>
      </w:r>
      <w:r w:rsidR="00824D06">
        <w:t xml:space="preserve"> </w:t>
      </w:r>
      <w:r>
        <w:t xml:space="preserve">is less than zero. For years in which </w:t>
      </w:r>
      <w:r w:rsidR="00824D06" w:rsidRPr="000C0A9D">
        <w:rPr>
          <w:i/>
          <w:iCs/>
        </w:rPr>
        <w:t>A</w:t>
      </w:r>
      <w:r w:rsidR="00824D06" w:rsidRPr="000C0A9D">
        <w:rPr>
          <w:i/>
          <w:iCs/>
          <w:vertAlign w:val="subscript"/>
        </w:rPr>
        <w:t>EA</w:t>
      </w:r>
      <w:r w:rsidR="00824D06">
        <w:t xml:space="preserve"> </w:t>
      </w:r>
      <w:r>
        <w:t xml:space="preserve">is greater than zero, the uncertainty buffer is generally added to, subject to </w:t>
      </w:r>
      <w:proofErr w:type="gramStart"/>
      <w:r>
        <w:t>its</w:t>
      </w:r>
      <w:proofErr w:type="gramEnd"/>
      <w:r>
        <w:t xml:space="preserve"> reaching the maximum, </w:t>
      </w:r>
      <w:proofErr w:type="spellStart"/>
      <w:proofErr w:type="gramStart"/>
      <w:r w:rsidR="00D160CA" w:rsidRPr="000C0A9D">
        <w:rPr>
          <w:i/>
          <w:iCs/>
        </w:rPr>
        <w:t>B</w:t>
      </w:r>
      <w:r w:rsidR="00D160CA" w:rsidRPr="000C0A9D">
        <w:rPr>
          <w:i/>
          <w:iCs/>
          <w:vertAlign w:val="subscript"/>
        </w:rPr>
        <w:t>U,Cap</w:t>
      </w:r>
      <w:proofErr w:type="spellEnd"/>
      <w:r>
        <w:t>.</w:t>
      </w:r>
      <w:proofErr w:type="gramEnd"/>
    </w:p>
    <w:p w14:paraId="5413C55B" w14:textId="71A0089C" w:rsidR="00963063" w:rsidRPr="00803A5C" w:rsidRDefault="00D31EDA" w:rsidP="00803A5C">
      <w:pPr>
        <w:pStyle w:val="SOText"/>
      </w:pPr>
      <w:r>
        <w:t xml:space="preserve">The value of the uncertainty buffer cap, </w:t>
      </w:r>
      <w:proofErr w:type="spellStart"/>
      <w:proofErr w:type="gramStart"/>
      <w:r w:rsidR="00D160CA" w:rsidRPr="000C0A9D">
        <w:rPr>
          <w:i/>
          <w:iCs/>
        </w:rPr>
        <w:t>B</w:t>
      </w:r>
      <w:r w:rsidR="00D160CA" w:rsidRPr="000C0A9D">
        <w:rPr>
          <w:i/>
          <w:iCs/>
          <w:vertAlign w:val="subscript"/>
        </w:rPr>
        <w:t>U,Cap</w:t>
      </w:r>
      <w:proofErr w:type="spellEnd"/>
      <w:proofErr w:type="gramEnd"/>
      <w:r>
        <w:t>, and values relating to the baseline period, are recalculated each year, and will potentially change from year to year. Changes to these values might arise, for example, if documents that are referred to as in force from time to time are modified, if the vegetation fuel type map is revised, or if project areas are divided</w:t>
      </w:r>
      <w:r w:rsidR="007443AE">
        <w:t>.</w:t>
      </w:r>
    </w:p>
    <w:p w14:paraId="2DEDB4B0" w14:textId="1DB91F02" w:rsidR="00A13D61" w:rsidRPr="009A4107" w:rsidRDefault="00A13D61" w:rsidP="00867A6B">
      <w:pPr>
        <w:pStyle w:val="ActHead3"/>
      </w:pPr>
      <w:bookmarkStart w:id="84" w:name="_Toc202953850"/>
      <w:r w:rsidRPr="009A4107">
        <w:t>Division 2—</w:t>
      </w:r>
      <w:r w:rsidRPr="00867A6B">
        <w:t xml:space="preserve"> Calculations</w:t>
      </w:r>
      <w:bookmarkEnd w:id="84"/>
    </w:p>
    <w:p w14:paraId="58C4975D" w14:textId="087F6F65" w:rsidR="00F32133" w:rsidRPr="00A13D61" w:rsidRDefault="00A13D61" w:rsidP="00A13D61">
      <w:pPr>
        <w:pStyle w:val="ActHead5"/>
        <w:ind w:left="0" w:firstLine="0"/>
      </w:pPr>
      <w:bookmarkStart w:id="85" w:name="_Toc202953851"/>
      <w:r>
        <w:t>2</w:t>
      </w:r>
      <w:r w:rsidRPr="009E76D2">
        <w:t xml:space="preserve">   </w:t>
      </w:r>
      <w:r w:rsidR="00F32133" w:rsidRPr="00F32133">
        <w:rPr>
          <w:bCs/>
          <w:color w:val="000000"/>
          <w:szCs w:val="24"/>
        </w:rPr>
        <w:t>Calculation of adjusted contribution to net abatement amount from emissions avoidance for a calendar year, </w:t>
      </w:r>
      <w:proofErr w:type="spellStart"/>
      <w:proofErr w:type="gramStart"/>
      <w:r w:rsidR="00F32133" w:rsidRPr="00F32133">
        <w:rPr>
          <w:bCs/>
          <w:i/>
          <w:iCs/>
          <w:color w:val="000000"/>
          <w:szCs w:val="24"/>
        </w:rPr>
        <w:t>A</w:t>
      </w:r>
      <w:r w:rsidR="00F32133" w:rsidRPr="00F32133">
        <w:rPr>
          <w:bCs/>
          <w:i/>
          <w:iCs/>
          <w:color w:val="000000"/>
          <w:sz w:val="16"/>
          <w:szCs w:val="16"/>
          <w:vertAlign w:val="subscript"/>
        </w:rPr>
        <w:t>EA,adj</w:t>
      </w:r>
      <w:bookmarkEnd w:id="85"/>
      <w:proofErr w:type="spellEnd"/>
      <w:proofErr w:type="gramEnd"/>
    </w:p>
    <w:p w14:paraId="08EFA6A7" w14:textId="04670A73" w:rsidR="00F32133" w:rsidRPr="00F32133" w:rsidRDefault="00F32133" w:rsidP="00F32133">
      <w:pPr>
        <w:spacing w:before="180" w:line="240" w:lineRule="auto"/>
        <w:ind w:left="1134" w:hanging="1134"/>
        <w:rPr>
          <w:rFonts w:eastAsia="Times New Roman" w:cs="Times New Roman"/>
          <w:color w:val="000000"/>
          <w:szCs w:val="22"/>
          <w:lang w:eastAsia="en-AU"/>
        </w:rPr>
      </w:pPr>
      <w:r w:rsidRPr="00F32133">
        <w:rPr>
          <w:rFonts w:eastAsia="Times New Roman" w:cs="Times New Roman"/>
          <w:color w:val="000000"/>
          <w:szCs w:val="22"/>
          <w:lang w:eastAsia="en-AU"/>
        </w:rPr>
        <w:t>  </w:t>
      </w:r>
      <w:r>
        <w:rPr>
          <w:rFonts w:eastAsia="Times New Roman" w:cs="Times New Roman"/>
          <w:color w:val="000000"/>
          <w:szCs w:val="22"/>
          <w:lang w:eastAsia="en-AU"/>
        </w:rPr>
        <w:tab/>
      </w:r>
      <w:r w:rsidR="0047263D" w:rsidRPr="0047263D">
        <w:rPr>
          <w:color w:val="000000"/>
          <w:szCs w:val="22"/>
        </w:rPr>
        <w:t xml:space="preserve">For </w:t>
      </w:r>
      <w:r w:rsidR="0047263D" w:rsidRPr="0056276E">
        <w:rPr>
          <w:rFonts w:eastAsia="Times New Roman" w:cs="Times New Roman"/>
          <w:color w:val="000000"/>
          <w:szCs w:val="22"/>
          <w:lang w:eastAsia="en-AU"/>
        </w:rPr>
        <w:t>the purposes of</w:t>
      </w:r>
      <w:r w:rsidR="0047263D">
        <w:rPr>
          <w:rFonts w:eastAsia="Times New Roman" w:cs="Times New Roman"/>
          <w:color w:val="000000"/>
          <w:szCs w:val="22"/>
          <w:lang w:eastAsia="en-AU"/>
        </w:rPr>
        <w:t xml:space="preserve"> </w:t>
      </w:r>
      <w:r w:rsidRPr="00F32133">
        <w:rPr>
          <w:rFonts w:eastAsia="Times New Roman" w:cs="Times New Roman"/>
          <w:color w:val="000000"/>
          <w:szCs w:val="22"/>
          <w:lang w:eastAsia="en-AU"/>
        </w:rPr>
        <w:t>paragraph (b) of the definition of </w:t>
      </w:r>
      <w:proofErr w:type="spellStart"/>
      <w:proofErr w:type="gramStart"/>
      <w:r w:rsidRPr="00F32133">
        <w:rPr>
          <w:rFonts w:eastAsia="Times New Roman" w:cs="Times New Roman"/>
          <w:i/>
          <w:iCs/>
          <w:color w:val="000000"/>
          <w:szCs w:val="22"/>
          <w:lang w:eastAsia="en-AU"/>
        </w:rPr>
        <w:t>A</w:t>
      </w:r>
      <w:r w:rsidRPr="00F32133">
        <w:rPr>
          <w:rFonts w:eastAsia="Times New Roman" w:cs="Times New Roman"/>
          <w:i/>
          <w:iCs/>
          <w:color w:val="000000"/>
          <w:sz w:val="15"/>
          <w:szCs w:val="15"/>
          <w:vertAlign w:val="subscript"/>
          <w:lang w:eastAsia="en-AU"/>
        </w:rPr>
        <w:t>EA,adj</w:t>
      </w:r>
      <w:proofErr w:type="gramEnd"/>
      <w:r w:rsidRPr="00F32133">
        <w:rPr>
          <w:rFonts w:eastAsia="Times New Roman" w:cs="Times New Roman"/>
          <w:i/>
          <w:iCs/>
          <w:color w:val="000000"/>
          <w:sz w:val="15"/>
          <w:szCs w:val="15"/>
          <w:vertAlign w:val="subscript"/>
          <w:lang w:eastAsia="en-AU"/>
        </w:rPr>
        <w:t>,y</w:t>
      </w:r>
      <w:proofErr w:type="spellEnd"/>
      <w:r w:rsidRPr="00F32133">
        <w:rPr>
          <w:rFonts w:eastAsia="Times New Roman" w:cs="Times New Roman"/>
          <w:color w:val="000000"/>
          <w:szCs w:val="22"/>
          <w:lang w:eastAsia="en-AU"/>
        </w:rPr>
        <w:t> in subsection 34(1) of this </w:t>
      </w:r>
      <w:r w:rsidR="00C929D7">
        <w:rPr>
          <w:rFonts w:eastAsia="Times New Roman" w:cs="Times New Roman"/>
          <w:color w:val="000000"/>
          <w:szCs w:val="22"/>
          <w:lang w:eastAsia="en-AU"/>
        </w:rPr>
        <w:t>instrument</w:t>
      </w:r>
      <w:r w:rsidRPr="00F32133">
        <w:rPr>
          <w:rFonts w:eastAsia="Times New Roman" w:cs="Times New Roman"/>
          <w:color w:val="000000"/>
          <w:szCs w:val="22"/>
          <w:lang w:eastAsia="en-AU"/>
        </w:rPr>
        <w:t>, the adjusted contribution to the net abatement amount from emissions avoidance for a particular project area and for a particular calendar year,</w:t>
      </w:r>
      <w:r w:rsidRPr="00F32133">
        <w:rPr>
          <w:rFonts w:eastAsia="Times New Roman" w:cs="Times New Roman"/>
          <w:i/>
          <w:iCs/>
          <w:color w:val="000000"/>
          <w:szCs w:val="22"/>
          <w:lang w:eastAsia="en-AU"/>
        </w:rPr>
        <w:t> </w:t>
      </w:r>
      <w:proofErr w:type="spellStart"/>
      <w:proofErr w:type="gramStart"/>
      <w:r w:rsidRPr="00F32133">
        <w:rPr>
          <w:rFonts w:eastAsia="Times New Roman" w:cs="Times New Roman"/>
          <w:i/>
          <w:iCs/>
          <w:color w:val="000000"/>
          <w:szCs w:val="22"/>
          <w:lang w:eastAsia="en-AU"/>
        </w:rPr>
        <w:t>A</w:t>
      </w:r>
      <w:r w:rsidRPr="00F32133">
        <w:rPr>
          <w:rFonts w:eastAsia="Times New Roman" w:cs="Times New Roman"/>
          <w:i/>
          <w:iCs/>
          <w:color w:val="000000"/>
          <w:sz w:val="15"/>
          <w:szCs w:val="15"/>
          <w:vertAlign w:val="subscript"/>
          <w:lang w:eastAsia="en-AU"/>
        </w:rPr>
        <w:t>EA,adj</w:t>
      </w:r>
      <w:proofErr w:type="spellEnd"/>
      <w:proofErr w:type="gramEnd"/>
      <w:r w:rsidRPr="00F32133">
        <w:rPr>
          <w:rFonts w:eastAsia="Times New Roman" w:cs="Times New Roman"/>
          <w:color w:val="000000"/>
          <w:szCs w:val="22"/>
          <w:lang w:eastAsia="en-AU"/>
        </w:rPr>
        <w:t>, in tonnes CO</w:t>
      </w:r>
      <w:r w:rsidRPr="00F32133">
        <w:rPr>
          <w:rFonts w:eastAsia="Times New Roman" w:cs="Times New Roman"/>
          <w:color w:val="000000"/>
          <w:sz w:val="15"/>
          <w:szCs w:val="15"/>
          <w:vertAlign w:val="subscript"/>
          <w:lang w:eastAsia="en-AU"/>
        </w:rPr>
        <w:t>2</w:t>
      </w:r>
      <w:r w:rsidRPr="00F32133">
        <w:rPr>
          <w:rFonts w:eastAsia="Times New Roman" w:cs="Times New Roman"/>
          <w:color w:val="000000"/>
          <w:szCs w:val="22"/>
          <w:lang w:eastAsia="en-AU"/>
        </w:rPr>
        <w:noBreakHyphen/>
        <w:t>e, is calculated by:</w:t>
      </w:r>
    </w:p>
    <w:p w14:paraId="5403F9C4" w14:textId="4A91EE1F" w:rsidR="00F32133" w:rsidRPr="00F32133" w:rsidRDefault="00F32133" w:rsidP="00C04881">
      <w:pPr>
        <w:pStyle w:val="ListParagraph"/>
        <w:numPr>
          <w:ilvl w:val="0"/>
          <w:numId w:val="57"/>
        </w:numPr>
        <w:spacing w:before="40" w:line="240" w:lineRule="auto"/>
        <w:rPr>
          <w:rFonts w:eastAsia="Times New Roman" w:cs="Times New Roman"/>
          <w:color w:val="000000"/>
          <w:szCs w:val="22"/>
          <w:lang w:eastAsia="en-AU"/>
        </w:rPr>
      </w:pPr>
      <w:r w:rsidRPr="00F32133">
        <w:rPr>
          <w:rFonts w:eastAsia="Times New Roman" w:cs="Times New Roman"/>
          <w:color w:val="000000"/>
          <w:szCs w:val="22"/>
          <w:lang w:eastAsia="en-AU"/>
        </w:rPr>
        <w:t>calculating the previous year’s uncertainty buffer for the project area, </w:t>
      </w:r>
      <w:proofErr w:type="spellStart"/>
      <w:proofErr w:type="gramStart"/>
      <w:r w:rsidRPr="00F32133">
        <w:rPr>
          <w:rFonts w:eastAsia="Times New Roman" w:cs="Times New Roman"/>
          <w:b/>
          <w:bCs/>
          <w:i/>
          <w:iCs/>
          <w:color w:val="000000"/>
          <w:szCs w:val="22"/>
          <w:lang w:eastAsia="en-AU"/>
        </w:rPr>
        <w:t>B</w:t>
      </w:r>
      <w:r w:rsidRPr="00F32133">
        <w:rPr>
          <w:rFonts w:eastAsia="Times New Roman" w:cs="Times New Roman"/>
          <w:b/>
          <w:bCs/>
          <w:i/>
          <w:iCs/>
          <w:color w:val="000000"/>
          <w:sz w:val="15"/>
          <w:szCs w:val="15"/>
          <w:vertAlign w:val="subscript"/>
          <w:lang w:eastAsia="en-AU"/>
        </w:rPr>
        <w:t>U,Prev</w:t>
      </w:r>
      <w:proofErr w:type="spellEnd"/>
      <w:proofErr w:type="gramEnd"/>
      <w:r w:rsidRPr="00F32133">
        <w:rPr>
          <w:rFonts w:eastAsia="Times New Roman" w:cs="Times New Roman"/>
          <w:color w:val="000000"/>
          <w:szCs w:val="22"/>
          <w:lang w:eastAsia="en-AU"/>
        </w:rPr>
        <w:t>, in tonnes CO</w:t>
      </w:r>
      <w:r w:rsidRPr="00F32133">
        <w:rPr>
          <w:rFonts w:eastAsia="Times New Roman" w:cs="Times New Roman"/>
          <w:color w:val="000000"/>
          <w:sz w:val="15"/>
          <w:szCs w:val="15"/>
          <w:vertAlign w:val="subscript"/>
          <w:lang w:eastAsia="en-AU"/>
        </w:rPr>
        <w:t>2</w:t>
      </w:r>
      <w:r w:rsidRPr="00F32133">
        <w:rPr>
          <w:rFonts w:eastAsia="Times New Roman" w:cs="Times New Roman"/>
          <w:color w:val="000000"/>
          <w:szCs w:val="22"/>
          <w:lang w:eastAsia="en-AU"/>
        </w:rPr>
        <w:noBreakHyphen/>
        <w:t>e, in accordance with section 3 of this Schedule; and</w:t>
      </w:r>
    </w:p>
    <w:p w14:paraId="70142132" w14:textId="77777777" w:rsidR="00B36CDD" w:rsidRDefault="00F32133" w:rsidP="00C04881">
      <w:pPr>
        <w:pStyle w:val="ListParagraph"/>
        <w:numPr>
          <w:ilvl w:val="0"/>
          <w:numId w:val="57"/>
        </w:numPr>
        <w:spacing w:before="40" w:line="240" w:lineRule="auto"/>
        <w:rPr>
          <w:rFonts w:eastAsia="Times New Roman" w:cs="Times New Roman"/>
          <w:color w:val="000000"/>
          <w:szCs w:val="22"/>
          <w:lang w:eastAsia="en-AU"/>
        </w:rPr>
      </w:pPr>
      <w:r w:rsidRPr="00F32133">
        <w:rPr>
          <w:rFonts w:eastAsia="Times New Roman" w:cs="Times New Roman"/>
          <w:color w:val="000000"/>
          <w:szCs w:val="22"/>
          <w:lang w:eastAsia="en-AU"/>
        </w:rPr>
        <w:lastRenderedPageBreak/>
        <w:t>calculating the contribution to the net abatement amount from emissions avoidance for the project area for the calendar year, </w:t>
      </w:r>
      <w:r w:rsidRPr="00F32133">
        <w:rPr>
          <w:rFonts w:eastAsia="Times New Roman" w:cs="Times New Roman"/>
          <w:b/>
          <w:bCs/>
          <w:i/>
          <w:iCs/>
          <w:color w:val="000000"/>
          <w:szCs w:val="22"/>
          <w:lang w:eastAsia="en-AU"/>
        </w:rPr>
        <w:t>A</w:t>
      </w:r>
      <w:r w:rsidRPr="00F32133">
        <w:rPr>
          <w:rFonts w:eastAsia="Times New Roman" w:cs="Times New Roman"/>
          <w:b/>
          <w:bCs/>
          <w:i/>
          <w:iCs/>
          <w:color w:val="000000"/>
          <w:sz w:val="15"/>
          <w:szCs w:val="15"/>
          <w:vertAlign w:val="subscript"/>
          <w:lang w:eastAsia="en-AU"/>
        </w:rPr>
        <w:t>EA</w:t>
      </w:r>
      <w:r w:rsidRPr="00F32133">
        <w:rPr>
          <w:rFonts w:eastAsia="Times New Roman" w:cs="Times New Roman"/>
          <w:color w:val="000000"/>
          <w:szCs w:val="22"/>
          <w:lang w:eastAsia="en-AU"/>
        </w:rPr>
        <w:t>, in tonnes CO</w:t>
      </w:r>
      <w:r w:rsidRPr="00F32133">
        <w:rPr>
          <w:rFonts w:eastAsia="Times New Roman" w:cs="Times New Roman"/>
          <w:color w:val="000000"/>
          <w:sz w:val="15"/>
          <w:szCs w:val="15"/>
          <w:vertAlign w:val="subscript"/>
          <w:lang w:eastAsia="en-AU"/>
        </w:rPr>
        <w:t>2</w:t>
      </w:r>
      <w:r w:rsidRPr="00F32133">
        <w:rPr>
          <w:rFonts w:eastAsia="Times New Roman" w:cs="Times New Roman"/>
          <w:color w:val="000000"/>
          <w:szCs w:val="22"/>
          <w:lang w:eastAsia="en-AU"/>
        </w:rPr>
        <w:noBreakHyphen/>
        <w:t>e, in accordance with section 4 of this Schedule; and</w:t>
      </w:r>
    </w:p>
    <w:p w14:paraId="4454559B" w14:textId="77777777" w:rsidR="00B36CDD" w:rsidRDefault="00F32133" w:rsidP="00C04881">
      <w:pPr>
        <w:pStyle w:val="ListParagraph"/>
        <w:numPr>
          <w:ilvl w:val="0"/>
          <w:numId w:val="57"/>
        </w:numPr>
        <w:spacing w:before="40" w:line="240" w:lineRule="auto"/>
        <w:rPr>
          <w:rFonts w:eastAsia="Times New Roman" w:cs="Times New Roman"/>
          <w:color w:val="000000"/>
          <w:szCs w:val="22"/>
          <w:lang w:eastAsia="en-AU"/>
        </w:rPr>
      </w:pPr>
      <w:r w:rsidRPr="00B36CDD">
        <w:rPr>
          <w:rFonts w:eastAsia="Times New Roman" w:cs="Times New Roman"/>
          <w:color w:val="000000"/>
          <w:szCs w:val="22"/>
          <w:lang w:eastAsia="en-AU"/>
        </w:rPr>
        <w:t>calculating the uncertainty buffer cap for the project area for the calendar year, </w:t>
      </w:r>
      <w:proofErr w:type="spellStart"/>
      <w:proofErr w:type="gramStart"/>
      <w:r w:rsidRPr="00B36CDD">
        <w:rPr>
          <w:rFonts w:eastAsia="Times New Roman" w:cs="Times New Roman"/>
          <w:b/>
          <w:bCs/>
          <w:i/>
          <w:iCs/>
          <w:color w:val="000000"/>
          <w:szCs w:val="22"/>
          <w:lang w:eastAsia="en-AU"/>
        </w:rPr>
        <w:t>B</w:t>
      </w:r>
      <w:r w:rsidRPr="00B36CDD">
        <w:rPr>
          <w:rFonts w:eastAsia="Times New Roman" w:cs="Times New Roman"/>
          <w:b/>
          <w:bCs/>
          <w:i/>
          <w:iCs/>
          <w:color w:val="000000"/>
          <w:sz w:val="15"/>
          <w:szCs w:val="15"/>
          <w:vertAlign w:val="subscript"/>
          <w:lang w:eastAsia="en-AU"/>
        </w:rPr>
        <w:t>U,Cap</w:t>
      </w:r>
      <w:proofErr w:type="spellEnd"/>
      <w:proofErr w:type="gramEnd"/>
      <w:r w:rsidRPr="00B36CDD">
        <w:rPr>
          <w:rFonts w:eastAsia="Times New Roman" w:cs="Times New Roman"/>
          <w:color w:val="000000"/>
          <w:szCs w:val="22"/>
          <w:lang w:eastAsia="en-AU"/>
        </w:rPr>
        <w:t>, in tonnes CO</w:t>
      </w:r>
      <w:r w:rsidRPr="00B36CDD">
        <w:rPr>
          <w:rFonts w:eastAsia="Times New Roman" w:cs="Times New Roman"/>
          <w:color w:val="000000"/>
          <w:sz w:val="15"/>
          <w:szCs w:val="15"/>
          <w:vertAlign w:val="subscript"/>
          <w:lang w:eastAsia="en-AU"/>
        </w:rPr>
        <w:t>2</w:t>
      </w:r>
      <w:r w:rsidRPr="00B36CDD">
        <w:rPr>
          <w:rFonts w:eastAsia="Times New Roman" w:cs="Times New Roman"/>
          <w:color w:val="000000"/>
          <w:szCs w:val="22"/>
          <w:lang w:eastAsia="en-AU"/>
        </w:rPr>
        <w:noBreakHyphen/>
        <w:t>e, in accordance with section 5 of this Schedule; and</w:t>
      </w:r>
    </w:p>
    <w:p w14:paraId="229922D6" w14:textId="77777777" w:rsidR="00B36CDD" w:rsidRDefault="00F32133" w:rsidP="00C04881">
      <w:pPr>
        <w:pStyle w:val="ListParagraph"/>
        <w:numPr>
          <w:ilvl w:val="0"/>
          <w:numId w:val="57"/>
        </w:numPr>
        <w:spacing w:before="40" w:line="240" w:lineRule="auto"/>
        <w:rPr>
          <w:rFonts w:eastAsia="Times New Roman" w:cs="Times New Roman"/>
          <w:color w:val="000000"/>
          <w:szCs w:val="22"/>
          <w:lang w:eastAsia="en-AU"/>
        </w:rPr>
      </w:pPr>
      <w:r w:rsidRPr="00B36CDD">
        <w:rPr>
          <w:rFonts w:eastAsia="Times New Roman" w:cs="Times New Roman"/>
          <w:color w:val="000000"/>
          <w:szCs w:val="22"/>
          <w:lang w:eastAsia="en-AU"/>
        </w:rPr>
        <w:t>determining which set of conditions set out in the table below is satisfied in relation to the project area for the calendar year; and</w:t>
      </w:r>
    </w:p>
    <w:p w14:paraId="6EACBCE5" w14:textId="77777777" w:rsidR="00B36CDD" w:rsidRDefault="00F32133" w:rsidP="00C04881">
      <w:pPr>
        <w:pStyle w:val="ListParagraph"/>
        <w:numPr>
          <w:ilvl w:val="0"/>
          <w:numId w:val="57"/>
        </w:numPr>
        <w:spacing w:before="40" w:line="240" w:lineRule="auto"/>
        <w:rPr>
          <w:rFonts w:eastAsia="Times New Roman" w:cs="Times New Roman"/>
          <w:color w:val="000000"/>
          <w:szCs w:val="22"/>
          <w:lang w:eastAsia="en-AU"/>
        </w:rPr>
      </w:pPr>
      <w:r w:rsidRPr="00B36CDD">
        <w:rPr>
          <w:rFonts w:eastAsia="Times New Roman" w:cs="Times New Roman"/>
          <w:color w:val="000000"/>
          <w:szCs w:val="22"/>
          <w:lang w:eastAsia="en-AU"/>
        </w:rPr>
        <w:t>calculating,</w:t>
      </w:r>
      <w:r w:rsidRPr="00B36CDD">
        <w:rPr>
          <w:rFonts w:eastAsia="Times New Roman" w:cs="Times New Roman"/>
          <w:i/>
          <w:iCs/>
          <w:color w:val="000000"/>
          <w:szCs w:val="22"/>
          <w:lang w:eastAsia="en-AU"/>
        </w:rPr>
        <w:t> </w:t>
      </w:r>
      <w:r w:rsidRPr="00B36CDD">
        <w:rPr>
          <w:rFonts w:eastAsia="Times New Roman" w:cs="Times New Roman"/>
          <w:color w:val="000000"/>
          <w:szCs w:val="22"/>
          <w:lang w:eastAsia="en-AU"/>
        </w:rPr>
        <w:t>in accordance with the corresponding row of the table:</w:t>
      </w:r>
    </w:p>
    <w:p w14:paraId="68B83E1B" w14:textId="77777777" w:rsidR="00B36CDD" w:rsidRDefault="00F32133" w:rsidP="006D3C2A">
      <w:pPr>
        <w:pStyle w:val="ListParagraph"/>
        <w:numPr>
          <w:ilvl w:val="2"/>
          <w:numId w:val="60"/>
        </w:numPr>
        <w:spacing w:before="40" w:line="240" w:lineRule="auto"/>
        <w:rPr>
          <w:rFonts w:eastAsia="Times New Roman" w:cs="Times New Roman"/>
          <w:color w:val="000000"/>
          <w:szCs w:val="22"/>
          <w:lang w:eastAsia="en-AU"/>
        </w:rPr>
      </w:pPr>
      <w:r w:rsidRPr="00B36CDD">
        <w:rPr>
          <w:rFonts w:eastAsia="Times New Roman" w:cs="Times New Roman"/>
          <w:color w:val="000000"/>
          <w:szCs w:val="22"/>
          <w:lang w:eastAsia="en-AU"/>
        </w:rPr>
        <w:t>the adjusted contribution to the net abatement amount from emissions avoidance for the project area and for the calendar year, </w:t>
      </w:r>
      <w:proofErr w:type="spellStart"/>
      <w:proofErr w:type="gramStart"/>
      <w:r w:rsidRPr="00B36CDD">
        <w:rPr>
          <w:rFonts w:eastAsia="Times New Roman" w:cs="Times New Roman"/>
          <w:b/>
          <w:bCs/>
          <w:i/>
          <w:iCs/>
          <w:color w:val="000000"/>
          <w:szCs w:val="22"/>
          <w:lang w:eastAsia="en-AU"/>
        </w:rPr>
        <w:t>A</w:t>
      </w:r>
      <w:r w:rsidRPr="00B36CDD">
        <w:rPr>
          <w:rFonts w:eastAsia="Times New Roman" w:cs="Times New Roman"/>
          <w:b/>
          <w:bCs/>
          <w:i/>
          <w:iCs/>
          <w:color w:val="000000"/>
          <w:sz w:val="15"/>
          <w:szCs w:val="15"/>
          <w:vertAlign w:val="subscript"/>
          <w:lang w:eastAsia="en-AU"/>
        </w:rPr>
        <w:t>EA,adj</w:t>
      </w:r>
      <w:proofErr w:type="spellEnd"/>
      <w:proofErr w:type="gramEnd"/>
      <w:r w:rsidRPr="00B36CDD">
        <w:rPr>
          <w:rFonts w:eastAsia="Times New Roman" w:cs="Times New Roman"/>
          <w:color w:val="000000"/>
          <w:szCs w:val="22"/>
          <w:lang w:eastAsia="en-AU"/>
        </w:rPr>
        <w:t>, in tonnes CO</w:t>
      </w:r>
      <w:r w:rsidRPr="00B36CDD">
        <w:rPr>
          <w:rFonts w:eastAsia="Times New Roman" w:cs="Times New Roman"/>
          <w:color w:val="000000"/>
          <w:sz w:val="15"/>
          <w:szCs w:val="15"/>
          <w:vertAlign w:val="subscript"/>
          <w:lang w:eastAsia="en-AU"/>
        </w:rPr>
        <w:t>2</w:t>
      </w:r>
      <w:r w:rsidRPr="00B36CDD">
        <w:rPr>
          <w:rFonts w:eastAsia="Times New Roman" w:cs="Times New Roman"/>
          <w:color w:val="000000"/>
          <w:szCs w:val="22"/>
          <w:lang w:eastAsia="en-AU"/>
        </w:rPr>
        <w:noBreakHyphen/>
        <w:t>e; and</w:t>
      </w:r>
    </w:p>
    <w:p w14:paraId="64102B53" w14:textId="53B82445" w:rsidR="00F32133" w:rsidRDefault="00F32133" w:rsidP="006D3C2A">
      <w:pPr>
        <w:pStyle w:val="ListParagraph"/>
        <w:numPr>
          <w:ilvl w:val="2"/>
          <w:numId w:val="60"/>
        </w:numPr>
        <w:spacing w:before="40" w:line="240" w:lineRule="auto"/>
        <w:rPr>
          <w:rFonts w:eastAsia="Times New Roman" w:cs="Times New Roman"/>
          <w:color w:val="000000"/>
          <w:szCs w:val="22"/>
          <w:lang w:eastAsia="en-AU"/>
        </w:rPr>
      </w:pPr>
      <w:r w:rsidRPr="00B36CDD">
        <w:rPr>
          <w:rFonts w:eastAsia="Times New Roman" w:cs="Times New Roman"/>
          <w:color w:val="000000"/>
          <w:szCs w:val="22"/>
          <w:lang w:eastAsia="en-AU"/>
        </w:rPr>
        <w:t>the current year’s uncertainty buffer for the project area, </w:t>
      </w:r>
      <w:proofErr w:type="spellStart"/>
      <w:proofErr w:type="gramStart"/>
      <w:r w:rsidRPr="00B36CDD">
        <w:rPr>
          <w:rFonts w:eastAsia="Times New Roman" w:cs="Times New Roman"/>
          <w:b/>
          <w:bCs/>
          <w:i/>
          <w:iCs/>
          <w:color w:val="000000"/>
          <w:szCs w:val="22"/>
          <w:lang w:eastAsia="en-AU"/>
        </w:rPr>
        <w:t>B</w:t>
      </w:r>
      <w:r w:rsidRPr="00B36CDD">
        <w:rPr>
          <w:rFonts w:eastAsia="Times New Roman" w:cs="Times New Roman"/>
          <w:b/>
          <w:bCs/>
          <w:i/>
          <w:iCs/>
          <w:color w:val="000000"/>
          <w:sz w:val="15"/>
          <w:szCs w:val="15"/>
          <w:vertAlign w:val="subscript"/>
          <w:lang w:eastAsia="en-AU"/>
        </w:rPr>
        <w:t>U,Curr</w:t>
      </w:r>
      <w:proofErr w:type="spellEnd"/>
      <w:proofErr w:type="gramEnd"/>
      <w:r w:rsidRPr="00B36CDD">
        <w:rPr>
          <w:rFonts w:eastAsia="Times New Roman" w:cs="Times New Roman"/>
          <w:color w:val="000000"/>
          <w:szCs w:val="22"/>
          <w:lang w:eastAsia="en-AU"/>
        </w:rPr>
        <w:t>,</w:t>
      </w:r>
      <w:r w:rsidRPr="00B36CDD">
        <w:rPr>
          <w:rFonts w:eastAsia="Times New Roman" w:cs="Times New Roman"/>
          <w:i/>
          <w:iCs/>
          <w:color w:val="000000"/>
          <w:szCs w:val="22"/>
          <w:lang w:eastAsia="en-AU"/>
        </w:rPr>
        <w:t> </w:t>
      </w:r>
      <w:r w:rsidRPr="00B36CDD">
        <w:rPr>
          <w:rFonts w:eastAsia="Times New Roman" w:cs="Times New Roman"/>
          <w:color w:val="000000"/>
          <w:szCs w:val="22"/>
          <w:lang w:eastAsia="en-AU"/>
        </w:rPr>
        <w:t>in tonnes CO</w:t>
      </w:r>
      <w:r w:rsidRPr="00B36CDD">
        <w:rPr>
          <w:rFonts w:eastAsia="Times New Roman" w:cs="Times New Roman"/>
          <w:color w:val="000000"/>
          <w:sz w:val="15"/>
          <w:szCs w:val="15"/>
          <w:vertAlign w:val="subscript"/>
          <w:lang w:eastAsia="en-AU"/>
        </w:rPr>
        <w:t>2</w:t>
      </w:r>
      <w:r w:rsidRPr="00B36CDD">
        <w:rPr>
          <w:rFonts w:eastAsia="Times New Roman" w:cs="Times New Roman"/>
          <w:color w:val="000000"/>
          <w:szCs w:val="22"/>
          <w:lang w:eastAsia="en-AU"/>
        </w:rPr>
        <w:noBreakHyphen/>
        <w:t>e</w:t>
      </w:r>
      <w:r w:rsidR="00800DDF">
        <w:rPr>
          <w:rFonts w:eastAsia="Times New Roman" w:cs="Times New Roman"/>
          <w:color w:val="000000"/>
          <w:szCs w:val="22"/>
          <w:lang w:eastAsia="en-AU"/>
        </w:rPr>
        <w:t>.</w:t>
      </w:r>
    </w:p>
    <w:p w14:paraId="146BF2A9" w14:textId="77777777" w:rsidR="00800DDF" w:rsidRPr="00B36CDD" w:rsidRDefault="00800DDF" w:rsidP="00800DDF">
      <w:pPr>
        <w:pStyle w:val="ListParagraph"/>
        <w:spacing w:before="40" w:line="240" w:lineRule="auto"/>
        <w:ind w:left="2750"/>
        <w:rPr>
          <w:rFonts w:eastAsia="Times New Roman" w:cs="Times New Roman"/>
          <w:color w:val="000000"/>
          <w:szCs w:val="22"/>
          <w:lang w:eastAsia="en-AU"/>
        </w:rPr>
      </w:pPr>
    </w:p>
    <w:tbl>
      <w:tblPr>
        <w:tblW w:w="9528" w:type="dxa"/>
        <w:tblCellMar>
          <w:left w:w="0" w:type="dxa"/>
          <w:right w:w="0" w:type="dxa"/>
        </w:tblCellMar>
        <w:tblLook w:val="04A0" w:firstRow="1" w:lastRow="0" w:firstColumn="1" w:lastColumn="0" w:noHBand="0" w:noVBand="1"/>
      </w:tblPr>
      <w:tblGrid>
        <w:gridCol w:w="458"/>
        <w:gridCol w:w="656"/>
        <w:gridCol w:w="943"/>
        <w:gridCol w:w="1369"/>
        <w:gridCol w:w="2537"/>
        <w:gridCol w:w="1798"/>
        <w:gridCol w:w="1767"/>
      </w:tblGrid>
      <w:tr w:rsidR="00F32133" w:rsidRPr="00F32133" w14:paraId="483CEAFF" w14:textId="77777777" w:rsidTr="00247BA1">
        <w:trPr>
          <w:tblHeader/>
        </w:trPr>
        <w:tc>
          <w:tcPr>
            <w:tcW w:w="400" w:type="dxa"/>
            <w:tcBorders>
              <w:top w:val="single" w:sz="18" w:space="0" w:color="000000"/>
              <w:bottom w:val="single" w:sz="6" w:space="0" w:color="000000"/>
            </w:tcBorders>
            <w:tcMar>
              <w:top w:w="34" w:type="dxa"/>
              <w:left w:w="28" w:type="dxa"/>
              <w:bottom w:w="50" w:type="dxa"/>
              <w:right w:w="28" w:type="dxa"/>
            </w:tcMar>
            <w:hideMark/>
          </w:tcPr>
          <w:p w14:paraId="5B5AF37B" w14:textId="77777777" w:rsidR="00F32133" w:rsidRPr="00F32133" w:rsidRDefault="00F32133" w:rsidP="00F32133">
            <w:pPr>
              <w:spacing w:before="60" w:line="240" w:lineRule="atLeast"/>
              <w:jc w:val="center"/>
              <w:rPr>
                <w:rFonts w:eastAsia="Times New Roman" w:cs="Times New Roman"/>
                <w:b/>
                <w:bCs/>
                <w:color w:val="000000"/>
                <w:sz w:val="20"/>
                <w:lang w:eastAsia="en-AU"/>
              </w:rPr>
            </w:pPr>
            <w:r w:rsidRPr="00F32133">
              <w:rPr>
                <w:rFonts w:eastAsia="Times New Roman" w:cs="Times New Roman"/>
                <w:b/>
                <w:bCs/>
                <w:color w:val="000000"/>
                <w:sz w:val="20"/>
                <w:lang w:eastAsia="en-AU"/>
              </w:rPr>
              <w:t> </w:t>
            </w:r>
          </w:p>
        </w:tc>
        <w:tc>
          <w:tcPr>
            <w:tcW w:w="9016" w:type="dxa"/>
            <w:gridSpan w:val="6"/>
            <w:tcBorders>
              <w:top w:val="single" w:sz="18" w:space="0" w:color="000000"/>
              <w:bottom w:val="single" w:sz="6" w:space="0" w:color="000000"/>
            </w:tcBorders>
            <w:tcMar>
              <w:top w:w="34" w:type="dxa"/>
              <w:left w:w="28" w:type="dxa"/>
              <w:bottom w:w="50" w:type="dxa"/>
              <w:right w:w="28" w:type="dxa"/>
            </w:tcMar>
            <w:hideMark/>
          </w:tcPr>
          <w:p w14:paraId="4B3B97D7" w14:textId="77777777" w:rsidR="00F32133" w:rsidRPr="00F32133" w:rsidRDefault="00F32133" w:rsidP="00F32133">
            <w:pPr>
              <w:spacing w:before="60" w:line="240" w:lineRule="atLeast"/>
              <w:jc w:val="center"/>
              <w:rPr>
                <w:rFonts w:eastAsia="Times New Roman" w:cs="Times New Roman"/>
                <w:b/>
                <w:bCs/>
                <w:color w:val="000000"/>
                <w:sz w:val="20"/>
                <w:lang w:eastAsia="en-AU"/>
              </w:rPr>
            </w:pPr>
            <w:r w:rsidRPr="00F32133">
              <w:rPr>
                <w:rFonts w:eastAsia="Times New Roman" w:cs="Times New Roman"/>
                <w:b/>
                <w:bCs/>
                <w:color w:val="000000"/>
                <w:sz w:val="20"/>
                <w:lang w:eastAsia="en-AU"/>
              </w:rPr>
              <w:t>Calculation of adjusted contribution to net abatement amount from emissions avoidance</w:t>
            </w:r>
          </w:p>
        </w:tc>
      </w:tr>
      <w:tr w:rsidR="00F32133" w:rsidRPr="00F32133" w14:paraId="1FDE3D7B" w14:textId="77777777" w:rsidTr="00247BA1">
        <w:trPr>
          <w:tblHeader/>
        </w:trPr>
        <w:tc>
          <w:tcPr>
            <w:tcW w:w="400" w:type="dxa"/>
            <w:tcBorders>
              <w:top w:val="single" w:sz="6" w:space="0" w:color="000000"/>
              <w:bottom w:val="single" w:sz="18" w:space="0" w:color="000000"/>
            </w:tcBorders>
            <w:tcMar>
              <w:top w:w="50" w:type="dxa"/>
              <w:left w:w="28" w:type="dxa"/>
              <w:bottom w:w="34" w:type="dxa"/>
              <w:right w:w="28" w:type="dxa"/>
            </w:tcMar>
            <w:hideMark/>
          </w:tcPr>
          <w:p w14:paraId="641014F2" w14:textId="77777777" w:rsidR="00F32133" w:rsidRPr="00F32133" w:rsidRDefault="00F32133" w:rsidP="00F32133">
            <w:pPr>
              <w:spacing w:before="60" w:line="240" w:lineRule="atLeast"/>
              <w:rPr>
                <w:rFonts w:eastAsia="Times New Roman" w:cs="Times New Roman"/>
                <w:b/>
                <w:bCs/>
                <w:color w:val="000000"/>
                <w:sz w:val="20"/>
                <w:lang w:eastAsia="en-AU"/>
              </w:rPr>
            </w:pPr>
            <w:r w:rsidRPr="00F32133">
              <w:rPr>
                <w:rFonts w:eastAsia="Times New Roman" w:cs="Times New Roman"/>
                <w:b/>
                <w:bCs/>
                <w:color w:val="000000"/>
                <w:sz w:val="20"/>
                <w:lang w:eastAsia="en-AU"/>
              </w:rPr>
              <w:t>Item</w:t>
            </w:r>
          </w:p>
        </w:tc>
        <w:tc>
          <w:tcPr>
            <w:tcW w:w="5472" w:type="dxa"/>
            <w:gridSpan w:val="4"/>
            <w:tcBorders>
              <w:top w:val="single" w:sz="6" w:space="0" w:color="000000"/>
              <w:bottom w:val="single" w:sz="18" w:space="0" w:color="000000"/>
            </w:tcBorders>
            <w:tcMar>
              <w:top w:w="50" w:type="dxa"/>
              <w:left w:w="28" w:type="dxa"/>
              <w:bottom w:w="34" w:type="dxa"/>
              <w:right w:w="28" w:type="dxa"/>
            </w:tcMar>
            <w:hideMark/>
          </w:tcPr>
          <w:p w14:paraId="58007FB9" w14:textId="77777777" w:rsidR="00F32133" w:rsidRPr="00F32133" w:rsidRDefault="00F32133" w:rsidP="00F32133">
            <w:pPr>
              <w:spacing w:before="60" w:line="240" w:lineRule="atLeast"/>
              <w:rPr>
                <w:rFonts w:eastAsia="Times New Roman" w:cs="Times New Roman"/>
                <w:b/>
                <w:bCs/>
                <w:color w:val="000000"/>
                <w:sz w:val="20"/>
                <w:lang w:eastAsia="en-AU"/>
              </w:rPr>
            </w:pPr>
            <w:r w:rsidRPr="00F32133">
              <w:rPr>
                <w:rFonts w:eastAsia="Times New Roman" w:cs="Times New Roman"/>
                <w:b/>
                <w:bCs/>
                <w:color w:val="000000"/>
                <w:sz w:val="20"/>
                <w:lang w:eastAsia="en-AU"/>
              </w:rPr>
              <w:t>Conditions</w:t>
            </w:r>
          </w:p>
        </w:tc>
        <w:tc>
          <w:tcPr>
            <w:tcW w:w="1787" w:type="dxa"/>
            <w:tcBorders>
              <w:top w:val="single" w:sz="6" w:space="0" w:color="000000"/>
              <w:bottom w:val="single" w:sz="18" w:space="0" w:color="000000"/>
            </w:tcBorders>
            <w:tcMar>
              <w:top w:w="50" w:type="dxa"/>
              <w:left w:w="28" w:type="dxa"/>
              <w:bottom w:w="34" w:type="dxa"/>
              <w:right w:w="28" w:type="dxa"/>
            </w:tcMar>
            <w:hideMark/>
          </w:tcPr>
          <w:p w14:paraId="2630C70F" w14:textId="77777777" w:rsidR="00F32133" w:rsidRPr="00F32133" w:rsidRDefault="00F32133" w:rsidP="00F32133">
            <w:pPr>
              <w:spacing w:before="60" w:line="240" w:lineRule="atLeast"/>
              <w:rPr>
                <w:rFonts w:eastAsia="Times New Roman" w:cs="Times New Roman"/>
                <w:b/>
                <w:bCs/>
                <w:color w:val="000000"/>
                <w:sz w:val="20"/>
                <w:lang w:eastAsia="en-AU"/>
              </w:rPr>
            </w:pPr>
            <w:proofErr w:type="spellStart"/>
            <w:proofErr w:type="gramStart"/>
            <w:r w:rsidRPr="00F32133">
              <w:rPr>
                <w:rFonts w:eastAsia="Times New Roman" w:cs="Times New Roman"/>
                <w:b/>
                <w:bCs/>
                <w:i/>
                <w:iCs/>
                <w:color w:val="000000"/>
                <w:sz w:val="20"/>
                <w:lang w:eastAsia="en-AU"/>
              </w:rPr>
              <w:t>A</w:t>
            </w:r>
            <w:r w:rsidRPr="00F32133">
              <w:rPr>
                <w:rFonts w:eastAsia="Times New Roman" w:cs="Times New Roman"/>
                <w:b/>
                <w:bCs/>
                <w:i/>
                <w:iCs/>
                <w:color w:val="000000"/>
                <w:sz w:val="13"/>
                <w:szCs w:val="13"/>
                <w:vertAlign w:val="subscript"/>
                <w:lang w:eastAsia="en-AU"/>
              </w:rPr>
              <w:t>EA,adj</w:t>
            </w:r>
            <w:proofErr w:type="spellEnd"/>
            <w:proofErr w:type="gramEnd"/>
          </w:p>
        </w:tc>
        <w:tc>
          <w:tcPr>
            <w:tcW w:w="1645" w:type="dxa"/>
            <w:tcBorders>
              <w:top w:val="single" w:sz="6" w:space="0" w:color="000000"/>
              <w:bottom w:val="single" w:sz="18" w:space="0" w:color="000000"/>
            </w:tcBorders>
            <w:tcMar>
              <w:top w:w="50" w:type="dxa"/>
              <w:left w:w="28" w:type="dxa"/>
              <w:bottom w:w="34" w:type="dxa"/>
              <w:right w:w="28" w:type="dxa"/>
            </w:tcMar>
            <w:hideMark/>
          </w:tcPr>
          <w:p w14:paraId="38513EAD" w14:textId="77777777" w:rsidR="00F32133" w:rsidRPr="00F32133" w:rsidRDefault="00F32133" w:rsidP="00F32133">
            <w:pPr>
              <w:spacing w:before="60" w:line="240" w:lineRule="atLeast"/>
              <w:rPr>
                <w:rFonts w:eastAsia="Times New Roman" w:cs="Times New Roman"/>
                <w:b/>
                <w:bCs/>
                <w:color w:val="000000"/>
                <w:sz w:val="20"/>
                <w:lang w:eastAsia="en-AU"/>
              </w:rPr>
            </w:pPr>
            <w:proofErr w:type="spellStart"/>
            <w:proofErr w:type="gramStart"/>
            <w:r w:rsidRPr="00F32133">
              <w:rPr>
                <w:rFonts w:eastAsia="Times New Roman" w:cs="Times New Roman"/>
                <w:b/>
                <w:bCs/>
                <w:i/>
                <w:iCs/>
                <w:color w:val="000000"/>
                <w:sz w:val="20"/>
                <w:lang w:eastAsia="en-AU"/>
              </w:rPr>
              <w:t>B</w:t>
            </w:r>
            <w:r w:rsidRPr="00F32133">
              <w:rPr>
                <w:rFonts w:eastAsia="Times New Roman" w:cs="Times New Roman"/>
                <w:b/>
                <w:bCs/>
                <w:i/>
                <w:iCs/>
                <w:color w:val="000000"/>
                <w:sz w:val="13"/>
                <w:szCs w:val="13"/>
                <w:vertAlign w:val="subscript"/>
                <w:lang w:eastAsia="en-AU"/>
              </w:rPr>
              <w:t>U,Curr</w:t>
            </w:r>
            <w:proofErr w:type="spellEnd"/>
            <w:proofErr w:type="gramEnd"/>
          </w:p>
        </w:tc>
      </w:tr>
      <w:tr w:rsidR="00F32133" w:rsidRPr="00F32133" w14:paraId="31134627" w14:textId="77777777" w:rsidTr="00247BA1">
        <w:tc>
          <w:tcPr>
            <w:tcW w:w="400" w:type="dxa"/>
            <w:tcBorders>
              <w:top w:val="single" w:sz="18" w:space="0" w:color="000000"/>
              <w:bottom w:val="single" w:sz="6" w:space="0" w:color="000000"/>
            </w:tcBorders>
            <w:tcMar>
              <w:top w:w="34" w:type="dxa"/>
              <w:left w:w="28" w:type="dxa"/>
              <w:bottom w:w="50" w:type="dxa"/>
              <w:right w:w="28" w:type="dxa"/>
            </w:tcMar>
            <w:hideMark/>
          </w:tcPr>
          <w:p w14:paraId="2BE947DD" w14:textId="77777777" w:rsidR="00F32133" w:rsidRPr="00F32133" w:rsidRDefault="00F32133" w:rsidP="00F32133">
            <w:pPr>
              <w:spacing w:before="60" w:line="240" w:lineRule="atLeast"/>
              <w:rPr>
                <w:rFonts w:eastAsia="Times New Roman" w:cs="Times New Roman"/>
                <w:color w:val="000000"/>
                <w:sz w:val="20"/>
                <w:lang w:eastAsia="en-AU"/>
              </w:rPr>
            </w:pPr>
            <w:r w:rsidRPr="00F32133">
              <w:rPr>
                <w:rFonts w:eastAsia="Times New Roman" w:cs="Times New Roman"/>
                <w:color w:val="000000"/>
                <w:sz w:val="20"/>
                <w:lang w:eastAsia="en-AU"/>
              </w:rPr>
              <w:t>1</w:t>
            </w:r>
          </w:p>
        </w:tc>
        <w:tc>
          <w:tcPr>
            <w:tcW w:w="652" w:type="dxa"/>
            <w:tcBorders>
              <w:top w:val="single" w:sz="18" w:space="0" w:color="000000"/>
              <w:bottom w:val="single" w:sz="6" w:space="0" w:color="000000"/>
            </w:tcBorders>
            <w:tcMar>
              <w:top w:w="34" w:type="dxa"/>
              <w:left w:w="28" w:type="dxa"/>
              <w:bottom w:w="50" w:type="dxa"/>
              <w:right w:w="28" w:type="dxa"/>
            </w:tcMar>
            <w:hideMark/>
          </w:tcPr>
          <w:p w14:paraId="2F76BB42" w14:textId="77777777" w:rsidR="00F32133" w:rsidRPr="00F32133" w:rsidRDefault="00F32133" w:rsidP="00F32133">
            <w:pPr>
              <w:spacing w:before="60" w:line="240" w:lineRule="atLeast"/>
              <w:rPr>
                <w:rFonts w:eastAsia="Times New Roman" w:cs="Times New Roman"/>
                <w:color w:val="000000"/>
                <w:sz w:val="20"/>
                <w:lang w:eastAsia="en-AU"/>
              </w:rPr>
            </w:pPr>
            <w:r w:rsidRPr="00F32133">
              <w:rPr>
                <w:rFonts w:eastAsia="Times New Roman" w:cs="Times New Roman"/>
                <w:i/>
                <w:iCs/>
                <w:color w:val="000000"/>
                <w:sz w:val="20"/>
                <w:lang w:eastAsia="en-AU"/>
              </w:rPr>
              <w:t>A</w:t>
            </w:r>
            <w:r w:rsidRPr="00F32133">
              <w:rPr>
                <w:rFonts w:eastAsia="Times New Roman" w:cs="Times New Roman"/>
                <w:i/>
                <w:iCs/>
                <w:color w:val="000000"/>
                <w:sz w:val="13"/>
                <w:szCs w:val="13"/>
                <w:vertAlign w:val="subscript"/>
                <w:lang w:eastAsia="en-AU"/>
              </w:rPr>
              <w:t>EA</w:t>
            </w:r>
            <w:r w:rsidRPr="00F32133">
              <w:rPr>
                <w:rFonts w:eastAsia="Times New Roman" w:cs="Times New Roman"/>
                <w:i/>
                <w:iCs/>
                <w:color w:val="000000"/>
                <w:sz w:val="20"/>
                <w:lang w:eastAsia="en-AU"/>
              </w:rPr>
              <w:t> </w:t>
            </w:r>
            <w:r w:rsidRPr="00F32133">
              <w:rPr>
                <w:rFonts w:ascii="Symbol" w:eastAsia="Symbol" w:hAnsi="Symbol" w:cs="Symbol"/>
                <w:color w:val="000000"/>
                <w:sz w:val="20"/>
                <w:lang w:eastAsia="en-AU"/>
              </w:rPr>
              <w:sym w:font="Symbol" w:char="F0A3"/>
            </w:r>
            <w:r w:rsidRPr="00F32133">
              <w:rPr>
                <w:rFonts w:eastAsia="Times New Roman" w:cs="Times New Roman"/>
                <w:i/>
                <w:iCs/>
                <w:color w:val="000000"/>
                <w:sz w:val="20"/>
                <w:lang w:eastAsia="en-AU"/>
              </w:rPr>
              <w:t> </w:t>
            </w:r>
            <w:r w:rsidRPr="00F32133">
              <w:rPr>
                <w:rFonts w:eastAsia="Times New Roman" w:cs="Times New Roman"/>
                <w:color w:val="000000"/>
                <w:sz w:val="20"/>
                <w:lang w:eastAsia="en-AU"/>
              </w:rPr>
              <w:t>0,</w:t>
            </w:r>
          </w:p>
        </w:tc>
        <w:tc>
          <w:tcPr>
            <w:tcW w:w="937" w:type="dxa"/>
            <w:tcBorders>
              <w:top w:val="single" w:sz="18" w:space="0" w:color="000000"/>
              <w:bottom w:val="single" w:sz="6" w:space="0" w:color="000000"/>
            </w:tcBorders>
            <w:tcMar>
              <w:top w:w="34" w:type="dxa"/>
              <w:left w:w="28" w:type="dxa"/>
              <w:bottom w:w="50" w:type="dxa"/>
              <w:right w:w="28" w:type="dxa"/>
            </w:tcMar>
            <w:hideMark/>
          </w:tcPr>
          <w:p w14:paraId="78FAA1DF" w14:textId="77777777" w:rsidR="00F32133" w:rsidRPr="00F32133" w:rsidRDefault="00F32133" w:rsidP="00F32133">
            <w:pPr>
              <w:spacing w:before="60" w:line="240" w:lineRule="atLeast"/>
              <w:rPr>
                <w:rFonts w:eastAsia="Times New Roman" w:cs="Times New Roman"/>
                <w:color w:val="000000"/>
                <w:sz w:val="20"/>
                <w:lang w:eastAsia="en-AU"/>
              </w:rPr>
            </w:pPr>
            <w:r w:rsidRPr="00F32133">
              <w:rPr>
                <w:rFonts w:eastAsia="Times New Roman" w:cs="Times New Roman"/>
                <w:i/>
                <w:iCs/>
                <w:color w:val="000000"/>
                <w:sz w:val="20"/>
                <w:lang w:eastAsia="en-AU"/>
              </w:rPr>
              <w:t> </w:t>
            </w:r>
          </w:p>
        </w:tc>
        <w:tc>
          <w:tcPr>
            <w:tcW w:w="1361" w:type="dxa"/>
            <w:tcBorders>
              <w:top w:val="single" w:sz="18" w:space="0" w:color="000000"/>
              <w:bottom w:val="single" w:sz="6" w:space="0" w:color="000000"/>
            </w:tcBorders>
            <w:tcMar>
              <w:top w:w="34" w:type="dxa"/>
              <w:left w:w="28" w:type="dxa"/>
              <w:bottom w:w="50" w:type="dxa"/>
              <w:right w:w="28" w:type="dxa"/>
            </w:tcMar>
            <w:hideMark/>
          </w:tcPr>
          <w:p w14:paraId="4220F27B" w14:textId="77777777" w:rsidR="00F32133" w:rsidRPr="00F32133" w:rsidRDefault="00F32133" w:rsidP="00F32133">
            <w:pPr>
              <w:spacing w:before="60" w:line="240" w:lineRule="atLeast"/>
              <w:rPr>
                <w:rFonts w:eastAsia="Times New Roman" w:cs="Times New Roman"/>
                <w:color w:val="000000"/>
                <w:sz w:val="20"/>
                <w:lang w:eastAsia="en-AU"/>
              </w:rPr>
            </w:pPr>
            <w:r w:rsidRPr="00F32133">
              <w:rPr>
                <w:rFonts w:eastAsia="Times New Roman" w:cs="Times New Roman"/>
                <w:i/>
                <w:iCs/>
                <w:color w:val="000000"/>
                <w:sz w:val="13"/>
                <w:szCs w:val="13"/>
                <w:vertAlign w:val="subscript"/>
                <w:lang w:eastAsia="en-AU"/>
              </w:rPr>
              <w:t> </w:t>
            </w:r>
          </w:p>
        </w:tc>
        <w:tc>
          <w:tcPr>
            <w:tcW w:w="2354" w:type="dxa"/>
            <w:tcBorders>
              <w:top w:val="single" w:sz="18" w:space="0" w:color="000000"/>
              <w:bottom w:val="single" w:sz="6" w:space="0" w:color="000000"/>
              <w:right w:val="double" w:sz="4" w:space="0" w:color="000000"/>
            </w:tcBorders>
            <w:tcMar>
              <w:top w:w="34" w:type="dxa"/>
              <w:left w:w="28" w:type="dxa"/>
              <w:bottom w:w="50" w:type="dxa"/>
              <w:right w:w="13" w:type="dxa"/>
            </w:tcMar>
            <w:hideMark/>
          </w:tcPr>
          <w:p w14:paraId="050325F0" w14:textId="77777777" w:rsidR="00F32133" w:rsidRPr="00F32133" w:rsidRDefault="00F32133" w:rsidP="00F32133">
            <w:pPr>
              <w:spacing w:before="60" w:line="240" w:lineRule="atLeast"/>
              <w:rPr>
                <w:rFonts w:eastAsia="Times New Roman" w:cs="Times New Roman"/>
                <w:color w:val="000000"/>
                <w:sz w:val="20"/>
                <w:lang w:eastAsia="en-AU"/>
              </w:rPr>
            </w:pPr>
            <w:r w:rsidRPr="00F32133">
              <w:rPr>
                <w:rFonts w:eastAsia="Times New Roman" w:cs="Times New Roman"/>
                <w:i/>
                <w:iCs/>
                <w:color w:val="000000"/>
                <w:sz w:val="20"/>
                <w:lang w:eastAsia="en-AU"/>
              </w:rPr>
              <w:t>A</w:t>
            </w:r>
            <w:r w:rsidRPr="00F32133">
              <w:rPr>
                <w:rFonts w:eastAsia="Times New Roman" w:cs="Times New Roman"/>
                <w:i/>
                <w:iCs/>
                <w:color w:val="000000"/>
                <w:sz w:val="13"/>
                <w:szCs w:val="13"/>
                <w:vertAlign w:val="subscript"/>
                <w:lang w:eastAsia="en-AU"/>
              </w:rPr>
              <w:t>EA</w:t>
            </w:r>
            <w:r w:rsidRPr="00F32133">
              <w:rPr>
                <w:rFonts w:eastAsia="Times New Roman" w:cs="Times New Roman"/>
                <w:i/>
                <w:iCs/>
                <w:color w:val="000000"/>
                <w:sz w:val="20"/>
                <w:lang w:eastAsia="en-AU"/>
              </w:rPr>
              <w:t> </w:t>
            </w:r>
            <w:r w:rsidRPr="00F32133">
              <w:rPr>
                <w:rFonts w:eastAsia="Times New Roman" w:cs="Times New Roman"/>
                <w:color w:val="000000"/>
                <w:sz w:val="20"/>
                <w:lang w:eastAsia="en-AU"/>
              </w:rPr>
              <w:t>+ </w:t>
            </w: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U,Prev</w:t>
            </w:r>
            <w:proofErr w:type="spellEnd"/>
            <w:proofErr w:type="gramEnd"/>
            <w:r w:rsidRPr="00F32133">
              <w:rPr>
                <w:rFonts w:eastAsia="Times New Roman" w:cs="Times New Roman"/>
                <w:i/>
                <w:iCs/>
                <w:color w:val="000000"/>
                <w:sz w:val="13"/>
                <w:szCs w:val="13"/>
                <w:vertAlign w:val="subscript"/>
                <w:lang w:eastAsia="en-AU"/>
              </w:rPr>
              <w:t> </w:t>
            </w:r>
            <w:r w:rsidRPr="00F32133">
              <w:rPr>
                <w:rFonts w:eastAsia="Times New Roman" w:cs="Times New Roman"/>
                <w:color w:val="000000"/>
                <w:sz w:val="20"/>
                <w:lang w:eastAsia="en-AU"/>
              </w:rPr>
              <w:t>&lt; </w:t>
            </w: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U,Cap</w:t>
            </w:r>
            <w:proofErr w:type="spellEnd"/>
            <w:proofErr w:type="gramEnd"/>
          </w:p>
        </w:tc>
        <w:tc>
          <w:tcPr>
            <w:tcW w:w="1787" w:type="dxa"/>
            <w:tcBorders>
              <w:top w:val="single" w:sz="18" w:space="0" w:color="000000"/>
              <w:left w:val="double" w:sz="4" w:space="0" w:color="000000"/>
              <w:bottom w:val="single" w:sz="6" w:space="0" w:color="000000"/>
              <w:right w:val="single" w:sz="6" w:space="0" w:color="000000"/>
            </w:tcBorders>
            <w:tcMar>
              <w:top w:w="34" w:type="dxa"/>
              <w:left w:w="13" w:type="dxa"/>
              <w:bottom w:w="50" w:type="dxa"/>
              <w:right w:w="20" w:type="dxa"/>
            </w:tcMar>
            <w:hideMark/>
          </w:tcPr>
          <w:p w14:paraId="64D32614" w14:textId="77777777" w:rsidR="00F32133" w:rsidRPr="00F32133" w:rsidRDefault="00F32133" w:rsidP="00F32133">
            <w:pPr>
              <w:spacing w:before="60" w:line="240" w:lineRule="atLeast"/>
              <w:rPr>
                <w:rFonts w:eastAsia="Times New Roman" w:cs="Times New Roman"/>
                <w:color w:val="000000"/>
                <w:sz w:val="20"/>
                <w:lang w:eastAsia="en-AU"/>
              </w:rPr>
            </w:pPr>
            <w:r w:rsidRPr="00F32133">
              <w:rPr>
                <w:rFonts w:eastAsia="Times New Roman" w:cs="Times New Roman"/>
                <w:color w:val="000000"/>
                <w:sz w:val="20"/>
                <w:lang w:eastAsia="en-AU"/>
              </w:rPr>
              <w:t>0</w:t>
            </w:r>
          </w:p>
        </w:tc>
        <w:tc>
          <w:tcPr>
            <w:tcW w:w="1645" w:type="dxa"/>
            <w:tcBorders>
              <w:top w:val="single" w:sz="18" w:space="0" w:color="000000"/>
              <w:left w:val="single" w:sz="6" w:space="0" w:color="000000"/>
              <w:bottom w:val="single" w:sz="6" w:space="0" w:color="000000"/>
            </w:tcBorders>
            <w:tcMar>
              <w:top w:w="34" w:type="dxa"/>
              <w:left w:w="20" w:type="dxa"/>
              <w:bottom w:w="50" w:type="dxa"/>
              <w:right w:w="28" w:type="dxa"/>
            </w:tcMar>
            <w:hideMark/>
          </w:tcPr>
          <w:p w14:paraId="1368A875" w14:textId="77777777" w:rsidR="00F32133" w:rsidRPr="00F32133" w:rsidRDefault="00F32133" w:rsidP="00F32133">
            <w:pPr>
              <w:spacing w:before="60" w:line="240" w:lineRule="atLeast"/>
              <w:rPr>
                <w:rFonts w:eastAsia="Times New Roman" w:cs="Times New Roman"/>
                <w:color w:val="000000"/>
                <w:sz w:val="20"/>
                <w:lang w:eastAsia="en-AU"/>
              </w:rPr>
            </w:pPr>
            <w:r w:rsidRPr="00F32133">
              <w:rPr>
                <w:rFonts w:eastAsia="Times New Roman" w:cs="Times New Roman"/>
                <w:i/>
                <w:iCs/>
                <w:color w:val="000000"/>
                <w:sz w:val="20"/>
                <w:lang w:eastAsia="en-AU"/>
              </w:rPr>
              <w:t>A</w:t>
            </w:r>
            <w:r w:rsidRPr="00F32133">
              <w:rPr>
                <w:rFonts w:eastAsia="Times New Roman" w:cs="Times New Roman"/>
                <w:i/>
                <w:iCs/>
                <w:color w:val="000000"/>
                <w:sz w:val="13"/>
                <w:szCs w:val="13"/>
                <w:vertAlign w:val="subscript"/>
                <w:lang w:eastAsia="en-AU"/>
              </w:rPr>
              <w:t>EA</w:t>
            </w:r>
            <w:r w:rsidRPr="00F32133">
              <w:rPr>
                <w:rFonts w:eastAsia="Times New Roman" w:cs="Times New Roman"/>
                <w:color w:val="000000"/>
                <w:sz w:val="20"/>
                <w:lang w:eastAsia="en-AU"/>
              </w:rPr>
              <w:t> + </w:t>
            </w: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U,Prev</w:t>
            </w:r>
            <w:proofErr w:type="spellEnd"/>
            <w:proofErr w:type="gramEnd"/>
          </w:p>
        </w:tc>
      </w:tr>
      <w:tr w:rsidR="00F32133" w:rsidRPr="00F32133" w14:paraId="564D556A" w14:textId="77777777" w:rsidTr="00247BA1">
        <w:tc>
          <w:tcPr>
            <w:tcW w:w="400" w:type="dxa"/>
            <w:tcBorders>
              <w:top w:val="single" w:sz="6" w:space="0" w:color="000000"/>
              <w:bottom w:val="single" w:sz="6" w:space="0" w:color="000000"/>
            </w:tcBorders>
            <w:tcMar>
              <w:top w:w="50" w:type="dxa"/>
              <w:left w:w="28" w:type="dxa"/>
              <w:bottom w:w="50" w:type="dxa"/>
              <w:right w:w="28" w:type="dxa"/>
            </w:tcMar>
            <w:hideMark/>
          </w:tcPr>
          <w:p w14:paraId="4B77221B" w14:textId="77777777" w:rsidR="00F32133" w:rsidRPr="00F32133" w:rsidRDefault="00F32133" w:rsidP="00F32133">
            <w:pPr>
              <w:spacing w:before="60" w:line="240" w:lineRule="atLeast"/>
              <w:rPr>
                <w:rFonts w:eastAsia="Times New Roman" w:cs="Times New Roman"/>
                <w:color w:val="000000"/>
                <w:sz w:val="20"/>
                <w:lang w:eastAsia="en-AU"/>
              </w:rPr>
            </w:pPr>
            <w:r w:rsidRPr="00F32133">
              <w:rPr>
                <w:rFonts w:eastAsia="Times New Roman" w:cs="Times New Roman"/>
                <w:color w:val="000000"/>
                <w:sz w:val="20"/>
                <w:lang w:eastAsia="en-AU"/>
              </w:rPr>
              <w:t>2</w:t>
            </w:r>
          </w:p>
        </w:tc>
        <w:tc>
          <w:tcPr>
            <w:tcW w:w="652" w:type="dxa"/>
            <w:tcBorders>
              <w:top w:val="single" w:sz="6" w:space="0" w:color="000000"/>
              <w:bottom w:val="single" w:sz="6" w:space="0" w:color="000000"/>
            </w:tcBorders>
            <w:tcMar>
              <w:top w:w="50" w:type="dxa"/>
              <w:left w:w="28" w:type="dxa"/>
              <w:bottom w:w="50" w:type="dxa"/>
              <w:right w:w="28" w:type="dxa"/>
            </w:tcMar>
            <w:hideMark/>
          </w:tcPr>
          <w:p w14:paraId="34643AC7" w14:textId="77777777" w:rsidR="00F32133" w:rsidRPr="00F32133" w:rsidRDefault="00F32133" w:rsidP="00F32133">
            <w:pPr>
              <w:spacing w:before="60" w:line="240" w:lineRule="atLeast"/>
              <w:rPr>
                <w:rFonts w:eastAsia="Times New Roman" w:cs="Times New Roman"/>
                <w:color w:val="000000"/>
                <w:sz w:val="20"/>
                <w:lang w:eastAsia="en-AU"/>
              </w:rPr>
            </w:pPr>
            <w:r w:rsidRPr="00F32133">
              <w:rPr>
                <w:rFonts w:eastAsia="Times New Roman" w:cs="Times New Roman"/>
                <w:i/>
                <w:iCs/>
                <w:color w:val="000000"/>
                <w:sz w:val="20"/>
                <w:lang w:eastAsia="en-AU"/>
              </w:rPr>
              <w:t>A</w:t>
            </w:r>
            <w:r w:rsidRPr="00F32133">
              <w:rPr>
                <w:rFonts w:eastAsia="Times New Roman" w:cs="Times New Roman"/>
                <w:i/>
                <w:iCs/>
                <w:color w:val="000000"/>
                <w:sz w:val="13"/>
                <w:szCs w:val="13"/>
                <w:vertAlign w:val="subscript"/>
                <w:lang w:eastAsia="en-AU"/>
              </w:rPr>
              <w:t>EA</w:t>
            </w:r>
            <w:r w:rsidRPr="00F32133">
              <w:rPr>
                <w:rFonts w:eastAsia="Times New Roman" w:cs="Times New Roman"/>
                <w:i/>
                <w:iCs/>
                <w:color w:val="000000"/>
                <w:sz w:val="20"/>
                <w:lang w:eastAsia="en-AU"/>
              </w:rPr>
              <w:t> </w:t>
            </w:r>
            <w:r w:rsidRPr="00F32133">
              <w:rPr>
                <w:rFonts w:ascii="Symbol" w:eastAsia="Symbol" w:hAnsi="Symbol" w:cs="Symbol"/>
                <w:color w:val="000000"/>
                <w:sz w:val="20"/>
                <w:lang w:eastAsia="en-AU"/>
              </w:rPr>
              <w:sym w:font="Symbol" w:char="F0A3"/>
            </w:r>
            <w:r w:rsidRPr="00F32133">
              <w:rPr>
                <w:rFonts w:eastAsia="Times New Roman" w:cs="Times New Roman"/>
                <w:i/>
                <w:iCs/>
                <w:color w:val="000000"/>
                <w:sz w:val="20"/>
                <w:lang w:eastAsia="en-AU"/>
              </w:rPr>
              <w:t> </w:t>
            </w:r>
            <w:r w:rsidRPr="00F32133">
              <w:rPr>
                <w:rFonts w:eastAsia="Times New Roman" w:cs="Times New Roman"/>
                <w:color w:val="000000"/>
                <w:sz w:val="20"/>
                <w:lang w:eastAsia="en-AU"/>
              </w:rPr>
              <w:t>0,</w:t>
            </w:r>
          </w:p>
        </w:tc>
        <w:tc>
          <w:tcPr>
            <w:tcW w:w="937" w:type="dxa"/>
            <w:tcBorders>
              <w:top w:val="single" w:sz="6" w:space="0" w:color="000000"/>
              <w:bottom w:val="single" w:sz="6" w:space="0" w:color="000000"/>
            </w:tcBorders>
            <w:tcMar>
              <w:top w:w="50" w:type="dxa"/>
              <w:left w:w="28" w:type="dxa"/>
              <w:bottom w:w="50" w:type="dxa"/>
              <w:right w:w="28" w:type="dxa"/>
            </w:tcMar>
            <w:hideMark/>
          </w:tcPr>
          <w:p w14:paraId="042FBD63" w14:textId="77777777" w:rsidR="00F32133" w:rsidRPr="00F32133" w:rsidRDefault="00F32133" w:rsidP="00F32133">
            <w:pPr>
              <w:spacing w:before="60" w:line="240" w:lineRule="atLeast"/>
              <w:rPr>
                <w:rFonts w:eastAsia="Times New Roman" w:cs="Times New Roman"/>
                <w:color w:val="000000"/>
                <w:sz w:val="20"/>
                <w:lang w:eastAsia="en-AU"/>
              </w:rPr>
            </w:pPr>
            <w:r w:rsidRPr="00F32133">
              <w:rPr>
                <w:rFonts w:eastAsia="Times New Roman" w:cs="Times New Roman"/>
                <w:i/>
                <w:iCs/>
                <w:color w:val="000000"/>
                <w:sz w:val="20"/>
                <w:lang w:eastAsia="en-AU"/>
              </w:rPr>
              <w:t> </w:t>
            </w:r>
          </w:p>
        </w:tc>
        <w:tc>
          <w:tcPr>
            <w:tcW w:w="1361" w:type="dxa"/>
            <w:tcBorders>
              <w:top w:val="single" w:sz="6" w:space="0" w:color="000000"/>
              <w:bottom w:val="single" w:sz="6" w:space="0" w:color="000000"/>
            </w:tcBorders>
            <w:tcMar>
              <w:top w:w="50" w:type="dxa"/>
              <w:left w:w="28" w:type="dxa"/>
              <w:bottom w:w="50" w:type="dxa"/>
              <w:right w:w="28" w:type="dxa"/>
            </w:tcMar>
            <w:hideMark/>
          </w:tcPr>
          <w:p w14:paraId="36813151" w14:textId="77777777" w:rsidR="00F32133" w:rsidRPr="00F32133" w:rsidRDefault="00F32133" w:rsidP="00F32133">
            <w:pPr>
              <w:spacing w:before="60" w:line="240" w:lineRule="atLeast"/>
              <w:rPr>
                <w:rFonts w:eastAsia="Times New Roman" w:cs="Times New Roman"/>
                <w:color w:val="000000"/>
                <w:sz w:val="20"/>
                <w:lang w:eastAsia="en-AU"/>
              </w:rPr>
            </w:pPr>
            <w:r w:rsidRPr="00F32133">
              <w:rPr>
                <w:rFonts w:eastAsia="Times New Roman" w:cs="Times New Roman"/>
                <w:color w:val="000000"/>
                <w:sz w:val="20"/>
                <w:lang w:eastAsia="en-AU"/>
              </w:rPr>
              <w:t> </w:t>
            </w:r>
          </w:p>
        </w:tc>
        <w:tc>
          <w:tcPr>
            <w:tcW w:w="2354" w:type="dxa"/>
            <w:tcBorders>
              <w:top w:val="single" w:sz="6" w:space="0" w:color="000000"/>
              <w:bottom w:val="single" w:sz="6" w:space="0" w:color="000000"/>
              <w:right w:val="double" w:sz="4" w:space="0" w:color="000000"/>
            </w:tcBorders>
            <w:tcMar>
              <w:top w:w="50" w:type="dxa"/>
              <w:left w:w="28" w:type="dxa"/>
              <w:bottom w:w="50" w:type="dxa"/>
              <w:right w:w="13" w:type="dxa"/>
            </w:tcMar>
            <w:hideMark/>
          </w:tcPr>
          <w:p w14:paraId="154DCCAA" w14:textId="77777777" w:rsidR="00F32133" w:rsidRPr="00F32133" w:rsidRDefault="00F32133" w:rsidP="00F32133">
            <w:pPr>
              <w:spacing w:before="60" w:line="240" w:lineRule="atLeast"/>
              <w:rPr>
                <w:rFonts w:eastAsia="Times New Roman" w:cs="Times New Roman"/>
                <w:color w:val="000000"/>
                <w:sz w:val="20"/>
                <w:lang w:eastAsia="en-AU"/>
              </w:rPr>
            </w:pPr>
            <w:r w:rsidRPr="00F32133">
              <w:rPr>
                <w:rFonts w:eastAsia="Times New Roman" w:cs="Times New Roman"/>
                <w:i/>
                <w:iCs/>
                <w:color w:val="000000"/>
                <w:sz w:val="20"/>
                <w:lang w:eastAsia="en-AU"/>
              </w:rPr>
              <w:t>A</w:t>
            </w:r>
            <w:r w:rsidRPr="00F32133">
              <w:rPr>
                <w:rFonts w:eastAsia="Times New Roman" w:cs="Times New Roman"/>
                <w:i/>
                <w:iCs/>
                <w:color w:val="000000"/>
                <w:sz w:val="13"/>
                <w:szCs w:val="13"/>
                <w:vertAlign w:val="subscript"/>
                <w:lang w:eastAsia="en-AU"/>
              </w:rPr>
              <w:t>EA</w:t>
            </w:r>
            <w:r w:rsidRPr="00F32133">
              <w:rPr>
                <w:rFonts w:eastAsia="Times New Roman" w:cs="Times New Roman"/>
                <w:i/>
                <w:iCs/>
                <w:color w:val="000000"/>
                <w:sz w:val="20"/>
                <w:lang w:eastAsia="en-AU"/>
              </w:rPr>
              <w:t> </w:t>
            </w:r>
            <w:r w:rsidRPr="00F32133">
              <w:rPr>
                <w:rFonts w:eastAsia="Times New Roman" w:cs="Times New Roman"/>
                <w:color w:val="000000"/>
                <w:sz w:val="20"/>
                <w:lang w:eastAsia="en-AU"/>
              </w:rPr>
              <w:t>+ </w:t>
            </w: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U,Prev</w:t>
            </w:r>
            <w:proofErr w:type="spellEnd"/>
            <w:proofErr w:type="gramEnd"/>
            <w:r w:rsidRPr="00F32133">
              <w:rPr>
                <w:rFonts w:eastAsia="Times New Roman" w:cs="Times New Roman"/>
                <w:i/>
                <w:iCs/>
                <w:color w:val="000000"/>
                <w:sz w:val="13"/>
                <w:szCs w:val="13"/>
                <w:vertAlign w:val="subscript"/>
                <w:lang w:eastAsia="en-AU"/>
              </w:rPr>
              <w:t> </w:t>
            </w:r>
            <w:r w:rsidRPr="00F32133">
              <w:rPr>
                <w:rFonts w:ascii="Symbol" w:eastAsia="Symbol" w:hAnsi="Symbol" w:cs="Symbol"/>
                <w:color w:val="000000"/>
                <w:sz w:val="20"/>
                <w:lang w:eastAsia="en-AU"/>
              </w:rPr>
              <w:sym w:font="Symbol" w:char="F0B3"/>
            </w:r>
            <w:r w:rsidRPr="00F32133">
              <w:rPr>
                <w:rFonts w:eastAsia="Times New Roman" w:cs="Times New Roman"/>
                <w:color w:val="000000"/>
                <w:sz w:val="20"/>
                <w:lang w:eastAsia="en-AU"/>
              </w:rPr>
              <w:t> </w:t>
            </w: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U,Cap</w:t>
            </w:r>
            <w:proofErr w:type="spellEnd"/>
            <w:proofErr w:type="gramEnd"/>
          </w:p>
        </w:tc>
        <w:tc>
          <w:tcPr>
            <w:tcW w:w="1787" w:type="dxa"/>
            <w:tcBorders>
              <w:top w:val="single" w:sz="6" w:space="0" w:color="000000"/>
              <w:left w:val="double" w:sz="4" w:space="0" w:color="000000"/>
              <w:bottom w:val="single" w:sz="6" w:space="0" w:color="000000"/>
              <w:right w:val="single" w:sz="6" w:space="0" w:color="000000"/>
            </w:tcBorders>
            <w:tcMar>
              <w:top w:w="50" w:type="dxa"/>
              <w:left w:w="13" w:type="dxa"/>
              <w:bottom w:w="50" w:type="dxa"/>
              <w:right w:w="20" w:type="dxa"/>
            </w:tcMar>
            <w:hideMark/>
          </w:tcPr>
          <w:p w14:paraId="64B1603C" w14:textId="77777777" w:rsidR="00F32133" w:rsidRPr="00F32133" w:rsidRDefault="00F32133" w:rsidP="00F32133">
            <w:pPr>
              <w:spacing w:before="60" w:line="240" w:lineRule="atLeast"/>
              <w:rPr>
                <w:rFonts w:eastAsia="Times New Roman" w:cs="Times New Roman"/>
                <w:color w:val="000000"/>
                <w:sz w:val="20"/>
                <w:lang w:eastAsia="en-AU"/>
              </w:rPr>
            </w:pPr>
            <w:r w:rsidRPr="00F32133">
              <w:rPr>
                <w:rFonts w:eastAsia="Times New Roman" w:cs="Times New Roman"/>
                <w:i/>
                <w:iCs/>
                <w:color w:val="000000"/>
                <w:sz w:val="20"/>
                <w:lang w:eastAsia="en-AU"/>
              </w:rPr>
              <w:t>A</w:t>
            </w:r>
            <w:r w:rsidRPr="00F32133">
              <w:rPr>
                <w:rFonts w:eastAsia="Times New Roman" w:cs="Times New Roman"/>
                <w:i/>
                <w:iCs/>
                <w:color w:val="000000"/>
                <w:sz w:val="13"/>
                <w:szCs w:val="13"/>
                <w:vertAlign w:val="subscript"/>
                <w:lang w:eastAsia="en-AU"/>
              </w:rPr>
              <w:t>EA</w:t>
            </w:r>
            <w:r w:rsidRPr="00F32133">
              <w:rPr>
                <w:rFonts w:eastAsia="Times New Roman" w:cs="Times New Roman"/>
                <w:color w:val="000000"/>
                <w:sz w:val="20"/>
                <w:lang w:eastAsia="en-AU"/>
              </w:rPr>
              <w:t> + </w:t>
            </w: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U,Prev</w:t>
            </w:r>
            <w:proofErr w:type="spellEnd"/>
            <w:proofErr w:type="gramEnd"/>
            <w:r w:rsidRPr="00F32133">
              <w:rPr>
                <w:rFonts w:eastAsia="Times New Roman" w:cs="Times New Roman"/>
                <w:i/>
                <w:iCs/>
                <w:color w:val="000000"/>
                <w:sz w:val="20"/>
                <w:lang w:eastAsia="en-AU"/>
              </w:rPr>
              <w:t> – </w:t>
            </w: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U,Cap</w:t>
            </w:r>
            <w:proofErr w:type="spellEnd"/>
            <w:proofErr w:type="gramEnd"/>
          </w:p>
        </w:tc>
        <w:tc>
          <w:tcPr>
            <w:tcW w:w="1645" w:type="dxa"/>
            <w:tcBorders>
              <w:top w:val="single" w:sz="6" w:space="0" w:color="000000"/>
              <w:left w:val="single" w:sz="6" w:space="0" w:color="000000"/>
              <w:bottom w:val="single" w:sz="6" w:space="0" w:color="000000"/>
            </w:tcBorders>
            <w:tcMar>
              <w:top w:w="50" w:type="dxa"/>
              <w:left w:w="20" w:type="dxa"/>
              <w:bottom w:w="50" w:type="dxa"/>
              <w:right w:w="28" w:type="dxa"/>
            </w:tcMar>
            <w:hideMark/>
          </w:tcPr>
          <w:p w14:paraId="03C5CCC5" w14:textId="77777777" w:rsidR="00F32133" w:rsidRPr="00F32133" w:rsidRDefault="00F32133" w:rsidP="00F32133">
            <w:pPr>
              <w:spacing w:before="60" w:line="240" w:lineRule="atLeast"/>
              <w:rPr>
                <w:rFonts w:eastAsia="Times New Roman" w:cs="Times New Roman"/>
                <w:color w:val="000000"/>
                <w:sz w:val="20"/>
                <w:lang w:eastAsia="en-AU"/>
              </w:rPr>
            </w:pP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U,Cap</w:t>
            </w:r>
            <w:proofErr w:type="spellEnd"/>
            <w:proofErr w:type="gramEnd"/>
          </w:p>
        </w:tc>
      </w:tr>
      <w:tr w:rsidR="00F32133" w:rsidRPr="00F32133" w14:paraId="5CD531B0" w14:textId="77777777" w:rsidTr="00247BA1">
        <w:tc>
          <w:tcPr>
            <w:tcW w:w="400" w:type="dxa"/>
            <w:tcBorders>
              <w:top w:val="single" w:sz="6" w:space="0" w:color="000000"/>
              <w:bottom w:val="single" w:sz="6" w:space="0" w:color="000000"/>
            </w:tcBorders>
            <w:tcMar>
              <w:top w:w="50" w:type="dxa"/>
              <w:left w:w="28" w:type="dxa"/>
              <w:bottom w:w="50" w:type="dxa"/>
              <w:right w:w="28" w:type="dxa"/>
            </w:tcMar>
            <w:hideMark/>
          </w:tcPr>
          <w:p w14:paraId="6FD2B805" w14:textId="77777777" w:rsidR="00F32133" w:rsidRPr="00F32133" w:rsidRDefault="00F32133" w:rsidP="00F32133">
            <w:pPr>
              <w:spacing w:before="60" w:line="240" w:lineRule="atLeast"/>
              <w:rPr>
                <w:rFonts w:eastAsia="Times New Roman" w:cs="Times New Roman"/>
                <w:color w:val="000000"/>
                <w:sz w:val="20"/>
                <w:lang w:eastAsia="en-AU"/>
              </w:rPr>
            </w:pPr>
            <w:r w:rsidRPr="00F32133">
              <w:rPr>
                <w:rFonts w:eastAsia="Times New Roman" w:cs="Times New Roman"/>
                <w:color w:val="000000"/>
                <w:sz w:val="20"/>
                <w:lang w:eastAsia="en-AU"/>
              </w:rPr>
              <w:t>3</w:t>
            </w:r>
          </w:p>
        </w:tc>
        <w:tc>
          <w:tcPr>
            <w:tcW w:w="652" w:type="dxa"/>
            <w:tcBorders>
              <w:top w:val="single" w:sz="6" w:space="0" w:color="000000"/>
              <w:bottom w:val="single" w:sz="6" w:space="0" w:color="000000"/>
            </w:tcBorders>
            <w:tcMar>
              <w:top w:w="50" w:type="dxa"/>
              <w:left w:w="28" w:type="dxa"/>
              <w:bottom w:w="50" w:type="dxa"/>
              <w:right w:w="28" w:type="dxa"/>
            </w:tcMar>
            <w:hideMark/>
          </w:tcPr>
          <w:p w14:paraId="01EA82F8" w14:textId="77777777" w:rsidR="00F32133" w:rsidRPr="00F32133" w:rsidRDefault="00F32133" w:rsidP="00F32133">
            <w:pPr>
              <w:spacing w:before="60" w:line="240" w:lineRule="atLeast"/>
              <w:rPr>
                <w:rFonts w:eastAsia="Times New Roman" w:cs="Times New Roman"/>
                <w:color w:val="000000"/>
                <w:sz w:val="20"/>
                <w:lang w:eastAsia="en-AU"/>
              </w:rPr>
            </w:pPr>
            <w:r w:rsidRPr="00F32133">
              <w:rPr>
                <w:rFonts w:eastAsia="Times New Roman" w:cs="Times New Roman"/>
                <w:i/>
                <w:iCs/>
                <w:color w:val="000000"/>
                <w:sz w:val="20"/>
                <w:lang w:eastAsia="en-AU"/>
              </w:rPr>
              <w:t>A</w:t>
            </w:r>
            <w:r w:rsidRPr="00F32133">
              <w:rPr>
                <w:rFonts w:eastAsia="Times New Roman" w:cs="Times New Roman"/>
                <w:i/>
                <w:iCs/>
                <w:color w:val="000000"/>
                <w:sz w:val="13"/>
                <w:szCs w:val="13"/>
                <w:vertAlign w:val="subscript"/>
                <w:lang w:eastAsia="en-AU"/>
              </w:rPr>
              <w:t>EA</w:t>
            </w:r>
            <w:r w:rsidRPr="00F32133">
              <w:rPr>
                <w:rFonts w:eastAsia="Times New Roman" w:cs="Times New Roman"/>
                <w:i/>
                <w:iCs/>
                <w:color w:val="000000"/>
                <w:sz w:val="20"/>
                <w:lang w:eastAsia="en-AU"/>
              </w:rPr>
              <w:t> </w:t>
            </w:r>
            <w:r w:rsidRPr="00F32133">
              <w:rPr>
                <w:rFonts w:ascii="Symbol" w:eastAsia="Symbol" w:hAnsi="Symbol" w:cs="Symbol"/>
                <w:color w:val="000000"/>
                <w:sz w:val="20"/>
                <w:lang w:eastAsia="en-AU"/>
              </w:rPr>
              <w:sym w:font="Symbol" w:char="F03E"/>
            </w:r>
            <w:r w:rsidRPr="00F32133">
              <w:rPr>
                <w:rFonts w:eastAsia="Times New Roman" w:cs="Times New Roman"/>
                <w:i/>
                <w:iCs/>
                <w:color w:val="000000"/>
                <w:sz w:val="20"/>
                <w:lang w:eastAsia="en-AU"/>
              </w:rPr>
              <w:t> </w:t>
            </w:r>
            <w:r w:rsidRPr="00F32133">
              <w:rPr>
                <w:rFonts w:eastAsia="Times New Roman" w:cs="Times New Roman"/>
                <w:color w:val="000000"/>
                <w:sz w:val="20"/>
                <w:lang w:eastAsia="en-AU"/>
              </w:rPr>
              <w:t>0,</w:t>
            </w:r>
          </w:p>
        </w:tc>
        <w:tc>
          <w:tcPr>
            <w:tcW w:w="937" w:type="dxa"/>
            <w:tcBorders>
              <w:top w:val="single" w:sz="6" w:space="0" w:color="000000"/>
              <w:bottom w:val="single" w:sz="6" w:space="0" w:color="000000"/>
            </w:tcBorders>
            <w:tcMar>
              <w:top w:w="50" w:type="dxa"/>
              <w:left w:w="28" w:type="dxa"/>
              <w:bottom w:w="50" w:type="dxa"/>
              <w:right w:w="28" w:type="dxa"/>
            </w:tcMar>
            <w:hideMark/>
          </w:tcPr>
          <w:p w14:paraId="1CAF0DFB" w14:textId="77777777" w:rsidR="00F32133" w:rsidRPr="00F32133" w:rsidRDefault="00F32133" w:rsidP="00F32133">
            <w:pPr>
              <w:spacing w:before="60" w:line="240" w:lineRule="atLeast"/>
              <w:rPr>
                <w:rFonts w:eastAsia="Times New Roman" w:cs="Times New Roman"/>
                <w:color w:val="000000"/>
                <w:sz w:val="20"/>
                <w:lang w:eastAsia="en-AU"/>
              </w:rPr>
            </w:pP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U,Prev</w:t>
            </w:r>
            <w:proofErr w:type="spellEnd"/>
            <w:proofErr w:type="gramEnd"/>
            <w:r w:rsidRPr="00F32133">
              <w:rPr>
                <w:rFonts w:eastAsia="Times New Roman" w:cs="Times New Roman"/>
                <w:color w:val="000000"/>
                <w:sz w:val="20"/>
                <w:lang w:eastAsia="en-AU"/>
              </w:rPr>
              <w:t> &lt; 0,</w:t>
            </w:r>
          </w:p>
        </w:tc>
        <w:tc>
          <w:tcPr>
            <w:tcW w:w="1361" w:type="dxa"/>
            <w:tcBorders>
              <w:top w:val="single" w:sz="6" w:space="0" w:color="000000"/>
              <w:bottom w:val="single" w:sz="6" w:space="0" w:color="000000"/>
            </w:tcBorders>
            <w:tcMar>
              <w:top w:w="50" w:type="dxa"/>
              <w:left w:w="28" w:type="dxa"/>
              <w:bottom w:w="50" w:type="dxa"/>
              <w:right w:w="28" w:type="dxa"/>
            </w:tcMar>
            <w:hideMark/>
          </w:tcPr>
          <w:p w14:paraId="02B81E45" w14:textId="77777777" w:rsidR="00F32133" w:rsidRPr="00F32133" w:rsidRDefault="00F32133" w:rsidP="00F32133">
            <w:pPr>
              <w:spacing w:before="60" w:line="240" w:lineRule="atLeast"/>
              <w:rPr>
                <w:rFonts w:eastAsia="Times New Roman" w:cs="Times New Roman"/>
                <w:color w:val="000000"/>
                <w:sz w:val="20"/>
                <w:lang w:eastAsia="en-AU"/>
              </w:rPr>
            </w:pPr>
            <w:r w:rsidRPr="00F32133">
              <w:rPr>
                <w:rFonts w:eastAsia="Times New Roman" w:cs="Times New Roman"/>
                <w:i/>
                <w:iCs/>
                <w:color w:val="000000"/>
                <w:sz w:val="20"/>
                <w:lang w:eastAsia="en-AU"/>
              </w:rPr>
              <w:t>A</w:t>
            </w:r>
            <w:r w:rsidRPr="00F32133">
              <w:rPr>
                <w:rFonts w:eastAsia="Times New Roman" w:cs="Times New Roman"/>
                <w:i/>
                <w:iCs/>
                <w:color w:val="000000"/>
                <w:sz w:val="13"/>
                <w:szCs w:val="13"/>
                <w:vertAlign w:val="subscript"/>
                <w:lang w:eastAsia="en-AU"/>
              </w:rPr>
              <w:t>EA</w:t>
            </w:r>
            <w:r w:rsidRPr="00F32133">
              <w:rPr>
                <w:rFonts w:eastAsia="Times New Roman" w:cs="Times New Roman"/>
                <w:i/>
                <w:iCs/>
                <w:color w:val="000000"/>
                <w:sz w:val="20"/>
                <w:lang w:eastAsia="en-AU"/>
              </w:rPr>
              <w:t> </w:t>
            </w:r>
            <w:r w:rsidRPr="00F32133">
              <w:rPr>
                <w:rFonts w:eastAsia="Times New Roman" w:cs="Times New Roman"/>
                <w:color w:val="000000"/>
                <w:sz w:val="20"/>
                <w:lang w:eastAsia="en-AU"/>
              </w:rPr>
              <w:t>+ </w:t>
            </w: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U,Prev</w:t>
            </w:r>
            <w:proofErr w:type="spellEnd"/>
            <w:proofErr w:type="gramEnd"/>
            <w:r w:rsidRPr="00F32133">
              <w:rPr>
                <w:rFonts w:eastAsia="Times New Roman" w:cs="Times New Roman"/>
                <w:i/>
                <w:iCs/>
                <w:color w:val="000000"/>
                <w:sz w:val="13"/>
                <w:szCs w:val="13"/>
                <w:vertAlign w:val="subscript"/>
                <w:lang w:eastAsia="en-AU"/>
              </w:rPr>
              <w:t> </w:t>
            </w:r>
            <w:r w:rsidRPr="00F32133">
              <w:rPr>
                <w:rFonts w:eastAsia="Times New Roman" w:cs="Times New Roman"/>
                <w:color w:val="000000"/>
                <w:sz w:val="20"/>
                <w:lang w:eastAsia="en-AU"/>
              </w:rPr>
              <w:t>&lt; 0</w:t>
            </w:r>
          </w:p>
        </w:tc>
        <w:tc>
          <w:tcPr>
            <w:tcW w:w="2354" w:type="dxa"/>
            <w:tcBorders>
              <w:top w:val="single" w:sz="6" w:space="0" w:color="000000"/>
              <w:bottom w:val="single" w:sz="6" w:space="0" w:color="000000"/>
              <w:right w:val="double" w:sz="4" w:space="0" w:color="000000"/>
            </w:tcBorders>
            <w:tcMar>
              <w:top w:w="50" w:type="dxa"/>
              <w:left w:w="28" w:type="dxa"/>
              <w:bottom w:w="50" w:type="dxa"/>
              <w:right w:w="13" w:type="dxa"/>
            </w:tcMar>
            <w:hideMark/>
          </w:tcPr>
          <w:p w14:paraId="6C6DFD81" w14:textId="77777777" w:rsidR="00F32133" w:rsidRPr="00F32133" w:rsidRDefault="00F32133" w:rsidP="00F32133">
            <w:pPr>
              <w:spacing w:before="60" w:line="240" w:lineRule="atLeast"/>
              <w:rPr>
                <w:rFonts w:eastAsia="Times New Roman" w:cs="Times New Roman"/>
                <w:color w:val="000000"/>
                <w:sz w:val="20"/>
                <w:lang w:eastAsia="en-AU"/>
              </w:rPr>
            </w:pPr>
            <w:r w:rsidRPr="00F32133">
              <w:rPr>
                <w:rFonts w:eastAsia="Times New Roman" w:cs="Times New Roman"/>
                <w:color w:val="000000"/>
                <w:sz w:val="20"/>
                <w:lang w:eastAsia="en-AU"/>
              </w:rPr>
              <w:t> </w:t>
            </w:r>
          </w:p>
        </w:tc>
        <w:tc>
          <w:tcPr>
            <w:tcW w:w="1787" w:type="dxa"/>
            <w:tcBorders>
              <w:top w:val="single" w:sz="6" w:space="0" w:color="000000"/>
              <w:left w:val="double" w:sz="4" w:space="0" w:color="000000"/>
              <w:bottom w:val="single" w:sz="6" w:space="0" w:color="000000"/>
              <w:right w:val="single" w:sz="6" w:space="0" w:color="000000"/>
            </w:tcBorders>
            <w:tcMar>
              <w:top w:w="50" w:type="dxa"/>
              <w:left w:w="13" w:type="dxa"/>
              <w:bottom w:w="50" w:type="dxa"/>
              <w:right w:w="20" w:type="dxa"/>
            </w:tcMar>
            <w:hideMark/>
          </w:tcPr>
          <w:p w14:paraId="52A31FCC" w14:textId="77777777" w:rsidR="00F32133" w:rsidRPr="00F32133" w:rsidRDefault="00F32133" w:rsidP="00F32133">
            <w:pPr>
              <w:spacing w:before="60" w:line="240" w:lineRule="atLeast"/>
              <w:rPr>
                <w:rFonts w:eastAsia="Times New Roman" w:cs="Times New Roman"/>
                <w:color w:val="000000"/>
                <w:sz w:val="20"/>
                <w:lang w:eastAsia="en-AU"/>
              </w:rPr>
            </w:pPr>
            <w:r w:rsidRPr="00F32133">
              <w:rPr>
                <w:rFonts w:eastAsia="Times New Roman" w:cs="Times New Roman"/>
                <w:color w:val="000000"/>
                <w:sz w:val="20"/>
                <w:lang w:eastAsia="en-AU"/>
              </w:rPr>
              <w:t>0</w:t>
            </w:r>
          </w:p>
        </w:tc>
        <w:tc>
          <w:tcPr>
            <w:tcW w:w="1645" w:type="dxa"/>
            <w:tcBorders>
              <w:top w:val="single" w:sz="6" w:space="0" w:color="000000"/>
              <w:left w:val="single" w:sz="6" w:space="0" w:color="000000"/>
              <w:bottom w:val="single" w:sz="6" w:space="0" w:color="000000"/>
            </w:tcBorders>
            <w:tcMar>
              <w:top w:w="50" w:type="dxa"/>
              <w:left w:w="20" w:type="dxa"/>
              <w:bottom w:w="50" w:type="dxa"/>
              <w:right w:w="28" w:type="dxa"/>
            </w:tcMar>
            <w:hideMark/>
          </w:tcPr>
          <w:p w14:paraId="5707AF19" w14:textId="77777777" w:rsidR="00F32133" w:rsidRPr="00F32133" w:rsidRDefault="00F32133" w:rsidP="00F32133">
            <w:pPr>
              <w:spacing w:before="60" w:line="240" w:lineRule="atLeast"/>
              <w:rPr>
                <w:rFonts w:eastAsia="Times New Roman" w:cs="Times New Roman"/>
                <w:color w:val="000000"/>
                <w:sz w:val="20"/>
                <w:lang w:eastAsia="en-AU"/>
              </w:rPr>
            </w:pPr>
            <w:r w:rsidRPr="00F32133">
              <w:rPr>
                <w:rFonts w:eastAsia="Times New Roman" w:cs="Times New Roman"/>
                <w:i/>
                <w:iCs/>
                <w:color w:val="000000"/>
                <w:sz w:val="20"/>
                <w:lang w:eastAsia="en-AU"/>
              </w:rPr>
              <w:t>A</w:t>
            </w:r>
            <w:r w:rsidRPr="00F32133">
              <w:rPr>
                <w:rFonts w:eastAsia="Times New Roman" w:cs="Times New Roman"/>
                <w:i/>
                <w:iCs/>
                <w:color w:val="000000"/>
                <w:sz w:val="13"/>
                <w:szCs w:val="13"/>
                <w:vertAlign w:val="subscript"/>
                <w:lang w:eastAsia="en-AU"/>
              </w:rPr>
              <w:t>EA</w:t>
            </w:r>
            <w:r w:rsidRPr="00F32133">
              <w:rPr>
                <w:rFonts w:eastAsia="Times New Roman" w:cs="Times New Roman"/>
                <w:color w:val="000000"/>
                <w:sz w:val="20"/>
                <w:lang w:eastAsia="en-AU"/>
              </w:rPr>
              <w:t> + </w:t>
            </w: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U,Prev</w:t>
            </w:r>
            <w:proofErr w:type="spellEnd"/>
            <w:proofErr w:type="gramEnd"/>
          </w:p>
        </w:tc>
      </w:tr>
      <w:tr w:rsidR="00F32133" w:rsidRPr="00F32133" w14:paraId="718CC87F" w14:textId="77777777" w:rsidTr="00247BA1">
        <w:tc>
          <w:tcPr>
            <w:tcW w:w="400" w:type="dxa"/>
            <w:tcBorders>
              <w:top w:val="single" w:sz="6" w:space="0" w:color="000000"/>
              <w:bottom w:val="single" w:sz="6" w:space="0" w:color="000000"/>
            </w:tcBorders>
            <w:tcMar>
              <w:top w:w="50" w:type="dxa"/>
              <w:left w:w="28" w:type="dxa"/>
              <w:bottom w:w="50" w:type="dxa"/>
              <w:right w:w="28" w:type="dxa"/>
            </w:tcMar>
            <w:hideMark/>
          </w:tcPr>
          <w:p w14:paraId="79E02472" w14:textId="77777777" w:rsidR="00F32133" w:rsidRPr="00F32133" w:rsidRDefault="00F32133" w:rsidP="00F32133">
            <w:pPr>
              <w:spacing w:line="240" w:lineRule="auto"/>
              <w:rPr>
                <w:rFonts w:eastAsia="Times New Roman" w:cs="Times New Roman"/>
                <w:color w:val="000000"/>
                <w:szCs w:val="22"/>
                <w:lang w:eastAsia="en-AU"/>
              </w:rPr>
            </w:pPr>
            <w:r w:rsidRPr="00F32133">
              <w:rPr>
                <w:rFonts w:eastAsia="Times New Roman" w:cs="Times New Roman"/>
                <w:color w:val="000000"/>
                <w:sz w:val="20"/>
                <w:lang w:eastAsia="en-AU"/>
              </w:rPr>
              <w:t>4</w:t>
            </w:r>
          </w:p>
        </w:tc>
        <w:tc>
          <w:tcPr>
            <w:tcW w:w="652" w:type="dxa"/>
            <w:tcBorders>
              <w:top w:val="single" w:sz="6" w:space="0" w:color="000000"/>
              <w:bottom w:val="single" w:sz="6" w:space="0" w:color="000000"/>
            </w:tcBorders>
            <w:tcMar>
              <w:top w:w="50" w:type="dxa"/>
              <w:left w:w="28" w:type="dxa"/>
              <w:bottom w:w="50" w:type="dxa"/>
              <w:right w:w="28" w:type="dxa"/>
            </w:tcMar>
            <w:hideMark/>
          </w:tcPr>
          <w:p w14:paraId="26E31EC1" w14:textId="77777777" w:rsidR="00F32133" w:rsidRPr="00F32133" w:rsidRDefault="00F32133" w:rsidP="00F32133">
            <w:pPr>
              <w:spacing w:line="240" w:lineRule="auto"/>
              <w:rPr>
                <w:rFonts w:eastAsia="Times New Roman" w:cs="Times New Roman"/>
                <w:color w:val="000000"/>
                <w:szCs w:val="22"/>
                <w:lang w:eastAsia="en-AU"/>
              </w:rPr>
            </w:pPr>
            <w:r w:rsidRPr="00F32133">
              <w:rPr>
                <w:rFonts w:eastAsia="Times New Roman" w:cs="Times New Roman"/>
                <w:i/>
                <w:iCs/>
                <w:color w:val="000000"/>
                <w:sz w:val="20"/>
                <w:lang w:eastAsia="en-AU"/>
              </w:rPr>
              <w:t>A</w:t>
            </w:r>
            <w:r w:rsidRPr="00F32133">
              <w:rPr>
                <w:rFonts w:eastAsia="Times New Roman" w:cs="Times New Roman"/>
                <w:i/>
                <w:iCs/>
                <w:color w:val="000000"/>
                <w:sz w:val="13"/>
                <w:szCs w:val="13"/>
                <w:vertAlign w:val="subscript"/>
                <w:lang w:eastAsia="en-AU"/>
              </w:rPr>
              <w:t>EA</w:t>
            </w:r>
            <w:r w:rsidRPr="00F32133">
              <w:rPr>
                <w:rFonts w:eastAsia="Times New Roman" w:cs="Times New Roman"/>
                <w:i/>
                <w:iCs/>
                <w:color w:val="000000"/>
                <w:sz w:val="20"/>
                <w:lang w:eastAsia="en-AU"/>
              </w:rPr>
              <w:t> </w:t>
            </w:r>
            <w:r w:rsidRPr="00F32133">
              <w:rPr>
                <w:rFonts w:ascii="Symbol" w:eastAsia="Symbol" w:hAnsi="Symbol" w:cs="Symbol"/>
                <w:color w:val="000000"/>
                <w:sz w:val="20"/>
                <w:lang w:eastAsia="en-AU"/>
              </w:rPr>
              <w:sym w:font="Symbol" w:char="F03E"/>
            </w:r>
            <w:r w:rsidRPr="00F32133">
              <w:rPr>
                <w:rFonts w:eastAsia="Times New Roman" w:cs="Times New Roman"/>
                <w:i/>
                <w:iCs/>
                <w:color w:val="000000"/>
                <w:sz w:val="20"/>
                <w:lang w:eastAsia="en-AU"/>
              </w:rPr>
              <w:t> </w:t>
            </w:r>
            <w:r w:rsidRPr="00F32133">
              <w:rPr>
                <w:rFonts w:eastAsia="Times New Roman" w:cs="Times New Roman"/>
                <w:color w:val="000000"/>
                <w:sz w:val="20"/>
                <w:lang w:eastAsia="en-AU"/>
              </w:rPr>
              <w:t>0,</w:t>
            </w:r>
          </w:p>
        </w:tc>
        <w:tc>
          <w:tcPr>
            <w:tcW w:w="937" w:type="dxa"/>
            <w:tcBorders>
              <w:top w:val="single" w:sz="6" w:space="0" w:color="000000"/>
              <w:bottom w:val="single" w:sz="6" w:space="0" w:color="000000"/>
            </w:tcBorders>
            <w:tcMar>
              <w:top w:w="50" w:type="dxa"/>
              <w:left w:w="28" w:type="dxa"/>
              <w:bottom w:w="50" w:type="dxa"/>
              <w:right w:w="28" w:type="dxa"/>
            </w:tcMar>
            <w:hideMark/>
          </w:tcPr>
          <w:p w14:paraId="721F96F8" w14:textId="77777777" w:rsidR="00F32133" w:rsidRPr="00F32133" w:rsidRDefault="00F32133" w:rsidP="00F32133">
            <w:pPr>
              <w:spacing w:before="60" w:line="240" w:lineRule="atLeast"/>
              <w:rPr>
                <w:rFonts w:eastAsia="Times New Roman" w:cs="Times New Roman"/>
                <w:color w:val="000000"/>
                <w:sz w:val="20"/>
                <w:lang w:eastAsia="en-AU"/>
              </w:rPr>
            </w:pP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U,Prev</w:t>
            </w:r>
            <w:proofErr w:type="spellEnd"/>
            <w:proofErr w:type="gramEnd"/>
            <w:r w:rsidRPr="00F32133">
              <w:rPr>
                <w:rFonts w:eastAsia="Times New Roman" w:cs="Times New Roman"/>
                <w:color w:val="000000"/>
                <w:sz w:val="20"/>
                <w:lang w:eastAsia="en-AU"/>
              </w:rPr>
              <w:t> &lt; 0,</w:t>
            </w:r>
          </w:p>
        </w:tc>
        <w:tc>
          <w:tcPr>
            <w:tcW w:w="1361" w:type="dxa"/>
            <w:tcBorders>
              <w:top w:val="single" w:sz="6" w:space="0" w:color="000000"/>
              <w:bottom w:val="single" w:sz="6" w:space="0" w:color="000000"/>
            </w:tcBorders>
            <w:tcMar>
              <w:top w:w="50" w:type="dxa"/>
              <w:left w:w="28" w:type="dxa"/>
              <w:bottom w:w="50" w:type="dxa"/>
              <w:right w:w="28" w:type="dxa"/>
            </w:tcMar>
            <w:hideMark/>
          </w:tcPr>
          <w:p w14:paraId="40EFA586" w14:textId="77777777" w:rsidR="00F32133" w:rsidRPr="00F32133" w:rsidRDefault="00F32133" w:rsidP="00F32133">
            <w:pPr>
              <w:spacing w:line="240" w:lineRule="auto"/>
              <w:rPr>
                <w:rFonts w:eastAsia="Times New Roman" w:cs="Times New Roman"/>
                <w:color w:val="000000"/>
                <w:szCs w:val="22"/>
                <w:lang w:eastAsia="en-AU"/>
              </w:rPr>
            </w:pPr>
            <w:r w:rsidRPr="00F32133">
              <w:rPr>
                <w:rFonts w:eastAsia="Times New Roman" w:cs="Times New Roman"/>
                <w:i/>
                <w:iCs/>
                <w:color w:val="000000"/>
                <w:sz w:val="20"/>
                <w:lang w:eastAsia="en-AU"/>
              </w:rPr>
              <w:t>A</w:t>
            </w:r>
            <w:r w:rsidRPr="00F32133">
              <w:rPr>
                <w:rFonts w:eastAsia="Times New Roman" w:cs="Times New Roman"/>
                <w:i/>
                <w:iCs/>
                <w:color w:val="000000"/>
                <w:sz w:val="13"/>
                <w:szCs w:val="13"/>
                <w:vertAlign w:val="subscript"/>
                <w:lang w:eastAsia="en-AU"/>
              </w:rPr>
              <w:t>EA</w:t>
            </w:r>
            <w:r w:rsidRPr="00F32133">
              <w:rPr>
                <w:rFonts w:eastAsia="Times New Roman" w:cs="Times New Roman"/>
                <w:i/>
                <w:iCs/>
                <w:color w:val="000000"/>
                <w:sz w:val="20"/>
                <w:lang w:eastAsia="en-AU"/>
              </w:rPr>
              <w:t> </w:t>
            </w:r>
            <w:r w:rsidRPr="00F32133">
              <w:rPr>
                <w:rFonts w:eastAsia="Times New Roman" w:cs="Times New Roman"/>
                <w:color w:val="000000"/>
                <w:sz w:val="20"/>
                <w:lang w:eastAsia="en-AU"/>
              </w:rPr>
              <w:t>+ </w:t>
            </w: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U,Prev</w:t>
            </w:r>
            <w:proofErr w:type="spellEnd"/>
            <w:proofErr w:type="gramEnd"/>
            <w:r w:rsidRPr="00F32133">
              <w:rPr>
                <w:rFonts w:eastAsia="Times New Roman" w:cs="Times New Roman"/>
                <w:i/>
                <w:iCs/>
                <w:color w:val="000000"/>
                <w:sz w:val="13"/>
                <w:szCs w:val="13"/>
                <w:vertAlign w:val="subscript"/>
                <w:lang w:eastAsia="en-AU"/>
              </w:rPr>
              <w:t> </w:t>
            </w:r>
            <w:r w:rsidRPr="00F32133">
              <w:rPr>
                <w:rFonts w:ascii="Symbol" w:eastAsia="Symbol" w:hAnsi="Symbol" w:cs="Symbol"/>
                <w:color w:val="000000"/>
                <w:sz w:val="20"/>
                <w:lang w:eastAsia="en-AU"/>
              </w:rPr>
              <w:sym w:font="Symbol" w:char="F0B3"/>
            </w:r>
            <w:r w:rsidRPr="00F32133">
              <w:rPr>
                <w:rFonts w:eastAsia="Times New Roman" w:cs="Times New Roman"/>
                <w:color w:val="000000"/>
                <w:sz w:val="20"/>
                <w:lang w:eastAsia="en-AU"/>
              </w:rPr>
              <w:t> 0,</w:t>
            </w:r>
          </w:p>
        </w:tc>
        <w:tc>
          <w:tcPr>
            <w:tcW w:w="2354" w:type="dxa"/>
            <w:tcBorders>
              <w:top w:val="single" w:sz="6" w:space="0" w:color="000000"/>
              <w:bottom w:val="single" w:sz="6" w:space="0" w:color="000000"/>
              <w:right w:val="double" w:sz="4" w:space="0" w:color="000000"/>
            </w:tcBorders>
            <w:tcMar>
              <w:top w:w="50" w:type="dxa"/>
              <w:left w:w="28" w:type="dxa"/>
              <w:bottom w:w="50" w:type="dxa"/>
              <w:right w:w="13" w:type="dxa"/>
            </w:tcMar>
            <w:hideMark/>
          </w:tcPr>
          <w:p w14:paraId="44ADE237" w14:textId="77777777" w:rsidR="00F32133" w:rsidRPr="00F32133" w:rsidRDefault="00F32133" w:rsidP="00F32133">
            <w:pPr>
              <w:spacing w:line="240" w:lineRule="auto"/>
              <w:rPr>
                <w:rFonts w:eastAsia="Times New Roman" w:cs="Times New Roman"/>
                <w:color w:val="000000"/>
                <w:szCs w:val="22"/>
                <w:lang w:eastAsia="en-AU"/>
              </w:rPr>
            </w:pPr>
            <w:r w:rsidRPr="00F32133">
              <w:rPr>
                <w:rFonts w:eastAsia="Times New Roman" w:cs="Times New Roman"/>
                <w:color w:val="000000"/>
                <w:sz w:val="20"/>
                <w:lang w:eastAsia="en-AU"/>
              </w:rPr>
              <w:t>0.1 </w:t>
            </w:r>
            <w:r w:rsidRPr="00F32133">
              <w:rPr>
                <w:rFonts w:ascii="Symbol" w:eastAsia="Symbol" w:hAnsi="Symbol" w:cs="Symbol"/>
                <w:color w:val="000000"/>
                <w:sz w:val="20"/>
                <w:lang w:eastAsia="en-AU"/>
              </w:rPr>
              <w:sym w:font="Symbol" w:char="F0B4"/>
            </w:r>
            <w:r w:rsidRPr="00F32133">
              <w:rPr>
                <w:rFonts w:eastAsia="Times New Roman" w:cs="Times New Roman"/>
                <w:color w:val="000000"/>
                <w:sz w:val="20"/>
                <w:lang w:eastAsia="en-AU"/>
              </w:rPr>
              <w:t> (</w:t>
            </w:r>
            <w:r w:rsidRPr="00F32133">
              <w:rPr>
                <w:rFonts w:eastAsia="Times New Roman" w:cs="Times New Roman"/>
                <w:i/>
                <w:iCs/>
                <w:color w:val="000000"/>
                <w:sz w:val="20"/>
                <w:lang w:eastAsia="en-AU"/>
              </w:rPr>
              <w:t>A</w:t>
            </w:r>
            <w:r w:rsidRPr="00F32133">
              <w:rPr>
                <w:rFonts w:eastAsia="Times New Roman" w:cs="Times New Roman"/>
                <w:i/>
                <w:iCs/>
                <w:color w:val="000000"/>
                <w:sz w:val="13"/>
                <w:szCs w:val="13"/>
                <w:vertAlign w:val="subscript"/>
                <w:lang w:eastAsia="en-AU"/>
              </w:rPr>
              <w:t>EA</w:t>
            </w:r>
            <w:r w:rsidRPr="00F32133">
              <w:rPr>
                <w:rFonts w:eastAsia="Times New Roman" w:cs="Times New Roman"/>
                <w:i/>
                <w:iCs/>
                <w:color w:val="000000"/>
                <w:sz w:val="20"/>
                <w:lang w:eastAsia="en-AU"/>
              </w:rPr>
              <w:t> </w:t>
            </w:r>
            <w:r w:rsidRPr="00F32133">
              <w:rPr>
                <w:rFonts w:eastAsia="Times New Roman" w:cs="Times New Roman"/>
                <w:color w:val="000000"/>
                <w:sz w:val="20"/>
                <w:lang w:eastAsia="en-AU"/>
              </w:rPr>
              <w:t>+ </w:t>
            </w: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U,Prev</w:t>
            </w:r>
            <w:proofErr w:type="spellEnd"/>
            <w:proofErr w:type="gramEnd"/>
            <w:r w:rsidRPr="00F32133">
              <w:rPr>
                <w:rFonts w:eastAsia="Times New Roman" w:cs="Times New Roman"/>
                <w:color w:val="000000"/>
                <w:sz w:val="20"/>
                <w:lang w:eastAsia="en-AU"/>
              </w:rPr>
              <w:t>) &lt; </w:t>
            </w: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U,Cap</w:t>
            </w:r>
            <w:proofErr w:type="spellEnd"/>
            <w:proofErr w:type="gramEnd"/>
          </w:p>
        </w:tc>
        <w:tc>
          <w:tcPr>
            <w:tcW w:w="1787" w:type="dxa"/>
            <w:tcBorders>
              <w:top w:val="single" w:sz="6" w:space="0" w:color="000000"/>
              <w:left w:val="double" w:sz="4" w:space="0" w:color="000000"/>
              <w:bottom w:val="single" w:sz="6" w:space="0" w:color="000000"/>
              <w:right w:val="single" w:sz="6" w:space="0" w:color="000000"/>
            </w:tcBorders>
            <w:tcMar>
              <w:top w:w="50" w:type="dxa"/>
              <w:left w:w="13" w:type="dxa"/>
              <w:bottom w:w="50" w:type="dxa"/>
              <w:right w:w="20" w:type="dxa"/>
            </w:tcMar>
            <w:hideMark/>
          </w:tcPr>
          <w:p w14:paraId="5DCC3E55" w14:textId="77777777" w:rsidR="00F32133" w:rsidRPr="00F32133" w:rsidRDefault="00F32133" w:rsidP="00F32133">
            <w:pPr>
              <w:spacing w:before="60" w:line="240" w:lineRule="atLeast"/>
              <w:rPr>
                <w:rFonts w:eastAsia="Times New Roman" w:cs="Times New Roman"/>
                <w:color w:val="000000"/>
                <w:sz w:val="20"/>
                <w:lang w:eastAsia="en-AU"/>
              </w:rPr>
            </w:pPr>
            <w:r w:rsidRPr="00F32133">
              <w:rPr>
                <w:rFonts w:eastAsia="Times New Roman" w:cs="Times New Roman"/>
                <w:color w:val="000000"/>
                <w:sz w:val="20"/>
                <w:lang w:eastAsia="en-AU"/>
              </w:rPr>
              <w:t>0.9 </w:t>
            </w:r>
            <w:r w:rsidRPr="00F32133">
              <w:rPr>
                <w:rFonts w:ascii="Symbol" w:eastAsia="Symbol" w:hAnsi="Symbol" w:cs="Symbol"/>
                <w:color w:val="000000"/>
                <w:sz w:val="20"/>
                <w:lang w:eastAsia="en-AU"/>
              </w:rPr>
              <w:sym w:font="Symbol" w:char="F0B4"/>
            </w:r>
            <w:r w:rsidRPr="00F32133">
              <w:rPr>
                <w:rFonts w:eastAsia="Times New Roman" w:cs="Times New Roman"/>
                <w:color w:val="000000"/>
                <w:sz w:val="20"/>
                <w:lang w:eastAsia="en-AU"/>
              </w:rPr>
              <w:t> (</w:t>
            </w:r>
            <w:r w:rsidRPr="00F32133">
              <w:rPr>
                <w:rFonts w:eastAsia="Times New Roman" w:cs="Times New Roman"/>
                <w:i/>
                <w:iCs/>
                <w:color w:val="000000"/>
                <w:sz w:val="20"/>
                <w:lang w:eastAsia="en-AU"/>
              </w:rPr>
              <w:t>A</w:t>
            </w:r>
            <w:r w:rsidRPr="00F32133">
              <w:rPr>
                <w:rFonts w:eastAsia="Times New Roman" w:cs="Times New Roman"/>
                <w:i/>
                <w:iCs/>
                <w:color w:val="000000"/>
                <w:sz w:val="13"/>
                <w:szCs w:val="13"/>
                <w:vertAlign w:val="subscript"/>
                <w:lang w:eastAsia="en-AU"/>
              </w:rPr>
              <w:t>EA</w:t>
            </w:r>
            <w:r w:rsidRPr="00F32133">
              <w:rPr>
                <w:rFonts w:eastAsia="Times New Roman" w:cs="Times New Roman"/>
                <w:color w:val="000000"/>
                <w:sz w:val="20"/>
                <w:lang w:eastAsia="en-AU"/>
              </w:rPr>
              <w:t> + </w:t>
            </w: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U,Prev</w:t>
            </w:r>
            <w:proofErr w:type="spellEnd"/>
            <w:proofErr w:type="gramEnd"/>
            <w:r w:rsidRPr="00F32133">
              <w:rPr>
                <w:rFonts w:eastAsia="Times New Roman" w:cs="Times New Roman"/>
                <w:color w:val="000000"/>
                <w:sz w:val="20"/>
                <w:lang w:eastAsia="en-AU"/>
              </w:rPr>
              <w:t>)</w:t>
            </w:r>
          </w:p>
        </w:tc>
        <w:tc>
          <w:tcPr>
            <w:tcW w:w="1645" w:type="dxa"/>
            <w:tcBorders>
              <w:top w:val="single" w:sz="6" w:space="0" w:color="000000"/>
              <w:left w:val="single" w:sz="6" w:space="0" w:color="000000"/>
              <w:bottom w:val="single" w:sz="6" w:space="0" w:color="000000"/>
            </w:tcBorders>
            <w:tcMar>
              <w:top w:w="50" w:type="dxa"/>
              <w:left w:w="20" w:type="dxa"/>
              <w:bottom w:w="50" w:type="dxa"/>
              <w:right w:w="28" w:type="dxa"/>
            </w:tcMar>
            <w:hideMark/>
          </w:tcPr>
          <w:p w14:paraId="7F80215C" w14:textId="77777777" w:rsidR="00F32133" w:rsidRPr="00F32133" w:rsidRDefault="00F32133" w:rsidP="00F32133">
            <w:pPr>
              <w:spacing w:before="60" w:line="240" w:lineRule="atLeast"/>
              <w:rPr>
                <w:rFonts w:eastAsia="Times New Roman" w:cs="Times New Roman"/>
                <w:color w:val="000000"/>
                <w:sz w:val="20"/>
                <w:lang w:eastAsia="en-AU"/>
              </w:rPr>
            </w:pPr>
            <w:r w:rsidRPr="00F32133">
              <w:rPr>
                <w:rFonts w:eastAsia="Times New Roman" w:cs="Times New Roman"/>
                <w:color w:val="000000"/>
                <w:sz w:val="20"/>
                <w:lang w:eastAsia="en-AU"/>
              </w:rPr>
              <w:t>0.1 </w:t>
            </w:r>
            <w:r w:rsidRPr="00F32133">
              <w:rPr>
                <w:rFonts w:ascii="Symbol" w:eastAsia="Symbol" w:hAnsi="Symbol" w:cs="Symbol"/>
                <w:color w:val="000000"/>
                <w:sz w:val="20"/>
                <w:lang w:eastAsia="en-AU"/>
              </w:rPr>
              <w:sym w:font="Symbol" w:char="F0B4"/>
            </w:r>
            <w:r w:rsidRPr="00F32133">
              <w:rPr>
                <w:rFonts w:eastAsia="Times New Roman" w:cs="Times New Roman"/>
                <w:color w:val="000000"/>
                <w:sz w:val="20"/>
                <w:lang w:eastAsia="en-AU"/>
              </w:rPr>
              <w:t> (</w:t>
            </w:r>
            <w:r w:rsidRPr="00F32133">
              <w:rPr>
                <w:rFonts w:eastAsia="Times New Roman" w:cs="Times New Roman"/>
                <w:i/>
                <w:iCs/>
                <w:color w:val="000000"/>
                <w:sz w:val="20"/>
                <w:lang w:eastAsia="en-AU"/>
              </w:rPr>
              <w:t>A</w:t>
            </w:r>
            <w:r w:rsidRPr="00F32133">
              <w:rPr>
                <w:rFonts w:eastAsia="Times New Roman" w:cs="Times New Roman"/>
                <w:i/>
                <w:iCs/>
                <w:color w:val="000000"/>
                <w:sz w:val="13"/>
                <w:szCs w:val="13"/>
                <w:vertAlign w:val="subscript"/>
                <w:lang w:eastAsia="en-AU"/>
              </w:rPr>
              <w:t>EA</w:t>
            </w:r>
            <w:r w:rsidRPr="00F32133">
              <w:rPr>
                <w:rFonts w:eastAsia="Times New Roman" w:cs="Times New Roman"/>
                <w:i/>
                <w:iCs/>
                <w:color w:val="000000"/>
                <w:sz w:val="20"/>
                <w:lang w:eastAsia="en-AU"/>
              </w:rPr>
              <w:t> </w:t>
            </w:r>
            <w:r w:rsidRPr="00F32133">
              <w:rPr>
                <w:rFonts w:eastAsia="Times New Roman" w:cs="Times New Roman"/>
                <w:color w:val="000000"/>
                <w:sz w:val="20"/>
                <w:lang w:eastAsia="en-AU"/>
              </w:rPr>
              <w:t>+ </w:t>
            </w: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U,Prev</w:t>
            </w:r>
            <w:proofErr w:type="spellEnd"/>
            <w:proofErr w:type="gramEnd"/>
            <w:r w:rsidRPr="00F32133">
              <w:rPr>
                <w:rFonts w:eastAsia="Times New Roman" w:cs="Times New Roman"/>
                <w:color w:val="000000"/>
                <w:sz w:val="20"/>
                <w:lang w:eastAsia="en-AU"/>
              </w:rPr>
              <w:t>)</w:t>
            </w:r>
          </w:p>
        </w:tc>
      </w:tr>
      <w:tr w:rsidR="00F32133" w:rsidRPr="00F32133" w14:paraId="5D760E66" w14:textId="77777777" w:rsidTr="00247BA1">
        <w:tc>
          <w:tcPr>
            <w:tcW w:w="400" w:type="dxa"/>
            <w:tcBorders>
              <w:top w:val="single" w:sz="6" w:space="0" w:color="000000"/>
              <w:bottom w:val="single" w:sz="6" w:space="0" w:color="000000"/>
            </w:tcBorders>
            <w:tcMar>
              <w:top w:w="50" w:type="dxa"/>
              <w:left w:w="28" w:type="dxa"/>
              <w:bottom w:w="50" w:type="dxa"/>
              <w:right w:w="28" w:type="dxa"/>
            </w:tcMar>
            <w:hideMark/>
          </w:tcPr>
          <w:p w14:paraId="40F49690" w14:textId="77777777" w:rsidR="00F32133" w:rsidRPr="00F32133" w:rsidRDefault="00F32133" w:rsidP="00F32133">
            <w:pPr>
              <w:spacing w:line="240" w:lineRule="auto"/>
              <w:rPr>
                <w:rFonts w:eastAsia="Times New Roman" w:cs="Times New Roman"/>
                <w:color w:val="000000"/>
                <w:szCs w:val="22"/>
                <w:lang w:eastAsia="en-AU"/>
              </w:rPr>
            </w:pPr>
            <w:r w:rsidRPr="00F32133">
              <w:rPr>
                <w:rFonts w:eastAsia="Times New Roman" w:cs="Times New Roman"/>
                <w:color w:val="000000"/>
                <w:sz w:val="20"/>
                <w:lang w:eastAsia="en-AU"/>
              </w:rPr>
              <w:t>5</w:t>
            </w:r>
          </w:p>
        </w:tc>
        <w:tc>
          <w:tcPr>
            <w:tcW w:w="652" w:type="dxa"/>
            <w:tcBorders>
              <w:top w:val="single" w:sz="6" w:space="0" w:color="000000"/>
              <w:bottom w:val="single" w:sz="6" w:space="0" w:color="000000"/>
            </w:tcBorders>
            <w:tcMar>
              <w:top w:w="50" w:type="dxa"/>
              <w:left w:w="28" w:type="dxa"/>
              <w:bottom w:w="50" w:type="dxa"/>
              <w:right w:w="28" w:type="dxa"/>
            </w:tcMar>
            <w:hideMark/>
          </w:tcPr>
          <w:p w14:paraId="0240F7D8" w14:textId="77777777" w:rsidR="00F32133" w:rsidRPr="00F32133" w:rsidRDefault="00F32133" w:rsidP="00F32133">
            <w:pPr>
              <w:spacing w:line="240" w:lineRule="auto"/>
              <w:rPr>
                <w:rFonts w:eastAsia="Times New Roman" w:cs="Times New Roman"/>
                <w:color w:val="000000"/>
                <w:szCs w:val="22"/>
                <w:lang w:eastAsia="en-AU"/>
              </w:rPr>
            </w:pPr>
            <w:r w:rsidRPr="00F32133">
              <w:rPr>
                <w:rFonts w:eastAsia="Times New Roman" w:cs="Times New Roman"/>
                <w:i/>
                <w:iCs/>
                <w:color w:val="000000"/>
                <w:sz w:val="20"/>
                <w:lang w:eastAsia="en-AU"/>
              </w:rPr>
              <w:t>A</w:t>
            </w:r>
            <w:r w:rsidRPr="00F32133">
              <w:rPr>
                <w:rFonts w:eastAsia="Times New Roman" w:cs="Times New Roman"/>
                <w:i/>
                <w:iCs/>
                <w:color w:val="000000"/>
                <w:sz w:val="13"/>
                <w:szCs w:val="13"/>
                <w:vertAlign w:val="subscript"/>
                <w:lang w:eastAsia="en-AU"/>
              </w:rPr>
              <w:t>EA</w:t>
            </w:r>
            <w:r w:rsidRPr="00F32133">
              <w:rPr>
                <w:rFonts w:eastAsia="Times New Roman" w:cs="Times New Roman"/>
                <w:i/>
                <w:iCs/>
                <w:color w:val="000000"/>
                <w:sz w:val="20"/>
                <w:lang w:eastAsia="en-AU"/>
              </w:rPr>
              <w:t> </w:t>
            </w:r>
            <w:r w:rsidRPr="00F32133">
              <w:rPr>
                <w:rFonts w:ascii="Symbol" w:eastAsia="Symbol" w:hAnsi="Symbol" w:cs="Symbol"/>
                <w:color w:val="000000"/>
                <w:sz w:val="20"/>
                <w:lang w:eastAsia="en-AU"/>
              </w:rPr>
              <w:sym w:font="Symbol" w:char="F03E"/>
            </w:r>
            <w:r w:rsidRPr="00F32133">
              <w:rPr>
                <w:rFonts w:eastAsia="Times New Roman" w:cs="Times New Roman"/>
                <w:i/>
                <w:iCs/>
                <w:color w:val="000000"/>
                <w:sz w:val="20"/>
                <w:lang w:eastAsia="en-AU"/>
              </w:rPr>
              <w:t> </w:t>
            </w:r>
            <w:r w:rsidRPr="00F32133">
              <w:rPr>
                <w:rFonts w:eastAsia="Times New Roman" w:cs="Times New Roman"/>
                <w:color w:val="000000"/>
                <w:sz w:val="20"/>
                <w:lang w:eastAsia="en-AU"/>
              </w:rPr>
              <w:t>0,</w:t>
            </w:r>
          </w:p>
        </w:tc>
        <w:tc>
          <w:tcPr>
            <w:tcW w:w="937" w:type="dxa"/>
            <w:tcBorders>
              <w:top w:val="single" w:sz="6" w:space="0" w:color="000000"/>
              <w:bottom w:val="single" w:sz="6" w:space="0" w:color="000000"/>
            </w:tcBorders>
            <w:tcMar>
              <w:top w:w="50" w:type="dxa"/>
              <w:left w:w="28" w:type="dxa"/>
              <w:bottom w:w="50" w:type="dxa"/>
              <w:right w:w="28" w:type="dxa"/>
            </w:tcMar>
            <w:hideMark/>
          </w:tcPr>
          <w:p w14:paraId="1170D1AB" w14:textId="77777777" w:rsidR="00F32133" w:rsidRPr="00F32133" w:rsidRDefault="00F32133" w:rsidP="00F32133">
            <w:pPr>
              <w:spacing w:line="240" w:lineRule="auto"/>
              <w:rPr>
                <w:rFonts w:eastAsia="Times New Roman" w:cs="Times New Roman"/>
                <w:color w:val="000000"/>
                <w:szCs w:val="22"/>
                <w:lang w:eastAsia="en-AU"/>
              </w:rPr>
            </w:pP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U,Prev</w:t>
            </w:r>
            <w:proofErr w:type="spellEnd"/>
            <w:proofErr w:type="gramEnd"/>
            <w:r w:rsidRPr="00F32133">
              <w:rPr>
                <w:rFonts w:eastAsia="Times New Roman" w:cs="Times New Roman"/>
                <w:color w:val="000000"/>
                <w:sz w:val="20"/>
                <w:lang w:eastAsia="en-AU"/>
              </w:rPr>
              <w:t> &lt; 0,</w:t>
            </w:r>
          </w:p>
        </w:tc>
        <w:tc>
          <w:tcPr>
            <w:tcW w:w="1361" w:type="dxa"/>
            <w:tcBorders>
              <w:top w:val="single" w:sz="6" w:space="0" w:color="000000"/>
              <w:bottom w:val="single" w:sz="6" w:space="0" w:color="000000"/>
            </w:tcBorders>
            <w:tcMar>
              <w:top w:w="50" w:type="dxa"/>
              <w:left w:w="28" w:type="dxa"/>
              <w:bottom w:w="50" w:type="dxa"/>
              <w:right w:w="28" w:type="dxa"/>
            </w:tcMar>
            <w:hideMark/>
          </w:tcPr>
          <w:p w14:paraId="30284971" w14:textId="77777777" w:rsidR="00F32133" w:rsidRPr="00F32133" w:rsidRDefault="00F32133" w:rsidP="00F32133">
            <w:pPr>
              <w:spacing w:line="240" w:lineRule="auto"/>
              <w:rPr>
                <w:rFonts w:eastAsia="Times New Roman" w:cs="Times New Roman"/>
                <w:color w:val="000000"/>
                <w:szCs w:val="22"/>
                <w:lang w:eastAsia="en-AU"/>
              </w:rPr>
            </w:pPr>
            <w:r w:rsidRPr="00F32133">
              <w:rPr>
                <w:rFonts w:eastAsia="Times New Roman" w:cs="Times New Roman"/>
                <w:i/>
                <w:iCs/>
                <w:color w:val="000000"/>
                <w:sz w:val="20"/>
                <w:lang w:eastAsia="en-AU"/>
              </w:rPr>
              <w:t>A</w:t>
            </w:r>
            <w:r w:rsidRPr="00F32133">
              <w:rPr>
                <w:rFonts w:eastAsia="Times New Roman" w:cs="Times New Roman"/>
                <w:i/>
                <w:iCs/>
                <w:color w:val="000000"/>
                <w:sz w:val="13"/>
                <w:szCs w:val="13"/>
                <w:vertAlign w:val="subscript"/>
                <w:lang w:eastAsia="en-AU"/>
              </w:rPr>
              <w:t>EA</w:t>
            </w:r>
            <w:r w:rsidRPr="00F32133">
              <w:rPr>
                <w:rFonts w:eastAsia="Times New Roman" w:cs="Times New Roman"/>
                <w:i/>
                <w:iCs/>
                <w:color w:val="000000"/>
                <w:sz w:val="20"/>
                <w:lang w:eastAsia="en-AU"/>
              </w:rPr>
              <w:t> </w:t>
            </w:r>
            <w:r w:rsidRPr="00F32133">
              <w:rPr>
                <w:rFonts w:eastAsia="Times New Roman" w:cs="Times New Roman"/>
                <w:color w:val="000000"/>
                <w:sz w:val="20"/>
                <w:lang w:eastAsia="en-AU"/>
              </w:rPr>
              <w:t>+ </w:t>
            </w: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U,Prev</w:t>
            </w:r>
            <w:proofErr w:type="spellEnd"/>
            <w:proofErr w:type="gramEnd"/>
            <w:r w:rsidRPr="00F32133">
              <w:rPr>
                <w:rFonts w:eastAsia="Times New Roman" w:cs="Times New Roman"/>
                <w:i/>
                <w:iCs/>
                <w:color w:val="000000"/>
                <w:sz w:val="13"/>
                <w:szCs w:val="13"/>
                <w:vertAlign w:val="subscript"/>
                <w:lang w:eastAsia="en-AU"/>
              </w:rPr>
              <w:t> </w:t>
            </w:r>
            <w:r w:rsidRPr="00F32133">
              <w:rPr>
                <w:rFonts w:ascii="Symbol" w:eastAsia="Symbol" w:hAnsi="Symbol" w:cs="Symbol"/>
                <w:color w:val="000000"/>
                <w:sz w:val="20"/>
                <w:lang w:eastAsia="en-AU"/>
              </w:rPr>
              <w:sym w:font="Symbol" w:char="F0B3"/>
            </w:r>
            <w:r w:rsidRPr="00F32133">
              <w:rPr>
                <w:rFonts w:eastAsia="Times New Roman" w:cs="Times New Roman"/>
                <w:color w:val="000000"/>
                <w:sz w:val="20"/>
                <w:lang w:eastAsia="en-AU"/>
              </w:rPr>
              <w:t> 0,</w:t>
            </w:r>
          </w:p>
        </w:tc>
        <w:tc>
          <w:tcPr>
            <w:tcW w:w="2354" w:type="dxa"/>
            <w:tcBorders>
              <w:top w:val="single" w:sz="6" w:space="0" w:color="000000"/>
              <w:bottom w:val="single" w:sz="6" w:space="0" w:color="000000"/>
              <w:right w:val="double" w:sz="4" w:space="0" w:color="000000"/>
            </w:tcBorders>
            <w:tcMar>
              <w:top w:w="50" w:type="dxa"/>
              <w:left w:w="28" w:type="dxa"/>
              <w:bottom w:w="50" w:type="dxa"/>
              <w:right w:w="13" w:type="dxa"/>
            </w:tcMar>
            <w:hideMark/>
          </w:tcPr>
          <w:p w14:paraId="14964700" w14:textId="77777777" w:rsidR="00F32133" w:rsidRPr="00F32133" w:rsidRDefault="00F32133" w:rsidP="00F32133">
            <w:pPr>
              <w:spacing w:line="240" w:lineRule="auto"/>
              <w:rPr>
                <w:rFonts w:eastAsia="Times New Roman" w:cs="Times New Roman"/>
                <w:color w:val="000000"/>
                <w:szCs w:val="22"/>
                <w:lang w:eastAsia="en-AU"/>
              </w:rPr>
            </w:pPr>
            <w:r w:rsidRPr="00F32133">
              <w:rPr>
                <w:rFonts w:eastAsia="Times New Roman" w:cs="Times New Roman"/>
                <w:color w:val="000000"/>
                <w:sz w:val="20"/>
                <w:lang w:eastAsia="en-AU"/>
              </w:rPr>
              <w:t>0.1 </w:t>
            </w:r>
            <w:r w:rsidRPr="00F32133">
              <w:rPr>
                <w:rFonts w:ascii="Symbol" w:eastAsia="Symbol" w:hAnsi="Symbol" w:cs="Symbol"/>
                <w:color w:val="000000"/>
                <w:sz w:val="20"/>
                <w:lang w:eastAsia="en-AU"/>
              </w:rPr>
              <w:sym w:font="Symbol" w:char="F0B4"/>
            </w:r>
            <w:r w:rsidRPr="00F32133">
              <w:rPr>
                <w:rFonts w:eastAsia="Times New Roman" w:cs="Times New Roman"/>
                <w:color w:val="000000"/>
                <w:sz w:val="20"/>
                <w:lang w:eastAsia="en-AU"/>
              </w:rPr>
              <w:t> (</w:t>
            </w:r>
            <w:r w:rsidRPr="00F32133">
              <w:rPr>
                <w:rFonts w:eastAsia="Times New Roman" w:cs="Times New Roman"/>
                <w:i/>
                <w:iCs/>
                <w:color w:val="000000"/>
                <w:sz w:val="20"/>
                <w:lang w:eastAsia="en-AU"/>
              </w:rPr>
              <w:t>A</w:t>
            </w:r>
            <w:r w:rsidRPr="00F32133">
              <w:rPr>
                <w:rFonts w:eastAsia="Times New Roman" w:cs="Times New Roman"/>
                <w:i/>
                <w:iCs/>
                <w:color w:val="000000"/>
                <w:sz w:val="13"/>
                <w:szCs w:val="13"/>
                <w:vertAlign w:val="subscript"/>
                <w:lang w:eastAsia="en-AU"/>
              </w:rPr>
              <w:t>EA</w:t>
            </w:r>
            <w:r w:rsidRPr="00F32133">
              <w:rPr>
                <w:rFonts w:eastAsia="Times New Roman" w:cs="Times New Roman"/>
                <w:i/>
                <w:iCs/>
                <w:color w:val="000000"/>
                <w:sz w:val="20"/>
                <w:lang w:eastAsia="en-AU"/>
              </w:rPr>
              <w:t> </w:t>
            </w:r>
            <w:r w:rsidRPr="00F32133">
              <w:rPr>
                <w:rFonts w:eastAsia="Times New Roman" w:cs="Times New Roman"/>
                <w:color w:val="000000"/>
                <w:sz w:val="20"/>
                <w:lang w:eastAsia="en-AU"/>
              </w:rPr>
              <w:t>+ </w:t>
            </w: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U,Prev</w:t>
            </w:r>
            <w:proofErr w:type="spellEnd"/>
            <w:proofErr w:type="gramEnd"/>
            <w:r w:rsidRPr="00F32133">
              <w:rPr>
                <w:rFonts w:eastAsia="Times New Roman" w:cs="Times New Roman"/>
                <w:color w:val="000000"/>
                <w:sz w:val="20"/>
                <w:lang w:eastAsia="en-AU"/>
              </w:rPr>
              <w:t>) </w:t>
            </w:r>
            <w:r w:rsidRPr="00F32133">
              <w:rPr>
                <w:rFonts w:ascii="Symbol" w:eastAsia="Symbol" w:hAnsi="Symbol" w:cs="Symbol"/>
                <w:color w:val="000000"/>
                <w:sz w:val="20"/>
                <w:lang w:eastAsia="en-AU"/>
              </w:rPr>
              <w:sym w:font="Symbol" w:char="F0B3"/>
            </w:r>
            <w:r w:rsidRPr="00F32133">
              <w:rPr>
                <w:rFonts w:eastAsia="Times New Roman" w:cs="Times New Roman"/>
                <w:color w:val="000000"/>
                <w:sz w:val="20"/>
                <w:lang w:eastAsia="en-AU"/>
              </w:rPr>
              <w:t> </w:t>
            </w: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U,Cap</w:t>
            </w:r>
            <w:proofErr w:type="spellEnd"/>
            <w:proofErr w:type="gramEnd"/>
          </w:p>
        </w:tc>
        <w:tc>
          <w:tcPr>
            <w:tcW w:w="1787" w:type="dxa"/>
            <w:tcBorders>
              <w:top w:val="single" w:sz="6" w:space="0" w:color="000000"/>
              <w:left w:val="double" w:sz="4" w:space="0" w:color="000000"/>
              <w:bottom w:val="single" w:sz="6" w:space="0" w:color="000000"/>
              <w:right w:val="single" w:sz="6" w:space="0" w:color="000000"/>
            </w:tcBorders>
            <w:tcMar>
              <w:top w:w="50" w:type="dxa"/>
              <w:left w:w="13" w:type="dxa"/>
              <w:bottom w:w="50" w:type="dxa"/>
              <w:right w:w="20" w:type="dxa"/>
            </w:tcMar>
            <w:hideMark/>
          </w:tcPr>
          <w:p w14:paraId="642E8165" w14:textId="77777777" w:rsidR="00F32133" w:rsidRPr="00F32133" w:rsidRDefault="00F32133" w:rsidP="00F32133">
            <w:pPr>
              <w:spacing w:before="60" w:line="240" w:lineRule="atLeast"/>
              <w:rPr>
                <w:rFonts w:eastAsia="Times New Roman" w:cs="Times New Roman"/>
                <w:color w:val="000000"/>
                <w:sz w:val="20"/>
                <w:lang w:eastAsia="en-AU"/>
              </w:rPr>
            </w:pPr>
            <w:r w:rsidRPr="00F32133">
              <w:rPr>
                <w:rFonts w:eastAsia="Times New Roman" w:cs="Times New Roman"/>
                <w:i/>
                <w:iCs/>
                <w:color w:val="000000"/>
                <w:sz w:val="20"/>
                <w:lang w:eastAsia="en-AU"/>
              </w:rPr>
              <w:t>A</w:t>
            </w:r>
            <w:r w:rsidRPr="00F32133">
              <w:rPr>
                <w:rFonts w:eastAsia="Times New Roman" w:cs="Times New Roman"/>
                <w:i/>
                <w:iCs/>
                <w:color w:val="000000"/>
                <w:sz w:val="13"/>
                <w:szCs w:val="13"/>
                <w:vertAlign w:val="subscript"/>
                <w:lang w:eastAsia="en-AU"/>
              </w:rPr>
              <w:t>EA</w:t>
            </w:r>
            <w:r w:rsidRPr="00F32133">
              <w:rPr>
                <w:rFonts w:eastAsia="Times New Roman" w:cs="Times New Roman"/>
                <w:color w:val="000000"/>
                <w:sz w:val="20"/>
                <w:lang w:eastAsia="en-AU"/>
              </w:rPr>
              <w:t> + </w:t>
            </w: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U,Prev</w:t>
            </w:r>
            <w:proofErr w:type="spellEnd"/>
            <w:proofErr w:type="gramEnd"/>
            <w:r w:rsidRPr="00F32133">
              <w:rPr>
                <w:rFonts w:eastAsia="Times New Roman" w:cs="Times New Roman"/>
                <w:i/>
                <w:iCs/>
                <w:color w:val="000000"/>
                <w:sz w:val="20"/>
                <w:lang w:eastAsia="en-AU"/>
              </w:rPr>
              <w:t> – </w:t>
            </w: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U,Cap</w:t>
            </w:r>
            <w:proofErr w:type="spellEnd"/>
            <w:proofErr w:type="gramEnd"/>
          </w:p>
        </w:tc>
        <w:tc>
          <w:tcPr>
            <w:tcW w:w="1645" w:type="dxa"/>
            <w:tcBorders>
              <w:top w:val="single" w:sz="6" w:space="0" w:color="000000"/>
              <w:left w:val="single" w:sz="6" w:space="0" w:color="000000"/>
              <w:bottom w:val="single" w:sz="6" w:space="0" w:color="000000"/>
            </w:tcBorders>
            <w:tcMar>
              <w:top w:w="50" w:type="dxa"/>
              <w:left w:w="20" w:type="dxa"/>
              <w:bottom w:w="50" w:type="dxa"/>
              <w:right w:w="28" w:type="dxa"/>
            </w:tcMar>
            <w:hideMark/>
          </w:tcPr>
          <w:p w14:paraId="6726FAF2" w14:textId="77777777" w:rsidR="00F32133" w:rsidRPr="00F32133" w:rsidRDefault="00F32133" w:rsidP="00F32133">
            <w:pPr>
              <w:spacing w:before="60" w:line="240" w:lineRule="atLeast"/>
              <w:rPr>
                <w:rFonts w:eastAsia="Times New Roman" w:cs="Times New Roman"/>
                <w:color w:val="000000"/>
                <w:sz w:val="20"/>
                <w:lang w:eastAsia="en-AU"/>
              </w:rPr>
            </w:pP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U,Cap</w:t>
            </w:r>
            <w:proofErr w:type="spellEnd"/>
            <w:proofErr w:type="gramEnd"/>
          </w:p>
        </w:tc>
      </w:tr>
      <w:tr w:rsidR="00F32133" w:rsidRPr="00F32133" w14:paraId="5D05881D" w14:textId="77777777" w:rsidTr="00247BA1">
        <w:tc>
          <w:tcPr>
            <w:tcW w:w="400" w:type="dxa"/>
            <w:tcBorders>
              <w:top w:val="single" w:sz="6" w:space="0" w:color="000000"/>
              <w:bottom w:val="single" w:sz="6" w:space="0" w:color="000000"/>
            </w:tcBorders>
            <w:tcMar>
              <w:top w:w="50" w:type="dxa"/>
              <w:left w:w="28" w:type="dxa"/>
              <w:bottom w:w="50" w:type="dxa"/>
              <w:right w:w="28" w:type="dxa"/>
            </w:tcMar>
            <w:hideMark/>
          </w:tcPr>
          <w:p w14:paraId="15133BE5" w14:textId="77777777" w:rsidR="00F32133" w:rsidRPr="00F32133" w:rsidRDefault="00F32133" w:rsidP="00F32133">
            <w:pPr>
              <w:spacing w:line="240" w:lineRule="auto"/>
              <w:rPr>
                <w:rFonts w:eastAsia="Times New Roman" w:cs="Times New Roman"/>
                <w:color w:val="000000"/>
                <w:szCs w:val="22"/>
                <w:lang w:eastAsia="en-AU"/>
              </w:rPr>
            </w:pPr>
            <w:r w:rsidRPr="00F32133">
              <w:rPr>
                <w:rFonts w:eastAsia="Times New Roman" w:cs="Times New Roman"/>
                <w:color w:val="000000"/>
                <w:sz w:val="20"/>
                <w:lang w:eastAsia="en-AU"/>
              </w:rPr>
              <w:t>6</w:t>
            </w:r>
          </w:p>
        </w:tc>
        <w:tc>
          <w:tcPr>
            <w:tcW w:w="652" w:type="dxa"/>
            <w:tcBorders>
              <w:top w:val="single" w:sz="6" w:space="0" w:color="000000"/>
              <w:bottom w:val="single" w:sz="6" w:space="0" w:color="000000"/>
            </w:tcBorders>
            <w:tcMar>
              <w:top w:w="50" w:type="dxa"/>
              <w:left w:w="28" w:type="dxa"/>
              <w:bottom w:w="50" w:type="dxa"/>
              <w:right w:w="28" w:type="dxa"/>
            </w:tcMar>
            <w:hideMark/>
          </w:tcPr>
          <w:p w14:paraId="1DED75B1" w14:textId="77777777" w:rsidR="00F32133" w:rsidRPr="00F32133" w:rsidRDefault="00F32133" w:rsidP="00F32133">
            <w:pPr>
              <w:spacing w:line="240" w:lineRule="auto"/>
              <w:rPr>
                <w:rFonts w:eastAsia="Times New Roman" w:cs="Times New Roman"/>
                <w:color w:val="000000"/>
                <w:szCs w:val="22"/>
                <w:lang w:eastAsia="en-AU"/>
              </w:rPr>
            </w:pPr>
            <w:r w:rsidRPr="00F32133">
              <w:rPr>
                <w:rFonts w:eastAsia="Times New Roman" w:cs="Times New Roman"/>
                <w:i/>
                <w:iCs/>
                <w:color w:val="000000"/>
                <w:sz w:val="20"/>
                <w:lang w:eastAsia="en-AU"/>
              </w:rPr>
              <w:t>A</w:t>
            </w:r>
            <w:r w:rsidRPr="00F32133">
              <w:rPr>
                <w:rFonts w:eastAsia="Times New Roman" w:cs="Times New Roman"/>
                <w:i/>
                <w:iCs/>
                <w:color w:val="000000"/>
                <w:sz w:val="13"/>
                <w:szCs w:val="13"/>
                <w:vertAlign w:val="subscript"/>
                <w:lang w:eastAsia="en-AU"/>
              </w:rPr>
              <w:t>EA</w:t>
            </w:r>
            <w:r w:rsidRPr="00F32133">
              <w:rPr>
                <w:rFonts w:eastAsia="Times New Roman" w:cs="Times New Roman"/>
                <w:i/>
                <w:iCs/>
                <w:color w:val="000000"/>
                <w:sz w:val="20"/>
                <w:lang w:eastAsia="en-AU"/>
              </w:rPr>
              <w:t> </w:t>
            </w:r>
            <w:r w:rsidRPr="00F32133">
              <w:rPr>
                <w:rFonts w:ascii="Symbol" w:eastAsia="Symbol" w:hAnsi="Symbol" w:cs="Symbol"/>
                <w:color w:val="000000"/>
                <w:sz w:val="20"/>
                <w:lang w:eastAsia="en-AU"/>
              </w:rPr>
              <w:sym w:font="Symbol" w:char="F03E"/>
            </w:r>
            <w:r w:rsidRPr="00F32133">
              <w:rPr>
                <w:rFonts w:eastAsia="Times New Roman" w:cs="Times New Roman"/>
                <w:i/>
                <w:iCs/>
                <w:color w:val="000000"/>
                <w:sz w:val="20"/>
                <w:lang w:eastAsia="en-AU"/>
              </w:rPr>
              <w:t> </w:t>
            </w:r>
            <w:r w:rsidRPr="00F32133">
              <w:rPr>
                <w:rFonts w:eastAsia="Times New Roman" w:cs="Times New Roman"/>
                <w:color w:val="000000"/>
                <w:sz w:val="20"/>
                <w:lang w:eastAsia="en-AU"/>
              </w:rPr>
              <w:t>0,</w:t>
            </w:r>
          </w:p>
        </w:tc>
        <w:tc>
          <w:tcPr>
            <w:tcW w:w="937" w:type="dxa"/>
            <w:tcBorders>
              <w:top w:val="single" w:sz="6" w:space="0" w:color="000000"/>
              <w:bottom w:val="single" w:sz="6" w:space="0" w:color="000000"/>
            </w:tcBorders>
            <w:tcMar>
              <w:top w:w="50" w:type="dxa"/>
              <w:left w:w="28" w:type="dxa"/>
              <w:bottom w:w="50" w:type="dxa"/>
              <w:right w:w="28" w:type="dxa"/>
            </w:tcMar>
            <w:hideMark/>
          </w:tcPr>
          <w:p w14:paraId="39C8D54D" w14:textId="77777777" w:rsidR="00F32133" w:rsidRPr="00F32133" w:rsidRDefault="00F32133" w:rsidP="00F32133">
            <w:pPr>
              <w:spacing w:line="240" w:lineRule="auto"/>
              <w:rPr>
                <w:rFonts w:eastAsia="Times New Roman" w:cs="Times New Roman"/>
                <w:color w:val="000000"/>
                <w:szCs w:val="22"/>
                <w:lang w:eastAsia="en-AU"/>
              </w:rPr>
            </w:pP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U,Prev</w:t>
            </w:r>
            <w:proofErr w:type="spellEnd"/>
            <w:proofErr w:type="gramEnd"/>
            <w:r w:rsidRPr="00F32133">
              <w:rPr>
                <w:rFonts w:eastAsia="Times New Roman" w:cs="Times New Roman"/>
                <w:color w:val="000000"/>
                <w:sz w:val="20"/>
                <w:lang w:eastAsia="en-AU"/>
              </w:rPr>
              <w:t> </w:t>
            </w:r>
            <w:r w:rsidRPr="00F32133">
              <w:rPr>
                <w:rFonts w:ascii="Symbol" w:eastAsia="Symbol" w:hAnsi="Symbol" w:cs="Symbol"/>
                <w:color w:val="000000"/>
                <w:sz w:val="20"/>
                <w:lang w:eastAsia="en-AU"/>
              </w:rPr>
              <w:sym w:font="Symbol" w:char="F0B3"/>
            </w:r>
            <w:r w:rsidRPr="00F32133">
              <w:rPr>
                <w:rFonts w:eastAsia="Times New Roman" w:cs="Times New Roman"/>
                <w:color w:val="000000"/>
                <w:sz w:val="20"/>
                <w:lang w:eastAsia="en-AU"/>
              </w:rPr>
              <w:t> 0,</w:t>
            </w:r>
          </w:p>
        </w:tc>
        <w:tc>
          <w:tcPr>
            <w:tcW w:w="1361" w:type="dxa"/>
            <w:tcBorders>
              <w:top w:val="single" w:sz="6" w:space="0" w:color="000000"/>
              <w:bottom w:val="single" w:sz="6" w:space="0" w:color="000000"/>
            </w:tcBorders>
            <w:tcMar>
              <w:top w:w="50" w:type="dxa"/>
              <w:left w:w="28" w:type="dxa"/>
              <w:bottom w:w="50" w:type="dxa"/>
              <w:right w:w="28" w:type="dxa"/>
            </w:tcMar>
            <w:hideMark/>
          </w:tcPr>
          <w:p w14:paraId="68ABC82E" w14:textId="77777777" w:rsidR="00F32133" w:rsidRPr="00F32133" w:rsidRDefault="00F32133" w:rsidP="00F32133">
            <w:pPr>
              <w:spacing w:before="60" w:line="240" w:lineRule="atLeast"/>
              <w:rPr>
                <w:rFonts w:eastAsia="Times New Roman" w:cs="Times New Roman"/>
                <w:color w:val="000000"/>
                <w:sz w:val="20"/>
                <w:lang w:eastAsia="en-AU"/>
              </w:rPr>
            </w:pPr>
            <w:r w:rsidRPr="00F32133">
              <w:rPr>
                <w:rFonts w:eastAsia="Times New Roman" w:cs="Times New Roman"/>
                <w:i/>
                <w:iCs/>
                <w:color w:val="000000"/>
                <w:sz w:val="20"/>
                <w:lang w:eastAsia="en-AU"/>
              </w:rPr>
              <w:t> </w:t>
            </w:r>
          </w:p>
        </w:tc>
        <w:tc>
          <w:tcPr>
            <w:tcW w:w="2354" w:type="dxa"/>
            <w:tcBorders>
              <w:top w:val="single" w:sz="6" w:space="0" w:color="000000"/>
              <w:bottom w:val="single" w:sz="6" w:space="0" w:color="000000"/>
              <w:right w:val="double" w:sz="4" w:space="0" w:color="000000"/>
            </w:tcBorders>
            <w:tcMar>
              <w:top w:w="50" w:type="dxa"/>
              <w:left w:w="28" w:type="dxa"/>
              <w:bottom w:w="50" w:type="dxa"/>
              <w:right w:w="13" w:type="dxa"/>
            </w:tcMar>
            <w:hideMark/>
          </w:tcPr>
          <w:p w14:paraId="212B8B6B" w14:textId="77777777" w:rsidR="00F32133" w:rsidRPr="00F32133" w:rsidRDefault="00F32133" w:rsidP="00F32133">
            <w:pPr>
              <w:spacing w:before="60" w:line="240" w:lineRule="atLeast"/>
              <w:rPr>
                <w:rFonts w:eastAsia="Times New Roman" w:cs="Times New Roman"/>
                <w:color w:val="000000"/>
                <w:sz w:val="20"/>
                <w:lang w:eastAsia="en-AU"/>
              </w:rPr>
            </w:pPr>
            <w:r w:rsidRPr="00F32133">
              <w:rPr>
                <w:rFonts w:eastAsia="Times New Roman" w:cs="Times New Roman"/>
                <w:color w:val="000000"/>
                <w:sz w:val="20"/>
                <w:lang w:eastAsia="en-AU"/>
              </w:rPr>
              <w:t>(0.1 </w:t>
            </w:r>
            <w:r w:rsidRPr="00F32133">
              <w:rPr>
                <w:rFonts w:ascii="Symbol" w:eastAsia="Symbol" w:hAnsi="Symbol" w:cs="Symbol"/>
                <w:color w:val="000000"/>
                <w:sz w:val="20"/>
                <w:lang w:eastAsia="en-AU"/>
              </w:rPr>
              <w:sym w:font="Symbol" w:char="F0B4"/>
            </w:r>
            <w:r w:rsidRPr="00F32133">
              <w:rPr>
                <w:rFonts w:eastAsia="Times New Roman" w:cs="Times New Roman"/>
                <w:color w:val="000000"/>
                <w:sz w:val="20"/>
                <w:lang w:eastAsia="en-AU"/>
              </w:rPr>
              <w:t> </w:t>
            </w:r>
            <w:r w:rsidRPr="00F32133">
              <w:rPr>
                <w:rFonts w:eastAsia="Times New Roman" w:cs="Times New Roman"/>
                <w:i/>
                <w:iCs/>
                <w:color w:val="000000"/>
                <w:sz w:val="20"/>
                <w:lang w:eastAsia="en-AU"/>
              </w:rPr>
              <w:t>A</w:t>
            </w:r>
            <w:r w:rsidRPr="00F32133">
              <w:rPr>
                <w:rFonts w:eastAsia="Times New Roman" w:cs="Times New Roman"/>
                <w:i/>
                <w:iCs/>
                <w:color w:val="000000"/>
                <w:sz w:val="13"/>
                <w:szCs w:val="13"/>
                <w:vertAlign w:val="subscript"/>
                <w:lang w:eastAsia="en-AU"/>
              </w:rPr>
              <w:t>EA</w:t>
            </w:r>
            <w:r w:rsidRPr="00F32133">
              <w:rPr>
                <w:rFonts w:eastAsia="Times New Roman" w:cs="Times New Roman"/>
                <w:color w:val="000000"/>
                <w:sz w:val="20"/>
                <w:lang w:eastAsia="en-AU"/>
              </w:rPr>
              <w:t>) + </w:t>
            </w: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U,Prev</w:t>
            </w:r>
            <w:proofErr w:type="spellEnd"/>
            <w:proofErr w:type="gramEnd"/>
            <w:r w:rsidRPr="00F32133">
              <w:rPr>
                <w:rFonts w:eastAsia="Times New Roman" w:cs="Times New Roman"/>
                <w:color w:val="000000"/>
                <w:sz w:val="20"/>
                <w:lang w:eastAsia="en-AU"/>
              </w:rPr>
              <w:t> &lt; </w:t>
            </w: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U,Cap</w:t>
            </w:r>
            <w:proofErr w:type="spellEnd"/>
            <w:proofErr w:type="gramEnd"/>
          </w:p>
        </w:tc>
        <w:tc>
          <w:tcPr>
            <w:tcW w:w="1787" w:type="dxa"/>
            <w:tcBorders>
              <w:top w:val="single" w:sz="6" w:space="0" w:color="000000"/>
              <w:left w:val="double" w:sz="4" w:space="0" w:color="000000"/>
              <w:bottom w:val="single" w:sz="6" w:space="0" w:color="000000"/>
              <w:right w:val="single" w:sz="6" w:space="0" w:color="000000"/>
            </w:tcBorders>
            <w:tcMar>
              <w:top w:w="50" w:type="dxa"/>
              <w:left w:w="13" w:type="dxa"/>
              <w:bottom w:w="50" w:type="dxa"/>
              <w:right w:w="20" w:type="dxa"/>
            </w:tcMar>
            <w:hideMark/>
          </w:tcPr>
          <w:p w14:paraId="1E904145" w14:textId="77777777" w:rsidR="00F32133" w:rsidRPr="00F32133" w:rsidRDefault="00F32133" w:rsidP="00F32133">
            <w:pPr>
              <w:spacing w:before="60" w:line="240" w:lineRule="atLeast"/>
              <w:rPr>
                <w:rFonts w:eastAsia="Times New Roman" w:cs="Times New Roman"/>
                <w:color w:val="000000"/>
                <w:sz w:val="20"/>
                <w:lang w:eastAsia="en-AU"/>
              </w:rPr>
            </w:pPr>
            <w:r w:rsidRPr="00F32133">
              <w:rPr>
                <w:rFonts w:eastAsia="Times New Roman" w:cs="Times New Roman"/>
                <w:color w:val="000000"/>
                <w:sz w:val="20"/>
                <w:lang w:eastAsia="en-AU"/>
              </w:rPr>
              <w:t>0.9 </w:t>
            </w:r>
            <w:r w:rsidRPr="00F32133">
              <w:rPr>
                <w:rFonts w:ascii="Symbol" w:eastAsia="Symbol" w:hAnsi="Symbol" w:cs="Symbol"/>
                <w:color w:val="000000"/>
                <w:sz w:val="20"/>
                <w:lang w:eastAsia="en-AU"/>
              </w:rPr>
              <w:sym w:font="Symbol" w:char="F0B4"/>
            </w:r>
            <w:r w:rsidRPr="00F32133">
              <w:rPr>
                <w:rFonts w:eastAsia="Times New Roman" w:cs="Times New Roman"/>
                <w:color w:val="000000"/>
                <w:sz w:val="20"/>
                <w:lang w:eastAsia="en-AU"/>
              </w:rPr>
              <w:t> </w:t>
            </w:r>
            <w:r w:rsidRPr="00F32133">
              <w:rPr>
                <w:rFonts w:eastAsia="Times New Roman" w:cs="Times New Roman"/>
                <w:i/>
                <w:iCs/>
                <w:color w:val="000000"/>
                <w:sz w:val="20"/>
                <w:lang w:eastAsia="en-AU"/>
              </w:rPr>
              <w:t>A</w:t>
            </w:r>
            <w:r w:rsidRPr="00F32133">
              <w:rPr>
                <w:rFonts w:eastAsia="Times New Roman" w:cs="Times New Roman"/>
                <w:i/>
                <w:iCs/>
                <w:color w:val="000000"/>
                <w:sz w:val="13"/>
                <w:szCs w:val="13"/>
                <w:vertAlign w:val="subscript"/>
                <w:lang w:eastAsia="en-AU"/>
              </w:rPr>
              <w:t>EA</w:t>
            </w:r>
          </w:p>
        </w:tc>
        <w:tc>
          <w:tcPr>
            <w:tcW w:w="1645" w:type="dxa"/>
            <w:tcBorders>
              <w:top w:val="single" w:sz="6" w:space="0" w:color="000000"/>
              <w:left w:val="single" w:sz="6" w:space="0" w:color="000000"/>
              <w:bottom w:val="single" w:sz="6" w:space="0" w:color="000000"/>
            </w:tcBorders>
            <w:tcMar>
              <w:top w:w="50" w:type="dxa"/>
              <w:left w:w="20" w:type="dxa"/>
              <w:bottom w:w="50" w:type="dxa"/>
              <w:right w:w="28" w:type="dxa"/>
            </w:tcMar>
            <w:hideMark/>
          </w:tcPr>
          <w:p w14:paraId="1F24ACCA" w14:textId="77777777" w:rsidR="00F32133" w:rsidRPr="00F32133" w:rsidRDefault="00F32133" w:rsidP="00F32133">
            <w:pPr>
              <w:spacing w:before="60" w:line="240" w:lineRule="atLeast"/>
              <w:rPr>
                <w:rFonts w:eastAsia="Times New Roman" w:cs="Times New Roman"/>
                <w:color w:val="000000"/>
                <w:sz w:val="20"/>
                <w:lang w:eastAsia="en-AU"/>
              </w:rPr>
            </w:pPr>
            <w:r w:rsidRPr="00F32133">
              <w:rPr>
                <w:rFonts w:eastAsia="Times New Roman" w:cs="Times New Roman"/>
                <w:color w:val="000000"/>
                <w:sz w:val="20"/>
                <w:lang w:eastAsia="en-AU"/>
              </w:rPr>
              <w:t>(0.1 </w:t>
            </w:r>
            <w:r w:rsidRPr="00F32133">
              <w:rPr>
                <w:rFonts w:ascii="Symbol" w:eastAsia="Symbol" w:hAnsi="Symbol" w:cs="Symbol"/>
                <w:color w:val="000000"/>
                <w:sz w:val="20"/>
                <w:lang w:eastAsia="en-AU"/>
              </w:rPr>
              <w:sym w:font="Symbol" w:char="F0B4"/>
            </w:r>
            <w:r w:rsidRPr="00F32133">
              <w:rPr>
                <w:rFonts w:eastAsia="Times New Roman" w:cs="Times New Roman"/>
                <w:color w:val="000000"/>
                <w:sz w:val="20"/>
                <w:lang w:eastAsia="en-AU"/>
              </w:rPr>
              <w:t> </w:t>
            </w:r>
            <w:r w:rsidRPr="00F32133">
              <w:rPr>
                <w:rFonts w:eastAsia="Times New Roman" w:cs="Times New Roman"/>
                <w:i/>
                <w:iCs/>
                <w:color w:val="000000"/>
                <w:sz w:val="20"/>
                <w:lang w:eastAsia="en-AU"/>
              </w:rPr>
              <w:t>A</w:t>
            </w:r>
            <w:r w:rsidRPr="00F32133">
              <w:rPr>
                <w:rFonts w:eastAsia="Times New Roman" w:cs="Times New Roman"/>
                <w:i/>
                <w:iCs/>
                <w:color w:val="000000"/>
                <w:sz w:val="13"/>
                <w:szCs w:val="13"/>
                <w:vertAlign w:val="subscript"/>
                <w:lang w:eastAsia="en-AU"/>
              </w:rPr>
              <w:t>EA</w:t>
            </w:r>
            <w:r w:rsidRPr="00F32133">
              <w:rPr>
                <w:rFonts w:eastAsia="Times New Roman" w:cs="Times New Roman"/>
                <w:color w:val="000000"/>
                <w:sz w:val="20"/>
                <w:lang w:eastAsia="en-AU"/>
              </w:rPr>
              <w:t>)</w:t>
            </w:r>
            <w:r w:rsidRPr="00F32133">
              <w:rPr>
                <w:rFonts w:eastAsia="Times New Roman" w:cs="Times New Roman"/>
                <w:i/>
                <w:iCs/>
                <w:color w:val="000000"/>
                <w:sz w:val="20"/>
                <w:lang w:eastAsia="en-AU"/>
              </w:rPr>
              <w:t> </w:t>
            </w:r>
            <w:r w:rsidRPr="00F32133">
              <w:rPr>
                <w:rFonts w:eastAsia="Times New Roman" w:cs="Times New Roman"/>
                <w:color w:val="000000"/>
                <w:sz w:val="20"/>
                <w:lang w:eastAsia="en-AU"/>
              </w:rPr>
              <w:t>+ </w:t>
            </w: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U,Prev</w:t>
            </w:r>
            <w:proofErr w:type="spellEnd"/>
            <w:proofErr w:type="gramEnd"/>
          </w:p>
        </w:tc>
      </w:tr>
      <w:tr w:rsidR="00F32133" w:rsidRPr="00F32133" w14:paraId="42D75491" w14:textId="77777777" w:rsidTr="00247BA1">
        <w:trPr>
          <w:trHeight w:val="251"/>
        </w:trPr>
        <w:tc>
          <w:tcPr>
            <w:tcW w:w="400" w:type="dxa"/>
            <w:tcBorders>
              <w:top w:val="single" w:sz="6" w:space="0" w:color="000000"/>
              <w:bottom w:val="single" w:sz="18" w:space="0" w:color="000000"/>
            </w:tcBorders>
            <w:tcMar>
              <w:top w:w="50" w:type="dxa"/>
              <w:left w:w="28" w:type="dxa"/>
              <w:bottom w:w="34" w:type="dxa"/>
              <w:right w:w="28" w:type="dxa"/>
            </w:tcMar>
            <w:hideMark/>
          </w:tcPr>
          <w:p w14:paraId="3843AC5C" w14:textId="77777777" w:rsidR="00F32133" w:rsidRPr="00F32133" w:rsidRDefault="00F32133" w:rsidP="00F32133">
            <w:pPr>
              <w:spacing w:line="240" w:lineRule="auto"/>
              <w:rPr>
                <w:rFonts w:eastAsia="Times New Roman" w:cs="Times New Roman"/>
                <w:color w:val="000000"/>
                <w:szCs w:val="22"/>
                <w:lang w:eastAsia="en-AU"/>
              </w:rPr>
            </w:pPr>
            <w:r w:rsidRPr="00F32133">
              <w:rPr>
                <w:rFonts w:eastAsia="Times New Roman" w:cs="Times New Roman"/>
                <w:color w:val="000000"/>
                <w:sz w:val="20"/>
                <w:lang w:eastAsia="en-AU"/>
              </w:rPr>
              <w:t>7</w:t>
            </w:r>
          </w:p>
        </w:tc>
        <w:tc>
          <w:tcPr>
            <w:tcW w:w="652" w:type="dxa"/>
            <w:tcBorders>
              <w:top w:val="single" w:sz="6" w:space="0" w:color="000000"/>
              <w:bottom w:val="single" w:sz="18" w:space="0" w:color="000000"/>
            </w:tcBorders>
            <w:tcMar>
              <w:top w:w="50" w:type="dxa"/>
              <w:left w:w="28" w:type="dxa"/>
              <w:bottom w:w="34" w:type="dxa"/>
              <w:right w:w="28" w:type="dxa"/>
            </w:tcMar>
            <w:hideMark/>
          </w:tcPr>
          <w:p w14:paraId="17380783" w14:textId="77777777" w:rsidR="00F32133" w:rsidRPr="00F32133" w:rsidRDefault="00F32133" w:rsidP="00F32133">
            <w:pPr>
              <w:spacing w:line="240" w:lineRule="auto"/>
              <w:rPr>
                <w:rFonts w:eastAsia="Times New Roman" w:cs="Times New Roman"/>
                <w:color w:val="000000"/>
                <w:szCs w:val="22"/>
                <w:lang w:eastAsia="en-AU"/>
              </w:rPr>
            </w:pPr>
            <w:r w:rsidRPr="00F32133">
              <w:rPr>
                <w:rFonts w:eastAsia="Times New Roman" w:cs="Times New Roman"/>
                <w:i/>
                <w:iCs/>
                <w:color w:val="000000"/>
                <w:sz w:val="20"/>
                <w:lang w:eastAsia="en-AU"/>
              </w:rPr>
              <w:t>A</w:t>
            </w:r>
            <w:r w:rsidRPr="00F32133">
              <w:rPr>
                <w:rFonts w:eastAsia="Times New Roman" w:cs="Times New Roman"/>
                <w:i/>
                <w:iCs/>
                <w:color w:val="000000"/>
                <w:sz w:val="13"/>
                <w:szCs w:val="13"/>
                <w:vertAlign w:val="subscript"/>
                <w:lang w:eastAsia="en-AU"/>
              </w:rPr>
              <w:t>EA</w:t>
            </w:r>
            <w:r w:rsidRPr="00F32133">
              <w:rPr>
                <w:rFonts w:eastAsia="Times New Roman" w:cs="Times New Roman"/>
                <w:i/>
                <w:iCs/>
                <w:color w:val="000000"/>
                <w:sz w:val="20"/>
                <w:lang w:eastAsia="en-AU"/>
              </w:rPr>
              <w:t> </w:t>
            </w:r>
            <w:r w:rsidRPr="00F32133">
              <w:rPr>
                <w:rFonts w:ascii="Symbol" w:eastAsia="Symbol" w:hAnsi="Symbol" w:cs="Symbol"/>
                <w:color w:val="000000"/>
                <w:sz w:val="20"/>
                <w:lang w:eastAsia="en-AU"/>
              </w:rPr>
              <w:sym w:font="Symbol" w:char="F03E"/>
            </w:r>
            <w:r w:rsidRPr="00F32133">
              <w:rPr>
                <w:rFonts w:eastAsia="Times New Roman" w:cs="Times New Roman"/>
                <w:i/>
                <w:iCs/>
                <w:color w:val="000000"/>
                <w:sz w:val="20"/>
                <w:lang w:eastAsia="en-AU"/>
              </w:rPr>
              <w:t> </w:t>
            </w:r>
            <w:r w:rsidRPr="00F32133">
              <w:rPr>
                <w:rFonts w:eastAsia="Times New Roman" w:cs="Times New Roman"/>
                <w:color w:val="000000"/>
                <w:sz w:val="20"/>
                <w:lang w:eastAsia="en-AU"/>
              </w:rPr>
              <w:t>0,</w:t>
            </w:r>
          </w:p>
        </w:tc>
        <w:tc>
          <w:tcPr>
            <w:tcW w:w="937" w:type="dxa"/>
            <w:tcBorders>
              <w:top w:val="single" w:sz="6" w:space="0" w:color="000000"/>
              <w:bottom w:val="single" w:sz="18" w:space="0" w:color="000000"/>
            </w:tcBorders>
            <w:tcMar>
              <w:top w:w="50" w:type="dxa"/>
              <w:left w:w="28" w:type="dxa"/>
              <w:bottom w:w="34" w:type="dxa"/>
              <w:right w:w="28" w:type="dxa"/>
            </w:tcMar>
            <w:hideMark/>
          </w:tcPr>
          <w:p w14:paraId="5B84E802" w14:textId="77777777" w:rsidR="00F32133" w:rsidRPr="00F32133" w:rsidRDefault="00F32133" w:rsidP="00F32133">
            <w:pPr>
              <w:spacing w:line="240" w:lineRule="auto"/>
              <w:rPr>
                <w:rFonts w:eastAsia="Times New Roman" w:cs="Times New Roman"/>
                <w:color w:val="000000"/>
                <w:szCs w:val="22"/>
                <w:lang w:eastAsia="en-AU"/>
              </w:rPr>
            </w:pP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U,Prev</w:t>
            </w:r>
            <w:proofErr w:type="spellEnd"/>
            <w:proofErr w:type="gramEnd"/>
            <w:r w:rsidRPr="00F32133">
              <w:rPr>
                <w:rFonts w:eastAsia="Times New Roman" w:cs="Times New Roman"/>
                <w:color w:val="000000"/>
                <w:sz w:val="20"/>
                <w:lang w:eastAsia="en-AU"/>
              </w:rPr>
              <w:t> </w:t>
            </w:r>
            <w:r w:rsidRPr="00F32133">
              <w:rPr>
                <w:rFonts w:ascii="Symbol" w:eastAsia="Symbol" w:hAnsi="Symbol" w:cs="Symbol"/>
                <w:color w:val="000000"/>
                <w:sz w:val="20"/>
                <w:lang w:eastAsia="en-AU"/>
              </w:rPr>
              <w:sym w:font="Symbol" w:char="F0B3"/>
            </w:r>
            <w:r w:rsidRPr="00F32133">
              <w:rPr>
                <w:rFonts w:eastAsia="Times New Roman" w:cs="Times New Roman"/>
                <w:color w:val="000000"/>
                <w:sz w:val="20"/>
                <w:lang w:eastAsia="en-AU"/>
              </w:rPr>
              <w:t> 0,</w:t>
            </w:r>
          </w:p>
        </w:tc>
        <w:tc>
          <w:tcPr>
            <w:tcW w:w="1361" w:type="dxa"/>
            <w:tcBorders>
              <w:top w:val="single" w:sz="6" w:space="0" w:color="000000"/>
              <w:bottom w:val="single" w:sz="18" w:space="0" w:color="000000"/>
            </w:tcBorders>
            <w:tcMar>
              <w:top w:w="50" w:type="dxa"/>
              <w:left w:w="28" w:type="dxa"/>
              <w:bottom w:w="34" w:type="dxa"/>
              <w:right w:w="28" w:type="dxa"/>
            </w:tcMar>
            <w:hideMark/>
          </w:tcPr>
          <w:p w14:paraId="14C57024" w14:textId="77777777" w:rsidR="00F32133" w:rsidRPr="00F32133" w:rsidRDefault="00F32133" w:rsidP="00F32133">
            <w:pPr>
              <w:spacing w:before="60" w:line="240" w:lineRule="atLeast"/>
              <w:rPr>
                <w:rFonts w:eastAsia="Times New Roman" w:cs="Times New Roman"/>
                <w:color w:val="000000"/>
                <w:sz w:val="20"/>
                <w:lang w:eastAsia="en-AU"/>
              </w:rPr>
            </w:pPr>
            <w:r w:rsidRPr="00F32133">
              <w:rPr>
                <w:rFonts w:eastAsia="Times New Roman" w:cs="Times New Roman"/>
                <w:i/>
                <w:iCs/>
                <w:color w:val="000000"/>
                <w:sz w:val="20"/>
                <w:lang w:eastAsia="en-AU"/>
              </w:rPr>
              <w:t> </w:t>
            </w:r>
          </w:p>
        </w:tc>
        <w:tc>
          <w:tcPr>
            <w:tcW w:w="2354" w:type="dxa"/>
            <w:tcBorders>
              <w:top w:val="single" w:sz="6" w:space="0" w:color="000000"/>
              <w:bottom w:val="single" w:sz="18" w:space="0" w:color="000000"/>
              <w:right w:val="double" w:sz="4" w:space="0" w:color="000000"/>
            </w:tcBorders>
            <w:tcMar>
              <w:top w:w="50" w:type="dxa"/>
              <w:left w:w="28" w:type="dxa"/>
              <w:bottom w:w="34" w:type="dxa"/>
              <w:right w:w="13" w:type="dxa"/>
            </w:tcMar>
            <w:hideMark/>
          </w:tcPr>
          <w:p w14:paraId="756BDFA1" w14:textId="77777777" w:rsidR="00F32133" w:rsidRPr="00F32133" w:rsidRDefault="00F32133" w:rsidP="00F32133">
            <w:pPr>
              <w:spacing w:before="60" w:line="240" w:lineRule="atLeast"/>
              <w:rPr>
                <w:rFonts w:eastAsia="Times New Roman" w:cs="Times New Roman"/>
                <w:color w:val="000000"/>
                <w:sz w:val="20"/>
                <w:lang w:eastAsia="en-AU"/>
              </w:rPr>
            </w:pPr>
            <w:r w:rsidRPr="00F32133">
              <w:rPr>
                <w:rFonts w:eastAsia="Times New Roman" w:cs="Times New Roman"/>
                <w:color w:val="000000"/>
                <w:sz w:val="20"/>
                <w:lang w:eastAsia="en-AU"/>
              </w:rPr>
              <w:t>(0.1 </w:t>
            </w:r>
            <w:r w:rsidRPr="00F32133">
              <w:rPr>
                <w:rFonts w:ascii="Symbol" w:eastAsia="Symbol" w:hAnsi="Symbol" w:cs="Symbol"/>
                <w:color w:val="000000"/>
                <w:sz w:val="20"/>
                <w:lang w:eastAsia="en-AU"/>
              </w:rPr>
              <w:sym w:font="Symbol" w:char="F0B4"/>
            </w:r>
            <w:r w:rsidRPr="00F32133">
              <w:rPr>
                <w:rFonts w:eastAsia="Times New Roman" w:cs="Times New Roman"/>
                <w:color w:val="000000"/>
                <w:sz w:val="20"/>
                <w:lang w:eastAsia="en-AU"/>
              </w:rPr>
              <w:t> </w:t>
            </w:r>
            <w:r w:rsidRPr="00F32133">
              <w:rPr>
                <w:rFonts w:eastAsia="Times New Roman" w:cs="Times New Roman"/>
                <w:i/>
                <w:iCs/>
                <w:color w:val="000000"/>
                <w:sz w:val="20"/>
                <w:lang w:eastAsia="en-AU"/>
              </w:rPr>
              <w:t>A</w:t>
            </w:r>
            <w:r w:rsidRPr="00F32133">
              <w:rPr>
                <w:rFonts w:eastAsia="Times New Roman" w:cs="Times New Roman"/>
                <w:i/>
                <w:iCs/>
                <w:color w:val="000000"/>
                <w:sz w:val="13"/>
                <w:szCs w:val="13"/>
                <w:vertAlign w:val="subscript"/>
                <w:lang w:eastAsia="en-AU"/>
              </w:rPr>
              <w:t>EA</w:t>
            </w:r>
            <w:r w:rsidRPr="00F32133">
              <w:rPr>
                <w:rFonts w:eastAsia="Times New Roman" w:cs="Times New Roman"/>
                <w:color w:val="000000"/>
                <w:sz w:val="20"/>
                <w:lang w:eastAsia="en-AU"/>
              </w:rPr>
              <w:t>)</w:t>
            </w:r>
            <w:r w:rsidRPr="00F32133">
              <w:rPr>
                <w:rFonts w:eastAsia="Times New Roman" w:cs="Times New Roman"/>
                <w:i/>
                <w:iCs/>
                <w:color w:val="000000"/>
                <w:sz w:val="20"/>
                <w:lang w:eastAsia="en-AU"/>
              </w:rPr>
              <w:t> </w:t>
            </w:r>
            <w:r w:rsidRPr="00F32133">
              <w:rPr>
                <w:rFonts w:eastAsia="Times New Roman" w:cs="Times New Roman"/>
                <w:color w:val="000000"/>
                <w:sz w:val="20"/>
                <w:lang w:eastAsia="en-AU"/>
              </w:rPr>
              <w:t>+ </w:t>
            </w: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U,Prev</w:t>
            </w:r>
            <w:proofErr w:type="spellEnd"/>
            <w:proofErr w:type="gramEnd"/>
            <w:r w:rsidRPr="00F32133">
              <w:rPr>
                <w:rFonts w:eastAsia="Times New Roman" w:cs="Times New Roman"/>
                <w:color w:val="000000"/>
                <w:sz w:val="20"/>
                <w:lang w:eastAsia="en-AU"/>
              </w:rPr>
              <w:t> </w:t>
            </w:r>
            <w:r w:rsidRPr="00F32133">
              <w:rPr>
                <w:rFonts w:ascii="Symbol" w:eastAsia="Symbol" w:hAnsi="Symbol" w:cs="Symbol"/>
                <w:color w:val="000000"/>
                <w:sz w:val="20"/>
                <w:lang w:eastAsia="en-AU"/>
              </w:rPr>
              <w:sym w:font="Symbol" w:char="F0B3"/>
            </w:r>
            <w:r w:rsidRPr="00F32133">
              <w:rPr>
                <w:rFonts w:eastAsia="Times New Roman" w:cs="Times New Roman"/>
                <w:color w:val="000000"/>
                <w:sz w:val="20"/>
                <w:lang w:eastAsia="en-AU"/>
              </w:rPr>
              <w:t> </w:t>
            </w: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U,Cap</w:t>
            </w:r>
            <w:proofErr w:type="spellEnd"/>
            <w:proofErr w:type="gramEnd"/>
          </w:p>
        </w:tc>
        <w:tc>
          <w:tcPr>
            <w:tcW w:w="1787" w:type="dxa"/>
            <w:tcBorders>
              <w:top w:val="single" w:sz="6" w:space="0" w:color="000000"/>
              <w:left w:val="double" w:sz="4" w:space="0" w:color="000000"/>
              <w:bottom w:val="single" w:sz="18" w:space="0" w:color="000000"/>
              <w:right w:val="single" w:sz="6" w:space="0" w:color="000000"/>
            </w:tcBorders>
            <w:tcMar>
              <w:top w:w="50" w:type="dxa"/>
              <w:left w:w="13" w:type="dxa"/>
              <w:bottom w:w="34" w:type="dxa"/>
              <w:right w:w="20" w:type="dxa"/>
            </w:tcMar>
            <w:hideMark/>
          </w:tcPr>
          <w:p w14:paraId="466F196D" w14:textId="77777777" w:rsidR="00F32133" w:rsidRPr="00F32133" w:rsidRDefault="00F32133" w:rsidP="00F32133">
            <w:pPr>
              <w:spacing w:before="60" w:line="240" w:lineRule="atLeast"/>
              <w:rPr>
                <w:rFonts w:eastAsia="Times New Roman" w:cs="Times New Roman"/>
                <w:color w:val="000000"/>
                <w:sz w:val="20"/>
                <w:lang w:eastAsia="en-AU"/>
              </w:rPr>
            </w:pPr>
            <w:r w:rsidRPr="00F32133">
              <w:rPr>
                <w:rFonts w:eastAsia="Times New Roman" w:cs="Times New Roman"/>
                <w:i/>
                <w:iCs/>
                <w:color w:val="000000"/>
                <w:sz w:val="20"/>
                <w:lang w:eastAsia="en-AU"/>
              </w:rPr>
              <w:t>A</w:t>
            </w:r>
            <w:r w:rsidRPr="00F32133">
              <w:rPr>
                <w:rFonts w:eastAsia="Times New Roman" w:cs="Times New Roman"/>
                <w:i/>
                <w:iCs/>
                <w:color w:val="000000"/>
                <w:sz w:val="13"/>
                <w:szCs w:val="13"/>
                <w:vertAlign w:val="subscript"/>
                <w:lang w:eastAsia="en-AU"/>
              </w:rPr>
              <w:t>EA</w:t>
            </w:r>
            <w:r w:rsidRPr="00F32133">
              <w:rPr>
                <w:rFonts w:eastAsia="Times New Roman" w:cs="Times New Roman"/>
                <w:color w:val="000000"/>
                <w:sz w:val="20"/>
                <w:lang w:eastAsia="en-AU"/>
              </w:rPr>
              <w:t> + </w:t>
            </w: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U,Prev</w:t>
            </w:r>
            <w:proofErr w:type="spellEnd"/>
            <w:proofErr w:type="gramEnd"/>
            <w:r w:rsidRPr="00F32133">
              <w:rPr>
                <w:rFonts w:eastAsia="Times New Roman" w:cs="Times New Roman"/>
                <w:i/>
                <w:iCs/>
                <w:color w:val="000000"/>
                <w:sz w:val="20"/>
                <w:lang w:eastAsia="en-AU"/>
              </w:rPr>
              <w:t> – </w:t>
            </w: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U,Cap</w:t>
            </w:r>
            <w:proofErr w:type="spellEnd"/>
            <w:proofErr w:type="gramEnd"/>
          </w:p>
        </w:tc>
        <w:tc>
          <w:tcPr>
            <w:tcW w:w="1645" w:type="dxa"/>
            <w:tcBorders>
              <w:top w:val="single" w:sz="6" w:space="0" w:color="000000"/>
              <w:left w:val="single" w:sz="6" w:space="0" w:color="000000"/>
              <w:bottom w:val="single" w:sz="18" w:space="0" w:color="000000"/>
            </w:tcBorders>
            <w:tcMar>
              <w:top w:w="50" w:type="dxa"/>
              <w:left w:w="20" w:type="dxa"/>
              <w:bottom w:w="34" w:type="dxa"/>
              <w:right w:w="28" w:type="dxa"/>
            </w:tcMar>
            <w:hideMark/>
          </w:tcPr>
          <w:p w14:paraId="2F2F40D7" w14:textId="77777777" w:rsidR="00F32133" w:rsidRPr="00F32133" w:rsidRDefault="00F32133" w:rsidP="00F32133">
            <w:pPr>
              <w:spacing w:before="60" w:line="240" w:lineRule="atLeast"/>
              <w:rPr>
                <w:rFonts w:eastAsia="Times New Roman" w:cs="Times New Roman"/>
                <w:color w:val="000000"/>
                <w:sz w:val="20"/>
                <w:lang w:eastAsia="en-AU"/>
              </w:rPr>
            </w:pPr>
            <w:proofErr w:type="spellStart"/>
            <w:proofErr w:type="gramStart"/>
            <w:r w:rsidRPr="00F32133">
              <w:rPr>
                <w:rFonts w:eastAsia="Times New Roman" w:cs="Times New Roman"/>
                <w:i/>
                <w:iCs/>
                <w:color w:val="000000"/>
                <w:sz w:val="20"/>
                <w:lang w:eastAsia="en-AU"/>
              </w:rPr>
              <w:t>B</w:t>
            </w:r>
            <w:r w:rsidRPr="00F32133">
              <w:rPr>
                <w:rFonts w:eastAsia="Times New Roman" w:cs="Times New Roman"/>
                <w:i/>
                <w:iCs/>
                <w:color w:val="000000"/>
                <w:sz w:val="13"/>
                <w:szCs w:val="13"/>
                <w:vertAlign w:val="subscript"/>
                <w:lang w:eastAsia="en-AU"/>
              </w:rPr>
              <w:t>U,Cap</w:t>
            </w:r>
            <w:proofErr w:type="spellEnd"/>
            <w:proofErr w:type="gramEnd"/>
          </w:p>
        </w:tc>
      </w:tr>
    </w:tbl>
    <w:p w14:paraId="59D41E0F" w14:textId="576F36A4" w:rsidR="00F32133" w:rsidRPr="00F32133" w:rsidRDefault="00F32133" w:rsidP="00F32133">
      <w:pPr>
        <w:spacing w:before="120" w:line="240" w:lineRule="auto"/>
        <w:ind w:left="1985" w:hanging="851"/>
        <w:rPr>
          <w:rFonts w:eastAsia="Times New Roman" w:cs="Times New Roman"/>
          <w:color w:val="000000"/>
          <w:sz w:val="18"/>
          <w:szCs w:val="18"/>
          <w:lang w:eastAsia="en-AU"/>
        </w:rPr>
      </w:pPr>
      <w:r w:rsidRPr="00F32133">
        <w:rPr>
          <w:rFonts w:eastAsia="Times New Roman" w:cs="Times New Roman"/>
          <w:color w:val="000000"/>
          <w:sz w:val="18"/>
          <w:szCs w:val="18"/>
          <w:lang w:eastAsia="en-AU"/>
        </w:rPr>
        <w:t>Note 1: </w:t>
      </w:r>
      <w:r w:rsidR="00C04881">
        <w:rPr>
          <w:rFonts w:eastAsia="Times New Roman" w:cs="Times New Roman"/>
          <w:color w:val="000000"/>
          <w:sz w:val="18"/>
          <w:szCs w:val="18"/>
          <w:lang w:eastAsia="en-AU"/>
        </w:rPr>
        <w:tab/>
      </w:r>
      <w:r w:rsidRPr="00F32133">
        <w:rPr>
          <w:rFonts w:eastAsia="Times New Roman" w:cs="Times New Roman"/>
          <w:color w:val="000000"/>
          <w:sz w:val="18"/>
          <w:szCs w:val="18"/>
          <w:lang w:eastAsia="en-AU"/>
        </w:rPr>
        <w:t>Division 3 of this Schedule sets out adjustments to these calculations, which apply:</w:t>
      </w:r>
    </w:p>
    <w:p w14:paraId="3992080E" w14:textId="77777777" w:rsidR="00F32133" w:rsidRPr="00F32133" w:rsidRDefault="00F32133" w:rsidP="00F32133">
      <w:pPr>
        <w:spacing w:before="40" w:line="240" w:lineRule="auto"/>
        <w:ind w:left="2314" w:hanging="284"/>
        <w:rPr>
          <w:rFonts w:eastAsia="Times New Roman" w:cs="Times New Roman"/>
          <w:color w:val="000000"/>
          <w:sz w:val="18"/>
          <w:szCs w:val="18"/>
          <w:lang w:eastAsia="en-AU"/>
        </w:rPr>
      </w:pPr>
      <w:r w:rsidRPr="00F32133">
        <w:rPr>
          <w:rFonts w:ascii="Symbol" w:eastAsia="Symbol" w:hAnsi="Symbol" w:cs="Symbol"/>
          <w:color w:val="000000"/>
          <w:sz w:val="18"/>
          <w:szCs w:val="18"/>
          <w:lang w:eastAsia="en-AU"/>
        </w:rPr>
        <w:sym w:font="Symbol" w:char="F0B7"/>
      </w:r>
      <w:r w:rsidRPr="00F32133">
        <w:rPr>
          <w:rFonts w:eastAsia="Times New Roman" w:cs="Times New Roman"/>
          <w:color w:val="000000"/>
          <w:sz w:val="18"/>
          <w:szCs w:val="18"/>
          <w:lang w:eastAsia="en-AU"/>
        </w:rPr>
        <w:t> if a project area spans both rainfall zones (see section 10 of this Schedule); and</w:t>
      </w:r>
    </w:p>
    <w:p w14:paraId="324BDC6D" w14:textId="77777777" w:rsidR="00F32133" w:rsidRPr="00F32133" w:rsidRDefault="00F32133" w:rsidP="00F32133">
      <w:pPr>
        <w:spacing w:before="40" w:line="240" w:lineRule="auto"/>
        <w:ind w:left="2314" w:hanging="284"/>
        <w:rPr>
          <w:rFonts w:eastAsia="Times New Roman" w:cs="Times New Roman"/>
          <w:color w:val="000000"/>
          <w:sz w:val="18"/>
          <w:szCs w:val="18"/>
          <w:lang w:eastAsia="en-AU"/>
        </w:rPr>
      </w:pPr>
      <w:r w:rsidRPr="00F32133">
        <w:rPr>
          <w:rFonts w:ascii="Symbol" w:eastAsia="Symbol" w:hAnsi="Symbol" w:cs="Symbol"/>
          <w:color w:val="000000"/>
          <w:sz w:val="18"/>
          <w:szCs w:val="18"/>
          <w:lang w:eastAsia="en-AU"/>
        </w:rPr>
        <w:sym w:font="Symbol" w:char="F0B7"/>
      </w:r>
      <w:r w:rsidRPr="00F32133">
        <w:rPr>
          <w:rFonts w:eastAsia="Times New Roman" w:cs="Times New Roman"/>
          <w:color w:val="000000"/>
          <w:sz w:val="18"/>
          <w:szCs w:val="18"/>
          <w:lang w:eastAsia="en-AU"/>
        </w:rPr>
        <w:t> if a project area is divided into 2 or more subdivided project areas (see section 12 of this Schedule).</w:t>
      </w:r>
    </w:p>
    <w:p w14:paraId="0FB0BED6" w14:textId="4CDAE39C" w:rsidR="00803A5C" w:rsidRPr="00BA7601" w:rsidRDefault="00F32133" w:rsidP="00BA7601">
      <w:pPr>
        <w:spacing w:before="120" w:line="240" w:lineRule="auto"/>
        <w:ind w:left="1985" w:hanging="851"/>
        <w:rPr>
          <w:rFonts w:eastAsia="Times New Roman" w:cs="Times New Roman"/>
          <w:color w:val="000000"/>
          <w:sz w:val="18"/>
          <w:szCs w:val="18"/>
          <w:lang w:eastAsia="en-AU"/>
        </w:rPr>
      </w:pPr>
      <w:r w:rsidRPr="7393182A">
        <w:rPr>
          <w:rFonts w:eastAsia="Times New Roman" w:cs="Times New Roman"/>
          <w:color w:val="000000" w:themeColor="text1"/>
          <w:sz w:val="18"/>
          <w:szCs w:val="18"/>
          <w:lang w:eastAsia="en-AU"/>
        </w:rPr>
        <w:t>Note 2: </w:t>
      </w:r>
      <w:r w:rsidR="00C04881">
        <w:tab/>
      </w:r>
      <w:r w:rsidRPr="7393182A">
        <w:rPr>
          <w:rFonts w:eastAsia="Times New Roman" w:cs="Times New Roman"/>
          <w:color w:val="000000" w:themeColor="text1"/>
          <w:sz w:val="18"/>
          <w:szCs w:val="18"/>
          <w:lang w:eastAsia="en-AU"/>
        </w:rPr>
        <w:t>If, during a reporting period, the vegetation fuel type map is revised in accordance with section </w:t>
      </w:r>
      <w:r w:rsidR="5CAF7FA9" w:rsidRPr="77DC2EF6">
        <w:rPr>
          <w:rFonts w:eastAsia="Times New Roman" w:cs="Times New Roman"/>
          <w:color w:val="000000" w:themeColor="text1"/>
          <w:sz w:val="18"/>
          <w:szCs w:val="18"/>
          <w:lang w:eastAsia="en-AU"/>
        </w:rPr>
        <w:t>2</w:t>
      </w:r>
      <w:r w:rsidRPr="7393182A">
        <w:rPr>
          <w:rFonts w:eastAsia="Times New Roman" w:cs="Times New Roman"/>
          <w:color w:val="000000" w:themeColor="text1"/>
          <w:sz w:val="18"/>
          <w:szCs w:val="18"/>
          <w:lang w:eastAsia="en-AU"/>
        </w:rPr>
        <w:t xml:space="preserve"> of this </w:t>
      </w:r>
      <w:r w:rsidR="00C929D7" w:rsidRPr="7393182A">
        <w:rPr>
          <w:rFonts w:eastAsia="Times New Roman" w:cs="Times New Roman"/>
          <w:color w:val="000000" w:themeColor="text1"/>
          <w:sz w:val="18"/>
          <w:szCs w:val="18"/>
          <w:lang w:eastAsia="en-AU"/>
        </w:rPr>
        <w:t>instrument</w:t>
      </w:r>
      <w:r w:rsidRPr="7393182A">
        <w:rPr>
          <w:rFonts w:eastAsia="Times New Roman" w:cs="Times New Roman"/>
          <w:color w:val="000000" w:themeColor="text1"/>
          <w:sz w:val="18"/>
          <w:szCs w:val="18"/>
          <w:lang w:eastAsia="en-AU"/>
        </w:rPr>
        <w:t xml:space="preserve">, the version of the map as in force at the end of the reporting period is used for calculations for all years of the reporting period (including for the calculation of the current year’s uncertainty buffer and the uncertainty buffer cap, and amounts that relate to the baseline period). See subsection 10(1) of this </w:t>
      </w:r>
      <w:r w:rsidR="00C929D7" w:rsidRPr="7393182A">
        <w:rPr>
          <w:rFonts w:eastAsia="Times New Roman" w:cs="Times New Roman"/>
          <w:color w:val="000000" w:themeColor="text1"/>
          <w:sz w:val="18"/>
          <w:szCs w:val="18"/>
          <w:lang w:eastAsia="en-AU"/>
        </w:rPr>
        <w:t>instrument</w:t>
      </w:r>
      <w:r w:rsidRPr="7393182A">
        <w:rPr>
          <w:rFonts w:eastAsia="Times New Roman" w:cs="Times New Roman"/>
          <w:color w:val="000000" w:themeColor="text1"/>
          <w:sz w:val="18"/>
          <w:szCs w:val="18"/>
          <w:lang w:eastAsia="en-AU"/>
        </w:rPr>
        <w:t xml:space="preserve">. However, a previous year’s uncertainty buffer that was calculated </w:t>
      </w:r>
      <w:proofErr w:type="gramStart"/>
      <w:r w:rsidRPr="7393182A">
        <w:rPr>
          <w:rFonts w:eastAsia="Times New Roman" w:cs="Times New Roman"/>
          <w:color w:val="000000" w:themeColor="text1"/>
          <w:sz w:val="18"/>
          <w:szCs w:val="18"/>
          <w:lang w:eastAsia="en-AU"/>
        </w:rPr>
        <w:t>on the basis of</w:t>
      </w:r>
      <w:proofErr w:type="gramEnd"/>
      <w:r w:rsidRPr="7393182A">
        <w:rPr>
          <w:rFonts w:eastAsia="Times New Roman" w:cs="Times New Roman"/>
          <w:color w:val="000000" w:themeColor="text1"/>
          <w:sz w:val="18"/>
          <w:szCs w:val="18"/>
          <w:lang w:eastAsia="en-AU"/>
        </w:rPr>
        <w:t xml:space="preserve"> an earlier version of the vegetation fuel type map is not revised </w:t>
      </w:r>
      <w:proofErr w:type="gramStart"/>
      <w:r w:rsidRPr="7393182A">
        <w:rPr>
          <w:rFonts w:eastAsia="Times New Roman" w:cs="Times New Roman"/>
          <w:color w:val="000000" w:themeColor="text1"/>
          <w:sz w:val="18"/>
          <w:szCs w:val="18"/>
          <w:lang w:eastAsia="en-AU"/>
        </w:rPr>
        <w:t>on the basis of</w:t>
      </w:r>
      <w:proofErr w:type="gramEnd"/>
      <w:r w:rsidRPr="7393182A">
        <w:rPr>
          <w:rFonts w:eastAsia="Times New Roman" w:cs="Times New Roman"/>
          <w:color w:val="000000" w:themeColor="text1"/>
          <w:sz w:val="18"/>
          <w:szCs w:val="18"/>
          <w:lang w:eastAsia="en-AU"/>
        </w:rPr>
        <w:t xml:space="preserve"> the revised map.</w:t>
      </w:r>
    </w:p>
    <w:p w14:paraId="50593C0A" w14:textId="5ADDB1D8" w:rsidR="00800DDF" w:rsidRPr="00410A71" w:rsidRDefault="00410A71" w:rsidP="00410A71">
      <w:pPr>
        <w:pStyle w:val="ActHead5"/>
        <w:ind w:left="0" w:firstLine="0"/>
      </w:pPr>
      <w:bookmarkStart w:id="86" w:name="_Toc202953852"/>
      <w:r>
        <w:t>3</w:t>
      </w:r>
      <w:r w:rsidRPr="009E76D2">
        <w:t xml:space="preserve">   </w:t>
      </w:r>
      <w:r w:rsidR="00800DDF">
        <w:rPr>
          <w:bCs/>
          <w:color w:val="000000"/>
        </w:rPr>
        <w:t>The previous year’s uncertainty buffer, </w:t>
      </w:r>
      <w:proofErr w:type="spellStart"/>
      <w:proofErr w:type="gramStart"/>
      <w:r w:rsidR="00800DDF">
        <w:rPr>
          <w:bCs/>
          <w:i/>
          <w:iCs/>
          <w:color w:val="000000"/>
        </w:rPr>
        <w:t>B</w:t>
      </w:r>
      <w:r w:rsidR="00800DDF">
        <w:rPr>
          <w:bCs/>
          <w:i/>
          <w:iCs/>
          <w:color w:val="000000"/>
          <w:sz w:val="16"/>
          <w:szCs w:val="16"/>
          <w:vertAlign w:val="subscript"/>
        </w:rPr>
        <w:t>U,Prev</w:t>
      </w:r>
      <w:bookmarkEnd w:id="86"/>
      <w:proofErr w:type="spellEnd"/>
      <w:proofErr w:type="gramEnd"/>
    </w:p>
    <w:p w14:paraId="2F7BA130" w14:textId="045AA620" w:rsidR="00800DDF" w:rsidRDefault="0047263D" w:rsidP="004A7133">
      <w:pPr>
        <w:pStyle w:val="tmain"/>
        <w:numPr>
          <w:ilvl w:val="0"/>
          <w:numId w:val="28"/>
        </w:numPr>
        <w:spacing w:before="180" w:beforeAutospacing="0" w:after="0" w:afterAutospacing="0"/>
        <w:rPr>
          <w:color w:val="000000"/>
          <w:sz w:val="22"/>
          <w:szCs w:val="22"/>
        </w:rPr>
      </w:pPr>
      <w:r w:rsidRPr="0047263D">
        <w:rPr>
          <w:color w:val="000000"/>
          <w:sz w:val="22"/>
          <w:szCs w:val="22"/>
        </w:rPr>
        <w:t xml:space="preserve">For </w:t>
      </w:r>
      <w:r w:rsidRPr="0056276E">
        <w:rPr>
          <w:color w:val="000000"/>
          <w:sz w:val="22"/>
          <w:szCs w:val="22"/>
        </w:rPr>
        <w:t>the purposes of</w:t>
      </w:r>
      <w:r>
        <w:rPr>
          <w:color w:val="000000"/>
          <w:szCs w:val="22"/>
        </w:rPr>
        <w:t xml:space="preserve"> </w:t>
      </w:r>
      <w:r w:rsidR="00800DDF">
        <w:rPr>
          <w:color w:val="000000"/>
          <w:sz w:val="22"/>
          <w:szCs w:val="22"/>
        </w:rPr>
        <w:t xml:space="preserve">paragraph 2(a) of this Schedule, and subject to section 12 of this Schedule (which deals with subdivided project </w:t>
      </w:r>
      <w:r w:rsidR="00800DDF">
        <w:rPr>
          <w:color w:val="000000"/>
          <w:sz w:val="22"/>
          <w:szCs w:val="22"/>
        </w:rPr>
        <w:lastRenderedPageBreak/>
        <w:t>areas), the previous year’s uncertainty buffer for the project area, </w:t>
      </w:r>
      <w:proofErr w:type="spellStart"/>
      <w:proofErr w:type="gramStart"/>
      <w:r w:rsidR="00800DDF">
        <w:rPr>
          <w:i/>
          <w:iCs/>
          <w:color w:val="000000"/>
          <w:sz w:val="22"/>
          <w:szCs w:val="22"/>
        </w:rPr>
        <w:t>B</w:t>
      </w:r>
      <w:r w:rsidR="00800DDF">
        <w:rPr>
          <w:i/>
          <w:iCs/>
          <w:color w:val="000000"/>
          <w:sz w:val="15"/>
          <w:szCs w:val="15"/>
          <w:vertAlign w:val="subscript"/>
        </w:rPr>
        <w:t>U,Prev</w:t>
      </w:r>
      <w:proofErr w:type="spellEnd"/>
      <w:proofErr w:type="gramEnd"/>
      <w:r w:rsidR="00800DDF">
        <w:rPr>
          <w:color w:val="000000"/>
          <w:sz w:val="22"/>
          <w:szCs w:val="22"/>
        </w:rPr>
        <w:t>, in tonnes CO</w:t>
      </w:r>
      <w:r w:rsidR="00800DDF">
        <w:rPr>
          <w:color w:val="000000"/>
          <w:sz w:val="15"/>
          <w:szCs w:val="15"/>
          <w:vertAlign w:val="subscript"/>
        </w:rPr>
        <w:t>2</w:t>
      </w:r>
      <w:r w:rsidR="00800DDF">
        <w:rPr>
          <w:color w:val="000000"/>
          <w:sz w:val="22"/>
          <w:szCs w:val="22"/>
        </w:rPr>
        <w:noBreakHyphen/>
        <w:t>e, is:</w:t>
      </w:r>
    </w:p>
    <w:p w14:paraId="445F9C37" w14:textId="05D71CD8" w:rsidR="00800DDF" w:rsidRDefault="00800DDF" w:rsidP="004A7133">
      <w:pPr>
        <w:pStyle w:val="tmain"/>
        <w:numPr>
          <w:ilvl w:val="1"/>
          <w:numId w:val="28"/>
        </w:numPr>
        <w:spacing w:before="180" w:beforeAutospacing="0" w:after="0" w:afterAutospacing="0"/>
        <w:rPr>
          <w:color w:val="000000"/>
          <w:sz w:val="22"/>
          <w:szCs w:val="22"/>
        </w:rPr>
      </w:pPr>
      <w:r>
        <w:rPr>
          <w:color w:val="000000"/>
          <w:sz w:val="22"/>
          <w:szCs w:val="22"/>
        </w:rPr>
        <w:t>if, for the previous calendar year, an uncertainty buffer was calculated for the project area in accordance with the methodology determination that applied to the project to which the project area belonged in that year</w:t>
      </w:r>
      <w:r>
        <w:rPr>
          <w:i/>
          <w:iCs/>
          <w:color w:val="000000"/>
          <w:sz w:val="22"/>
          <w:szCs w:val="22"/>
        </w:rPr>
        <w:t>—</w:t>
      </w:r>
      <w:r>
        <w:rPr>
          <w:color w:val="000000"/>
          <w:sz w:val="22"/>
          <w:szCs w:val="22"/>
        </w:rPr>
        <w:t>equal to the value of the uncertainty buffer so calculated; and</w:t>
      </w:r>
    </w:p>
    <w:p w14:paraId="5036E1B3" w14:textId="74322FC5" w:rsidR="00800DDF" w:rsidRPr="00800DDF" w:rsidRDefault="00800DDF" w:rsidP="004A7133">
      <w:pPr>
        <w:pStyle w:val="tmain"/>
        <w:numPr>
          <w:ilvl w:val="1"/>
          <w:numId w:val="28"/>
        </w:numPr>
        <w:spacing w:before="180" w:beforeAutospacing="0" w:after="0" w:afterAutospacing="0"/>
        <w:rPr>
          <w:color w:val="000000"/>
          <w:sz w:val="22"/>
          <w:szCs w:val="22"/>
        </w:rPr>
      </w:pPr>
      <w:proofErr w:type="gramStart"/>
      <w:r w:rsidRPr="00800DDF">
        <w:rPr>
          <w:color w:val="000000"/>
          <w:sz w:val="22"/>
          <w:szCs w:val="22"/>
        </w:rPr>
        <w:t>otherwise</w:t>
      </w:r>
      <w:r w:rsidRPr="00800DDF">
        <w:rPr>
          <w:i/>
          <w:iCs/>
          <w:color w:val="000000"/>
          <w:sz w:val="22"/>
          <w:szCs w:val="22"/>
        </w:rPr>
        <w:t>—</w:t>
      </w:r>
      <w:r w:rsidRPr="00800DDF">
        <w:rPr>
          <w:color w:val="000000"/>
          <w:sz w:val="22"/>
          <w:szCs w:val="22"/>
        </w:rPr>
        <w:t>equal</w:t>
      </w:r>
      <w:proofErr w:type="gramEnd"/>
      <w:r w:rsidRPr="00800DDF">
        <w:rPr>
          <w:color w:val="000000"/>
          <w:sz w:val="22"/>
          <w:szCs w:val="22"/>
        </w:rPr>
        <w:t xml:space="preserve"> to zero.</w:t>
      </w:r>
    </w:p>
    <w:p w14:paraId="3143A731" w14:textId="24A3D3EC" w:rsidR="008F5021" w:rsidRDefault="00800DDF" w:rsidP="007B2786">
      <w:pPr>
        <w:pStyle w:val="nmain"/>
        <w:spacing w:before="120"/>
        <w:ind w:left="1985" w:hanging="545"/>
        <w:rPr>
          <w:i/>
          <w:iCs/>
          <w:color w:val="000000"/>
          <w:sz w:val="18"/>
          <w:szCs w:val="18"/>
        </w:rPr>
      </w:pPr>
      <w:r>
        <w:rPr>
          <w:color w:val="000000"/>
          <w:sz w:val="18"/>
          <w:szCs w:val="18"/>
        </w:rPr>
        <w:t>Note: </w:t>
      </w:r>
      <w:r w:rsidR="00C04881">
        <w:rPr>
          <w:color w:val="000000"/>
          <w:sz w:val="18"/>
          <w:szCs w:val="18"/>
        </w:rPr>
        <w:tab/>
      </w:r>
      <w:r w:rsidR="009F3BC2" w:rsidRPr="009F3BC2">
        <w:rPr>
          <w:color w:val="000000"/>
          <w:sz w:val="18"/>
          <w:szCs w:val="18"/>
        </w:rPr>
        <w:t xml:space="preserve">For </w:t>
      </w:r>
      <w:r w:rsidR="0047263D">
        <w:rPr>
          <w:color w:val="000000"/>
          <w:sz w:val="18"/>
          <w:szCs w:val="18"/>
        </w:rPr>
        <w:t>the purposes of</w:t>
      </w:r>
      <w:r w:rsidR="009F3BC2" w:rsidRPr="009F3BC2">
        <w:rPr>
          <w:color w:val="000000"/>
          <w:sz w:val="18"/>
          <w:szCs w:val="18"/>
        </w:rPr>
        <w:t xml:space="preserve"> paragraph (a), the uncertainty buffer might have been calculated as the current year’s uncertainty buffer </w:t>
      </w:r>
      <w:proofErr w:type="spellStart"/>
      <w:r w:rsidR="009F3BC2" w:rsidRPr="009F3BC2">
        <w:rPr>
          <w:i/>
          <w:iCs/>
          <w:color w:val="000000"/>
          <w:sz w:val="18"/>
          <w:szCs w:val="18"/>
        </w:rPr>
        <w:t>B</w:t>
      </w:r>
      <w:r w:rsidR="009F3BC2" w:rsidRPr="009F3BC2">
        <w:rPr>
          <w:i/>
          <w:iCs/>
          <w:color w:val="000000"/>
          <w:sz w:val="18"/>
          <w:szCs w:val="18"/>
          <w:vertAlign w:val="subscript"/>
        </w:rPr>
        <w:t>U,Curr</w:t>
      </w:r>
      <w:proofErr w:type="spellEnd"/>
      <w:r w:rsidR="009F3BC2" w:rsidRPr="009F3BC2">
        <w:rPr>
          <w:color w:val="000000"/>
          <w:sz w:val="18"/>
          <w:szCs w:val="18"/>
        </w:rPr>
        <w:t xml:space="preserve"> under this </w:t>
      </w:r>
      <w:r w:rsidR="00C929D7">
        <w:rPr>
          <w:color w:val="000000"/>
          <w:sz w:val="18"/>
          <w:szCs w:val="18"/>
        </w:rPr>
        <w:t>instrument</w:t>
      </w:r>
      <w:r w:rsidR="009F3BC2" w:rsidRPr="009F3BC2">
        <w:rPr>
          <w:color w:val="000000"/>
          <w:sz w:val="18"/>
          <w:szCs w:val="18"/>
        </w:rPr>
        <w:t xml:space="preserve"> or the </w:t>
      </w:r>
      <w:r w:rsidR="009F3BC2" w:rsidRPr="009F3BC2">
        <w:rPr>
          <w:i/>
          <w:iCs/>
          <w:color w:val="000000"/>
          <w:sz w:val="18"/>
          <w:szCs w:val="18"/>
        </w:rPr>
        <w:t>Carbon Credits (Carbon Farming Initiative—Savanna Fire Management—Emissions Avoidance) Methodology Determination 2025</w:t>
      </w:r>
      <w:r w:rsidR="009F3BC2" w:rsidRPr="009F3BC2">
        <w:rPr>
          <w:color w:val="000000"/>
          <w:sz w:val="18"/>
          <w:szCs w:val="18"/>
        </w:rPr>
        <w:t xml:space="preserve"> or the </w:t>
      </w:r>
      <w:r w:rsidR="009F3BC2" w:rsidRPr="009F3BC2">
        <w:rPr>
          <w:i/>
          <w:iCs/>
          <w:color w:val="000000"/>
          <w:sz w:val="18"/>
          <w:szCs w:val="18"/>
        </w:rPr>
        <w:t>Carbon Credits (Carbon Farming Initiative—Savanna Fire Management—Emissions Avoidance) Methodology Determination 2018</w:t>
      </w:r>
      <w:r w:rsidR="009F3BC2" w:rsidRPr="009F3BC2">
        <w:rPr>
          <w:color w:val="000000"/>
          <w:sz w:val="18"/>
          <w:szCs w:val="18"/>
        </w:rPr>
        <w:t xml:space="preserve"> or the </w:t>
      </w:r>
      <w:r w:rsidR="009F3BC2" w:rsidRPr="009F3BC2">
        <w:rPr>
          <w:i/>
          <w:iCs/>
          <w:color w:val="000000"/>
          <w:sz w:val="18"/>
          <w:szCs w:val="18"/>
        </w:rPr>
        <w:t xml:space="preserve">Carbon Credits (Carbon Farming Initiative—Savanna Fire Management—Sequestration and Emissions Avoidance) Methodology Determination 2018, </w:t>
      </w:r>
      <w:r w:rsidR="009F3BC2" w:rsidRPr="009F3BC2">
        <w:rPr>
          <w:color w:val="000000"/>
          <w:sz w:val="18"/>
          <w:szCs w:val="18"/>
        </w:rPr>
        <w:t xml:space="preserve">or as the amount </w:t>
      </w:r>
      <w:r w:rsidR="009F3BC2" w:rsidRPr="009F3BC2">
        <w:rPr>
          <w:i/>
          <w:iCs/>
          <w:color w:val="000000"/>
          <w:sz w:val="18"/>
          <w:szCs w:val="18"/>
        </w:rPr>
        <w:t>R</w:t>
      </w:r>
      <w:r w:rsidR="009F3BC2" w:rsidRPr="009F3BC2">
        <w:rPr>
          <w:i/>
          <w:iCs/>
          <w:color w:val="000000"/>
          <w:sz w:val="18"/>
          <w:szCs w:val="18"/>
          <w:vertAlign w:val="subscript"/>
        </w:rPr>
        <w:t>y</w:t>
      </w:r>
      <w:r w:rsidR="009F3BC2" w:rsidRPr="009F3BC2">
        <w:rPr>
          <w:color w:val="000000"/>
          <w:sz w:val="18"/>
          <w:szCs w:val="18"/>
        </w:rPr>
        <w:t xml:space="preserve"> under the </w:t>
      </w:r>
      <w:r w:rsidR="009F3BC2" w:rsidRPr="009F3BC2">
        <w:rPr>
          <w:i/>
          <w:iCs/>
          <w:color w:val="000000"/>
          <w:sz w:val="18"/>
          <w:szCs w:val="18"/>
        </w:rPr>
        <w:t>Carbon Credits (Carbon Farming Initiative—Emissions Abatement through Savanna Fire Management) Methodology Determination 2015</w:t>
      </w:r>
      <w:r w:rsidR="009F3BC2">
        <w:rPr>
          <w:i/>
          <w:iCs/>
          <w:color w:val="000000"/>
          <w:sz w:val="18"/>
          <w:szCs w:val="18"/>
        </w:rPr>
        <w:t>.</w:t>
      </w:r>
    </w:p>
    <w:p w14:paraId="0BE5F16B" w14:textId="7A3BB814" w:rsidR="00CD70CF" w:rsidRPr="00CD70CF" w:rsidRDefault="00800DDF" w:rsidP="004A7133">
      <w:pPr>
        <w:pStyle w:val="nmain"/>
        <w:numPr>
          <w:ilvl w:val="0"/>
          <w:numId w:val="28"/>
        </w:numPr>
        <w:spacing w:before="120"/>
        <w:rPr>
          <w:color w:val="000000"/>
          <w:sz w:val="22"/>
          <w:szCs w:val="22"/>
        </w:rPr>
      </w:pPr>
      <w:r>
        <w:rPr>
          <w:color w:val="000000"/>
          <w:sz w:val="22"/>
          <w:szCs w:val="22"/>
        </w:rPr>
        <w:t xml:space="preserve">For </w:t>
      </w:r>
      <w:r w:rsidR="0047263D" w:rsidRPr="0056276E">
        <w:rPr>
          <w:color w:val="000000"/>
          <w:sz w:val="22"/>
          <w:szCs w:val="22"/>
        </w:rPr>
        <w:t>the purposes of</w:t>
      </w:r>
      <w:r>
        <w:rPr>
          <w:color w:val="000000"/>
          <w:szCs w:val="22"/>
        </w:rPr>
        <w:t xml:space="preserve"> </w:t>
      </w:r>
      <w:r>
        <w:rPr>
          <w:color w:val="000000"/>
          <w:sz w:val="22"/>
          <w:szCs w:val="22"/>
        </w:rPr>
        <w:t>paragraph (1)(a), if the project was reported on for that year, the relevant value is the value reported in the offsets report.</w:t>
      </w:r>
    </w:p>
    <w:p w14:paraId="4AB48F4B" w14:textId="51A5B6B6" w:rsidR="00803A5C" w:rsidRDefault="00800DDF" w:rsidP="007B2786">
      <w:pPr>
        <w:pStyle w:val="nmain"/>
        <w:spacing w:before="120" w:beforeAutospacing="0" w:after="0" w:afterAutospacing="0"/>
        <w:ind w:left="1985" w:hanging="545"/>
        <w:rPr>
          <w:color w:val="000000"/>
          <w:sz w:val="18"/>
          <w:szCs w:val="18"/>
        </w:rPr>
      </w:pPr>
      <w:r w:rsidRPr="77DC2EF6">
        <w:rPr>
          <w:color w:val="000000" w:themeColor="text1"/>
          <w:sz w:val="18"/>
          <w:szCs w:val="18"/>
        </w:rPr>
        <w:t>Note: </w:t>
      </w:r>
      <w:r w:rsidR="00C04881">
        <w:tab/>
      </w:r>
      <w:r w:rsidRPr="77DC2EF6">
        <w:rPr>
          <w:color w:val="000000" w:themeColor="text1"/>
          <w:sz w:val="18"/>
          <w:szCs w:val="18"/>
        </w:rPr>
        <w:t>Paragraph (1)(a) is modified in some cases if the requirement in lieu of the newness requirement set out in paragraph 2</w:t>
      </w:r>
      <w:r w:rsidR="7B00A10A" w:rsidRPr="77DC2EF6">
        <w:rPr>
          <w:color w:val="000000" w:themeColor="text1"/>
          <w:sz w:val="18"/>
          <w:szCs w:val="18"/>
        </w:rPr>
        <w:t>3</w:t>
      </w:r>
      <w:r w:rsidRPr="77DC2EF6">
        <w:rPr>
          <w:color w:val="000000" w:themeColor="text1"/>
          <w:sz w:val="18"/>
          <w:szCs w:val="18"/>
        </w:rPr>
        <w:t xml:space="preserve">(2)(c) of this </w:t>
      </w:r>
      <w:r w:rsidR="00C929D7" w:rsidRPr="77DC2EF6">
        <w:rPr>
          <w:color w:val="000000" w:themeColor="text1"/>
          <w:sz w:val="18"/>
          <w:szCs w:val="18"/>
        </w:rPr>
        <w:t>instrument</w:t>
      </w:r>
      <w:r w:rsidRPr="77DC2EF6">
        <w:rPr>
          <w:color w:val="000000" w:themeColor="text1"/>
          <w:sz w:val="18"/>
          <w:szCs w:val="18"/>
        </w:rPr>
        <w:t> was met. See subparagraph 2</w:t>
      </w:r>
      <w:r w:rsidR="1909FEAD" w:rsidRPr="77DC2EF6">
        <w:rPr>
          <w:color w:val="000000" w:themeColor="text1"/>
          <w:sz w:val="18"/>
          <w:szCs w:val="18"/>
        </w:rPr>
        <w:t>3</w:t>
      </w:r>
      <w:r w:rsidRPr="77DC2EF6">
        <w:rPr>
          <w:color w:val="000000" w:themeColor="text1"/>
          <w:sz w:val="18"/>
          <w:szCs w:val="18"/>
        </w:rPr>
        <w:t>(3)(</w:t>
      </w:r>
      <w:r w:rsidR="342BC568" w:rsidRPr="77DC2EF6">
        <w:rPr>
          <w:color w:val="000000" w:themeColor="text1"/>
          <w:sz w:val="18"/>
          <w:szCs w:val="18"/>
        </w:rPr>
        <w:t>c</w:t>
      </w:r>
      <w:r w:rsidRPr="77DC2EF6">
        <w:rPr>
          <w:color w:val="000000" w:themeColor="text1"/>
          <w:sz w:val="18"/>
          <w:szCs w:val="18"/>
        </w:rPr>
        <w:t>)(</w:t>
      </w:r>
      <w:proofErr w:type="spellStart"/>
      <w:r w:rsidRPr="77DC2EF6">
        <w:rPr>
          <w:color w:val="000000" w:themeColor="text1"/>
          <w:sz w:val="18"/>
          <w:szCs w:val="18"/>
        </w:rPr>
        <w:t>i</w:t>
      </w:r>
      <w:proofErr w:type="spellEnd"/>
      <w:r w:rsidRPr="77DC2EF6">
        <w:rPr>
          <w:color w:val="000000" w:themeColor="text1"/>
          <w:sz w:val="18"/>
          <w:szCs w:val="18"/>
        </w:rPr>
        <w:t xml:space="preserve">) of this </w:t>
      </w:r>
      <w:r w:rsidR="00C929D7" w:rsidRPr="77DC2EF6">
        <w:rPr>
          <w:color w:val="000000" w:themeColor="text1"/>
          <w:sz w:val="18"/>
          <w:szCs w:val="18"/>
        </w:rPr>
        <w:t>instrument</w:t>
      </w:r>
      <w:r w:rsidRPr="77DC2EF6">
        <w:rPr>
          <w:color w:val="000000" w:themeColor="text1"/>
          <w:sz w:val="18"/>
          <w:szCs w:val="18"/>
        </w:rPr>
        <w:t>.</w:t>
      </w:r>
    </w:p>
    <w:p w14:paraId="39EF8790" w14:textId="6A68D16B" w:rsidR="00EB5A58" w:rsidRPr="003A2236" w:rsidRDefault="003A2236" w:rsidP="003A2236">
      <w:pPr>
        <w:pStyle w:val="ActHead5"/>
        <w:ind w:left="0" w:firstLine="0"/>
      </w:pPr>
      <w:bookmarkStart w:id="87" w:name="_Toc202953853"/>
      <w:r>
        <w:t>4</w:t>
      </w:r>
      <w:r w:rsidRPr="009E76D2">
        <w:t xml:space="preserve">   </w:t>
      </w:r>
      <w:r w:rsidR="00EB5A58" w:rsidRPr="00EB5A58">
        <w:rPr>
          <w:bCs/>
          <w:color w:val="000000"/>
          <w:szCs w:val="24"/>
        </w:rPr>
        <w:t>The contribution to the net abatement amount from emissions avoidance for a calendar year, </w:t>
      </w:r>
      <w:r w:rsidR="00EB5A58" w:rsidRPr="00EB5A58">
        <w:rPr>
          <w:bCs/>
          <w:i/>
          <w:iCs/>
          <w:color w:val="000000"/>
          <w:szCs w:val="24"/>
        </w:rPr>
        <w:t>A</w:t>
      </w:r>
      <w:r w:rsidR="00EB5A58" w:rsidRPr="00EB5A58">
        <w:rPr>
          <w:bCs/>
          <w:i/>
          <w:iCs/>
          <w:color w:val="000000"/>
          <w:sz w:val="16"/>
          <w:szCs w:val="16"/>
          <w:vertAlign w:val="subscript"/>
        </w:rPr>
        <w:t>EA</w:t>
      </w:r>
      <w:bookmarkEnd w:id="87"/>
    </w:p>
    <w:p w14:paraId="35306632" w14:textId="3899CA3F" w:rsidR="00EB5A58" w:rsidRPr="00EB5A58" w:rsidRDefault="00EB5A58" w:rsidP="00EB5A58">
      <w:pPr>
        <w:spacing w:before="180" w:after="120" w:line="240" w:lineRule="auto"/>
        <w:ind w:left="1134" w:hanging="1134"/>
        <w:rPr>
          <w:rFonts w:eastAsia="Times New Roman" w:cs="Times New Roman"/>
          <w:color w:val="000000"/>
          <w:szCs w:val="22"/>
          <w:lang w:eastAsia="en-AU"/>
        </w:rPr>
      </w:pPr>
      <w:r w:rsidRPr="00EB5A58">
        <w:rPr>
          <w:rFonts w:eastAsia="Times New Roman" w:cs="Times New Roman"/>
          <w:color w:val="000000"/>
          <w:szCs w:val="22"/>
          <w:lang w:eastAsia="en-AU"/>
        </w:rPr>
        <w:t> </w:t>
      </w:r>
      <w:r>
        <w:rPr>
          <w:rFonts w:eastAsia="Times New Roman" w:cs="Times New Roman"/>
          <w:color w:val="000000"/>
          <w:szCs w:val="22"/>
          <w:lang w:eastAsia="en-AU"/>
        </w:rPr>
        <w:tab/>
      </w:r>
      <w:r w:rsidRPr="00EB5A58">
        <w:rPr>
          <w:rFonts w:eastAsia="Times New Roman" w:cs="Times New Roman"/>
          <w:color w:val="000000"/>
          <w:szCs w:val="22"/>
          <w:lang w:eastAsia="en-AU"/>
        </w:rPr>
        <w:t xml:space="preserve">For </w:t>
      </w:r>
      <w:r w:rsidR="0047263D" w:rsidRPr="0056276E">
        <w:rPr>
          <w:rFonts w:eastAsia="Times New Roman" w:cs="Times New Roman"/>
          <w:color w:val="000000"/>
          <w:szCs w:val="22"/>
          <w:lang w:eastAsia="en-AU"/>
        </w:rPr>
        <w:t>the purposes of</w:t>
      </w:r>
      <w:r w:rsidRPr="00EB5A58">
        <w:rPr>
          <w:rFonts w:eastAsia="Times New Roman" w:cs="Times New Roman"/>
          <w:color w:val="000000"/>
          <w:szCs w:val="22"/>
          <w:lang w:eastAsia="en-AU"/>
        </w:rPr>
        <w:t xml:space="preserve"> paragraph 2(b) of this Schedule, the contribution to the net abatement amount from emissions avoidance for a project area for a calendar year, </w:t>
      </w:r>
      <w:r w:rsidRPr="00EB5A58">
        <w:rPr>
          <w:rFonts w:eastAsia="Times New Roman" w:cs="Times New Roman"/>
          <w:i/>
          <w:iCs/>
          <w:color w:val="000000"/>
          <w:szCs w:val="22"/>
          <w:lang w:eastAsia="en-AU"/>
        </w:rPr>
        <w:t>A</w:t>
      </w:r>
      <w:r w:rsidRPr="00EB5A58">
        <w:rPr>
          <w:rFonts w:eastAsia="Times New Roman" w:cs="Times New Roman"/>
          <w:i/>
          <w:iCs/>
          <w:color w:val="000000"/>
          <w:sz w:val="15"/>
          <w:szCs w:val="15"/>
          <w:vertAlign w:val="subscript"/>
          <w:lang w:eastAsia="en-AU"/>
        </w:rPr>
        <w:t>EA</w:t>
      </w:r>
      <w:r w:rsidRPr="00EB5A58">
        <w:rPr>
          <w:rFonts w:eastAsia="Times New Roman" w:cs="Times New Roman"/>
          <w:color w:val="000000"/>
          <w:szCs w:val="22"/>
          <w:lang w:eastAsia="en-AU"/>
        </w:rPr>
        <w:t>, in tonnes CO</w:t>
      </w:r>
      <w:r w:rsidRPr="00EB5A58">
        <w:rPr>
          <w:rFonts w:eastAsia="Times New Roman" w:cs="Times New Roman"/>
          <w:color w:val="000000"/>
          <w:sz w:val="15"/>
          <w:szCs w:val="15"/>
          <w:vertAlign w:val="subscript"/>
          <w:lang w:eastAsia="en-AU"/>
        </w:rPr>
        <w:t>2</w:t>
      </w:r>
      <w:r w:rsidRPr="00EB5A58">
        <w:rPr>
          <w:rFonts w:eastAsia="Times New Roman" w:cs="Times New Roman"/>
          <w:color w:val="000000"/>
          <w:szCs w:val="22"/>
          <w:lang w:eastAsia="en-AU"/>
        </w:rPr>
        <w:noBreakHyphen/>
        <w:t>e, is given by the following equation:</w:t>
      </w:r>
    </w:p>
    <w:tbl>
      <w:tblPr>
        <w:tblW w:w="0" w:type="auto"/>
        <w:tblInd w:w="113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021"/>
        <w:gridCol w:w="1142"/>
      </w:tblGrid>
      <w:tr w:rsidR="00EB5A58" w:rsidRPr="00EB5A58" w14:paraId="2B7FCE10" w14:textId="77777777" w:rsidTr="00867A6B">
        <w:trPr>
          <w:trHeight w:val="1108"/>
        </w:trPr>
        <w:tc>
          <w:tcPr>
            <w:tcW w:w="6300" w:type="dxa"/>
            <w:tcBorders>
              <w:right w:val="single" w:sz="6" w:space="0" w:color="000000"/>
            </w:tcBorders>
            <w:tcMar>
              <w:top w:w="0" w:type="dxa"/>
              <w:left w:w="101" w:type="dxa"/>
              <w:bottom w:w="0" w:type="dxa"/>
              <w:right w:w="101" w:type="dxa"/>
            </w:tcMar>
            <w:vAlign w:val="center"/>
            <w:hideMark/>
          </w:tcPr>
          <w:p w14:paraId="1CCD5F90" w14:textId="6400C29E" w:rsidR="00EB5A58" w:rsidRPr="00EB5A58" w:rsidRDefault="004D1647" w:rsidP="00EB5A58">
            <w:pPr>
              <w:spacing w:line="240" w:lineRule="auto"/>
              <w:rPr>
                <w:rFonts w:eastAsia="Times New Roman" w:cs="Times New Roman"/>
                <w:color w:val="000000"/>
                <w:szCs w:val="22"/>
                <w:lang w:eastAsia="en-AU"/>
              </w:rPr>
            </w:pPr>
            <w:r w:rsidRPr="00102BF7">
              <w:rPr>
                <w:noProof/>
                <w:sz w:val="20"/>
              </w:rPr>
              <w:drawing>
                <wp:inline distT="0" distB="0" distL="0" distR="0" wp14:anchorId="0C371373" wp14:editId="455A798D">
                  <wp:extent cx="1403631" cy="266302"/>
                  <wp:effectExtent l="0" t="0" r="6350" b="635"/>
                  <wp:docPr id="580519988" name="Picture 1" descr="A formula to work out the contribution to the net abatement amount in tonnes CO2 e from the avoidance of emissions for a calendar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19988" name="Picture 1" descr="A formula to work out the contribution to the net abatement amount in tonnes CO2 e from the avoidance of emissions for a calendar year."/>
                          <pic:cNvPicPr/>
                        </pic:nvPicPr>
                        <pic:blipFill>
                          <a:blip r:embed="rId25"/>
                          <a:stretch>
                            <a:fillRect/>
                          </a:stretch>
                        </pic:blipFill>
                        <pic:spPr>
                          <a:xfrm>
                            <a:off x="0" y="0"/>
                            <a:ext cx="1424295" cy="270222"/>
                          </a:xfrm>
                          <a:prstGeom prst="rect">
                            <a:avLst/>
                          </a:prstGeom>
                        </pic:spPr>
                      </pic:pic>
                    </a:graphicData>
                  </a:graphic>
                </wp:inline>
              </w:drawing>
            </w:r>
          </w:p>
        </w:tc>
        <w:tc>
          <w:tcPr>
            <w:tcW w:w="1150" w:type="dxa"/>
            <w:tcBorders>
              <w:left w:val="single" w:sz="6" w:space="0" w:color="000000"/>
            </w:tcBorders>
            <w:tcMar>
              <w:top w:w="0" w:type="dxa"/>
              <w:left w:w="101" w:type="dxa"/>
              <w:bottom w:w="0" w:type="dxa"/>
              <w:right w:w="101" w:type="dxa"/>
            </w:tcMar>
            <w:vAlign w:val="center"/>
            <w:hideMark/>
          </w:tcPr>
          <w:p w14:paraId="0DD7D129" w14:textId="77777777" w:rsidR="00EB5A58" w:rsidRPr="00EB5A58" w:rsidRDefault="00EB5A58" w:rsidP="00EB5A58">
            <w:pPr>
              <w:spacing w:before="60" w:line="240" w:lineRule="atLeast"/>
              <w:rPr>
                <w:rFonts w:eastAsia="Times New Roman" w:cs="Times New Roman"/>
                <w:color w:val="000000"/>
                <w:sz w:val="20"/>
                <w:lang w:eastAsia="en-AU"/>
              </w:rPr>
            </w:pPr>
            <w:r w:rsidRPr="00EB5A58">
              <w:rPr>
                <w:rFonts w:eastAsia="Times New Roman" w:cs="Times New Roman"/>
                <w:color w:val="000000"/>
                <w:sz w:val="20"/>
                <w:lang w:eastAsia="en-AU"/>
              </w:rPr>
              <w:t>equation 2</w:t>
            </w:r>
          </w:p>
        </w:tc>
      </w:tr>
    </w:tbl>
    <w:p w14:paraId="6111102E" w14:textId="7DA18462" w:rsidR="00EB5A58" w:rsidRPr="00EB5A58" w:rsidRDefault="00EB5A58" w:rsidP="00EB5A58">
      <w:pPr>
        <w:spacing w:before="180" w:line="240" w:lineRule="auto"/>
        <w:ind w:left="1134" w:hanging="1134"/>
        <w:rPr>
          <w:rFonts w:eastAsia="Times New Roman" w:cs="Times New Roman"/>
          <w:color w:val="000000"/>
          <w:szCs w:val="22"/>
          <w:lang w:eastAsia="en-AU"/>
        </w:rPr>
      </w:pPr>
      <w:r w:rsidRPr="00EB5A58">
        <w:rPr>
          <w:rFonts w:eastAsia="Times New Roman" w:cs="Times New Roman"/>
          <w:color w:val="000000"/>
          <w:szCs w:val="22"/>
          <w:lang w:eastAsia="en-AU"/>
        </w:rPr>
        <w:t>  </w:t>
      </w:r>
      <w:r w:rsidR="00C71865">
        <w:rPr>
          <w:rFonts w:eastAsia="Times New Roman" w:cs="Times New Roman"/>
          <w:color w:val="000000"/>
          <w:szCs w:val="22"/>
          <w:lang w:eastAsia="en-AU"/>
        </w:rPr>
        <w:tab/>
      </w:r>
      <w:r w:rsidRPr="00EB5A58">
        <w:rPr>
          <w:rFonts w:eastAsia="Times New Roman" w:cs="Times New Roman"/>
          <w:color w:val="000000"/>
          <w:szCs w:val="22"/>
          <w:lang w:eastAsia="en-AU"/>
        </w:rPr>
        <w:t>where:</w:t>
      </w:r>
    </w:p>
    <w:p w14:paraId="66A6A2C7" w14:textId="77777777" w:rsidR="00EB5A58" w:rsidRPr="00EB5A58" w:rsidRDefault="00EB5A58" w:rsidP="00EB5A58">
      <w:pPr>
        <w:spacing w:before="180" w:line="240" w:lineRule="auto"/>
        <w:ind w:left="1134"/>
        <w:rPr>
          <w:rFonts w:eastAsia="Times New Roman" w:cs="Times New Roman"/>
          <w:color w:val="000000"/>
          <w:szCs w:val="22"/>
          <w:lang w:eastAsia="en-AU"/>
        </w:rPr>
      </w:pPr>
      <w:r w:rsidRPr="00EB5A58">
        <w:rPr>
          <w:rFonts w:eastAsia="Times New Roman" w:cs="Times New Roman"/>
          <w:noProof/>
          <w:color w:val="000000"/>
          <w:szCs w:val="22"/>
          <w:lang w:eastAsia="en-AU"/>
        </w:rPr>
        <w:drawing>
          <wp:inline distT="0" distB="0" distL="0" distR="0" wp14:anchorId="3F6C9071" wp14:editId="42EE0A47">
            <wp:extent cx="171450" cy="180975"/>
            <wp:effectExtent l="0" t="0" r="0" b="952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EB5A58">
        <w:rPr>
          <w:rFonts w:eastAsia="Times New Roman" w:cs="Times New Roman"/>
          <w:b/>
          <w:bCs/>
          <w:color w:val="000000"/>
          <w:szCs w:val="22"/>
          <w:lang w:eastAsia="en-AU"/>
        </w:rPr>
        <w:t> </w:t>
      </w:r>
      <w:proofErr w:type="gramStart"/>
      <w:r w:rsidRPr="00EB5A58">
        <w:rPr>
          <w:rFonts w:eastAsia="Times New Roman" w:cs="Times New Roman"/>
          <w:color w:val="000000"/>
          <w:szCs w:val="22"/>
          <w:lang w:eastAsia="en-AU"/>
        </w:rPr>
        <w:t>is</w:t>
      </w:r>
      <w:proofErr w:type="gramEnd"/>
      <w:r w:rsidRPr="00EB5A58">
        <w:rPr>
          <w:rFonts w:eastAsia="Times New Roman" w:cs="Times New Roman"/>
          <w:b/>
          <w:bCs/>
          <w:color w:val="000000"/>
          <w:szCs w:val="22"/>
          <w:lang w:eastAsia="en-AU"/>
        </w:rPr>
        <w:t> </w:t>
      </w:r>
      <w:r w:rsidRPr="00EB5A58">
        <w:rPr>
          <w:rFonts w:eastAsia="Times New Roman" w:cs="Times New Roman"/>
          <w:color w:val="000000"/>
          <w:szCs w:val="22"/>
          <w:lang w:eastAsia="en-AU"/>
        </w:rPr>
        <w:t>the</w:t>
      </w:r>
      <w:r w:rsidRPr="00EB5A58">
        <w:rPr>
          <w:rFonts w:eastAsia="Times New Roman" w:cs="Times New Roman"/>
          <w:b/>
          <w:bCs/>
          <w:color w:val="000000"/>
          <w:szCs w:val="22"/>
          <w:lang w:eastAsia="en-AU"/>
        </w:rPr>
        <w:t> </w:t>
      </w:r>
      <w:r w:rsidRPr="00EB5A58">
        <w:rPr>
          <w:rFonts w:eastAsia="Times New Roman" w:cs="Times New Roman"/>
          <w:color w:val="000000"/>
          <w:szCs w:val="22"/>
          <w:lang w:eastAsia="en-AU"/>
        </w:rPr>
        <w:t>mean annual baseline fire emissions for the project area, in tonnes CO</w:t>
      </w:r>
      <w:r w:rsidRPr="00EB5A58">
        <w:rPr>
          <w:rFonts w:eastAsia="Times New Roman" w:cs="Times New Roman"/>
          <w:color w:val="000000"/>
          <w:sz w:val="15"/>
          <w:szCs w:val="15"/>
          <w:vertAlign w:val="subscript"/>
          <w:lang w:eastAsia="en-AU"/>
        </w:rPr>
        <w:t>2</w:t>
      </w:r>
      <w:r w:rsidRPr="00EB5A58">
        <w:rPr>
          <w:rFonts w:eastAsia="Times New Roman" w:cs="Times New Roman"/>
          <w:color w:val="000000"/>
          <w:szCs w:val="22"/>
          <w:lang w:eastAsia="en-AU"/>
        </w:rPr>
        <w:noBreakHyphen/>
        <w:t>e—from equation 4.</w:t>
      </w:r>
    </w:p>
    <w:p w14:paraId="32857D4A" w14:textId="594B772C" w:rsidR="00803A5C" w:rsidRPr="00BA7601" w:rsidRDefault="00EB5A58" w:rsidP="00BA7601">
      <w:pPr>
        <w:spacing w:before="180" w:line="240" w:lineRule="auto"/>
        <w:ind w:left="1134"/>
        <w:rPr>
          <w:rFonts w:eastAsia="Times New Roman" w:cs="Times New Roman"/>
          <w:color w:val="000000"/>
          <w:szCs w:val="22"/>
          <w:lang w:eastAsia="en-AU"/>
        </w:rPr>
      </w:pPr>
      <w:r w:rsidRPr="00EB5A58">
        <w:rPr>
          <w:rFonts w:eastAsia="Times New Roman" w:cs="Times New Roman"/>
          <w:b/>
          <w:bCs/>
          <w:i/>
          <w:iCs/>
          <w:color w:val="000000"/>
          <w:szCs w:val="22"/>
          <w:lang w:eastAsia="en-AU"/>
        </w:rPr>
        <w:t>E</w:t>
      </w:r>
      <w:r w:rsidRPr="00EB5A58">
        <w:rPr>
          <w:rFonts w:eastAsia="Times New Roman" w:cs="Times New Roman"/>
          <w:b/>
          <w:bCs/>
          <w:i/>
          <w:iCs/>
          <w:color w:val="000000"/>
          <w:sz w:val="15"/>
          <w:szCs w:val="15"/>
          <w:vertAlign w:val="subscript"/>
          <w:lang w:eastAsia="en-AU"/>
        </w:rPr>
        <w:t>F</w:t>
      </w:r>
      <w:r w:rsidRPr="00EB5A58">
        <w:rPr>
          <w:rFonts w:eastAsia="Times New Roman" w:cs="Times New Roman"/>
          <w:b/>
          <w:bCs/>
          <w:i/>
          <w:iCs/>
          <w:color w:val="000000"/>
          <w:szCs w:val="22"/>
          <w:lang w:eastAsia="en-AU"/>
        </w:rPr>
        <w:t> </w:t>
      </w:r>
      <w:r w:rsidRPr="00EB5A58">
        <w:rPr>
          <w:rFonts w:eastAsia="Times New Roman" w:cs="Times New Roman"/>
          <w:color w:val="000000"/>
          <w:szCs w:val="22"/>
          <w:lang w:eastAsia="en-AU"/>
        </w:rPr>
        <w:t>is the fire emissions for the project area for the calendar year, in tonnes CO</w:t>
      </w:r>
      <w:r w:rsidRPr="00EB5A58">
        <w:rPr>
          <w:rFonts w:eastAsia="Times New Roman" w:cs="Times New Roman"/>
          <w:color w:val="000000"/>
          <w:sz w:val="15"/>
          <w:szCs w:val="15"/>
          <w:vertAlign w:val="subscript"/>
          <w:lang w:eastAsia="en-AU"/>
        </w:rPr>
        <w:t>2</w:t>
      </w:r>
      <w:r w:rsidRPr="00EB5A58">
        <w:rPr>
          <w:rFonts w:eastAsia="Times New Roman" w:cs="Times New Roman"/>
          <w:color w:val="000000"/>
          <w:szCs w:val="22"/>
          <w:lang w:eastAsia="en-AU"/>
        </w:rPr>
        <w:noBreakHyphen/>
        <w:t>e, and is given by the amount </w:t>
      </w:r>
      <w:proofErr w:type="gramStart"/>
      <w:r w:rsidRPr="00EB5A58">
        <w:rPr>
          <w:rFonts w:eastAsia="Times New Roman" w:cs="Times New Roman"/>
          <w:i/>
          <w:iCs/>
          <w:color w:val="000000"/>
          <w:szCs w:val="22"/>
          <w:lang w:eastAsia="en-AU"/>
        </w:rPr>
        <w:t>E</w:t>
      </w:r>
      <w:r w:rsidRPr="00EB5A58">
        <w:rPr>
          <w:rFonts w:eastAsia="Times New Roman" w:cs="Times New Roman"/>
          <w:i/>
          <w:iCs/>
          <w:color w:val="000000"/>
          <w:sz w:val="15"/>
          <w:szCs w:val="15"/>
          <w:vertAlign w:val="subscript"/>
          <w:lang w:eastAsia="en-AU"/>
        </w:rPr>
        <w:t>F</w:t>
      </w:r>
      <w:r w:rsidRPr="00EB5A58">
        <w:rPr>
          <w:rFonts w:eastAsia="Times New Roman" w:cs="Times New Roman"/>
          <w:i/>
          <w:iCs/>
          <w:color w:val="000000"/>
          <w:szCs w:val="22"/>
          <w:lang w:eastAsia="en-AU"/>
        </w:rPr>
        <w:t> </w:t>
      </w:r>
      <w:r w:rsidR="00F77929">
        <w:rPr>
          <w:rFonts w:eastAsia="Times New Roman" w:cs="Times New Roman"/>
          <w:i/>
          <w:iCs/>
          <w:color w:val="000000"/>
          <w:szCs w:val="22"/>
          <w:lang w:eastAsia="en-AU"/>
        </w:rPr>
        <w:t>,</w:t>
      </w:r>
      <w:proofErr w:type="gramEnd"/>
      <w:r w:rsidR="00F77929">
        <w:rPr>
          <w:rFonts w:eastAsia="Times New Roman" w:cs="Times New Roman"/>
          <w:i/>
          <w:iCs/>
          <w:color w:val="000000"/>
          <w:szCs w:val="22"/>
          <w:lang w:eastAsia="en-AU"/>
        </w:rPr>
        <w:t xml:space="preserve"> </w:t>
      </w:r>
      <w:r w:rsidR="00A61BFE" w:rsidRPr="00750AD7">
        <w:rPr>
          <w:rFonts w:eastAsia="Times New Roman" w:cs="Times New Roman"/>
          <w:color w:val="000000"/>
          <w:szCs w:val="22"/>
          <w:lang w:eastAsia="en-AU"/>
        </w:rPr>
        <w:t xml:space="preserve">calculated </w:t>
      </w:r>
      <w:r w:rsidR="00F77929">
        <w:rPr>
          <w:rFonts w:eastAsia="Times New Roman" w:cs="Times New Roman"/>
          <w:color w:val="000000"/>
          <w:szCs w:val="22"/>
          <w:lang w:eastAsia="en-AU"/>
        </w:rPr>
        <w:t xml:space="preserve">for </w:t>
      </w:r>
      <w:r w:rsidR="00A61BFE" w:rsidRPr="00750AD7">
        <w:rPr>
          <w:rFonts w:eastAsia="Times New Roman" w:cs="Times New Roman"/>
          <w:color w:val="000000"/>
          <w:szCs w:val="22"/>
          <w:lang w:eastAsia="en-AU"/>
        </w:rPr>
        <w:t>that year using </w:t>
      </w:r>
      <w:proofErr w:type="spellStart"/>
      <w:r w:rsidR="00A61BFE">
        <w:rPr>
          <w:rFonts w:eastAsia="Times New Roman" w:cs="Times New Roman"/>
          <w:color w:val="000000"/>
          <w:szCs w:val="22"/>
          <w:lang w:eastAsia="en-AU"/>
        </w:rPr>
        <w:t>SavCAM</w:t>
      </w:r>
      <w:proofErr w:type="spellEnd"/>
      <w:r w:rsidR="00F77929">
        <w:rPr>
          <w:rFonts w:eastAsia="Times New Roman" w:cs="Times New Roman"/>
          <w:color w:val="000000"/>
          <w:szCs w:val="22"/>
          <w:lang w:eastAsia="en-AU"/>
        </w:rPr>
        <w:t>.</w:t>
      </w:r>
      <w:r w:rsidR="00A61BFE" w:rsidRPr="00EB5A58" w:rsidDel="00A61BFE">
        <w:rPr>
          <w:rFonts w:eastAsia="Times New Roman" w:cs="Times New Roman"/>
          <w:color w:val="000000"/>
          <w:szCs w:val="22"/>
          <w:lang w:eastAsia="en-AU"/>
        </w:rPr>
        <w:t xml:space="preserve"> </w:t>
      </w:r>
    </w:p>
    <w:p w14:paraId="489594A9" w14:textId="10722E42" w:rsidR="00ED78BA" w:rsidRPr="00CC0A68" w:rsidRDefault="00CC0A68" w:rsidP="00CC0A68">
      <w:pPr>
        <w:pStyle w:val="ActHead5"/>
        <w:ind w:left="0" w:firstLine="0"/>
      </w:pPr>
      <w:bookmarkStart w:id="88" w:name="_Toc202953854"/>
      <w:r>
        <w:lastRenderedPageBreak/>
        <w:t>5</w:t>
      </w:r>
      <w:r w:rsidRPr="009E76D2">
        <w:t xml:space="preserve">   </w:t>
      </w:r>
      <w:r w:rsidR="00ED78BA" w:rsidRPr="00ED78BA">
        <w:rPr>
          <w:bCs/>
          <w:color w:val="000000"/>
          <w:szCs w:val="24"/>
        </w:rPr>
        <w:t>The uncertainty buffer cap for a calendar year, </w:t>
      </w:r>
      <w:proofErr w:type="spellStart"/>
      <w:proofErr w:type="gramStart"/>
      <w:r w:rsidR="00ED78BA" w:rsidRPr="00ED78BA">
        <w:rPr>
          <w:bCs/>
          <w:i/>
          <w:iCs/>
          <w:color w:val="000000"/>
          <w:szCs w:val="24"/>
        </w:rPr>
        <w:t>B</w:t>
      </w:r>
      <w:r w:rsidR="00ED78BA" w:rsidRPr="00ED78BA">
        <w:rPr>
          <w:bCs/>
          <w:i/>
          <w:iCs/>
          <w:color w:val="000000"/>
          <w:sz w:val="16"/>
          <w:szCs w:val="16"/>
          <w:vertAlign w:val="subscript"/>
        </w:rPr>
        <w:t>U,Cap</w:t>
      </w:r>
      <w:bookmarkEnd w:id="88"/>
      <w:proofErr w:type="spellEnd"/>
      <w:proofErr w:type="gramEnd"/>
    </w:p>
    <w:p w14:paraId="2D74FE46" w14:textId="480A80E4" w:rsidR="00ED78BA" w:rsidRPr="00ED78BA" w:rsidRDefault="00ED78BA" w:rsidP="00ED78BA">
      <w:pPr>
        <w:spacing w:before="180" w:after="120" w:line="240" w:lineRule="auto"/>
        <w:ind w:left="1134" w:hanging="1134"/>
        <w:rPr>
          <w:rFonts w:eastAsia="Times New Roman" w:cs="Times New Roman"/>
          <w:color w:val="000000"/>
          <w:szCs w:val="22"/>
          <w:lang w:eastAsia="en-AU"/>
        </w:rPr>
      </w:pPr>
      <w:r w:rsidRPr="00ED78BA">
        <w:rPr>
          <w:rFonts w:eastAsia="Times New Roman" w:cs="Times New Roman"/>
          <w:color w:val="000000"/>
          <w:szCs w:val="22"/>
          <w:lang w:eastAsia="en-AU"/>
        </w:rPr>
        <w:t>  </w:t>
      </w:r>
      <w:r>
        <w:rPr>
          <w:rFonts w:eastAsia="Times New Roman" w:cs="Times New Roman"/>
          <w:color w:val="000000"/>
          <w:szCs w:val="22"/>
          <w:lang w:eastAsia="en-AU"/>
        </w:rPr>
        <w:tab/>
      </w:r>
      <w:r w:rsidRPr="00ED78BA">
        <w:rPr>
          <w:rFonts w:eastAsia="Times New Roman" w:cs="Times New Roman"/>
          <w:color w:val="000000"/>
          <w:szCs w:val="22"/>
          <w:lang w:eastAsia="en-AU"/>
        </w:rPr>
        <w:t xml:space="preserve">For </w:t>
      </w:r>
      <w:r w:rsidR="0047263D" w:rsidRPr="0056276E">
        <w:rPr>
          <w:rFonts w:eastAsia="Times New Roman" w:cs="Times New Roman"/>
          <w:color w:val="000000"/>
          <w:szCs w:val="22"/>
          <w:lang w:eastAsia="en-AU"/>
        </w:rPr>
        <w:t>the purposes of</w:t>
      </w:r>
      <w:r w:rsidRPr="00ED78BA">
        <w:rPr>
          <w:rFonts w:eastAsia="Times New Roman" w:cs="Times New Roman"/>
          <w:color w:val="000000"/>
          <w:szCs w:val="22"/>
          <w:lang w:eastAsia="en-AU"/>
        </w:rPr>
        <w:t xml:space="preserve"> paragraph 2(c) of this Schedule, the uncertainty buffer cap for the project area for a calendar year, </w:t>
      </w:r>
      <w:proofErr w:type="spellStart"/>
      <w:proofErr w:type="gramStart"/>
      <w:r w:rsidRPr="00ED78BA">
        <w:rPr>
          <w:rFonts w:eastAsia="Times New Roman" w:cs="Times New Roman"/>
          <w:i/>
          <w:iCs/>
          <w:color w:val="000000"/>
          <w:szCs w:val="22"/>
          <w:lang w:eastAsia="en-AU"/>
        </w:rPr>
        <w:t>B</w:t>
      </w:r>
      <w:r w:rsidRPr="00ED78BA">
        <w:rPr>
          <w:rFonts w:eastAsia="Times New Roman" w:cs="Times New Roman"/>
          <w:i/>
          <w:iCs/>
          <w:color w:val="000000"/>
          <w:sz w:val="15"/>
          <w:szCs w:val="15"/>
          <w:vertAlign w:val="subscript"/>
          <w:lang w:eastAsia="en-AU"/>
        </w:rPr>
        <w:t>U,Cap</w:t>
      </w:r>
      <w:proofErr w:type="spellEnd"/>
      <w:proofErr w:type="gramEnd"/>
      <w:r w:rsidRPr="00ED78BA">
        <w:rPr>
          <w:rFonts w:eastAsia="Times New Roman" w:cs="Times New Roman"/>
          <w:color w:val="000000"/>
          <w:szCs w:val="22"/>
          <w:lang w:eastAsia="en-AU"/>
        </w:rPr>
        <w:t>, in tonnes CO</w:t>
      </w:r>
      <w:r w:rsidRPr="00ED78BA">
        <w:rPr>
          <w:rFonts w:eastAsia="Times New Roman" w:cs="Times New Roman"/>
          <w:color w:val="000000"/>
          <w:sz w:val="15"/>
          <w:szCs w:val="15"/>
          <w:vertAlign w:val="subscript"/>
          <w:lang w:eastAsia="en-AU"/>
        </w:rPr>
        <w:t>2</w:t>
      </w:r>
      <w:r w:rsidRPr="00ED78BA">
        <w:rPr>
          <w:rFonts w:eastAsia="Times New Roman" w:cs="Times New Roman"/>
          <w:color w:val="000000"/>
          <w:szCs w:val="22"/>
          <w:lang w:eastAsia="en-AU"/>
        </w:rPr>
        <w:noBreakHyphen/>
        <w:t>e, is given by the following equation:</w:t>
      </w:r>
    </w:p>
    <w:tbl>
      <w:tblPr>
        <w:tblW w:w="0" w:type="auto"/>
        <w:tblInd w:w="113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021"/>
        <w:gridCol w:w="1142"/>
      </w:tblGrid>
      <w:tr w:rsidR="00ED78BA" w:rsidRPr="00ED78BA" w14:paraId="783F5520" w14:textId="77777777" w:rsidTr="00867A6B">
        <w:trPr>
          <w:trHeight w:val="1108"/>
        </w:trPr>
        <w:tc>
          <w:tcPr>
            <w:tcW w:w="6300" w:type="dxa"/>
            <w:tcBorders>
              <w:right w:val="single" w:sz="6" w:space="0" w:color="000000"/>
            </w:tcBorders>
            <w:tcMar>
              <w:top w:w="0" w:type="dxa"/>
              <w:left w:w="101" w:type="dxa"/>
              <w:bottom w:w="0" w:type="dxa"/>
              <w:right w:w="101" w:type="dxa"/>
            </w:tcMar>
            <w:vAlign w:val="center"/>
            <w:hideMark/>
          </w:tcPr>
          <w:p w14:paraId="7C4B85F6" w14:textId="7EFE1E08" w:rsidR="00ED78BA" w:rsidRPr="00ED78BA" w:rsidRDefault="00200A15" w:rsidP="00ED78BA">
            <w:pPr>
              <w:spacing w:line="240" w:lineRule="auto"/>
              <w:rPr>
                <w:rFonts w:eastAsia="Times New Roman" w:cs="Times New Roman"/>
                <w:color w:val="000000"/>
                <w:szCs w:val="22"/>
                <w:lang w:eastAsia="en-AU"/>
              </w:rPr>
            </w:pPr>
            <w:r w:rsidRPr="00102BF7">
              <w:rPr>
                <w:noProof/>
                <w:sz w:val="20"/>
              </w:rPr>
              <w:drawing>
                <wp:inline distT="0" distB="0" distL="0" distR="0" wp14:anchorId="75D31150" wp14:editId="1DF00C37">
                  <wp:extent cx="1365789" cy="344054"/>
                  <wp:effectExtent l="0" t="0" r="6350" b="0"/>
                  <wp:docPr id="1875726771" name="Picture 1" descr="A formula to work out the value of the uncertainty buffer cap, being 5% of the mean annual baseline fire e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726771" name="Picture 1" descr="A formula to work out the value of the uncertainty buffer cap, being 5% of the mean annual baseline fire emissions."/>
                          <pic:cNvPicPr/>
                        </pic:nvPicPr>
                        <pic:blipFill>
                          <a:blip r:embed="rId27"/>
                          <a:stretch>
                            <a:fillRect/>
                          </a:stretch>
                        </pic:blipFill>
                        <pic:spPr>
                          <a:xfrm>
                            <a:off x="0" y="0"/>
                            <a:ext cx="1384491" cy="348765"/>
                          </a:xfrm>
                          <a:prstGeom prst="rect">
                            <a:avLst/>
                          </a:prstGeom>
                        </pic:spPr>
                      </pic:pic>
                    </a:graphicData>
                  </a:graphic>
                </wp:inline>
              </w:drawing>
            </w:r>
          </w:p>
        </w:tc>
        <w:tc>
          <w:tcPr>
            <w:tcW w:w="1150" w:type="dxa"/>
            <w:tcBorders>
              <w:left w:val="single" w:sz="6" w:space="0" w:color="000000"/>
            </w:tcBorders>
            <w:tcMar>
              <w:top w:w="0" w:type="dxa"/>
              <w:left w:w="101" w:type="dxa"/>
              <w:bottom w:w="0" w:type="dxa"/>
              <w:right w:w="101" w:type="dxa"/>
            </w:tcMar>
            <w:vAlign w:val="center"/>
            <w:hideMark/>
          </w:tcPr>
          <w:p w14:paraId="785F39F5" w14:textId="77777777" w:rsidR="00ED78BA" w:rsidRPr="00ED78BA" w:rsidRDefault="00ED78BA" w:rsidP="00ED78BA">
            <w:pPr>
              <w:spacing w:before="60" w:line="240" w:lineRule="atLeast"/>
              <w:rPr>
                <w:rFonts w:eastAsia="Times New Roman" w:cs="Times New Roman"/>
                <w:color w:val="000000"/>
                <w:sz w:val="20"/>
                <w:lang w:eastAsia="en-AU"/>
              </w:rPr>
            </w:pPr>
            <w:r w:rsidRPr="00ED78BA">
              <w:rPr>
                <w:rFonts w:eastAsia="Times New Roman" w:cs="Times New Roman"/>
                <w:color w:val="000000"/>
                <w:sz w:val="20"/>
                <w:lang w:eastAsia="en-AU"/>
              </w:rPr>
              <w:t>equation 3</w:t>
            </w:r>
          </w:p>
        </w:tc>
      </w:tr>
    </w:tbl>
    <w:p w14:paraId="30B1A6D6" w14:textId="2418B984" w:rsidR="00ED78BA" w:rsidRPr="00ED78BA" w:rsidRDefault="00ED78BA" w:rsidP="00ED78BA">
      <w:pPr>
        <w:spacing w:before="180" w:line="240" w:lineRule="auto"/>
        <w:ind w:left="1134" w:hanging="1134"/>
        <w:rPr>
          <w:rFonts w:eastAsia="Times New Roman" w:cs="Times New Roman"/>
          <w:color w:val="000000"/>
          <w:szCs w:val="22"/>
          <w:lang w:eastAsia="en-AU"/>
        </w:rPr>
      </w:pPr>
      <w:r w:rsidRPr="00ED78BA">
        <w:rPr>
          <w:rFonts w:eastAsia="Times New Roman" w:cs="Times New Roman"/>
          <w:color w:val="000000"/>
          <w:szCs w:val="22"/>
          <w:lang w:eastAsia="en-AU"/>
        </w:rPr>
        <w:t>  </w:t>
      </w:r>
      <w:r>
        <w:rPr>
          <w:rFonts w:eastAsia="Times New Roman" w:cs="Times New Roman"/>
          <w:color w:val="000000"/>
          <w:szCs w:val="22"/>
          <w:lang w:eastAsia="en-AU"/>
        </w:rPr>
        <w:tab/>
      </w:r>
      <w:r w:rsidRPr="00ED78BA">
        <w:rPr>
          <w:rFonts w:eastAsia="Times New Roman" w:cs="Times New Roman"/>
          <w:color w:val="000000"/>
          <w:szCs w:val="22"/>
          <w:lang w:eastAsia="en-AU"/>
        </w:rPr>
        <w:t>where:</w:t>
      </w:r>
    </w:p>
    <w:p w14:paraId="1392DAC4" w14:textId="6D6F0E7C" w:rsidR="00803A5C" w:rsidRPr="00750AD7" w:rsidRDefault="00ED78BA" w:rsidP="00750AD7">
      <w:pPr>
        <w:spacing w:before="180" w:line="240" w:lineRule="auto"/>
        <w:ind w:left="1134"/>
        <w:rPr>
          <w:rFonts w:eastAsia="Times New Roman" w:cs="Times New Roman"/>
          <w:color w:val="000000"/>
          <w:szCs w:val="22"/>
          <w:lang w:eastAsia="en-AU"/>
        </w:rPr>
      </w:pPr>
      <w:r w:rsidRPr="00ED78BA">
        <w:rPr>
          <w:rFonts w:eastAsia="Times New Roman" w:cs="Times New Roman"/>
          <w:noProof/>
          <w:color w:val="000000"/>
          <w:szCs w:val="22"/>
          <w:lang w:eastAsia="en-AU"/>
        </w:rPr>
        <w:drawing>
          <wp:inline distT="0" distB="0" distL="0" distR="0" wp14:anchorId="3374B676" wp14:editId="1F889420">
            <wp:extent cx="171450" cy="180975"/>
            <wp:effectExtent l="0" t="0" r="0" b="9525"/>
            <wp:docPr id="16496918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ED78BA">
        <w:rPr>
          <w:rFonts w:eastAsia="Times New Roman" w:cs="Times New Roman"/>
          <w:b/>
          <w:bCs/>
          <w:color w:val="000000"/>
          <w:szCs w:val="22"/>
          <w:lang w:eastAsia="en-AU"/>
        </w:rPr>
        <w:t> </w:t>
      </w:r>
      <w:proofErr w:type="gramStart"/>
      <w:r w:rsidRPr="00ED78BA">
        <w:rPr>
          <w:rFonts w:eastAsia="Times New Roman" w:cs="Times New Roman"/>
          <w:color w:val="000000"/>
          <w:szCs w:val="22"/>
          <w:lang w:eastAsia="en-AU"/>
        </w:rPr>
        <w:t>is</w:t>
      </w:r>
      <w:proofErr w:type="gramEnd"/>
      <w:r w:rsidRPr="00ED78BA">
        <w:rPr>
          <w:rFonts w:eastAsia="Times New Roman" w:cs="Times New Roman"/>
          <w:b/>
          <w:bCs/>
          <w:color w:val="000000"/>
          <w:szCs w:val="22"/>
          <w:lang w:eastAsia="en-AU"/>
        </w:rPr>
        <w:t> </w:t>
      </w:r>
      <w:r w:rsidRPr="00ED78BA">
        <w:rPr>
          <w:rFonts w:eastAsia="Times New Roman" w:cs="Times New Roman"/>
          <w:color w:val="000000"/>
          <w:szCs w:val="22"/>
          <w:lang w:eastAsia="en-AU"/>
        </w:rPr>
        <w:t>the</w:t>
      </w:r>
      <w:r w:rsidRPr="00ED78BA">
        <w:rPr>
          <w:rFonts w:eastAsia="Times New Roman" w:cs="Times New Roman"/>
          <w:b/>
          <w:bCs/>
          <w:color w:val="000000"/>
          <w:szCs w:val="22"/>
          <w:lang w:eastAsia="en-AU"/>
        </w:rPr>
        <w:t> </w:t>
      </w:r>
      <w:r w:rsidRPr="00ED78BA">
        <w:rPr>
          <w:rFonts w:eastAsia="Times New Roman" w:cs="Times New Roman"/>
          <w:color w:val="000000"/>
          <w:szCs w:val="22"/>
          <w:lang w:eastAsia="en-AU"/>
        </w:rPr>
        <w:t>mean annual baseline fire emissions for the project area, in tonnes CO</w:t>
      </w:r>
      <w:r w:rsidRPr="00ED78BA">
        <w:rPr>
          <w:rFonts w:eastAsia="Times New Roman" w:cs="Times New Roman"/>
          <w:color w:val="000000"/>
          <w:sz w:val="15"/>
          <w:szCs w:val="15"/>
          <w:vertAlign w:val="subscript"/>
          <w:lang w:eastAsia="en-AU"/>
        </w:rPr>
        <w:t>2</w:t>
      </w:r>
      <w:r w:rsidRPr="00ED78BA">
        <w:rPr>
          <w:rFonts w:eastAsia="Times New Roman" w:cs="Times New Roman"/>
          <w:color w:val="000000"/>
          <w:szCs w:val="22"/>
          <w:lang w:eastAsia="en-AU"/>
        </w:rPr>
        <w:noBreakHyphen/>
        <w:t>e—from equation 4.</w:t>
      </w:r>
    </w:p>
    <w:p w14:paraId="1AAC4AE0" w14:textId="4AA03DD0" w:rsidR="00750AD7" w:rsidRPr="00CC0A68" w:rsidRDefault="00CC0A68" w:rsidP="00CC0A68">
      <w:pPr>
        <w:pStyle w:val="ActHead5"/>
        <w:ind w:left="0" w:firstLine="0"/>
      </w:pPr>
      <w:bookmarkStart w:id="89" w:name="_Toc202953855"/>
      <w:r>
        <w:t>6</w:t>
      </w:r>
      <w:r w:rsidRPr="009E76D2">
        <w:t xml:space="preserve">   </w:t>
      </w:r>
      <w:r w:rsidR="00750AD7" w:rsidRPr="00750AD7">
        <w:rPr>
          <w:bCs/>
          <w:color w:val="000000"/>
          <w:szCs w:val="24"/>
        </w:rPr>
        <w:t>Mean annual baseline fire emissions</w:t>
      </w:r>
      <w:bookmarkEnd w:id="89"/>
    </w:p>
    <w:p w14:paraId="5EC12367" w14:textId="3022FD8F" w:rsidR="00750AD7" w:rsidRPr="00750AD7" w:rsidRDefault="00750AD7" w:rsidP="00750AD7">
      <w:pPr>
        <w:spacing w:before="180" w:after="120" w:line="240" w:lineRule="auto"/>
        <w:ind w:left="1134" w:hanging="1134"/>
        <w:rPr>
          <w:rFonts w:eastAsia="Times New Roman" w:cs="Times New Roman"/>
          <w:color w:val="000000"/>
          <w:szCs w:val="22"/>
          <w:lang w:eastAsia="en-AU"/>
        </w:rPr>
      </w:pPr>
      <w:r w:rsidRPr="00750AD7">
        <w:rPr>
          <w:rFonts w:eastAsia="Times New Roman" w:cs="Times New Roman"/>
          <w:color w:val="000000"/>
          <w:szCs w:val="22"/>
          <w:lang w:eastAsia="en-AU"/>
        </w:rPr>
        <w:t>  </w:t>
      </w:r>
      <w:r>
        <w:rPr>
          <w:rFonts w:eastAsia="Times New Roman" w:cs="Times New Roman"/>
          <w:color w:val="000000"/>
          <w:szCs w:val="22"/>
          <w:lang w:eastAsia="en-AU"/>
        </w:rPr>
        <w:tab/>
      </w:r>
      <w:r w:rsidRPr="00750AD7">
        <w:rPr>
          <w:rFonts w:eastAsia="Times New Roman" w:cs="Times New Roman"/>
          <w:color w:val="000000"/>
          <w:szCs w:val="22"/>
          <w:lang w:eastAsia="en-AU"/>
        </w:rPr>
        <w:t>For </w:t>
      </w:r>
      <w:r w:rsidR="002E0185">
        <w:rPr>
          <w:rFonts w:eastAsia="Times New Roman" w:cs="Times New Roman"/>
          <w:color w:val="000000"/>
          <w:szCs w:val="22"/>
          <w:lang w:eastAsia="en-AU"/>
        </w:rPr>
        <w:t xml:space="preserve">the purposes of </w:t>
      </w:r>
      <w:r w:rsidRPr="00750AD7">
        <w:rPr>
          <w:rFonts w:eastAsia="Times New Roman" w:cs="Times New Roman"/>
          <w:color w:val="000000"/>
          <w:szCs w:val="22"/>
          <w:lang w:eastAsia="en-AU"/>
        </w:rPr>
        <w:t>sections</w:t>
      </w:r>
      <w:r w:rsidRPr="00750AD7">
        <w:rPr>
          <w:rFonts w:eastAsia="Times New Roman" w:cs="Times New Roman"/>
          <w:b/>
          <w:bCs/>
          <w:color w:val="000000"/>
          <w:szCs w:val="22"/>
          <w:lang w:eastAsia="en-AU"/>
        </w:rPr>
        <w:t> </w:t>
      </w:r>
      <w:r w:rsidRPr="00750AD7">
        <w:rPr>
          <w:rFonts w:eastAsia="Times New Roman" w:cs="Times New Roman"/>
          <w:color w:val="000000"/>
          <w:szCs w:val="22"/>
          <w:lang w:eastAsia="en-AU"/>
        </w:rPr>
        <w:t>4 and 5 of this Schedule, the mean annual baseline fire emissions, </w:t>
      </w:r>
      <w:r w:rsidRPr="00750AD7">
        <w:rPr>
          <w:rFonts w:eastAsia="Times New Roman" w:cs="Times New Roman"/>
          <w:noProof/>
          <w:color w:val="000000"/>
          <w:szCs w:val="22"/>
          <w:lang w:eastAsia="en-AU"/>
        </w:rPr>
        <w:drawing>
          <wp:inline distT="0" distB="0" distL="0" distR="0" wp14:anchorId="0564D8D4" wp14:editId="08DEFF42">
            <wp:extent cx="161925" cy="180975"/>
            <wp:effectExtent l="0" t="0" r="9525" b="9525"/>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750AD7">
        <w:rPr>
          <w:rFonts w:eastAsia="Times New Roman" w:cs="Times New Roman"/>
          <w:color w:val="000000"/>
          <w:szCs w:val="22"/>
          <w:lang w:eastAsia="en-AU"/>
        </w:rPr>
        <w:t>, is given by the following equation:</w:t>
      </w:r>
    </w:p>
    <w:tbl>
      <w:tblPr>
        <w:tblW w:w="0" w:type="auto"/>
        <w:tblInd w:w="124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917"/>
        <w:gridCol w:w="1133"/>
      </w:tblGrid>
      <w:tr w:rsidR="00750AD7" w:rsidRPr="00750AD7" w14:paraId="3C44E488" w14:textId="77777777" w:rsidTr="00867A6B">
        <w:trPr>
          <w:trHeight w:val="1108"/>
        </w:trPr>
        <w:tc>
          <w:tcPr>
            <w:tcW w:w="6196" w:type="dxa"/>
            <w:tcBorders>
              <w:right w:val="single" w:sz="6" w:space="0" w:color="000000"/>
            </w:tcBorders>
            <w:tcMar>
              <w:top w:w="0" w:type="dxa"/>
              <w:left w:w="101" w:type="dxa"/>
              <w:bottom w:w="0" w:type="dxa"/>
              <w:right w:w="101" w:type="dxa"/>
            </w:tcMar>
            <w:vAlign w:val="center"/>
            <w:hideMark/>
          </w:tcPr>
          <w:p w14:paraId="327810D1" w14:textId="16B517D5" w:rsidR="00750AD7" w:rsidRPr="00750AD7" w:rsidRDefault="005C3B1E" w:rsidP="00750AD7">
            <w:pPr>
              <w:spacing w:line="240" w:lineRule="auto"/>
              <w:rPr>
                <w:rFonts w:eastAsia="Times New Roman" w:cs="Times New Roman"/>
                <w:color w:val="000000"/>
                <w:szCs w:val="22"/>
                <w:lang w:eastAsia="en-AU"/>
              </w:rPr>
            </w:pPr>
            <w:r w:rsidRPr="00102BF7">
              <w:rPr>
                <w:noProof/>
                <w:sz w:val="20"/>
              </w:rPr>
              <w:drawing>
                <wp:inline distT="0" distB="0" distL="0" distR="0" wp14:anchorId="3C5FF283" wp14:editId="2BB26CDD">
                  <wp:extent cx="1651687" cy="461501"/>
                  <wp:effectExtent l="0" t="0" r="5715" b="0"/>
                  <wp:docPr id="497562824" name="Picture 1" descr="A formula to work out the mean annual baseline fire e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562824" name="Picture 1" descr="A formula to work out the mean annual baseline fire emissions."/>
                          <pic:cNvPicPr/>
                        </pic:nvPicPr>
                        <pic:blipFill>
                          <a:blip r:embed="rId29"/>
                          <a:stretch>
                            <a:fillRect/>
                          </a:stretch>
                        </pic:blipFill>
                        <pic:spPr>
                          <a:xfrm>
                            <a:off x="0" y="0"/>
                            <a:ext cx="1671281" cy="466976"/>
                          </a:xfrm>
                          <a:prstGeom prst="rect">
                            <a:avLst/>
                          </a:prstGeom>
                        </pic:spPr>
                      </pic:pic>
                    </a:graphicData>
                  </a:graphic>
                </wp:inline>
              </w:drawing>
            </w:r>
          </w:p>
        </w:tc>
        <w:tc>
          <w:tcPr>
            <w:tcW w:w="1141" w:type="dxa"/>
            <w:tcBorders>
              <w:left w:val="single" w:sz="6" w:space="0" w:color="000000"/>
            </w:tcBorders>
            <w:tcMar>
              <w:top w:w="0" w:type="dxa"/>
              <w:left w:w="101" w:type="dxa"/>
              <w:bottom w:w="0" w:type="dxa"/>
              <w:right w:w="101" w:type="dxa"/>
            </w:tcMar>
            <w:vAlign w:val="center"/>
            <w:hideMark/>
          </w:tcPr>
          <w:p w14:paraId="4329F911" w14:textId="77777777" w:rsidR="00750AD7" w:rsidRPr="00750AD7" w:rsidRDefault="00750AD7" w:rsidP="00750AD7">
            <w:pPr>
              <w:spacing w:before="60" w:line="240" w:lineRule="atLeast"/>
              <w:rPr>
                <w:rFonts w:eastAsia="Times New Roman" w:cs="Times New Roman"/>
                <w:color w:val="000000"/>
                <w:sz w:val="20"/>
                <w:lang w:eastAsia="en-AU"/>
              </w:rPr>
            </w:pPr>
            <w:r w:rsidRPr="00750AD7">
              <w:rPr>
                <w:rFonts w:eastAsia="Times New Roman" w:cs="Times New Roman"/>
                <w:color w:val="000000"/>
                <w:sz w:val="20"/>
                <w:lang w:eastAsia="en-AU"/>
              </w:rPr>
              <w:t>equation 4</w:t>
            </w:r>
          </w:p>
        </w:tc>
      </w:tr>
    </w:tbl>
    <w:p w14:paraId="3A0009B4" w14:textId="16B245A7" w:rsidR="00750AD7" w:rsidRPr="00750AD7" w:rsidRDefault="00750AD7" w:rsidP="00750AD7">
      <w:pPr>
        <w:spacing w:before="180" w:line="240" w:lineRule="auto"/>
        <w:ind w:left="1134" w:hanging="1134"/>
        <w:rPr>
          <w:rFonts w:eastAsia="Times New Roman" w:cs="Times New Roman"/>
          <w:color w:val="000000"/>
          <w:szCs w:val="22"/>
          <w:lang w:eastAsia="en-AU"/>
        </w:rPr>
      </w:pPr>
      <w:r w:rsidRPr="00750AD7">
        <w:rPr>
          <w:rFonts w:eastAsia="Times New Roman" w:cs="Times New Roman"/>
          <w:color w:val="000000"/>
          <w:szCs w:val="22"/>
          <w:lang w:eastAsia="en-AU"/>
        </w:rPr>
        <w:t> </w:t>
      </w:r>
      <w:r>
        <w:rPr>
          <w:rFonts w:eastAsia="Times New Roman" w:cs="Times New Roman"/>
          <w:color w:val="000000"/>
          <w:szCs w:val="22"/>
          <w:lang w:eastAsia="en-AU"/>
        </w:rPr>
        <w:tab/>
      </w:r>
      <w:r w:rsidRPr="00750AD7">
        <w:rPr>
          <w:rFonts w:eastAsia="Times New Roman" w:cs="Times New Roman"/>
          <w:color w:val="000000"/>
          <w:szCs w:val="22"/>
          <w:lang w:eastAsia="en-AU"/>
        </w:rPr>
        <w:t>where:</w:t>
      </w:r>
    </w:p>
    <w:p w14:paraId="2E80FF21" w14:textId="6144BF9B" w:rsidR="00750AD7" w:rsidRPr="00750AD7" w:rsidRDefault="00750AD7" w:rsidP="00750AD7">
      <w:pPr>
        <w:spacing w:before="180" w:line="240" w:lineRule="auto"/>
        <w:ind w:left="1134"/>
        <w:rPr>
          <w:rFonts w:eastAsia="Times New Roman" w:cs="Times New Roman"/>
          <w:color w:val="000000"/>
          <w:szCs w:val="22"/>
          <w:lang w:eastAsia="en-AU"/>
        </w:rPr>
      </w:pPr>
      <w:r w:rsidRPr="00750AD7">
        <w:rPr>
          <w:rFonts w:eastAsia="Times New Roman" w:cs="Times New Roman"/>
          <w:b/>
          <w:bCs/>
          <w:i/>
          <w:iCs/>
          <w:color w:val="000000"/>
          <w:szCs w:val="22"/>
          <w:lang w:eastAsia="en-AU"/>
        </w:rPr>
        <w:t>Y</w:t>
      </w:r>
      <w:r w:rsidRPr="00750AD7">
        <w:rPr>
          <w:rFonts w:eastAsia="Times New Roman" w:cs="Times New Roman"/>
          <w:b/>
          <w:bCs/>
          <w:i/>
          <w:iCs/>
          <w:color w:val="000000"/>
          <w:sz w:val="15"/>
          <w:szCs w:val="15"/>
          <w:vertAlign w:val="subscript"/>
          <w:lang w:eastAsia="en-AU"/>
        </w:rPr>
        <w:t>B</w:t>
      </w:r>
      <w:r w:rsidRPr="00750AD7">
        <w:rPr>
          <w:rFonts w:eastAsia="Times New Roman" w:cs="Times New Roman"/>
          <w:color w:val="000000"/>
          <w:szCs w:val="22"/>
          <w:lang w:eastAsia="en-AU"/>
        </w:rPr>
        <w:t> is the number of years in the baseline period for the project area (either 10</w:t>
      </w:r>
      <w:r w:rsidR="00B45B16">
        <w:rPr>
          <w:rFonts w:eastAsia="Times New Roman" w:cs="Times New Roman"/>
          <w:color w:val="000000"/>
          <w:szCs w:val="22"/>
          <w:lang w:eastAsia="en-AU"/>
        </w:rPr>
        <w:t>, 15</w:t>
      </w:r>
      <w:r w:rsidRPr="00750AD7">
        <w:rPr>
          <w:rFonts w:eastAsia="Times New Roman" w:cs="Times New Roman"/>
          <w:color w:val="000000"/>
          <w:szCs w:val="22"/>
          <w:lang w:eastAsia="en-AU"/>
        </w:rPr>
        <w:t xml:space="preserve"> or </w:t>
      </w:r>
      <w:r w:rsidR="00B45B16">
        <w:rPr>
          <w:rFonts w:eastAsia="Times New Roman" w:cs="Times New Roman"/>
          <w:color w:val="000000"/>
          <w:szCs w:val="22"/>
          <w:lang w:eastAsia="en-AU"/>
        </w:rPr>
        <w:t>20</w:t>
      </w:r>
      <w:r w:rsidRPr="00750AD7">
        <w:rPr>
          <w:rFonts w:eastAsia="Times New Roman" w:cs="Times New Roman"/>
          <w:color w:val="000000"/>
          <w:szCs w:val="22"/>
          <w:lang w:eastAsia="en-AU"/>
        </w:rPr>
        <w:t>).</w:t>
      </w:r>
    </w:p>
    <w:p w14:paraId="25C86C6E" w14:textId="77777777" w:rsidR="00750AD7" w:rsidRPr="00750AD7" w:rsidRDefault="00750AD7" w:rsidP="00750AD7">
      <w:pPr>
        <w:spacing w:before="180" w:line="240" w:lineRule="auto"/>
        <w:ind w:left="1134"/>
        <w:rPr>
          <w:rFonts w:eastAsia="Times New Roman" w:cs="Times New Roman"/>
          <w:color w:val="000000"/>
          <w:szCs w:val="22"/>
          <w:lang w:eastAsia="en-AU"/>
        </w:rPr>
      </w:pPr>
      <w:r w:rsidRPr="00750AD7">
        <w:rPr>
          <w:rFonts w:eastAsia="Times New Roman" w:cs="Times New Roman"/>
          <w:b/>
          <w:bCs/>
          <w:i/>
          <w:iCs/>
          <w:color w:val="000000"/>
          <w:szCs w:val="22"/>
          <w:lang w:eastAsia="en-AU"/>
        </w:rPr>
        <w:t>y </w:t>
      </w:r>
      <w:r w:rsidRPr="00750AD7">
        <w:rPr>
          <w:rFonts w:eastAsia="Times New Roman" w:cs="Times New Roman"/>
          <w:color w:val="000000"/>
          <w:szCs w:val="22"/>
          <w:lang w:eastAsia="en-AU"/>
        </w:rPr>
        <w:t>is a calendar year of the baseline period.</w:t>
      </w:r>
    </w:p>
    <w:p w14:paraId="14F490D4" w14:textId="25777534" w:rsidR="00750AD7" w:rsidRPr="00750AD7" w:rsidRDefault="00750AD7" w:rsidP="00750AD7">
      <w:pPr>
        <w:spacing w:before="180" w:line="240" w:lineRule="auto"/>
        <w:ind w:left="1134"/>
        <w:rPr>
          <w:rFonts w:eastAsia="Times New Roman" w:cs="Times New Roman"/>
          <w:color w:val="000000"/>
          <w:szCs w:val="22"/>
          <w:lang w:eastAsia="en-AU"/>
        </w:rPr>
      </w:pPr>
      <w:proofErr w:type="spellStart"/>
      <w:proofErr w:type="gramStart"/>
      <w:r w:rsidRPr="00750AD7">
        <w:rPr>
          <w:rFonts w:eastAsia="Times New Roman" w:cs="Times New Roman"/>
          <w:b/>
          <w:bCs/>
          <w:i/>
          <w:iCs/>
          <w:color w:val="000000"/>
          <w:szCs w:val="22"/>
          <w:lang w:eastAsia="en-AU"/>
        </w:rPr>
        <w:t>E</w:t>
      </w:r>
      <w:r w:rsidRPr="00750AD7">
        <w:rPr>
          <w:rFonts w:eastAsia="Times New Roman" w:cs="Times New Roman"/>
          <w:b/>
          <w:bCs/>
          <w:i/>
          <w:iCs/>
          <w:color w:val="000000"/>
          <w:sz w:val="15"/>
          <w:szCs w:val="15"/>
          <w:vertAlign w:val="subscript"/>
          <w:lang w:eastAsia="en-AU"/>
        </w:rPr>
        <w:t>F,y</w:t>
      </w:r>
      <w:proofErr w:type="spellEnd"/>
      <w:proofErr w:type="gramEnd"/>
      <w:r w:rsidRPr="00750AD7">
        <w:rPr>
          <w:rFonts w:eastAsia="Times New Roman" w:cs="Times New Roman"/>
          <w:b/>
          <w:bCs/>
          <w:i/>
          <w:iCs/>
          <w:color w:val="000000"/>
          <w:szCs w:val="22"/>
          <w:lang w:eastAsia="en-AU"/>
        </w:rPr>
        <w:t> </w:t>
      </w:r>
      <w:r w:rsidRPr="00750AD7">
        <w:rPr>
          <w:rFonts w:eastAsia="Times New Roman" w:cs="Times New Roman"/>
          <w:color w:val="000000"/>
          <w:szCs w:val="22"/>
          <w:lang w:eastAsia="en-AU"/>
        </w:rPr>
        <w:t>is the fire emissions for the project area for calendar year </w:t>
      </w:r>
      <w:r w:rsidRPr="00750AD7">
        <w:rPr>
          <w:rFonts w:eastAsia="Times New Roman" w:cs="Times New Roman"/>
          <w:i/>
          <w:iCs/>
          <w:color w:val="000000"/>
          <w:szCs w:val="22"/>
          <w:lang w:eastAsia="en-AU"/>
        </w:rPr>
        <w:t>y</w:t>
      </w:r>
      <w:r w:rsidRPr="00750AD7">
        <w:rPr>
          <w:rFonts w:eastAsia="Times New Roman" w:cs="Times New Roman"/>
          <w:color w:val="000000"/>
          <w:szCs w:val="22"/>
          <w:lang w:eastAsia="en-AU"/>
        </w:rPr>
        <w:t>, in tonnes CO</w:t>
      </w:r>
      <w:r w:rsidRPr="00750AD7">
        <w:rPr>
          <w:rFonts w:eastAsia="Times New Roman" w:cs="Times New Roman"/>
          <w:color w:val="000000"/>
          <w:sz w:val="15"/>
          <w:szCs w:val="15"/>
          <w:vertAlign w:val="subscript"/>
          <w:lang w:eastAsia="en-AU"/>
        </w:rPr>
        <w:t>2</w:t>
      </w:r>
      <w:r w:rsidRPr="00750AD7">
        <w:rPr>
          <w:rFonts w:eastAsia="Times New Roman" w:cs="Times New Roman"/>
          <w:color w:val="000000"/>
          <w:szCs w:val="22"/>
          <w:lang w:eastAsia="en-AU"/>
        </w:rPr>
        <w:noBreakHyphen/>
        <w:t>e—calculated as </w:t>
      </w:r>
      <w:r w:rsidRPr="00750AD7">
        <w:rPr>
          <w:rFonts w:eastAsia="Times New Roman" w:cs="Times New Roman"/>
          <w:b/>
          <w:bCs/>
          <w:i/>
          <w:iCs/>
          <w:color w:val="000000"/>
          <w:szCs w:val="22"/>
          <w:lang w:eastAsia="en-AU"/>
        </w:rPr>
        <w:t>E</w:t>
      </w:r>
      <w:r w:rsidRPr="00750AD7">
        <w:rPr>
          <w:rFonts w:eastAsia="Times New Roman" w:cs="Times New Roman"/>
          <w:b/>
          <w:bCs/>
          <w:i/>
          <w:iCs/>
          <w:color w:val="000000"/>
          <w:sz w:val="15"/>
          <w:szCs w:val="15"/>
          <w:vertAlign w:val="subscript"/>
          <w:lang w:eastAsia="en-AU"/>
        </w:rPr>
        <w:t>F</w:t>
      </w:r>
      <w:r w:rsidRPr="00750AD7">
        <w:rPr>
          <w:rFonts w:eastAsia="Times New Roman" w:cs="Times New Roman"/>
          <w:i/>
          <w:iCs/>
          <w:color w:val="000000"/>
          <w:szCs w:val="22"/>
          <w:lang w:eastAsia="en-AU"/>
        </w:rPr>
        <w:t> </w:t>
      </w:r>
      <w:r w:rsidRPr="00750AD7">
        <w:rPr>
          <w:rFonts w:eastAsia="Times New Roman" w:cs="Times New Roman"/>
          <w:color w:val="000000"/>
          <w:szCs w:val="22"/>
          <w:lang w:eastAsia="en-AU"/>
        </w:rPr>
        <w:t>for that year using </w:t>
      </w:r>
      <w:proofErr w:type="spellStart"/>
      <w:r w:rsidR="00AB1B06">
        <w:rPr>
          <w:rFonts w:eastAsia="Times New Roman" w:cs="Times New Roman"/>
          <w:color w:val="000000"/>
          <w:szCs w:val="22"/>
          <w:lang w:eastAsia="en-AU"/>
        </w:rPr>
        <w:t>SavCAM</w:t>
      </w:r>
      <w:proofErr w:type="spellEnd"/>
      <w:r w:rsidRPr="00750AD7">
        <w:rPr>
          <w:rFonts w:eastAsia="Times New Roman" w:cs="Times New Roman"/>
          <w:color w:val="000000"/>
          <w:szCs w:val="22"/>
          <w:lang w:eastAsia="en-AU"/>
        </w:rPr>
        <w:t>.</w:t>
      </w:r>
    </w:p>
    <w:p w14:paraId="703333E7" w14:textId="6FF53131" w:rsidR="0053722F" w:rsidRPr="009A4107" w:rsidRDefault="0053722F" w:rsidP="00867A6B">
      <w:pPr>
        <w:pStyle w:val="ActHead3"/>
      </w:pPr>
      <w:bookmarkStart w:id="90" w:name="_Toc202953856"/>
      <w:r w:rsidRPr="009A4107">
        <w:t>Division 3—</w:t>
      </w:r>
      <w:r w:rsidRPr="00867A6B">
        <w:t>Adjustments to calculations</w:t>
      </w:r>
      <w:bookmarkEnd w:id="90"/>
    </w:p>
    <w:p w14:paraId="4C021729" w14:textId="5E5686D9" w:rsidR="007D3C39" w:rsidRPr="0053722F" w:rsidRDefault="00CE3B3D" w:rsidP="0053722F">
      <w:pPr>
        <w:pStyle w:val="ActHead5"/>
        <w:ind w:left="0" w:firstLine="0"/>
      </w:pPr>
      <w:bookmarkStart w:id="91" w:name="_Toc202953857"/>
      <w:r>
        <w:t>7</w:t>
      </w:r>
      <w:r w:rsidR="0053722F" w:rsidRPr="009E76D2">
        <w:t xml:space="preserve">   </w:t>
      </w:r>
      <w:r w:rsidR="007D3C39">
        <w:rPr>
          <w:bCs/>
          <w:color w:val="000000"/>
        </w:rPr>
        <w:t>Adjustments resulting from project area spanning rainfall zones</w:t>
      </w:r>
      <w:bookmarkEnd w:id="91"/>
    </w:p>
    <w:p w14:paraId="073F5A69" w14:textId="3D7EB9D9" w:rsidR="007D3C39" w:rsidRDefault="007D3C39" w:rsidP="007D3C39">
      <w:pPr>
        <w:pStyle w:val="tmain"/>
        <w:spacing w:before="180" w:beforeAutospacing="0" w:after="0" w:afterAutospacing="0"/>
        <w:ind w:left="1134" w:hanging="1134"/>
        <w:rPr>
          <w:color w:val="000000"/>
          <w:sz w:val="22"/>
          <w:szCs w:val="22"/>
        </w:rPr>
      </w:pPr>
      <w:r>
        <w:rPr>
          <w:color w:val="000000"/>
          <w:sz w:val="22"/>
          <w:szCs w:val="22"/>
        </w:rPr>
        <w:t>  </w:t>
      </w:r>
      <w:r>
        <w:rPr>
          <w:color w:val="000000"/>
          <w:sz w:val="22"/>
          <w:szCs w:val="22"/>
        </w:rPr>
        <w:tab/>
        <w:t>If a single project area has 2 project area parts,</w:t>
      </w:r>
      <w:r>
        <w:rPr>
          <w:i/>
          <w:iCs/>
          <w:color w:val="000000"/>
          <w:sz w:val="22"/>
          <w:szCs w:val="22"/>
        </w:rPr>
        <w:t> </w:t>
      </w:r>
      <w:proofErr w:type="spellStart"/>
      <w:proofErr w:type="gramStart"/>
      <w:r>
        <w:rPr>
          <w:i/>
          <w:iCs/>
          <w:color w:val="000000"/>
          <w:sz w:val="22"/>
          <w:szCs w:val="22"/>
        </w:rPr>
        <w:t>A</w:t>
      </w:r>
      <w:r>
        <w:rPr>
          <w:i/>
          <w:iCs/>
          <w:color w:val="000000"/>
          <w:sz w:val="15"/>
          <w:szCs w:val="15"/>
          <w:vertAlign w:val="subscript"/>
        </w:rPr>
        <w:t>EA,adj</w:t>
      </w:r>
      <w:proofErr w:type="spellEnd"/>
      <w:proofErr w:type="gramEnd"/>
      <w:r>
        <w:rPr>
          <w:color w:val="000000"/>
          <w:sz w:val="22"/>
          <w:szCs w:val="22"/>
        </w:rPr>
        <w:t> for the project area is instead calculated by:</w:t>
      </w:r>
    </w:p>
    <w:p w14:paraId="40CC44E0" w14:textId="21C3D414" w:rsidR="007D3C39" w:rsidRDefault="007D3C39" w:rsidP="004A7133">
      <w:pPr>
        <w:pStyle w:val="tpara"/>
        <w:numPr>
          <w:ilvl w:val="0"/>
          <w:numId w:val="30"/>
        </w:numPr>
        <w:spacing w:before="40" w:beforeAutospacing="0" w:after="0" w:afterAutospacing="0"/>
        <w:rPr>
          <w:color w:val="000000"/>
          <w:sz w:val="22"/>
          <w:szCs w:val="22"/>
        </w:rPr>
      </w:pPr>
      <w:r>
        <w:rPr>
          <w:color w:val="000000"/>
          <w:sz w:val="22"/>
          <w:szCs w:val="22"/>
        </w:rPr>
        <w:t>calculating a value of </w:t>
      </w:r>
      <w:proofErr w:type="spellStart"/>
      <w:proofErr w:type="gramStart"/>
      <w:r>
        <w:rPr>
          <w:i/>
          <w:iCs/>
          <w:color w:val="000000"/>
          <w:sz w:val="22"/>
          <w:szCs w:val="22"/>
        </w:rPr>
        <w:t>A</w:t>
      </w:r>
      <w:r>
        <w:rPr>
          <w:i/>
          <w:iCs/>
          <w:color w:val="000000"/>
          <w:sz w:val="15"/>
          <w:szCs w:val="15"/>
          <w:vertAlign w:val="subscript"/>
        </w:rPr>
        <w:t>EA,adj</w:t>
      </w:r>
      <w:proofErr w:type="spellEnd"/>
      <w:proofErr w:type="gramEnd"/>
      <w:r>
        <w:rPr>
          <w:color w:val="000000"/>
          <w:sz w:val="22"/>
          <w:szCs w:val="22"/>
        </w:rPr>
        <w:t> in tonnes CO</w:t>
      </w:r>
      <w:r>
        <w:rPr>
          <w:color w:val="000000"/>
          <w:sz w:val="15"/>
          <w:szCs w:val="15"/>
          <w:vertAlign w:val="subscript"/>
        </w:rPr>
        <w:t>2</w:t>
      </w:r>
      <w:r>
        <w:rPr>
          <w:b/>
          <w:bCs/>
          <w:color w:val="000000"/>
          <w:sz w:val="22"/>
          <w:szCs w:val="22"/>
        </w:rPr>
        <w:noBreakHyphen/>
      </w:r>
      <w:r>
        <w:rPr>
          <w:color w:val="000000"/>
          <w:sz w:val="22"/>
          <w:szCs w:val="22"/>
        </w:rPr>
        <w:t>e in accordance with this Schedule for each project area part as if it were a separate project area; and</w:t>
      </w:r>
    </w:p>
    <w:p w14:paraId="654DA8EE" w14:textId="1CAF2D83" w:rsidR="00803A5C" w:rsidRDefault="007D3C39" w:rsidP="004A7133">
      <w:pPr>
        <w:pStyle w:val="tpara"/>
        <w:numPr>
          <w:ilvl w:val="0"/>
          <w:numId w:val="30"/>
        </w:numPr>
        <w:spacing w:before="40" w:beforeAutospacing="0" w:after="0" w:afterAutospacing="0"/>
        <w:rPr>
          <w:color w:val="000000"/>
          <w:sz w:val="22"/>
          <w:szCs w:val="22"/>
        </w:rPr>
      </w:pPr>
      <w:r>
        <w:rPr>
          <w:color w:val="000000"/>
          <w:sz w:val="22"/>
          <w:szCs w:val="22"/>
        </w:rPr>
        <w:t>summing the values so calculated.</w:t>
      </w:r>
    </w:p>
    <w:p w14:paraId="2A7392FD" w14:textId="6BE18A20" w:rsidR="00CC57C7" w:rsidRPr="00CE3B3D" w:rsidRDefault="00CE3B3D" w:rsidP="00CE3B3D">
      <w:pPr>
        <w:pStyle w:val="ActHead5"/>
        <w:ind w:left="0" w:firstLine="0"/>
      </w:pPr>
      <w:bookmarkStart w:id="92" w:name="_Toc202953858"/>
      <w:r>
        <w:lastRenderedPageBreak/>
        <w:t>8</w:t>
      </w:r>
      <w:r w:rsidRPr="009E76D2">
        <w:t xml:space="preserve">   </w:t>
      </w:r>
      <w:r w:rsidR="00CC57C7">
        <w:rPr>
          <w:bCs/>
          <w:color w:val="000000"/>
        </w:rPr>
        <w:t>Adjustments resulting from lack of fire activity</w:t>
      </w:r>
      <w:bookmarkEnd w:id="92"/>
    </w:p>
    <w:p w14:paraId="5AF23827" w14:textId="77777777" w:rsidR="001D7B4E" w:rsidRDefault="00CC57C7" w:rsidP="004A7133">
      <w:pPr>
        <w:pStyle w:val="tmain"/>
        <w:numPr>
          <w:ilvl w:val="0"/>
          <w:numId w:val="31"/>
        </w:numPr>
        <w:spacing w:before="180" w:beforeAutospacing="0" w:after="0" w:afterAutospacing="0"/>
        <w:ind w:left="1276" w:hanging="425"/>
        <w:rPr>
          <w:color w:val="000000"/>
          <w:sz w:val="22"/>
          <w:szCs w:val="22"/>
        </w:rPr>
      </w:pPr>
      <w:r>
        <w:rPr>
          <w:color w:val="000000"/>
          <w:sz w:val="22"/>
          <w:szCs w:val="22"/>
        </w:rPr>
        <w:t>This section applies if</w:t>
      </w:r>
      <w:r w:rsidR="00D828CA">
        <w:rPr>
          <w:color w:val="000000"/>
          <w:sz w:val="22"/>
          <w:szCs w:val="22"/>
        </w:rPr>
        <w:t xml:space="preserve"> </w:t>
      </w:r>
      <w:r w:rsidR="00905CC8">
        <w:rPr>
          <w:color w:val="000000"/>
          <w:sz w:val="22"/>
          <w:szCs w:val="22"/>
        </w:rPr>
        <w:t xml:space="preserve">planned </w:t>
      </w:r>
      <w:proofErr w:type="gramStart"/>
      <w:r w:rsidR="00905CC8">
        <w:rPr>
          <w:color w:val="000000"/>
          <w:sz w:val="22"/>
          <w:szCs w:val="22"/>
        </w:rPr>
        <w:t>burning</w:t>
      </w:r>
      <w:proofErr w:type="gramEnd"/>
      <w:r w:rsidR="00603DA7">
        <w:rPr>
          <w:color w:val="000000"/>
          <w:sz w:val="22"/>
          <w:szCs w:val="22"/>
        </w:rPr>
        <w:t xml:space="preserve"> for a project area was not undertaken</w:t>
      </w:r>
      <w:r w:rsidR="001D7B4E">
        <w:rPr>
          <w:color w:val="000000"/>
          <w:sz w:val="22"/>
          <w:szCs w:val="22"/>
        </w:rPr>
        <w:t xml:space="preserve"> in a calendar year.</w:t>
      </w:r>
    </w:p>
    <w:p w14:paraId="19B28055" w14:textId="617D38DC" w:rsidR="00CC57C7" w:rsidRPr="001D7B4E" w:rsidRDefault="00CC57C7" w:rsidP="004A7133">
      <w:pPr>
        <w:pStyle w:val="tmain"/>
        <w:numPr>
          <w:ilvl w:val="0"/>
          <w:numId w:val="31"/>
        </w:numPr>
        <w:spacing w:before="0" w:beforeAutospacing="0" w:after="0" w:afterAutospacing="0"/>
        <w:ind w:left="1276" w:hanging="425"/>
        <w:rPr>
          <w:color w:val="000000"/>
          <w:sz w:val="22"/>
          <w:szCs w:val="22"/>
        </w:rPr>
      </w:pPr>
      <w:r w:rsidRPr="001D7B4E">
        <w:rPr>
          <w:color w:val="000000"/>
          <w:sz w:val="22"/>
          <w:szCs w:val="22"/>
        </w:rPr>
        <w:t>For that calendar year,</w:t>
      </w:r>
      <w:r w:rsidR="00767701">
        <w:rPr>
          <w:color w:val="000000"/>
          <w:sz w:val="22"/>
          <w:szCs w:val="22"/>
        </w:rPr>
        <w:t xml:space="preserve"> </w:t>
      </w:r>
      <w:r w:rsidR="00767701" w:rsidRPr="007B2786">
        <w:rPr>
          <w:color w:val="000000"/>
          <w:sz w:val="22"/>
          <w:szCs w:val="22"/>
        </w:rPr>
        <w:t>fire emissions for the project area for the calendar</w:t>
      </w:r>
      <w:r w:rsidR="00767701" w:rsidRPr="00EB5A58">
        <w:rPr>
          <w:color w:val="000000"/>
          <w:szCs w:val="22"/>
        </w:rPr>
        <w:t xml:space="preserve"> </w:t>
      </w:r>
      <w:r w:rsidR="00767701" w:rsidRPr="007B2786">
        <w:rPr>
          <w:color w:val="000000"/>
          <w:sz w:val="22"/>
          <w:szCs w:val="22"/>
        </w:rPr>
        <w:t>year</w:t>
      </w:r>
      <w:r w:rsidR="00D218EA">
        <w:rPr>
          <w:color w:val="000000"/>
          <w:szCs w:val="22"/>
        </w:rPr>
        <w:t>,</w:t>
      </w:r>
      <w:r w:rsidR="007A1C32">
        <w:rPr>
          <w:color w:val="000000"/>
          <w:sz w:val="22"/>
          <w:szCs w:val="22"/>
        </w:rPr>
        <w:t xml:space="preserve"> </w:t>
      </w:r>
      <w:r w:rsidR="007A1C32" w:rsidRPr="00EB5A58">
        <w:rPr>
          <w:b/>
          <w:bCs/>
          <w:i/>
          <w:iCs/>
          <w:color w:val="000000"/>
          <w:szCs w:val="22"/>
        </w:rPr>
        <w:t>E</w:t>
      </w:r>
      <w:r w:rsidR="007A1C32" w:rsidRPr="00EB5A58">
        <w:rPr>
          <w:b/>
          <w:bCs/>
          <w:i/>
          <w:iCs/>
          <w:color w:val="000000"/>
          <w:sz w:val="15"/>
          <w:szCs w:val="15"/>
          <w:vertAlign w:val="subscript"/>
        </w:rPr>
        <w:t>F</w:t>
      </w:r>
      <w:r w:rsidR="00D218EA">
        <w:rPr>
          <w:b/>
          <w:bCs/>
          <w:i/>
          <w:iCs/>
          <w:color w:val="000000"/>
          <w:sz w:val="15"/>
          <w:szCs w:val="15"/>
          <w:vertAlign w:val="subscript"/>
        </w:rPr>
        <w:t>,</w:t>
      </w:r>
      <w:r w:rsidRPr="001D7B4E">
        <w:rPr>
          <w:color w:val="000000"/>
          <w:sz w:val="22"/>
          <w:szCs w:val="22"/>
        </w:rPr>
        <w:t> </w:t>
      </w:r>
      <w:r w:rsidR="007D53DC" w:rsidRPr="007D53DC">
        <w:rPr>
          <w:color w:val="000000"/>
          <w:sz w:val="22"/>
          <w:szCs w:val="22"/>
        </w:rPr>
        <w:t>are</w:t>
      </w:r>
      <w:r w:rsidRPr="001D7B4E">
        <w:rPr>
          <w:color w:val="000000"/>
          <w:sz w:val="22"/>
          <w:szCs w:val="22"/>
        </w:rPr>
        <w:t xml:space="preserve"> taken to be equal to</w:t>
      </w:r>
      <w:r w:rsidR="00A53A18" w:rsidRPr="007B2786">
        <w:rPr>
          <w:color w:val="000000"/>
          <w:sz w:val="22"/>
          <w:szCs w:val="22"/>
        </w:rPr>
        <w:t xml:space="preserve"> mean annual baseline fire emissions</w:t>
      </w:r>
      <w:r w:rsidR="00767701">
        <w:rPr>
          <w:color w:val="000000"/>
          <w:szCs w:val="22"/>
        </w:rPr>
        <w:t>,</w:t>
      </w:r>
      <w:r w:rsidRPr="001D7B4E">
        <w:rPr>
          <w:color w:val="000000"/>
          <w:sz w:val="22"/>
          <w:szCs w:val="22"/>
        </w:rPr>
        <w:t> </w:t>
      </w:r>
      <w:r w:rsidR="007A1C32" w:rsidRPr="00EB5A58">
        <w:rPr>
          <w:noProof/>
          <w:color w:val="000000"/>
          <w:szCs w:val="22"/>
        </w:rPr>
        <w:drawing>
          <wp:inline distT="0" distB="0" distL="0" distR="0" wp14:anchorId="6659115D" wp14:editId="01FC0949">
            <wp:extent cx="171450" cy="180975"/>
            <wp:effectExtent l="0" t="0" r="0" b="9525"/>
            <wp:docPr id="17668762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1D7B4E">
        <w:rPr>
          <w:color w:val="000000"/>
          <w:sz w:val="22"/>
          <w:szCs w:val="22"/>
        </w:rPr>
        <w:t>.</w:t>
      </w:r>
    </w:p>
    <w:p w14:paraId="0831F44D" w14:textId="7902982F" w:rsidR="00D9092B" w:rsidRPr="00CE3B3D" w:rsidRDefault="00CE3B3D" w:rsidP="00CE3B3D">
      <w:pPr>
        <w:pStyle w:val="ActHead5"/>
        <w:ind w:left="0" w:firstLine="0"/>
      </w:pPr>
      <w:bookmarkStart w:id="93" w:name="_Toc202953859"/>
      <w:r>
        <w:t>9</w:t>
      </w:r>
      <w:r w:rsidRPr="009E76D2">
        <w:t xml:space="preserve">   </w:t>
      </w:r>
      <w:r w:rsidR="00D9092B" w:rsidRPr="00D9092B">
        <w:rPr>
          <w:bCs/>
          <w:color w:val="000000"/>
          <w:szCs w:val="24"/>
        </w:rPr>
        <w:t>Adjustments resulting from subdivided project areas</w:t>
      </w:r>
      <w:bookmarkEnd w:id="93"/>
    </w:p>
    <w:p w14:paraId="7F75D0E3" w14:textId="1BFB3753" w:rsidR="00D9092B" w:rsidRPr="00D9092B" w:rsidRDefault="00D9092B" w:rsidP="00D9092B">
      <w:pPr>
        <w:spacing w:before="180" w:after="120" w:line="240" w:lineRule="auto"/>
        <w:ind w:left="1134" w:hanging="1134"/>
        <w:rPr>
          <w:rFonts w:eastAsia="Times New Roman" w:cs="Times New Roman"/>
          <w:color w:val="000000"/>
          <w:szCs w:val="22"/>
          <w:lang w:eastAsia="en-AU"/>
        </w:rPr>
      </w:pPr>
      <w:r w:rsidRPr="00D9092B">
        <w:rPr>
          <w:rFonts w:eastAsia="Times New Roman" w:cs="Times New Roman"/>
          <w:color w:val="000000"/>
          <w:szCs w:val="22"/>
          <w:lang w:eastAsia="en-AU"/>
        </w:rPr>
        <w:t>  </w:t>
      </w:r>
      <w:r>
        <w:rPr>
          <w:rFonts w:eastAsia="Times New Roman" w:cs="Times New Roman"/>
          <w:color w:val="000000"/>
          <w:szCs w:val="22"/>
          <w:lang w:eastAsia="en-AU"/>
        </w:rPr>
        <w:tab/>
      </w:r>
      <w:r w:rsidRPr="00D9092B">
        <w:rPr>
          <w:rFonts w:eastAsia="Times New Roman" w:cs="Times New Roman"/>
          <w:color w:val="000000"/>
          <w:szCs w:val="22"/>
          <w:lang w:eastAsia="en-AU"/>
        </w:rPr>
        <w:t>If a project area is divided into 2 or more subdivided project areas, then </w:t>
      </w:r>
      <w:proofErr w:type="spellStart"/>
      <w:proofErr w:type="gramStart"/>
      <w:r w:rsidRPr="00D9092B">
        <w:rPr>
          <w:rFonts w:eastAsia="Times New Roman" w:cs="Times New Roman"/>
          <w:i/>
          <w:iCs/>
          <w:color w:val="000000"/>
          <w:szCs w:val="22"/>
          <w:lang w:eastAsia="en-AU"/>
        </w:rPr>
        <w:t>B</w:t>
      </w:r>
      <w:r w:rsidRPr="00D9092B">
        <w:rPr>
          <w:rFonts w:eastAsia="Times New Roman" w:cs="Times New Roman"/>
          <w:i/>
          <w:iCs/>
          <w:color w:val="000000"/>
          <w:sz w:val="15"/>
          <w:szCs w:val="15"/>
          <w:vertAlign w:val="subscript"/>
          <w:lang w:eastAsia="en-AU"/>
        </w:rPr>
        <w:t>U,Prev</w:t>
      </w:r>
      <w:proofErr w:type="spellEnd"/>
      <w:proofErr w:type="gramEnd"/>
      <w:r w:rsidRPr="00D9092B">
        <w:rPr>
          <w:rFonts w:eastAsia="Times New Roman" w:cs="Times New Roman"/>
          <w:color w:val="000000"/>
          <w:szCs w:val="22"/>
          <w:lang w:eastAsia="en-AU"/>
        </w:rPr>
        <w:t> for each subdivided project area immediately after the subdivision takes effect is equal to the amount </w:t>
      </w:r>
      <w:proofErr w:type="spellStart"/>
      <w:proofErr w:type="gramStart"/>
      <w:r w:rsidRPr="00D9092B">
        <w:rPr>
          <w:rFonts w:eastAsia="Times New Roman" w:cs="Times New Roman"/>
          <w:i/>
          <w:iCs/>
          <w:color w:val="000000"/>
          <w:szCs w:val="22"/>
          <w:lang w:eastAsia="en-AU"/>
        </w:rPr>
        <w:t>B</w:t>
      </w:r>
      <w:r w:rsidRPr="00D9092B">
        <w:rPr>
          <w:rFonts w:eastAsia="Times New Roman" w:cs="Times New Roman"/>
          <w:i/>
          <w:iCs/>
          <w:color w:val="000000"/>
          <w:sz w:val="15"/>
          <w:szCs w:val="15"/>
          <w:vertAlign w:val="subscript"/>
          <w:lang w:eastAsia="en-AU"/>
        </w:rPr>
        <w:t>U,Prev</w:t>
      </w:r>
      <w:proofErr w:type="gramEnd"/>
      <w:r w:rsidRPr="00D9092B">
        <w:rPr>
          <w:rFonts w:eastAsia="Times New Roman" w:cs="Times New Roman"/>
          <w:i/>
          <w:iCs/>
          <w:color w:val="000000"/>
          <w:sz w:val="15"/>
          <w:szCs w:val="15"/>
          <w:vertAlign w:val="subscript"/>
          <w:lang w:eastAsia="en-AU"/>
        </w:rPr>
        <w:t>,Subdiv</w:t>
      </w:r>
      <w:proofErr w:type="spellEnd"/>
      <w:r w:rsidR="00382807">
        <w:rPr>
          <w:rFonts w:eastAsia="Times New Roman" w:cs="Times New Roman"/>
          <w:color w:val="000000"/>
          <w:szCs w:val="22"/>
          <w:lang w:eastAsia="en-AU"/>
        </w:rPr>
        <w:t xml:space="preserve">, </w:t>
      </w:r>
      <w:r w:rsidRPr="00D9092B">
        <w:rPr>
          <w:rFonts w:eastAsia="Times New Roman" w:cs="Times New Roman"/>
          <w:color w:val="000000"/>
          <w:szCs w:val="22"/>
          <w:lang w:eastAsia="en-AU"/>
        </w:rPr>
        <w:t>given by the following equation:</w:t>
      </w:r>
    </w:p>
    <w:tbl>
      <w:tblPr>
        <w:tblW w:w="0" w:type="auto"/>
        <w:tblInd w:w="113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027"/>
        <w:gridCol w:w="1136"/>
      </w:tblGrid>
      <w:tr w:rsidR="00D9092B" w:rsidRPr="00D9092B" w14:paraId="48871DE8" w14:textId="77777777" w:rsidTr="00867A6B">
        <w:trPr>
          <w:trHeight w:val="1108"/>
        </w:trPr>
        <w:tc>
          <w:tcPr>
            <w:tcW w:w="6300" w:type="dxa"/>
            <w:tcBorders>
              <w:right w:val="single" w:sz="6" w:space="0" w:color="000000"/>
            </w:tcBorders>
            <w:tcMar>
              <w:top w:w="0" w:type="dxa"/>
              <w:left w:w="101" w:type="dxa"/>
              <w:bottom w:w="0" w:type="dxa"/>
              <w:right w:w="101" w:type="dxa"/>
            </w:tcMar>
            <w:vAlign w:val="center"/>
            <w:hideMark/>
          </w:tcPr>
          <w:p w14:paraId="65DB8707" w14:textId="6A6CC52F" w:rsidR="00D9092B" w:rsidRPr="00D9092B" w:rsidRDefault="008C30E8" w:rsidP="00D9092B">
            <w:pPr>
              <w:spacing w:line="240" w:lineRule="auto"/>
              <w:rPr>
                <w:rFonts w:eastAsia="Times New Roman" w:cs="Times New Roman"/>
                <w:color w:val="000000"/>
                <w:szCs w:val="22"/>
                <w:lang w:eastAsia="en-AU"/>
              </w:rPr>
            </w:pPr>
            <w:r w:rsidRPr="00102BF7">
              <w:rPr>
                <w:noProof/>
                <w:sz w:val="20"/>
              </w:rPr>
              <w:drawing>
                <wp:inline distT="0" distB="0" distL="0" distR="0" wp14:anchorId="69D593F5" wp14:editId="17A7659A">
                  <wp:extent cx="2470689" cy="588259"/>
                  <wp:effectExtent l="0" t="0" r="6350" b="2540"/>
                  <wp:docPr id="203250585" name="Picture 1" descr="A formula to work out the value to be used for the previous year’s uncertainty buffer when a project area is divided into 2 or more subdivided project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0585" name="Picture 1" descr="A formula to work out the value to be used for the previous year’s uncertainty buffer when a project area is divided into 2 or more subdivided project areas."/>
                          <pic:cNvPicPr/>
                        </pic:nvPicPr>
                        <pic:blipFill>
                          <a:blip r:embed="rId30"/>
                          <a:stretch>
                            <a:fillRect/>
                          </a:stretch>
                        </pic:blipFill>
                        <pic:spPr>
                          <a:xfrm>
                            <a:off x="0" y="0"/>
                            <a:ext cx="2492988" cy="593568"/>
                          </a:xfrm>
                          <a:prstGeom prst="rect">
                            <a:avLst/>
                          </a:prstGeom>
                        </pic:spPr>
                      </pic:pic>
                    </a:graphicData>
                  </a:graphic>
                </wp:inline>
              </w:drawing>
            </w:r>
          </w:p>
        </w:tc>
        <w:tc>
          <w:tcPr>
            <w:tcW w:w="1150" w:type="dxa"/>
            <w:tcBorders>
              <w:left w:val="single" w:sz="6" w:space="0" w:color="000000"/>
            </w:tcBorders>
            <w:tcMar>
              <w:top w:w="0" w:type="dxa"/>
              <w:left w:w="101" w:type="dxa"/>
              <w:bottom w:w="0" w:type="dxa"/>
              <w:right w:w="101" w:type="dxa"/>
            </w:tcMar>
            <w:vAlign w:val="center"/>
            <w:hideMark/>
          </w:tcPr>
          <w:p w14:paraId="31D80D68" w14:textId="3454B1EF" w:rsidR="00D9092B" w:rsidRPr="00D9092B" w:rsidRDefault="00D9092B" w:rsidP="00D9092B">
            <w:pPr>
              <w:spacing w:before="60" w:line="240" w:lineRule="atLeast"/>
              <w:rPr>
                <w:rFonts w:eastAsia="Times New Roman" w:cs="Times New Roman"/>
                <w:color w:val="000000"/>
                <w:sz w:val="20"/>
                <w:lang w:eastAsia="en-AU"/>
              </w:rPr>
            </w:pPr>
            <w:r w:rsidRPr="00D9092B">
              <w:rPr>
                <w:rFonts w:eastAsia="Times New Roman" w:cs="Times New Roman"/>
                <w:color w:val="000000"/>
                <w:sz w:val="20"/>
                <w:lang w:eastAsia="en-AU"/>
              </w:rPr>
              <w:t>equation </w:t>
            </w:r>
            <w:r w:rsidR="00413F43">
              <w:rPr>
                <w:rFonts w:eastAsia="Times New Roman" w:cs="Times New Roman"/>
                <w:color w:val="000000"/>
                <w:sz w:val="20"/>
                <w:lang w:eastAsia="en-AU"/>
              </w:rPr>
              <w:t>5</w:t>
            </w:r>
          </w:p>
        </w:tc>
      </w:tr>
    </w:tbl>
    <w:p w14:paraId="02931FEE" w14:textId="0F3FB5B1" w:rsidR="00D9092B" w:rsidRPr="00D9092B" w:rsidRDefault="00D9092B" w:rsidP="00D9092B">
      <w:pPr>
        <w:spacing w:before="180" w:line="240" w:lineRule="auto"/>
        <w:ind w:left="1134" w:hanging="1134"/>
        <w:rPr>
          <w:rFonts w:eastAsia="Times New Roman" w:cs="Times New Roman"/>
          <w:color w:val="000000"/>
          <w:szCs w:val="22"/>
          <w:lang w:eastAsia="en-AU"/>
        </w:rPr>
      </w:pPr>
      <w:r w:rsidRPr="00D9092B">
        <w:rPr>
          <w:rFonts w:eastAsia="Times New Roman" w:cs="Times New Roman"/>
          <w:color w:val="000000"/>
          <w:szCs w:val="22"/>
          <w:lang w:eastAsia="en-AU"/>
        </w:rPr>
        <w:t>  </w:t>
      </w:r>
      <w:r>
        <w:rPr>
          <w:rFonts w:eastAsia="Times New Roman" w:cs="Times New Roman"/>
          <w:color w:val="000000"/>
          <w:szCs w:val="22"/>
          <w:lang w:eastAsia="en-AU"/>
        </w:rPr>
        <w:tab/>
      </w:r>
      <w:r w:rsidRPr="00D9092B">
        <w:rPr>
          <w:rFonts w:eastAsia="Times New Roman" w:cs="Times New Roman"/>
          <w:color w:val="000000"/>
          <w:szCs w:val="22"/>
          <w:lang w:eastAsia="en-AU"/>
        </w:rPr>
        <w:t>where:</w:t>
      </w:r>
    </w:p>
    <w:p w14:paraId="613CAE59" w14:textId="77777777" w:rsidR="00D9092B" w:rsidRPr="00D9092B" w:rsidRDefault="00D9092B" w:rsidP="00D9092B">
      <w:pPr>
        <w:spacing w:before="180" w:line="240" w:lineRule="auto"/>
        <w:ind w:left="1134"/>
        <w:rPr>
          <w:rFonts w:eastAsia="Times New Roman" w:cs="Times New Roman"/>
          <w:color w:val="000000"/>
          <w:szCs w:val="22"/>
          <w:lang w:eastAsia="en-AU"/>
        </w:rPr>
      </w:pPr>
      <w:r w:rsidRPr="00D9092B">
        <w:rPr>
          <w:rFonts w:eastAsia="Times New Roman" w:cs="Times New Roman"/>
          <w:noProof/>
          <w:color w:val="000000"/>
          <w:szCs w:val="22"/>
          <w:lang w:eastAsia="en-AU"/>
        </w:rPr>
        <w:drawing>
          <wp:inline distT="0" distB="0" distL="0" distR="0" wp14:anchorId="3E189396" wp14:editId="4FE2B1D1">
            <wp:extent cx="533400" cy="180975"/>
            <wp:effectExtent l="0" t="0" r="0" b="9525"/>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r w:rsidRPr="00D9092B">
        <w:rPr>
          <w:rFonts w:eastAsia="Times New Roman" w:cs="Times New Roman"/>
          <w:b/>
          <w:bCs/>
          <w:color w:val="000000"/>
          <w:szCs w:val="22"/>
          <w:lang w:eastAsia="en-AU"/>
        </w:rPr>
        <w:t> </w:t>
      </w:r>
      <w:proofErr w:type="gramStart"/>
      <w:r w:rsidRPr="00D9092B">
        <w:rPr>
          <w:rFonts w:eastAsia="Times New Roman" w:cs="Times New Roman"/>
          <w:color w:val="000000"/>
          <w:szCs w:val="22"/>
          <w:lang w:eastAsia="en-AU"/>
        </w:rPr>
        <w:t>is</w:t>
      </w:r>
      <w:proofErr w:type="gramEnd"/>
      <w:r w:rsidRPr="00D9092B">
        <w:rPr>
          <w:rFonts w:eastAsia="Times New Roman" w:cs="Times New Roman"/>
          <w:color w:val="000000"/>
          <w:szCs w:val="22"/>
          <w:lang w:eastAsia="en-AU"/>
        </w:rPr>
        <w:t> the mean annual baseline fire emissions for the subdivided project area, </w:t>
      </w:r>
      <w:r w:rsidRPr="00D9092B">
        <w:rPr>
          <w:rFonts w:eastAsia="Times New Roman" w:cs="Times New Roman"/>
          <w:noProof/>
          <w:color w:val="000000"/>
          <w:szCs w:val="22"/>
          <w:lang w:eastAsia="en-AU"/>
        </w:rPr>
        <w:drawing>
          <wp:inline distT="0" distB="0" distL="0" distR="0" wp14:anchorId="46CC6DFA" wp14:editId="2BA3DB80">
            <wp:extent cx="161925" cy="180975"/>
            <wp:effectExtent l="0" t="0" r="9525" b="9525"/>
            <wp:docPr id="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D9092B">
        <w:rPr>
          <w:rFonts w:eastAsia="Times New Roman" w:cs="Times New Roman"/>
          <w:color w:val="000000"/>
          <w:szCs w:val="22"/>
          <w:lang w:eastAsia="en-AU"/>
        </w:rPr>
        <w:t>, in tonnes CO</w:t>
      </w:r>
      <w:r w:rsidRPr="00D9092B">
        <w:rPr>
          <w:rFonts w:eastAsia="Times New Roman" w:cs="Times New Roman"/>
          <w:color w:val="000000"/>
          <w:sz w:val="15"/>
          <w:szCs w:val="15"/>
          <w:vertAlign w:val="subscript"/>
          <w:lang w:eastAsia="en-AU"/>
        </w:rPr>
        <w:t>2</w:t>
      </w:r>
      <w:r w:rsidRPr="00D9092B">
        <w:rPr>
          <w:rFonts w:eastAsia="Times New Roman" w:cs="Times New Roman"/>
          <w:color w:val="000000"/>
          <w:szCs w:val="22"/>
          <w:lang w:eastAsia="en-AU"/>
        </w:rPr>
        <w:t>-e, as calculated in accordance with section 6 of this Schedule for the subdivided project area.</w:t>
      </w:r>
    </w:p>
    <w:p w14:paraId="6FF971B6" w14:textId="77777777" w:rsidR="00D9092B" w:rsidRPr="00D9092B" w:rsidRDefault="00D9092B" w:rsidP="00D9092B">
      <w:pPr>
        <w:spacing w:before="180" w:line="240" w:lineRule="auto"/>
        <w:ind w:left="1134"/>
        <w:rPr>
          <w:rFonts w:eastAsia="Times New Roman" w:cs="Times New Roman"/>
          <w:color w:val="000000"/>
          <w:szCs w:val="22"/>
          <w:lang w:eastAsia="en-AU"/>
        </w:rPr>
      </w:pPr>
      <w:r w:rsidRPr="00D9092B">
        <w:rPr>
          <w:rFonts w:eastAsia="Times New Roman" w:cs="Times New Roman"/>
          <w:noProof/>
          <w:color w:val="000000"/>
          <w:szCs w:val="22"/>
          <w:lang w:eastAsia="en-AU"/>
        </w:rPr>
        <w:drawing>
          <wp:inline distT="0" distB="0" distL="0" distR="0" wp14:anchorId="48288282" wp14:editId="55239A3B">
            <wp:extent cx="419100" cy="180975"/>
            <wp:effectExtent l="0" t="0" r="0" b="9525"/>
            <wp:docPr id="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D9092B">
        <w:rPr>
          <w:rFonts w:eastAsia="Times New Roman" w:cs="Times New Roman"/>
          <w:b/>
          <w:bCs/>
          <w:i/>
          <w:iCs/>
          <w:color w:val="000000"/>
          <w:szCs w:val="22"/>
          <w:lang w:eastAsia="en-AU"/>
        </w:rPr>
        <w:t> </w:t>
      </w:r>
      <w:proofErr w:type="gramStart"/>
      <w:r w:rsidRPr="00D9092B">
        <w:rPr>
          <w:rFonts w:eastAsia="Times New Roman" w:cs="Times New Roman"/>
          <w:color w:val="000000"/>
          <w:szCs w:val="22"/>
          <w:lang w:eastAsia="en-AU"/>
        </w:rPr>
        <w:t>is</w:t>
      </w:r>
      <w:proofErr w:type="gramEnd"/>
      <w:r w:rsidRPr="00D9092B">
        <w:rPr>
          <w:rFonts w:eastAsia="Times New Roman" w:cs="Times New Roman"/>
          <w:color w:val="000000"/>
          <w:szCs w:val="22"/>
          <w:lang w:eastAsia="en-AU"/>
        </w:rPr>
        <w:t> the mean annual baseline fire emissions for the original project area, </w:t>
      </w:r>
      <w:r w:rsidRPr="00D9092B">
        <w:rPr>
          <w:rFonts w:eastAsia="Times New Roman" w:cs="Times New Roman"/>
          <w:noProof/>
          <w:color w:val="000000"/>
          <w:szCs w:val="22"/>
          <w:lang w:eastAsia="en-AU"/>
        </w:rPr>
        <w:drawing>
          <wp:inline distT="0" distB="0" distL="0" distR="0" wp14:anchorId="51E09D94" wp14:editId="310A0FEE">
            <wp:extent cx="161925" cy="180975"/>
            <wp:effectExtent l="0" t="0" r="9525" b="9525"/>
            <wp:docPr id="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D9092B">
        <w:rPr>
          <w:rFonts w:eastAsia="Times New Roman" w:cs="Times New Roman"/>
          <w:color w:val="000000"/>
          <w:szCs w:val="22"/>
          <w:lang w:eastAsia="en-AU"/>
        </w:rPr>
        <w:t>, in tonnes CO</w:t>
      </w:r>
      <w:r w:rsidRPr="00D9092B">
        <w:rPr>
          <w:rFonts w:eastAsia="Times New Roman" w:cs="Times New Roman"/>
          <w:color w:val="000000"/>
          <w:sz w:val="15"/>
          <w:szCs w:val="15"/>
          <w:vertAlign w:val="subscript"/>
          <w:lang w:eastAsia="en-AU"/>
        </w:rPr>
        <w:t>2</w:t>
      </w:r>
      <w:r w:rsidRPr="00D9092B">
        <w:rPr>
          <w:rFonts w:eastAsia="Times New Roman" w:cs="Times New Roman"/>
          <w:color w:val="000000"/>
          <w:szCs w:val="22"/>
          <w:lang w:eastAsia="en-AU"/>
        </w:rPr>
        <w:t>-e, as calculated in accordance with section 6 of this Schedule, for the original project area.</w:t>
      </w:r>
    </w:p>
    <w:p w14:paraId="4F8C3ABE" w14:textId="2209B528" w:rsidR="00D9092B" w:rsidRPr="00D9092B" w:rsidRDefault="00D9092B" w:rsidP="00D9092B">
      <w:pPr>
        <w:spacing w:before="180" w:line="240" w:lineRule="auto"/>
        <w:ind w:left="1134"/>
        <w:rPr>
          <w:rFonts w:eastAsia="Times New Roman" w:cs="Times New Roman"/>
          <w:color w:val="000000"/>
          <w:szCs w:val="22"/>
          <w:lang w:eastAsia="en-AU"/>
        </w:rPr>
      </w:pPr>
      <w:proofErr w:type="spellStart"/>
      <w:proofErr w:type="gramStart"/>
      <w:r w:rsidRPr="00D9092B">
        <w:rPr>
          <w:rFonts w:eastAsia="Times New Roman" w:cs="Times New Roman"/>
          <w:b/>
          <w:bCs/>
          <w:i/>
          <w:iCs/>
          <w:color w:val="000000"/>
          <w:szCs w:val="22"/>
          <w:lang w:eastAsia="en-AU"/>
        </w:rPr>
        <w:t>B</w:t>
      </w:r>
      <w:r w:rsidRPr="00D9092B">
        <w:rPr>
          <w:rFonts w:eastAsia="Times New Roman" w:cs="Times New Roman"/>
          <w:b/>
          <w:bCs/>
          <w:i/>
          <w:iCs/>
          <w:color w:val="000000"/>
          <w:sz w:val="15"/>
          <w:szCs w:val="15"/>
          <w:vertAlign w:val="subscript"/>
          <w:lang w:eastAsia="en-AU"/>
        </w:rPr>
        <w:t>U,Prev</w:t>
      </w:r>
      <w:proofErr w:type="gramEnd"/>
      <w:r w:rsidRPr="00D9092B">
        <w:rPr>
          <w:rFonts w:eastAsia="Times New Roman" w:cs="Times New Roman"/>
          <w:b/>
          <w:bCs/>
          <w:i/>
          <w:iCs/>
          <w:color w:val="000000"/>
          <w:sz w:val="15"/>
          <w:szCs w:val="15"/>
          <w:vertAlign w:val="subscript"/>
          <w:lang w:eastAsia="en-AU"/>
        </w:rPr>
        <w:t>,Orig</w:t>
      </w:r>
      <w:proofErr w:type="spellEnd"/>
      <w:r w:rsidRPr="00D9092B">
        <w:rPr>
          <w:rFonts w:eastAsia="Times New Roman" w:cs="Times New Roman"/>
          <w:color w:val="000000"/>
          <w:szCs w:val="22"/>
          <w:lang w:eastAsia="en-AU"/>
        </w:rPr>
        <w:t> is the previous year’s uncertainty buffer for the original project area, </w:t>
      </w:r>
      <w:proofErr w:type="spellStart"/>
      <w:proofErr w:type="gramStart"/>
      <w:r w:rsidRPr="00D9092B">
        <w:rPr>
          <w:rFonts w:eastAsia="Times New Roman" w:cs="Times New Roman"/>
          <w:i/>
          <w:iCs/>
          <w:color w:val="000000"/>
          <w:szCs w:val="22"/>
          <w:lang w:eastAsia="en-AU"/>
        </w:rPr>
        <w:t>B</w:t>
      </w:r>
      <w:r w:rsidRPr="00D9092B">
        <w:rPr>
          <w:rFonts w:eastAsia="Times New Roman" w:cs="Times New Roman"/>
          <w:i/>
          <w:iCs/>
          <w:color w:val="000000"/>
          <w:sz w:val="15"/>
          <w:szCs w:val="15"/>
          <w:vertAlign w:val="subscript"/>
          <w:lang w:eastAsia="en-AU"/>
        </w:rPr>
        <w:t>U,Prev</w:t>
      </w:r>
      <w:proofErr w:type="spellEnd"/>
      <w:proofErr w:type="gramEnd"/>
      <w:r w:rsidRPr="00D9092B">
        <w:rPr>
          <w:rFonts w:eastAsia="Times New Roman" w:cs="Times New Roman"/>
          <w:color w:val="000000"/>
          <w:szCs w:val="22"/>
          <w:lang w:eastAsia="en-AU"/>
        </w:rPr>
        <w:t>,</w:t>
      </w:r>
      <w:r w:rsidRPr="00D9092B">
        <w:rPr>
          <w:rFonts w:eastAsia="Times New Roman" w:cs="Times New Roman"/>
          <w:i/>
          <w:iCs/>
          <w:color w:val="000000"/>
          <w:szCs w:val="22"/>
          <w:lang w:eastAsia="en-AU"/>
        </w:rPr>
        <w:t> </w:t>
      </w:r>
      <w:r w:rsidRPr="00D9092B">
        <w:rPr>
          <w:rFonts w:eastAsia="Times New Roman" w:cs="Times New Roman"/>
          <w:color w:val="000000"/>
          <w:szCs w:val="22"/>
          <w:lang w:eastAsia="en-AU"/>
        </w:rPr>
        <w:t>as given by subsection 3(1) of this Schedule</w:t>
      </w:r>
      <w:r w:rsidR="007F1183">
        <w:rPr>
          <w:rFonts w:eastAsia="Times New Roman" w:cs="Times New Roman"/>
          <w:color w:val="000000"/>
          <w:szCs w:val="22"/>
          <w:lang w:eastAsia="en-AU"/>
        </w:rPr>
        <w:t>,</w:t>
      </w:r>
      <w:r w:rsidRPr="00D9092B">
        <w:rPr>
          <w:rFonts w:eastAsia="Times New Roman" w:cs="Times New Roman"/>
          <w:color w:val="000000"/>
          <w:szCs w:val="22"/>
          <w:lang w:eastAsia="en-AU"/>
        </w:rPr>
        <w:t> as if the project area had not been divided.</w:t>
      </w:r>
    </w:p>
    <w:p w14:paraId="1D2E353A" w14:textId="77777777" w:rsidR="00803A5C" w:rsidRDefault="00803A5C" w:rsidP="00554826">
      <w:pPr>
        <w:spacing w:line="240" w:lineRule="auto"/>
        <w:rPr>
          <w:rFonts w:eastAsia="Times New Roman" w:cs="Times New Roman"/>
          <w:lang w:eastAsia="en-AU"/>
        </w:rPr>
      </w:pPr>
    </w:p>
    <w:p w14:paraId="07D2A8C9" w14:textId="77777777" w:rsidR="006E7284" w:rsidRDefault="006E7284">
      <w:pPr>
        <w:spacing w:line="240" w:lineRule="auto"/>
        <w:rPr>
          <w:rFonts w:ascii="Arial" w:eastAsia="Times New Roman" w:hAnsi="Arial" w:cs="Times New Roman"/>
          <w:b/>
          <w:kern w:val="28"/>
          <w:sz w:val="32"/>
          <w:lang w:eastAsia="en-AU"/>
        </w:rPr>
      </w:pPr>
      <w:r>
        <w:br w:type="page"/>
      </w:r>
    </w:p>
    <w:p w14:paraId="08AC93E5" w14:textId="77EADAA3" w:rsidR="00AA0DBF" w:rsidRPr="00963063" w:rsidRDefault="00AA0DBF" w:rsidP="00867A6B">
      <w:pPr>
        <w:pStyle w:val="ActHead1"/>
      </w:pPr>
      <w:bookmarkStart w:id="94" w:name="_Toc202953860"/>
      <w:r>
        <w:lastRenderedPageBreak/>
        <w:t>Schedule 2</w:t>
      </w:r>
      <w:r w:rsidRPr="00620458">
        <w:t>—</w:t>
      </w:r>
      <w:r w:rsidR="00953C41" w:rsidRPr="00953C41">
        <w:rPr>
          <w:rFonts w:eastAsiaTheme="minorHAnsi" w:cstheme="minorBidi"/>
          <w:kern w:val="0"/>
          <w:sz w:val="22"/>
          <w:lang w:eastAsia="en-US"/>
        </w:rPr>
        <w:t xml:space="preserve"> </w:t>
      </w:r>
      <w:r w:rsidR="00953C41" w:rsidRPr="00953C41">
        <w:t>Sequestration—calculation of adjusted contribution to net abatement amount for a calendar year</w:t>
      </w:r>
      <w:bookmarkEnd w:id="94"/>
    </w:p>
    <w:p w14:paraId="4BD65387" w14:textId="77777777" w:rsidR="00803A5C" w:rsidRDefault="00803A5C" w:rsidP="00554826">
      <w:pPr>
        <w:spacing w:line="240" w:lineRule="auto"/>
        <w:rPr>
          <w:rFonts w:eastAsia="Times New Roman" w:cs="Times New Roman"/>
          <w:lang w:eastAsia="en-AU"/>
        </w:rPr>
      </w:pPr>
    </w:p>
    <w:p w14:paraId="5F375B88" w14:textId="77777777" w:rsidR="00FE757B" w:rsidRPr="00171E3E" w:rsidRDefault="00FE757B" w:rsidP="00867A6B">
      <w:pPr>
        <w:pStyle w:val="ActHead3"/>
      </w:pPr>
      <w:bookmarkStart w:id="95" w:name="_Toc202953861"/>
      <w:r w:rsidRPr="009D2663">
        <w:t xml:space="preserve">Division </w:t>
      </w:r>
      <w:r>
        <w:t>1</w:t>
      </w:r>
      <w:r w:rsidRPr="00FD6A3B">
        <w:t>—</w:t>
      </w:r>
      <w:r>
        <w:t>Preliminary</w:t>
      </w:r>
      <w:bookmarkEnd w:id="95"/>
    </w:p>
    <w:p w14:paraId="0D448CF3" w14:textId="77777777" w:rsidR="00CE3B3D" w:rsidRPr="009E76D2" w:rsidRDefault="00CE3B3D" w:rsidP="007B2786">
      <w:pPr>
        <w:pStyle w:val="ActHead5"/>
      </w:pPr>
      <w:bookmarkStart w:id="96" w:name="_Toc202953862"/>
      <w:r w:rsidRPr="009E76D2">
        <w:t xml:space="preserve">1   Simplified </w:t>
      </w:r>
      <w:r w:rsidRPr="007B2786">
        <w:t>outline</w:t>
      </w:r>
      <w:r w:rsidRPr="009E76D2">
        <w:t xml:space="preserve"> of this Schedule</w:t>
      </w:r>
      <w:bookmarkEnd w:id="96"/>
    </w:p>
    <w:p w14:paraId="3D9DD442" w14:textId="23544792" w:rsidR="00273E68" w:rsidRDefault="00273E68" w:rsidP="00273E68">
      <w:pPr>
        <w:pStyle w:val="SOText"/>
      </w:pPr>
      <w:r>
        <w:t xml:space="preserve">Proponents will be required to calculate the adjusted contribution to the net abatement amount for the project area from sequestration of carbon in living biomass or dead organic matter, or both, for calendar year y of the reporting period, </w:t>
      </w:r>
      <w:proofErr w:type="spellStart"/>
      <w:proofErr w:type="gramStart"/>
      <w:r w:rsidR="002A67DF" w:rsidRPr="002A67DF">
        <w:rPr>
          <w:i/>
          <w:iCs/>
        </w:rPr>
        <w:t>A</w:t>
      </w:r>
      <w:r w:rsidR="002A67DF" w:rsidRPr="002A67DF">
        <w:rPr>
          <w:i/>
          <w:iCs/>
          <w:vertAlign w:val="subscript"/>
        </w:rPr>
        <w:t>Seq,adj</w:t>
      </w:r>
      <w:r w:rsidR="002A67DF" w:rsidRPr="002A67DF">
        <w:rPr>
          <w:vertAlign w:val="subscript"/>
        </w:rPr>
        <w:softHyphen/>
      </w:r>
      <w:proofErr w:type="gramEnd"/>
      <w:r w:rsidR="002A67DF" w:rsidRPr="002A67DF">
        <w:rPr>
          <w:i/>
          <w:iCs/>
          <w:vertAlign w:val="subscript"/>
        </w:rPr>
        <w:t>,y</w:t>
      </w:r>
      <w:proofErr w:type="spellEnd"/>
      <w:r w:rsidR="006C338B">
        <w:rPr>
          <w:i/>
          <w:iCs/>
          <w:vertAlign w:val="subscript"/>
        </w:rPr>
        <w:t xml:space="preserve"> </w:t>
      </w:r>
      <w:r>
        <w:t xml:space="preserve">in equation 1, using </w:t>
      </w:r>
      <w:proofErr w:type="spellStart"/>
      <w:r>
        <w:t>SavCAM</w:t>
      </w:r>
      <w:proofErr w:type="spellEnd"/>
      <w:r w:rsidR="002E6B90">
        <w:t xml:space="preserve"> or </w:t>
      </w:r>
      <w:r w:rsidR="00B574B6">
        <w:t>calculated</w:t>
      </w:r>
      <w:r w:rsidR="002446C9">
        <w:t xml:space="preserve"> in accordance with this</w:t>
      </w:r>
      <w:r w:rsidR="00B574B6">
        <w:t xml:space="preserve"> Schedule</w:t>
      </w:r>
      <w:r>
        <w:t>. The following provides an explanation of how this is calculated.</w:t>
      </w:r>
    </w:p>
    <w:p w14:paraId="6AE4BCA5" w14:textId="734A78C3" w:rsidR="00273E68" w:rsidRDefault="00273E68" w:rsidP="00273E68">
      <w:pPr>
        <w:pStyle w:val="SOText"/>
      </w:pPr>
      <w:r>
        <w:t xml:space="preserve">First, the contribution to the net abatement amount from sequestration </w:t>
      </w:r>
      <w:proofErr w:type="spellStart"/>
      <w:r>
        <w:t>ASeq</w:t>
      </w:r>
      <w:proofErr w:type="spellEnd"/>
      <w:r>
        <w:t xml:space="preserve">, in living biomass and dead organic matter is calculated.  For the first calendar year, </w:t>
      </w:r>
      <w:proofErr w:type="spellStart"/>
      <w:r>
        <w:t>ASeq</w:t>
      </w:r>
      <w:proofErr w:type="spellEnd"/>
      <w:r>
        <w:t>, is the carbon stock at the end of the calendar year minus the mean carbon stock during the baseline period. For subsequent reporting years, the contribution to net abatement for a calendar year will be the carbon stock carbon at the end of the calendar year minus the carbon stock of the previous calendar year.</w:t>
      </w:r>
    </w:p>
    <w:p w14:paraId="6425E985" w14:textId="0F86381B" w:rsidR="00273E68" w:rsidRDefault="00273E68" w:rsidP="00273E68">
      <w:pPr>
        <w:pStyle w:val="SOText"/>
      </w:pPr>
      <w:r>
        <w:t xml:space="preserve">Then, from the amount </w:t>
      </w:r>
      <w:proofErr w:type="spellStart"/>
      <w:r>
        <w:t>ASeq</w:t>
      </w:r>
      <w:proofErr w:type="spellEnd"/>
      <w:r>
        <w:t xml:space="preserve">, the adjusted contribution to the net abatement amount, </w:t>
      </w:r>
      <w:proofErr w:type="spellStart"/>
      <w:proofErr w:type="gramStart"/>
      <w:r>
        <w:t>ASeq,adj</w:t>
      </w:r>
      <w:proofErr w:type="spellEnd"/>
      <w:proofErr w:type="gramEnd"/>
      <w:r>
        <w:t xml:space="preserve">, is calculated. This calculation involves decreasing </w:t>
      </w:r>
      <w:proofErr w:type="spellStart"/>
      <w:r>
        <w:t>ASeq</w:t>
      </w:r>
      <w:proofErr w:type="spellEnd"/>
      <w:r>
        <w:t xml:space="preserve"> by any negative abatement that was carried over from the previous calendar year. The amount so calculated is further decreased by an amount that is applied in lieu of the risk of reversal buffer number and the permanence period discount number that ordinarily apply when the unit entitlement for a sequestration offsets project is calculated under section 16 of the Act. For projects that are covered by this </w:t>
      </w:r>
      <w:r w:rsidR="00C929D7">
        <w:t>instrument</w:t>
      </w:r>
      <w:r>
        <w:t xml:space="preserve">, these numbers are equal to zero </w:t>
      </w:r>
      <w:proofErr w:type="gramStart"/>
      <w:r>
        <w:t>as a result of</w:t>
      </w:r>
      <w:proofErr w:type="gramEnd"/>
      <w:r>
        <w:t xml:space="preserve"> the CFI Rule. To compensate for this, the contribution to the net abatement amount from sequestration is adjusted using a sequestration buffer that corresponds to the risk of reversal buffer and the permanence period discount number that ordinarily apply to sequestration offsets projects under the Act. (The contribution to the net abatement amount from emissions avoidance is not adjusted.)</w:t>
      </w:r>
    </w:p>
    <w:p w14:paraId="788133F3" w14:textId="6E0F01BC" w:rsidR="00273E68" w:rsidRPr="00803A5C" w:rsidRDefault="00273E68" w:rsidP="00273E68">
      <w:pPr>
        <w:pStyle w:val="SOText"/>
      </w:pPr>
      <w:r>
        <w:t>Values relating to the baseline period are re calculated each year and will potentially change from year to year. Changes to these values will arise, for example, if documents that are referred to as in force from time to time are modified, if the vegetation fuel type map is revised, or if project areas are divided.</w:t>
      </w:r>
    </w:p>
    <w:p w14:paraId="66FC4585" w14:textId="77777777" w:rsidR="00CE3B3D" w:rsidRPr="00171E3E" w:rsidRDefault="00CE3B3D" w:rsidP="00867A6B">
      <w:pPr>
        <w:pStyle w:val="ActHead3"/>
      </w:pPr>
      <w:bookmarkStart w:id="97" w:name="_Toc202953863"/>
      <w:r w:rsidRPr="009D2663">
        <w:lastRenderedPageBreak/>
        <w:t xml:space="preserve">Division </w:t>
      </w:r>
      <w:r>
        <w:t>2</w:t>
      </w:r>
      <w:r w:rsidRPr="00FD6A3B">
        <w:t>—</w:t>
      </w:r>
      <w:r w:rsidRPr="00A13D61">
        <w:t xml:space="preserve"> </w:t>
      </w:r>
      <w:r>
        <w:t>Calculations</w:t>
      </w:r>
      <w:bookmarkEnd w:id="97"/>
    </w:p>
    <w:p w14:paraId="249DE5CE" w14:textId="0B07D10C" w:rsidR="00570FEC" w:rsidRPr="00CE3B3D" w:rsidRDefault="00CE3B3D" w:rsidP="007B2786">
      <w:pPr>
        <w:pStyle w:val="ActHead5"/>
      </w:pPr>
      <w:bookmarkStart w:id="98" w:name="_Toc202953864"/>
      <w:r>
        <w:t>2</w:t>
      </w:r>
      <w:r w:rsidRPr="009E76D2">
        <w:t xml:space="preserve">   </w:t>
      </w:r>
      <w:r w:rsidR="00570FEC" w:rsidRPr="00570FEC">
        <w:t xml:space="preserve">Calculation of adjusted contribution to net abatement amount from sequestration of carbon in </w:t>
      </w:r>
      <w:r w:rsidR="00490B58">
        <w:t>carbon in living biomass or dead organic matter</w:t>
      </w:r>
      <w:r w:rsidR="00490B58" w:rsidRPr="00570FEC" w:rsidDel="00490B58">
        <w:t xml:space="preserve"> </w:t>
      </w:r>
      <w:r w:rsidR="00570FEC" w:rsidRPr="00570FEC">
        <w:t>for a calendar </w:t>
      </w:r>
      <w:r w:rsidR="00570FEC" w:rsidRPr="007B2786">
        <w:t>year</w:t>
      </w:r>
      <w:r w:rsidR="00570FEC" w:rsidRPr="00570FEC">
        <w:t>, </w:t>
      </w:r>
      <w:proofErr w:type="spellStart"/>
      <w:proofErr w:type="gramStart"/>
      <w:r w:rsidR="00570FEC" w:rsidRPr="00570FEC">
        <w:rPr>
          <w:i/>
          <w:iCs/>
        </w:rPr>
        <w:t>A</w:t>
      </w:r>
      <w:r w:rsidR="00570FEC" w:rsidRPr="00570FEC">
        <w:rPr>
          <w:i/>
          <w:iCs/>
          <w:sz w:val="16"/>
          <w:szCs w:val="16"/>
          <w:vertAlign w:val="subscript"/>
        </w:rPr>
        <w:t>Seq</w:t>
      </w:r>
      <w:proofErr w:type="spellEnd"/>
      <w:r w:rsidR="00570FEC" w:rsidRPr="00570FEC">
        <w:rPr>
          <w:i/>
          <w:iCs/>
        </w:rPr>
        <w:softHyphen/>
      </w:r>
      <w:r w:rsidR="00570FEC" w:rsidRPr="00570FEC">
        <w:rPr>
          <w:i/>
          <w:iCs/>
          <w:sz w:val="16"/>
          <w:szCs w:val="16"/>
          <w:vertAlign w:val="subscript"/>
        </w:rPr>
        <w:t>,adj</w:t>
      </w:r>
      <w:bookmarkEnd w:id="98"/>
      <w:proofErr w:type="gramEnd"/>
    </w:p>
    <w:p w14:paraId="5885E2C8" w14:textId="7F63191B" w:rsidR="00570FEC" w:rsidRPr="00570FEC" w:rsidRDefault="00EE7A9A" w:rsidP="007B2786">
      <w:pPr>
        <w:pStyle w:val="subsection"/>
      </w:pPr>
      <w:r>
        <w:tab/>
      </w:r>
      <w:r w:rsidR="00570FEC">
        <w:tab/>
      </w:r>
      <w:r w:rsidR="00570FEC" w:rsidRPr="00570FEC">
        <w:t>For </w:t>
      </w:r>
      <w:r w:rsidR="0047263D" w:rsidRPr="0056276E">
        <w:t>the purposes of</w:t>
      </w:r>
      <w:r w:rsidR="0047263D">
        <w:t xml:space="preserve"> </w:t>
      </w:r>
      <w:r w:rsidR="00570FEC" w:rsidRPr="00570FEC">
        <w:t>paragraph (b) of the definition of </w:t>
      </w:r>
      <w:proofErr w:type="spellStart"/>
      <w:proofErr w:type="gramStart"/>
      <w:r w:rsidR="00570FEC" w:rsidRPr="00570FEC">
        <w:rPr>
          <w:i/>
          <w:iCs/>
        </w:rPr>
        <w:t>A</w:t>
      </w:r>
      <w:r w:rsidR="00570FEC" w:rsidRPr="00570FEC">
        <w:rPr>
          <w:i/>
          <w:iCs/>
          <w:sz w:val="15"/>
          <w:szCs w:val="15"/>
          <w:vertAlign w:val="subscript"/>
        </w:rPr>
        <w:t>Seq,adj</w:t>
      </w:r>
      <w:proofErr w:type="gramEnd"/>
      <w:r w:rsidR="00570FEC" w:rsidRPr="00570FEC">
        <w:rPr>
          <w:i/>
          <w:iCs/>
          <w:sz w:val="15"/>
          <w:szCs w:val="15"/>
          <w:vertAlign w:val="subscript"/>
        </w:rPr>
        <w:t>,y</w:t>
      </w:r>
      <w:proofErr w:type="spellEnd"/>
      <w:r w:rsidR="00570FEC" w:rsidRPr="00570FEC">
        <w:t> in subsection 34(1) of this </w:t>
      </w:r>
      <w:r w:rsidR="00C929D7">
        <w:t>instrument</w:t>
      </w:r>
      <w:r w:rsidR="00570FEC" w:rsidRPr="00570FEC">
        <w:t>, the adjusted contribution to the net abatement amount from sequestration for a particular project area and for a particular calendar year, </w:t>
      </w:r>
      <w:proofErr w:type="spellStart"/>
      <w:proofErr w:type="gramStart"/>
      <w:r w:rsidR="00570FEC" w:rsidRPr="00570FEC">
        <w:rPr>
          <w:i/>
          <w:iCs/>
        </w:rPr>
        <w:t>A</w:t>
      </w:r>
      <w:r w:rsidR="00570FEC" w:rsidRPr="00570FEC">
        <w:rPr>
          <w:i/>
          <w:iCs/>
          <w:sz w:val="15"/>
          <w:szCs w:val="15"/>
          <w:vertAlign w:val="subscript"/>
        </w:rPr>
        <w:t>Seq,adj</w:t>
      </w:r>
      <w:proofErr w:type="spellEnd"/>
      <w:proofErr w:type="gramEnd"/>
      <w:r w:rsidR="00570FEC" w:rsidRPr="00570FEC">
        <w:t>, in tonnes CO</w:t>
      </w:r>
      <w:r w:rsidR="00570FEC" w:rsidRPr="00570FEC">
        <w:rPr>
          <w:sz w:val="15"/>
          <w:szCs w:val="15"/>
          <w:vertAlign w:val="subscript"/>
        </w:rPr>
        <w:t>2</w:t>
      </w:r>
      <w:r w:rsidR="00570FEC" w:rsidRPr="00570FEC">
        <w:noBreakHyphen/>
        <w:t>e, is calculated by:</w:t>
      </w:r>
    </w:p>
    <w:p w14:paraId="29CCED89" w14:textId="4D8A6012" w:rsidR="006C5557" w:rsidRPr="006C5557" w:rsidRDefault="00570FEC" w:rsidP="004A7133">
      <w:pPr>
        <w:pStyle w:val="ListParagraph"/>
        <w:numPr>
          <w:ilvl w:val="0"/>
          <w:numId w:val="32"/>
        </w:numPr>
        <w:spacing w:before="40" w:line="240" w:lineRule="auto"/>
        <w:rPr>
          <w:rFonts w:eastAsia="Times New Roman" w:cs="Times New Roman"/>
          <w:color w:val="000000"/>
          <w:szCs w:val="22"/>
          <w:lang w:eastAsia="en-AU"/>
        </w:rPr>
      </w:pPr>
      <w:r w:rsidRPr="006C5557">
        <w:rPr>
          <w:rFonts w:eastAsia="Times New Roman" w:cs="Times New Roman"/>
          <w:color w:val="000000"/>
          <w:szCs w:val="22"/>
          <w:lang w:eastAsia="en-AU"/>
        </w:rPr>
        <w:t>calculating the previous year’s carry</w:t>
      </w:r>
      <w:r w:rsidRPr="006C5557">
        <w:rPr>
          <w:rFonts w:eastAsia="Times New Roman" w:cs="Times New Roman"/>
          <w:color w:val="000000"/>
          <w:szCs w:val="22"/>
          <w:lang w:eastAsia="en-AU"/>
        </w:rPr>
        <w:noBreakHyphen/>
        <w:t>over amount for the project area, </w:t>
      </w:r>
      <w:r w:rsidRPr="00570FEC">
        <w:rPr>
          <w:rFonts w:ascii="Symbol" w:eastAsia="Symbol" w:hAnsi="Symbol" w:cs="Symbol"/>
          <w:b/>
          <w:i/>
          <w:lang w:eastAsia="en-AU"/>
        </w:rPr>
        <w:sym w:font="Symbol" w:char="F044"/>
      </w:r>
      <w:proofErr w:type="spellStart"/>
      <w:proofErr w:type="gramStart"/>
      <w:r w:rsidRPr="006C5557">
        <w:rPr>
          <w:rFonts w:eastAsia="Times New Roman" w:cs="Times New Roman"/>
          <w:b/>
          <w:bCs/>
          <w:i/>
          <w:iCs/>
          <w:color w:val="000000"/>
          <w:szCs w:val="22"/>
          <w:lang w:eastAsia="en-AU"/>
        </w:rPr>
        <w:t>C</w:t>
      </w:r>
      <w:r w:rsidRPr="006C5557">
        <w:rPr>
          <w:rFonts w:eastAsia="Times New Roman" w:cs="Times New Roman"/>
          <w:b/>
          <w:bCs/>
          <w:i/>
          <w:iCs/>
          <w:color w:val="000000"/>
          <w:sz w:val="15"/>
          <w:szCs w:val="15"/>
          <w:vertAlign w:val="subscript"/>
          <w:lang w:eastAsia="en-AU"/>
        </w:rPr>
        <w:t>Seq,Prev</w:t>
      </w:r>
      <w:proofErr w:type="spellEnd"/>
      <w:proofErr w:type="gramEnd"/>
      <w:r w:rsidRPr="006C5557">
        <w:rPr>
          <w:rFonts w:eastAsia="Times New Roman" w:cs="Times New Roman"/>
          <w:color w:val="000000"/>
          <w:szCs w:val="22"/>
          <w:lang w:eastAsia="en-AU"/>
        </w:rPr>
        <w:t>, in tonnes CO</w:t>
      </w:r>
      <w:r w:rsidRPr="006C5557">
        <w:rPr>
          <w:rFonts w:eastAsia="Times New Roman" w:cs="Times New Roman"/>
          <w:color w:val="000000"/>
          <w:sz w:val="15"/>
          <w:szCs w:val="15"/>
          <w:vertAlign w:val="subscript"/>
          <w:lang w:eastAsia="en-AU"/>
        </w:rPr>
        <w:t>2</w:t>
      </w:r>
      <w:r w:rsidRPr="006C5557">
        <w:rPr>
          <w:rFonts w:eastAsia="Times New Roman" w:cs="Times New Roman"/>
          <w:color w:val="000000"/>
          <w:szCs w:val="22"/>
          <w:lang w:eastAsia="en-AU"/>
        </w:rPr>
        <w:noBreakHyphen/>
        <w:t>e, in accordance with section 3 of this Schedule; and</w:t>
      </w:r>
    </w:p>
    <w:p w14:paraId="455C9D1A" w14:textId="77777777" w:rsidR="006C5557" w:rsidRDefault="00570FEC" w:rsidP="004A7133">
      <w:pPr>
        <w:pStyle w:val="ListParagraph"/>
        <w:numPr>
          <w:ilvl w:val="0"/>
          <w:numId w:val="32"/>
        </w:numPr>
        <w:spacing w:before="40" w:line="240" w:lineRule="auto"/>
        <w:rPr>
          <w:rFonts w:eastAsia="Times New Roman" w:cs="Times New Roman"/>
          <w:color w:val="000000"/>
          <w:szCs w:val="22"/>
          <w:lang w:eastAsia="en-AU"/>
        </w:rPr>
      </w:pPr>
      <w:r w:rsidRPr="006C5557">
        <w:rPr>
          <w:rFonts w:eastAsia="Times New Roman" w:cs="Times New Roman"/>
          <w:color w:val="000000"/>
          <w:szCs w:val="22"/>
          <w:lang w:eastAsia="en-AU"/>
        </w:rPr>
        <w:t>calculating the contribution to the net abatement amount from sequestration for the project area for the calendar year, </w:t>
      </w:r>
      <w:proofErr w:type="spellStart"/>
      <w:r w:rsidRPr="006C5557">
        <w:rPr>
          <w:rFonts w:eastAsia="Times New Roman" w:cs="Times New Roman"/>
          <w:b/>
          <w:bCs/>
          <w:i/>
          <w:iCs/>
          <w:color w:val="000000"/>
          <w:szCs w:val="22"/>
          <w:lang w:eastAsia="en-AU"/>
        </w:rPr>
        <w:t>A</w:t>
      </w:r>
      <w:r w:rsidRPr="006C5557">
        <w:rPr>
          <w:rFonts w:eastAsia="Times New Roman" w:cs="Times New Roman"/>
          <w:b/>
          <w:bCs/>
          <w:i/>
          <w:iCs/>
          <w:color w:val="000000"/>
          <w:sz w:val="15"/>
          <w:szCs w:val="15"/>
          <w:vertAlign w:val="subscript"/>
          <w:lang w:eastAsia="en-AU"/>
        </w:rPr>
        <w:t>Seq</w:t>
      </w:r>
      <w:proofErr w:type="spellEnd"/>
      <w:r w:rsidRPr="006C5557">
        <w:rPr>
          <w:rFonts w:eastAsia="Times New Roman" w:cs="Times New Roman"/>
          <w:color w:val="000000"/>
          <w:szCs w:val="22"/>
          <w:lang w:eastAsia="en-AU"/>
        </w:rPr>
        <w:t>, in tonnes CO</w:t>
      </w:r>
      <w:r w:rsidRPr="006C5557">
        <w:rPr>
          <w:rFonts w:eastAsia="Times New Roman" w:cs="Times New Roman"/>
          <w:color w:val="000000"/>
          <w:sz w:val="15"/>
          <w:szCs w:val="15"/>
          <w:vertAlign w:val="subscript"/>
          <w:lang w:eastAsia="en-AU"/>
        </w:rPr>
        <w:t>2</w:t>
      </w:r>
      <w:r w:rsidRPr="006C5557">
        <w:rPr>
          <w:rFonts w:eastAsia="Times New Roman" w:cs="Times New Roman"/>
          <w:color w:val="000000"/>
          <w:szCs w:val="22"/>
          <w:lang w:eastAsia="en-AU"/>
        </w:rPr>
        <w:noBreakHyphen/>
        <w:t>e, in accordance with section 4 of this Schedule; and</w:t>
      </w:r>
    </w:p>
    <w:p w14:paraId="30785B3E" w14:textId="77777777" w:rsidR="006C5557" w:rsidRDefault="00570FEC" w:rsidP="004A7133">
      <w:pPr>
        <w:pStyle w:val="ListParagraph"/>
        <w:numPr>
          <w:ilvl w:val="0"/>
          <w:numId w:val="32"/>
        </w:numPr>
        <w:spacing w:before="40" w:line="240" w:lineRule="auto"/>
        <w:rPr>
          <w:rFonts w:eastAsia="Times New Roman" w:cs="Times New Roman"/>
          <w:color w:val="000000"/>
          <w:szCs w:val="22"/>
          <w:lang w:eastAsia="en-AU"/>
        </w:rPr>
      </w:pPr>
      <w:r w:rsidRPr="006C5557">
        <w:rPr>
          <w:rFonts w:eastAsia="Times New Roman" w:cs="Times New Roman"/>
          <w:color w:val="000000"/>
          <w:szCs w:val="22"/>
          <w:lang w:eastAsia="en-AU"/>
        </w:rPr>
        <w:t>determining the sequestration buffer, </w:t>
      </w:r>
      <w:proofErr w:type="spellStart"/>
      <w:r w:rsidRPr="006C5557">
        <w:rPr>
          <w:rFonts w:eastAsia="Times New Roman" w:cs="Times New Roman"/>
          <w:b/>
          <w:bCs/>
          <w:i/>
          <w:iCs/>
          <w:color w:val="000000"/>
          <w:szCs w:val="22"/>
          <w:lang w:eastAsia="en-AU"/>
        </w:rPr>
        <w:t>B</w:t>
      </w:r>
      <w:r w:rsidRPr="006C5557">
        <w:rPr>
          <w:rFonts w:eastAsia="Times New Roman" w:cs="Times New Roman"/>
          <w:b/>
          <w:bCs/>
          <w:i/>
          <w:iCs/>
          <w:color w:val="000000"/>
          <w:sz w:val="15"/>
          <w:szCs w:val="15"/>
          <w:vertAlign w:val="subscript"/>
          <w:lang w:eastAsia="en-AU"/>
        </w:rPr>
        <w:t>Seq</w:t>
      </w:r>
      <w:proofErr w:type="spellEnd"/>
      <w:r w:rsidRPr="006C5557">
        <w:rPr>
          <w:rFonts w:eastAsia="Times New Roman" w:cs="Times New Roman"/>
          <w:color w:val="000000"/>
          <w:szCs w:val="22"/>
          <w:lang w:eastAsia="en-AU"/>
        </w:rPr>
        <w:t>, in accordance with section 5 of this Schedule; and</w:t>
      </w:r>
    </w:p>
    <w:p w14:paraId="26AFD4DC" w14:textId="77777777" w:rsidR="006C5557" w:rsidRDefault="00570FEC" w:rsidP="004A7133">
      <w:pPr>
        <w:pStyle w:val="ListParagraph"/>
        <w:numPr>
          <w:ilvl w:val="0"/>
          <w:numId w:val="32"/>
        </w:numPr>
        <w:spacing w:before="40" w:line="240" w:lineRule="auto"/>
        <w:rPr>
          <w:rFonts w:eastAsia="Times New Roman" w:cs="Times New Roman"/>
          <w:color w:val="000000"/>
          <w:szCs w:val="22"/>
          <w:lang w:eastAsia="en-AU"/>
        </w:rPr>
      </w:pPr>
      <w:r w:rsidRPr="006C5557">
        <w:rPr>
          <w:rFonts w:eastAsia="Times New Roman" w:cs="Times New Roman"/>
          <w:color w:val="000000"/>
          <w:szCs w:val="22"/>
          <w:lang w:eastAsia="en-AU"/>
        </w:rPr>
        <w:t>determining which set of conditions set out in the table below is satisfied in relation to the project area for the calendar year; and</w:t>
      </w:r>
    </w:p>
    <w:p w14:paraId="30EEE831" w14:textId="77777777" w:rsidR="006C5557" w:rsidRDefault="00570FEC" w:rsidP="004A7133">
      <w:pPr>
        <w:pStyle w:val="ListParagraph"/>
        <w:numPr>
          <w:ilvl w:val="0"/>
          <w:numId w:val="32"/>
        </w:numPr>
        <w:spacing w:before="40" w:line="240" w:lineRule="auto"/>
        <w:rPr>
          <w:rFonts w:eastAsia="Times New Roman" w:cs="Times New Roman"/>
          <w:color w:val="000000"/>
          <w:szCs w:val="22"/>
          <w:lang w:eastAsia="en-AU"/>
        </w:rPr>
      </w:pPr>
      <w:r w:rsidRPr="006C5557">
        <w:rPr>
          <w:rFonts w:eastAsia="Times New Roman" w:cs="Times New Roman"/>
          <w:color w:val="000000"/>
          <w:szCs w:val="22"/>
          <w:lang w:eastAsia="en-AU"/>
        </w:rPr>
        <w:t>calculating,</w:t>
      </w:r>
      <w:r w:rsidRPr="006C5557">
        <w:rPr>
          <w:rFonts w:eastAsia="Times New Roman" w:cs="Times New Roman"/>
          <w:i/>
          <w:iCs/>
          <w:color w:val="000000"/>
          <w:szCs w:val="22"/>
          <w:lang w:eastAsia="en-AU"/>
        </w:rPr>
        <w:t> </w:t>
      </w:r>
      <w:r w:rsidRPr="006C5557">
        <w:rPr>
          <w:rFonts w:eastAsia="Times New Roman" w:cs="Times New Roman"/>
          <w:color w:val="000000"/>
          <w:szCs w:val="22"/>
          <w:lang w:eastAsia="en-AU"/>
        </w:rPr>
        <w:t>in accordance with the corresponding row of the table:</w:t>
      </w:r>
    </w:p>
    <w:p w14:paraId="54BCC27F" w14:textId="77777777" w:rsidR="006C5557" w:rsidRDefault="00570FEC" w:rsidP="004A7133">
      <w:pPr>
        <w:pStyle w:val="ListParagraph"/>
        <w:numPr>
          <w:ilvl w:val="1"/>
          <w:numId w:val="32"/>
        </w:numPr>
        <w:spacing w:before="40" w:line="240" w:lineRule="auto"/>
        <w:rPr>
          <w:rFonts w:eastAsia="Times New Roman" w:cs="Times New Roman"/>
          <w:color w:val="000000"/>
          <w:szCs w:val="22"/>
          <w:lang w:eastAsia="en-AU"/>
        </w:rPr>
      </w:pPr>
      <w:r w:rsidRPr="006C5557">
        <w:rPr>
          <w:rFonts w:eastAsia="Times New Roman" w:cs="Times New Roman"/>
          <w:color w:val="000000"/>
          <w:szCs w:val="22"/>
          <w:lang w:eastAsia="en-AU"/>
        </w:rPr>
        <w:t>the adjusted contribution to the net abatement amount from sequestration for the project area and for the calendar year, </w:t>
      </w:r>
      <w:proofErr w:type="spellStart"/>
      <w:proofErr w:type="gramStart"/>
      <w:r w:rsidRPr="006C5557">
        <w:rPr>
          <w:rFonts w:eastAsia="Times New Roman" w:cs="Times New Roman"/>
          <w:i/>
          <w:iCs/>
          <w:color w:val="000000"/>
          <w:szCs w:val="22"/>
          <w:lang w:eastAsia="en-AU"/>
        </w:rPr>
        <w:t>A</w:t>
      </w:r>
      <w:r w:rsidRPr="006C5557">
        <w:rPr>
          <w:rFonts w:eastAsia="Times New Roman" w:cs="Times New Roman"/>
          <w:i/>
          <w:iCs/>
          <w:color w:val="000000"/>
          <w:sz w:val="15"/>
          <w:szCs w:val="15"/>
          <w:vertAlign w:val="subscript"/>
          <w:lang w:eastAsia="en-AU"/>
        </w:rPr>
        <w:t>Seq,adj</w:t>
      </w:r>
      <w:proofErr w:type="spellEnd"/>
      <w:proofErr w:type="gramEnd"/>
      <w:r w:rsidRPr="006C5557">
        <w:rPr>
          <w:rFonts w:eastAsia="Times New Roman" w:cs="Times New Roman"/>
          <w:color w:val="000000"/>
          <w:szCs w:val="22"/>
          <w:lang w:eastAsia="en-AU"/>
        </w:rPr>
        <w:t>, in tonnes CO</w:t>
      </w:r>
      <w:r w:rsidRPr="006C5557">
        <w:rPr>
          <w:rFonts w:eastAsia="Times New Roman" w:cs="Times New Roman"/>
          <w:color w:val="000000"/>
          <w:sz w:val="15"/>
          <w:szCs w:val="15"/>
          <w:vertAlign w:val="subscript"/>
          <w:lang w:eastAsia="en-AU"/>
        </w:rPr>
        <w:t>2</w:t>
      </w:r>
      <w:r w:rsidRPr="006C5557">
        <w:rPr>
          <w:rFonts w:eastAsia="Times New Roman" w:cs="Times New Roman"/>
          <w:color w:val="000000"/>
          <w:szCs w:val="22"/>
          <w:lang w:eastAsia="en-AU"/>
        </w:rPr>
        <w:noBreakHyphen/>
        <w:t>e; and</w:t>
      </w:r>
    </w:p>
    <w:p w14:paraId="01E696AD" w14:textId="143873BC" w:rsidR="00570FEC" w:rsidRPr="006C5557" w:rsidRDefault="00570FEC" w:rsidP="004A7133">
      <w:pPr>
        <w:pStyle w:val="ListParagraph"/>
        <w:numPr>
          <w:ilvl w:val="1"/>
          <w:numId w:val="32"/>
        </w:numPr>
        <w:spacing w:before="40" w:line="240" w:lineRule="auto"/>
        <w:rPr>
          <w:rFonts w:eastAsia="Times New Roman" w:cs="Times New Roman"/>
          <w:color w:val="000000"/>
          <w:szCs w:val="22"/>
          <w:lang w:eastAsia="en-AU"/>
        </w:rPr>
      </w:pPr>
      <w:r w:rsidRPr="006C5557">
        <w:rPr>
          <w:rFonts w:eastAsia="Times New Roman" w:cs="Times New Roman"/>
          <w:color w:val="000000"/>
          <w:szCs w:val="22"/>
          <w:lang w:eastAsia="en-AU"/>
        </w:rPr>
        <w:t>the current year’s carry</w:t>
      </w:r>
      <w:r w:rsidRPr="006C5557">
        <w:rPr>
          <w:rFonts w:eastAsia="Times New Roman" w:cs="Times New Roman"/>
          <w:color w:val="000000"/>
          <w:szCs w:val="22"/>
          <w:lang w:eastAsia="en-AU"/>
        </w:rPr>
        <w:noBreakHyphen/>
        <w:t>over amount for the project area, </w:t>
      </w:r>
      <w:r w:rsidRPr="00570FEC">
        <w:rPr>
          <w:rFonts w:ascii="Symbol" w:eastAsia="Symbol" w:hAnsi="Symbol" w:cs="Symbol"/>
          <w:b/>
          <w:i/>
          <w:lang w:eastAsia="en-AU"/>
        </w:rPr>
        <w:sym w:font="Symbol" w:char="F044"/>
      </w:r>
      <w:proofErr w:type="spellStart"/>
      <w:proofErr w:type="gramStart"/>
      <w:r w:rsidRPr="006C5557">
        <w:rPr>
          <w:rFonts w:eastAsia="Times New Roman" w:cs="Times New Roman"/>
          <w:b/>
          <w:bCs/>
          <w:i/>
          <w:iCs/>
          <w:color w:val="000000"/>
          <w:szCs w:val="22"/>
          <w:lang w:eastAsia="en-AU"/>
        </w:rPr>
        <w:t>C</w:t>
      </w:r>
      <w:r w:rsidRPr="006C5557">
        <w:rPr>
          <w:rFonts w:eastAsia="Times New Roman" w:cs="Times New Roman"/>
          <w:b/>
          <w:bCs/>
          <w:i/>
          <w:iCs/>
          <w:color w:val="000000"/>
          <w:sz w:val="15"/>
          <w:szCs w:val="15"/>
          <w:vertAlign w:val="subscript"/>
          <w:lang w:eastAsia="en-AU"/>
        </w:rPr>
        <w:t>Seq,Curr</w:t>
      </w:r>
      <w:proofErr w:type="spellEnd"/>
      <w:proofErr w:type="gramEnd"/>
      <w:r w:rsidRPr="006C5557">
        <w:rPr>
          <w:rFonts w:eastAsia="Times New Roman" w:cs="Times New Roman"/>
          <w:color w:val="000000"/>
          <w:szCs w:val="22"/>
          <w:lang w:eastAsia="en-AU"/>
        </w:rPr>
        <w:t>, in tonnes CO</w:t>
      </w:r>
      <w:r w:rsidRPr="006C5557">
        <w:rPr>
          <w:rFonts w:eastAsia="Times New Roman" w:cs="Times New Roman"/>
          <w:color w:val="000000"/>
          <w:sz w:val="15"/>
          <w:szCs w:val="15"/>
          <w:vertAlign w:val="subscript"/>
          <w:lang w:eastAsia="en-AU"/>
        </w:rPr>
        <w:t>2</w:t>
      </w:r>
      <w:r w:rsidRPr="006C5557">
        <w:rPr>
          <w:rFonts w:eastAsia="Times New Roman" w:cs="Times New Roman"/>
          <w:color w:val="000000"/>
          <w:szCs w:val="22"/>
          <w:lang w:eastAsia="en-AU"/>
        </w:rPr>
        <w:t>-e.</w:t>
      </w:r>
    </w:p>
    <w:tbl>
      <w:tblPr>
        <w:tblW w:w="8251" w:type="dxa"/>
        <w:tblInd w:w="284" w:type="dxa"/>
        <w:tblCellMar>
          <w:left w:w="0" w:type="dxa"/>
          <w:right w:w="0" w:type="dxa"/>
        </w:tblCellMar>
        <w:tblLook w:val="04A0" w:firstRow="1" w:lastRow="0" w:firstColumn="1" w:lastColumn="0" w:noHBand="0" w:noVBand="1"/>
      </w:tblPr>
      <w:tblGrid>
        <w:gridCol w:w="567"/>
        <w:gridCol w:w="1701"/>
        <w:gridCol w:w="3969"/>
        <w:gridCol w:w="1997"/>
        <w:gridCol w:w="17"/>
      </w:tblGrid>
      <w:tr w:rsidR="00570FEC" w:rsidRPr="00570FEC" w14:paraId="1BA3743A" w14:textId="77777777" w:rsidTr="00247BA1">
        <w:trPr>
          <w:tblHeader/>
        </w:trPr>
        <w:tc>
          <w:tcPr>
            <w:tcW w:w="567" w:type="dxa"/>
            <w:tcBorders>
              <w:top w:val="single" w:sz="18" w:space="0" w:color="000000"/>
              <w:bottom w:val="single" w:sz="6" w:space="0" w:color="000000"/>
            </w:tcBorders>
            <w:tcMar>
              <w:top w:w="34" w:type="dxa"/>
              <w:left w:w="28" w:type="dxa"/>
              <w:bottom w:w="50" w:type="dxa"/>
              <w:right w:w="28" w:type="dxa"/>
            </w:tcMar>
            <w:hideMark/>
          </w:tcPr>
          <w:p w14:paraId="062F1CD4" w14:textId="77777777" w:rsidR="00570FEC" w:rsidRPr="00570FEC" w:rsidRDefault="00570FEC" w:rsidP="00570FEC">
            <w:pPr>
              <w:spacing w:before="60" w:line="240" w:lineRule="atLeast"/>
              <w:jc w:val="center"/>
              <w:rPr>
                <w:rFonts w:eastAsia="Times New Roman" w:cs="Times New Roman"/>
                <w:b/>
                <w:bCs/>
                <w:color w:val="000000"/>
                <w:sz w:val="20"/>
                <w:lang w:eastAsia="en-AU"/>
              </w:rPr>
            </w:pPr>
            <w:r w:rsidRPr="00570FEC">
              <w:rPr>
                <w:rFonts w:eastAsia="Times New Roman" w:cs="Times New Roman"/>
                <w:b/>
                <w:bCs/>
                <w:color w:val="000000"/>
                <w:sz w:val="20"/>
                <w:lang w:eastAsia="en-AU"/>
              </w:rPr>
              <w:t> </w:t>
            </w:r>
          </w:p>
        </w:tc>
        <w:tc>
          <w:tcPr>
            <w:tcW w:w="7684" w:type="dxa"/>
            <w:gridSpan w:val="4"/>
            <w:tcBorders>
              <w:top w:val="single" w:sz="18" w:space="0" w:color="000000"/>
              <w:bottom w:val="single" w:sz="6" w:space="0" w:color="000000"/>
            </w:tcBorders>
            <w:tcMar>
              <w:top w:w="34" w:type="dxa"/>
              <w:left w:w="28" w:type="dxa"/>
              <w:bottom w:w="50" w:type="dxa"/>
              <w:right w:w="28" w:type="dxa"/>
            </w:tcMar>
            <w:hideMark/>
          </w:tcPr>
          <w:p w14:paraId="5871AA69" w14:textId="77777777" w:rsidR="00570FEC" w:rsidRPr="00570FEC" w:rsidRDefault="00570FEC" w:rsidP="00570FEC">
            <w:pPr>
              <w:spacing w:before="60" w:line="240" w:lineRule="atLeast"/>
              <w:jc w:val="center"/>
              <w:rPr>
                <w:rFonts w:eastAsia="Times New Roman" w:cs="Times New Roman"/>
                <w:b/>
                <w:bCs/>
                <w:color w:val="000000"/>
                <w:sz w:val="20"/>
                <w:lang w:eastAsia="en-AU"/>
              </w:rPr>
            </w:pPr>
            <w:r w:rsidRPr="00570FEC">
              <w:rPr>
                <w:rFonts w:eastAsia="Times New Roman" w:cs="Times New Roman"/>
                <w:b/>
                <w:bCs/>
                <w:color w:val="000000"/>
                <w:sz w:val="20"/>
                <w:lang w:eastAsia="en-AU"/>
              </w:rPr>
              <w:t>Calculation of adjusted contribution to net abatement amount from sequestration</w:t>
            </w:r>
          </w:p>
        </w:tc>
      </w:tr>
      <w:tr w:rsidR="00570FEC" w:rsidRPr="00570FEC" w14:paraId="0488E7E8" w14:textId="77777777" w:rsidTr="00247BA1">
        <w:trPr>
          <w:gridAfter w:val="1"/>
          <w:wAfter w:w="17" w:type="dxa"/>
          <w:tblHeader/>
        </w:trPr>
        <w:tc>
          <w:tcPr>
            <w:tcW w:w="567" w:type="dxa"/>
            <w:tcBorders>
              <w:top w:val="single" w:sz="6" w:space="0" w:color="000000"/>
              <w:bottom w:val="single" w:sz="18" w:space="0" w:color="000000"/>
            </w:tcBorders>
            <w:tcMar>
              <w:top w:w="50" w:type="dxa"/>
              <w:left w:w="28" w:type="dxa"/>
              <w:bottom w:w="34" w:type="dxa"/>
              <w:right w:w="28" w:type="dxa"/>
            </w:tcMar>
            <w:hideMark/>
          </w:tcPr>
          <w:p w14:paraId="68AE8373" w14:textId="77777777" w:rsidR="00570FEC" w:rsidRPr="00570FEC" w:rsidRDefault="00570FEC" w:rsidP="00570FEC">
            <w:pPr>
              <w:spacing w:before="60" w:line="240" w:lineRule="atLeast"/>
              <w:rPr>
                <w:rFonts w:eastAsia="Times New Roman" w:cs="Times New Roman"/>
                <w:b/>
                <w:bCs/>
                <w:color w:val="000000"/>
                <w:sz w:val="20"/>
                <w:lang w:eastAsia="en-AU"/>
              </w:rPr>
            </w:pPr>
            <w:r w:rsidRPr="00570FEC">
              <w:rPr>
                <w:rFonts w:eastAsia="Times New Roman" w:cs="Times New Roman"/>
                <w:b/>
                <w:bCs/>
                <w:color w:val="000000"/>
                <w:sz w:val="20"/>
                <w:lang w:eastAsia="en-AU"/>
              </w:rPr>
              <w:t>Item</w:t>
            </w:r>
          </w:p>
        </w:tc>
        <w:tc>
          <w:tcPr>
            <w:tcW w:w="1701" w:type="dxa"/>
            <w:tcBorders>
              <w:top w:val="single" w:sz="6" w:space="0" w:color="000000"/>
              <w:bottom w:val="single" w:sz="18" w:space="0" w:color="000000"/>
            </w:tcBorders>
            <w:tcMar>
              <w:top w:w="50" w:type="dxa"/>
              <w:left w:w="28" w:type="dxa"/>
              <w:bottom w:w="34" w:type="dxa"/>
              <w:right w:w="28" w:type="dxa"/>
            </w:tcMar>
            <w:hideMark/>
          </w:tcPr>
          <w:p w14:paraId="09F5BD54" w14:textId="77777777" w:rsidR="00570FEC" w:rsidRPr="00570FEC" w:rsidRDefault="00570FEC" w:rsidP="00570FEC">
            <w:pPr>
              <w:spacing w:before="60" w:line="240" w:lineRule="atLeast"/>
              <w:rPr>
                <w:rFonts w:eastAsia="Times New Roman" w:cs="Times New Roman"/>
                <w:b/>
                <w:bCs/>
                <w:color w:val="000000"/>
                <w:sz w:val="20"/>
                <w:lang w:eastAsia="en-AU"/>
              </w:rPr>
            </w:pPr>
            <w:r w:rsidRPr="00570FEC">
              <w:rPr>
                <w:rFonts w:eastAsia="Times New Roman" w:cs="Times New Roman"/>
                <w:b/>
                <w:bCs/>
                <w:color w:val="000000"/>
                <w:sz w:val="20"/>
                <w:lang w:eastAsia="en-AU"/>
              </w:rPr>
              <w:t>Conditions</w:t>
            </w:r>
          </w:p>
        </w:tc>
        <w:tc>
          <w:tcPr>
            <w:tcW w:w="3969" w:type="dxa"/>
            <w:tcBorders>
              <w:top w:val="single" w:sz="6" w:space="0" w:color="000000"/>
              <w:bottom w:val="single" w:sz="18" w:space="0" w:color="000000"/>
            </w:tcBorders>
            <w:tcMar>
              <w:top w:w="50" w:type="dxa"/>
              <w:left w:w="28" w:type="dxa"/>
              <w:bottom w:w="34" w:type="dxa"/>
              <w:right w:w="28" w:type="dxa"/>
            </w:tcMar>
            <w:hideMark/>
          </w:tcPr>
          <w:p w14:paraId="336CFE3B" w14:textId="77777777" w:rsidR="00570FEC" w:rsidRPr="00570FEC" w:rsidRDefault="00570FEC" w:rsidP="00570FEC">
            <w:pPr>
              <w:spacing w:before="60" w:line="240" w:lineRule="atLeast"/>
              <w:rPr>
                <w:rFonts w:eastAsia="Times New Roman" w:cs="Times New Roman"/>
                <w:b/>
                <w:bCs/>
                <w:color w:val="000000"/>
                <w:sz w:val="20"/>
                <w:lang w:eastAsia="en-AU"/>
              </w:rPr>
            </w:pPr>
            <w:proofErr w:type="spellStart"/>
            <w:proofErr w:type="gramStart"/>
            <w:r w:rsidRPr="00570FEC">
              <w:rPr>
                <w:rFonts w:eastAsia="Times New Roman" w:cs="Times New Roman"/>
                <w:b/>
                <w:bCs/>
                <w:i/>
                <w:iCs/>
                <w:color w:val="000000"/>
                <w:sz w:val="20"/>
                <w:lang w:eastAsia="en-AU"/>
              </w:rPr>
              <w:t>A</w:t>
            </w:r>
            <w:r w:rsidRPr="00570FEC">
              <w:rPr>
                <w:rFonts w:eastAsia="Times New Roman" w:cs="Times New Roman"/>
                <w:b/>
                <w:bCs/>
                <w:i/>
                <w:iCs/>
                <w:color w:val="000000"/>
                <w:sz w:val="13"/>
                <w:szCs w:val="13"/>
                <w:vertAlign w:val="subscript"/>
                <w:lang w:eastAsia="en-AU"/>
              </w:rPr>
              <w:t>Seq,adj</w:t>
            </w:r>
            <w:proofErr w:type="spellEnd"/>
            <w:proofErr w:type="gramEnd"/>
          </w:p>
        </w:tc>
        <w:tc>
          <w:tcPr>
            <w:tcW w:w="1997" w:type="dxa"/>
            <w:tcBorders>
              <w:top w:val="single" w:sz="6" w:space="0" w:color="000000"/>
              <w:bottom w:val="single" w:sz="18" w:space="0" w:color="000000"/>
            </w:tcBorders>
            <w:tcMar>
              <w:top w:w="50" w:type="dxa"/>
              <w:left w:w="28" w:type="dxa"/>
              <w:bottom w:w="34" w:type="dxa"/>
              <w:right w:w="28" w:type="dxa"/>
            </w:tcMar>
            <w:hideMark/>
          </w:tcPr>
          <w:p w14:paraId="7761F88B" w14:textId="77777777" w:rsidR="00570FEC" w:rsidRPr="00570FEC" w:rsidRDefault="00570FEC" w:rsidP="00570FEC">
            <w:pPr>
              <w:spacing w:before="60" w:line="240" w:lineRule="atLeast"/>
              <w:rPr>
                <w:rFonts w:eastAsia="Times New Roman" w:cs="Times New Roman"/>
                <w:b/>
                <w:bCs/>
                <w:color w:val="000000"/>
                <w:sz w:val="20"/>
                <w:lang w:eastAsia="en-AU"/>
              </w:rPr>
            </w:pPr>
            <w:r w:rsidRPr="00570FEC">
              <w:rPr>
                <w:rFonts w:ascii="Symbol" w:eastAsia="Symbol" w:hAnsi="Symbol" w:cs="Symbol"/>
                <w:i/>
                <w:color w:val="000000"/>
                <w:sz w:val="20"/>
                <w:lang w:eastAsia="en-AU"/>
              </w:rPr>
              <w:sym w:font="Symbol" w:char="F044"/>
            </w:r>
            <w:proofErr w:type="spellStart"/>
            <w:proofErr w:type="gramStart"/>
            <w:r w:rsidRPr="00570FEC">
              <w:rPr>
                <w:rFonts w:eastAsia="Times New Roman" w:cs="Times New Roman"/>
                <w:i/>
                <w:iCs/>
                <w:color w:val="000000"/>
                <w:sz w:val="20"/>
                <w:lang w:eastAsia="en-AU"/>
              </w:rPr>
              <w:t>C</w:t>
            </w:r>
            <w:r w:rsidRPr="00570FEC">
              <w:rPr>
                <w:rFonts w:eastAsia="Times New Roman" w:cs="Times New Roman"/>
                <w:i/>
                <w:iCs/>
                <w:color w:val="000000"/>
                <w:sz w:val="13"/>
                <w:szCs w:val="13"/>
                <w:vertAlign w:val="subscript"/>
                <w:lang w:eastAsia="en-AU"/>
              </w:rPr>
              <w:t>Seq,Curr</w:t>
            </w:r>
            <w:proofErr w:type="spellEnd"/>
            <w:proofErr w:type="gramEnd"/>
          </w:p>
        </w:tc>
      </w:tr>
      <w:tr w:rsidR="00570FEC" w:rsidRPr="00570FEC" w14:paraId="5FACBF27" w14:textId="77777777" w:rsidTr="00247BA1">
        <w:trPr>
          <w:gridAfter w:val="1"/>
          <w:wAfter w:w="17" w:type="dxa"/>
        </w:trPr>
        <w:tc>
          <w:tcPr>
            <w:tcW w:w="567" w:type="dxa"/>
            <w:tcBorders>
              <w:top w:val="single" w:sz="18" w:space="0" w:color="000000"/>
              <w:bottom w:val="single" w:sz="6" w:space="0" w:color="000000"/>
            </w:tcBorders>
            <w:tcMar>
              <w:top w:w="34" w:type="dxa"/>
              <w:left w:w="28" w:type="dxa"/>
              <w:bottom w:w="50" w:type="dxa"/>
              <w:right w:w="28" w:type="dxa"/>
            </w:tcMar>
            <w:hideMark/>
          </w:tcPr>
          <w:p w14:paraId="1335690E" w14:textId="77777777" w:rsidR="00570FEC" w:rsidRPr="00570FEC" w:rsidRDefault="00570FEC" w:rsidP="00570FEC">
            <w:pPr>
              <w:spacing w:before="60" w:line="240" w:lineRule="atLeast"/>
              <w:rPr>
                <w:rFonts w:eastAsia="Times New Roman" w:cs="Times New Roman"/>
                <w:color w:val="000000"/>
                <w:sz w:val="20"/>
                <w:lang w:eastAsia="en-AU"/>
              </w:rPr>
            </w:pPr>
            <w:r w:rsidRPr="00570FEC">
              <w:rPr>
                <w:rFonts w:eastAsia="Times New Roman" w:cs="Times New Roman"/>
                <w:color w:val="000000"/>
                <w:sz w:val="20"/>
                <w:lang w:eastAsia="en-AU"/>
              </w:rPr>
              <w:t>1</w:t>
            </w:r>
          </w:p>
        </w:tc>
        <w:tc>
          <w:tcPr>
            <w:tcW w:w="1701" w:type="dxa"/>
            <w:tcBorders>
              <w:top w:val="single" w:sz="18" w:space="0" w:color="000000"/>
              <w:bottom w:val="single" w:sz="6" w:space="0" w:color="000000"/>
              <w:right w:val="double" w:sz="4" w:space="0" w:color="000000"/>
            </w:tcBorders>
            <w:tcMar>
              <w:top w:w="34" w:type="dxa"/>
              <w:left w:w="28" w:type="dxa"/>
              <w:bottom w:w="50" w:type="dxa"/>
              <w:right w:w="13" w:type="dxa"/>
            </w:tcMar>
            <w:hideMark/>
          </w:tcPr>
          <w:p w14:paraId="030BF34A" w14:textId="77777777" w:rsidR="00570FEC" w:rsidRPr="00570FEC" w:rsidRDefault="00570FEC" w:rsidP="00D16BEE">
            <w:pPr>
              <w:spacing w:before="60" w:line="240" w:lineRule="atLeast"/>
              <w:ind w:right="125"/>
              <w:rPr>
                <w:rFonts w:eastAsia="Times New Roman" w:cs="Times New Roman"/>
                <w:color w:val="000000"/>
                <w:sz w:val="20"/>
                <w:lang w:eastAsia="en-AU"/>
              </w:rPr>
            </w:pPr>
            <w:proofErr w:type="spellStart"/>
            <w:r w:rsidRPr="00570FEC">
              <w:rPr>
                <w:rFonts w:eastAsia="Times New Roman" w:cs="Times New Roman"/>
                <w:i/>
                <w:iCs/>
                <w:color w:val="000000"/>
                <w:sz w:val="20"/>
                <w:lang w:eastAsia="en-AU"/>
              </w:rPr>
              <w:t>A</w:t>
            </w:r>
            <w:r w:rsidRPr="00570FEC">
              <w:rPr>
                <w:rFonts w:eastAsia="Times New Roman" w:cs="Times New Roman"/>
                <w:i/>
                <w:iCs/>
                <w:color w:val="000000"/>
                <w:sz w:val="13"/>
                <w:szCs w:val="13"/>
                <w:vertAlign w:val="subscript"/>
                <w:lang w:eastAsia="en-AU"/>
              </w:rPr>
              <w:t>Seq</w:t>
            </w:r>
            <w:proofErr w:type="spellEnd"/>
            <w:r w:rsidRPr="00570FEC">
              <w:rPr>
                <w:rFonts w:eastAsia="Times New Roman" w:cs="Times New Roman"/>
                <w:color w:val="000000"/>
                <w:sz w:val="20"/>
                <w:lang w:eastAsia="en-AU"/>
              </w:rPr>
              <w:t> + </w:t>
            </w:r>
            <w:r w:rsidRPr="00570FEC">
              <w:rPr>
                <w:rFonts w:ascii="Symbol" w:eastAsia="Symbol" w:hAnsi="Symbol" w:cs="Symbol"/>
                <w:i/>
                <w:color w:val="000000"/>
                <w:sz w:val="20"/>
                <w:lang w:eastAsia="en-AU"/>
              </w:rPr>
              <w:sym w:font="Symbol" w:char="F044"/>
            </w:r>
            <w:proofErr w:type="spellStart"/>
            <w:proofErr w:type="gramStart"/>
            <w:r w:rsidRPr="00570FEC">
              <w:rPr>
                <w:rFonts w:eastAsia="Times New Roman" w:cs="Times New Roman"/>
                <w:i/>
                <w:iCs/>
                <w:color w:val="000000"/>
                <w:sz w:val="20"/>
                <w:lang w:eastAsia="en-AU"/>
              </w:rPr>
              <w:t>C</w:t>
            </w:r>
            <w:r w:rsidRPr="00570FEC">
              <w:rPr>
                <w:rFonts w:eastAsia="Times New Roman" w:cs="Times New Roman"/>
                <w:i/>
                <w:iCs/>
                <w:color w:val="000000"/>
                <w:sz w:val="13"/>
                <w:szCs w:val="13"/>
                <w:vertAlign w:val="subscript"/>
                <w:lang w:eastAsia="en-AU"/>
              </w:rPr>
              <w:t>Seq,Prev</w:t>
            </w:r>
            <w:proofErr w:type="spellEnd"/>
            <w:proofErr w:type="gramEnd"/>
            <w:r w:rsidRPr="00570FEC">
              <w:rPr>
                <w:rFonts w:eastAsia="Times New Roman" w:cs="Times New Roman"/>
                <w:i/>
                <w:iCs/>
                <w:color w:val="000000"/>
                <w:sz w:val="13"/>
                <w:szCs w:val="13"/>
                <w:vertAlign w:val="subscript"/>
                <w:lang w:eastAsia="en-AU"/>
              </w:rPr>
              <w:t> </w:t>
            </w:r>
            <w:r w:rsidRPr="00570FEC">
              <w:rPr>
                <w:rFonts w:ascii="Symbol" w:eastAsia="Symbol" w:hAnsi="Symbol" w:cs="Symbol"/>
                <w:color w:val="000000"/>
                <w:sz w:val="20"/>
                <w:lang w:eastAsia="en-AU"/>
              </w:rPr>
              <w:sym w:font="Symbol" w:char="F0B3"/>
            </w:r>
            <w:r w:rsidRPr="00570FEC">
              <w:rPr>
                <w:rFonts w:eastAsia="Times New Roman" w:cs="Times New Roman"/>
                <w:color w:val="000000"/>
                <w:sz w:val="20"/>
                <w:lang w:eastAsia="en-AU"/>
              </w:rPr>
              <w:t> 0</w:t>
            </w:r>
          </w:p>
        </w:tc>
        <w:tc>
          <w:tcPr>
            <w:tcW w:w="3969" w:type="dxa"/>
            <w:tcBorders>
              <w:top w:val="single" w:sz="18" w:space="0" w:color="000000"/>
              <w:left w:val="double" w:sz="4" w:space="0" w:color="000000"/>
              <w:bottom w:val="single" w:sz="6" w:space="0" w:color="000000"/>
              <w:right w:val="single" w:sz="6" w:space="0" w:color="000000"/>
            </w:tcBorders>
            <w:tcMar>
              <w:top w:w="34" w:type="dxa"/>
              <w:left w:w="13" w:type="dxa"/>
              <w:bottom w:w="50" w:type="dxa"/>
              <w:right w:w="20" w:type="dxa"/>
            </w:tcMar>
            <w:hideMark/>
          </w:tcPr>
          <w:p w14:paraId="7C811002" w14:textId="77777777" w:rsidR="00570FEC" w:rsidRPr="00570FEC" w:rsidRDefault="00570FEC" w:rsidP="00570FEC">
            <w:pPr>
              <w:spacing w:before="60" w:line="240" w:lineRule="atLeast"/>
              <w:rPr>
                <w:rFonts w:eastAsia="Times New Roman" w:cs="Times New Roman"/>
                <w:color w:val="000000"/>
                <w:sz w:val="20"/>
                <w:lang w:eastAsia="en-AU"/>
              </w:rPr>
            </w:pPr>
            <w:r w:rsidRPr="00570FEC">
              <w:rPr>
                <w:rFonts w:eastAsia="Times New Roman" w:cs="Times New Roman"/>
                <w:color w:val="000000"/>
                <w:sz w:val="20"/>
                <w:lang w:eastAsia="en-AU"/>
              </w:rPr>
              <w:t>(1 –</w:t>
            </w:r>
            <w:r w:rsidRPr="00570FEC">
              <w:rPr>
                <w:rFonts w:eastAsia="Times New Roman" w:cs="Times New Roman"/>
                <w:i/>
                <w:iCs/>
                <w:color w:val="000000"/>
                <w:sz w:val="20"/>
                <w:lang w:eastAsia="en-AU"/>
              </w:rPr>
              <w:t> </w:t>
            </w:r>
            <w:proofErr w:type="spellStart"/>
            <w:r w:rsidRPr="00570FEC">
              <w:rPr>
                <w:rFonts w:eastAsia="Times New Roman" w:cs="Times New Roman"/>
                <w:i/>
                <w:iCs/>
                <w:color w:val="000000"/>
                <w:sz w:val="20"/>
                <w:lang w:eastAsia="en-AU"/>
              </w:rPr>
              <w:t>B</w:t>
            </w:r>
            <w:r w:rsidRPr="00570FEC">
              <w:rPr>
                <w:rFonts w:eastAsia="Times New Roman" w:cs="Times New Roman"/>
                <w:i/>
                <w:iCs/>
                <w:color w:val="000000"/>
                <w:sz w:val="13"/>
                <w:szCs w:val="13"/>
                <w:vertAlign w:val="subscript"/>
                <w:lang w:eastAsia="en-AU"/>
              </w:rPr>
              <w:t>Seq</w:t>
            </w:r>
            <w:proofErr w:type="spellEnd"/>
            <w:r w:rsidRPr="00570FEC">
              <w:rPr>
                <w:rFonts w:eastAsia="Times New Roman" w:cs="Times New Roman"/>
                <w:color w:val="000000"/>
                <w:sz w:val="20"/>
                <w:lang w:eastAsia="en-AU"/>
              </w:rPr>
              <w:t>)</w:t>
            </w:r>
            <w:r w:rsidRPr="00570FEC">
              <w:rPr>
                <w:rFonts w:eastAsia="Times New Roman" w:cs="Times New Roman"/>
                <w:i/>
                <w:iCs/>
                <w:color w:val="000000"/>
                <w:sz w:val="20"/>
                <w:lang w:eastAsia="en-AU"/>
              </w:rPr>
              <w:t> </w:t>
            </w:r>
            <w:r w:rsidRPr="00570FEC">
              <w:rPr>
                <w:rFonts w:ascii="Symbol" w:eastAsia="Symbol" w:hAnsi="Symbol" w:cs="Symbol"/>
                <w:color w:val="000000"/>
                <w:sz w:val="20"/>
                <w:lang w:eastAsia="en-AU"/>
              </w:rPr>
              <w:sym w:font="Symbol" w:char="F0B4"/>
            </w:r>
            <w:r w:rsidRPr="00570FEC">
              <w:rPr>
                <w:rFonts w:eastAsia="Times New Roman" w:cs="Times New Roman"/>
                <w:i/>
                <w:iCs/>
                <w:color w:val="000000"/>
                <w:sz w:val="20"/>
                <w:lang w:eastAsia="en-AU"/>
              </w:rPr>
              <w:t> </w:t>
            </w:r>
            <w:r w:rsidRPr="00570FEC">
              <w:rPr>
                <w:rFonts w:eastAsia="Times New Roman" w:cs="Times New Roman"/>
                <w:color w:val="000000"/>
                <w:sz w:val="20"/>
                <w:lang w:eastAsia="en-AU"/>
              </w:rPr>
              <w:t>(</w:t>
            </w:r>
            <w:proofErr w:type="spellStart"/>
            <w:r w:rsidRPr="00570FEC">
              <w:rPr>
                <w:rFonts w:eastAsia="Times New Roman" w:cs="Times New Roman"/>
                <w:i/>
                <w:iCs/>
                <w:color w:val="000000"/>
                <w:sz w:val="20"/>
                <w:lang w:eastAsia="en-AU"/>
              </w:rPr>
              <w:t>A</w:t>
            </w:r>
            <w:r w:rsidRPr="00570FEC">
              <w:rPr>
                <w:rFonts w:eastAsia="Times New Roman" w:cs="Times New Roman"/>
                <w:i/>
                <w:iCs/>
                <w:color w:val="000000"/>
                <w:sz w:val="13"/>
                <w:szCs w:val="13"/>
                <w:vertAlign w:val="subscript"/>
                <w:lang w:eastAsia="en-AU"/>
              </w:rPr>
              <w:t>Seq</w:t>
            </w:r>
            <w:proofErr w:type="spellEnd"/>
            <w:r w:rsidRPr="00570FEC">
              <w:rPr>
                <w:rFonts w:eastAsia="Times New Roman" w:cs="Times New Roman"/>
                <w:color w:val="000000"/>
                <w:sz w:val="20"/>
                <w:lang w:eastAsia="en-AU"/>
              </w:rPr>
              <w:t> + </w:t>
            </w:r>
            <w:r w:rsidRPr="00570FEC">
              <w:rPr>
                <w:rFonts w:ascii="Symbol" w:eastAsia="Symbol" w:hAnsi="Symbol" w:cs="Symbol"/>
                <w:i/>
                <w:color w:val="000000"/>
                <w:sz w:val="20"/>
                <w:lang w:eastAsia="en-AU"/>
              </w:rPr>
              <w:sym w:font="Symbol" w:char="F044"/>
            </w:r>
            <w:proofErr w:type="spellStart"/>
            <w:proofErr w:type="gramStart"/>
            <w:r w:rsidRPr="00570FEC">
              <w:rPr>
                <w:rFonts w:eastAsia="Times New Roman" w:cs="Times New Roman"/>
                <w:i/>
                <w:iCs/>
                <w:color w:val="000000"/>
                <w:sz w:val="20"/>
                <w:lang w:eastAsia="en-AU"/>
              </w:rPr>
              <w:t>C</w:t>
            </w:r>
            <w:r w:rsidRPr="00570FEC">
              <w:rPr>
                <w:rFonts w:eastAsia="Times New Roman" w:cs="Times New Roman"/>
                <w:i/>
                <w:iCs/>
                <w:color w:val="000000"/>
                <w:sz w:val="13"/>
                <w:szCs w:val="13"/>
                <w:vertAlign w:val="subscript"/>
                <w:lang w:eastAsia="en-AU"/>
              </w:rPr>
              <w:t>Seq,Prev</w:t>
            </w:r>
            <w:proofErr w:type="spellEnd"/>
            <w:proofErr w:type="gramEnd"/>
            <w:r w:rsidRPr="00570FEC">
              <w:rPr>
                <w:rFonts w:eastAsia="Times New Roman" w:cs="Times New Roman"/>
                <w:color w:val="000000"/>
                <w:sz w:val="20"/>
                <w:lang w:eastAsia="en-AU"/>
              </w:rPr>
              <w:t>)</w:t>
            </w:r>
          </w:p>
        </w:tc>
        <w:tc>
          <w:tcPr>
            <w:tcW w:w="1997" w:type="dxa"/>
            <w:tcBorders>
              <w:top w:val="single" w:sz="18" w:space="0" w:color="000000"/>
              <w:left w:val="single" w:sz="6" w:space="0" w:color="000000"/>
              <w:bottom w:val="single" w:sz="6" w:space="0" w:color="000000"/>
            </w:tcBorders>
            <w:tcMar>
              <w:top w:w="34" w:type="dxa"/>
              <w:left w:w="20" w:type="dxa"/>
              <w:bottom w:w="50" w:type="dxa"/>
              <w:right w:w="28" w:type="dxa"/>
            </w:tcMar>
            <w:hideMark/>
          </w:tcPr>
          <w:p w14:paraId="7E500A6C" w14:textId="77777777" w:rsidR="00570FEC" w:rsidRPr="00570FEC" w:rsidRDefault="00570FEC" w:rsidP="00570FEC">
            <w:pPr>
              <w:spacing w:before="60" w:line="240" w:lineRule="atLeast"/>
              <w:rPr>
                <w:rFonts w:eastAsia="Times New Roman" w:cs="Times New Roman"/>
                <w:color w:val="000000"/>
                <w:sz w:val="20"/>
                <w:lang w:eastAsia="en-AU"/>
              </w:rPr>
            </w:pPr>
            <w:r w:rsidRPr="00570FEC">
              <w:rPr>
                <w:rFonts w:eastAsia="Times New Roman" w:cs="Times New Roman"/>
                <w:color w:val="000000"/>
                <w:sz w:val="20"/>
                <w:lang w:eastAsia="en-AU"/>
              </w:rPr>
              <w:t>0</w:t>
            </w:r>
          </w:p>
        </w:tc>
      </w:tr>
      <w:tr w:rsidR="00570FEC" w:rsidRPr="00570FEC" w14:paraId="2B28F81B" w14:textId="77777777" w:rsidTr="00247BA1">
        <w:trPr>
          <w:gridAfter w:val="1"/>
          <w:wAfter w:w="17" w:type="dxa"/>
        </w:trPr>
        <w:tc>
          <w:tcPr>
            <w:tcW w:w="567" w:type="dxa"/>
            <w:tcBorders>
              <w:top w:val="single" w:sz="6" w:space="0" w:color="000000"/>
              <w:bottom w:val="single" w:sz="18" w:space="0" w:color="000000"/>
            </w:tcBorders>
            <w:tcMar>
              <w:top w:w="50" w:type="dxa"/>
              <w:left w:w="28" w:type="dxa"/>
              <w:bottom w:w="34" w:type="dxa"/>
              <w:right w:w="28" w:type="dxa"/>
            </w:tcMar>
            <w:hideMark/>
          </w:tcPr>
          <w:p w14:paraId="012E26FE" w14:textId="77777777" w:rsidR="00570FEC" w:rsidRPr="00570FEC" w:rsidRDefault="00570FEC" w:rsidP="00570FEC">
            <w:pPr>
              <w:spacing w:before="60" w:line="240" w:lineRule="atLeast"/>
              <w:rPr>
                <w:rFonts w:eastAsia="Times New Roman" w:cs="Times New Roman"/>
                <w:color w:val="000000"/>
                <w:sz w:val="20"/>
                <w:lang w:eastAsia="en-AU"/>
              </w:rPr>
            </w:pPr>
            <w:r w:rsidRPr="00570FEC">
              <w:rPr>
                <w:rFonts w:eastAsia="Times New Roman" w:cs="Times New Roman"/>
                <w:color w:val="000000"/>
                <w:sz w:val="20"/>
                <w:lang w:eastAsia="en-AU"/>
              </w:rPr>
              <w:t>2</w:t>
            </w:r>
          </w:p>
        </w:tc>
        <w:tc>
          <w:tcPr>
            <w:tcW w:w="1701" w:type="dxa"/>
            <w:tcBorders>
              <w:top w:val="single" w:sz="6" w:space="0" w:color="000000"/>
              <w:bottom w:val="single" w:sz="18" w:space="0" w:color="000000"/>
              <w:right w:val="double" w:sz="4" w:space="0" w:color="000000"/>
            </w:tcBorders>
            <w:tcMar>
              <w:top w:w="50" w:type="dxa"/>
              <w:left w:w="28" w:type="dxa"/>
              <w:bottom w:w="34" w:type="dxa"/>
              <w:right w:w="13" w:type="dxa"/>
            </w:tcMar>
            <w:hideMark/>
          </w:tcPr>
          <w:p w14:paraId="629AA05C" w14:textId="77777777" w:rsidR="00570FEC" w:rsidRPr="00570FEC" w:rsidRDefault="00570FEC" w:rsidP="00570FEC">
            <w:pPr>
              <w:spacing w:before="60" w:line="240" w:lineRule="atLeast"/>
              <w:rPr>
                <w:rFonts w:eastAsia="Times New Roman" w:cs="Times New Roman"/>
                <w:color w:val="000000"/>
                <w:sz w:val="20"/>
                <w:lang w:eastAsia="en-AU"/>
              </w:rPr>
            </w:pPr>
            <w:proofErr w:type="spellStart"/>
            <w:r w:rsidRPr="00570FEC">
              <w:rPr>
                <w:rFonts w:eastAsia="Times New Roman" w:cs="Times New Roman"/>
                <w:i/>
                <w:iCs/>
                <w:color w:val="000000"/>
                <w:sz w:val="20"/>
                <w:lang w:eastAsia="en-AU"/>
              </w:rPr>
              <w:t>A</w:t>
            </w:r>
            <w:r w:rsidRPr="00570FEC">
              <w:rPr>
                <w:rFonts w:eastAsia="Times New Roman" w:cs="Times New Roman"/>
                <w:i/>
                <w:iCs/>
                <w:color w:val="000000"/>
                <w:sz w:val="13"/>
                <w:szCs w:val="13"/>
                <w:vertAlign w:val="subscript"/>
                <w:lang w:eastAsia="en-AU"/>
              </w:rPr>
              <w:t>Seq</w:t>
            </w:r>
            <w:proofErr w:type="spellEnd"/>
            <w:r w:rsidRPr="00570FEC">
              <w:rPr>
                <w:rFonts w:eastAsia="Times New Roman" w:cs="Times New Roman"/>
                <w:color w:val="000000"/>
                <w:sz w:val="20"/>
                <w:lang w:eastAsia="en-AU"/>
              </w:rPr>
              <w:t> + </w:t>
            </w:r>
            <w:r w:rsidRPr="00570FEC">
              <w:rPr>
                <w:rFonts w:ascii="Symbol" w:eastAsia="Symbol" w:hAnsi="Symbol" w:cs="Symbol"/>
                <w:i/>
                <w:color w:val="000000"/>
                <w:sz w:val="20"/>
                <w:lang w:eastAsia="en-AU"/>
              </w:rPr>
              <w:sym w:font="Symbol" w:char="F044"/>
            </w:r>
            <w:proofErr w:type="spellStart"/>
            <w:proofErr w:type="gramStart"/>
            <w:r w:rsidRPr="00570FEC">
              <w:rPr>
                <w:rFonts w:eastAsia="Times New Roman" w:cs="Times New Roman"/>
                <w:i/>
                <w:iCs/>
                <w:color w:val="000000"/>
                <w:sz w:val="20"/>
                <w:lang w:eastAsia="en-AU"/>
              </w:rPr>
              <w:t>C</w:t>
            </w:r>
            <w:r w:rsidRPr="00570FEC">
              <w:rPr>
                <w:rFonts w:eastAsia="Times New Roman" w:cs="Times New Roman"/>
                <w:i/>
                <w:iCs/>
                <w:color w:val="000000"/>
                <w:sz w:val="13"/>
                <w:szCs w:val="13"/>
                <w:vertAlign w:val="subscript"/>
                <w:lang w:eastAsia="en-AU"/>
              </w:rPr>
              <w:t>Seq,Prev</w:t>
            </w:r>
            <w:proofErr w:type="spellEnd"/>
            <w:proofErr w:type="gramEnd"/>
            <w:r w:rsidRPr="00570FEC">
              <w:rPr>
                <w:rFonts w:eastAsia="Times New Roman" w:cs="Times New Roman"/>
                <w:i/>
                <w:iCs/>
                <w:color w:val="000000"/>
                <w:sz w:val="13"/>
                <w:szCs w:val="13"/>
                <w:vertAlign w:val="subscript"/>
                <w:lang w:eastAsia="en-AU"/>
              </w:rPr>
              <w:t> </w:t>
            </w:r>
            <w:r w:rsidRPr="00570FEC">
              <w:rPr>
                <w:rFonts w:eastAsia="Times New Roman" w:cs="Times New Roman"/>
                <w:color w:val="000000"/>
                <w:sz w:val="20"/>
                <w:lang w:eastAsia="en-AU"/>
              </w:rPr>
              <w:t>&lt; 0</w:t>
            </w:r>
          </w:p>
        </w:tc>
        <w:tc>
          <w:tcPr>
            <w:tcW w:w="3969" w:type="dxa"/>
            <w:tcBorders>
              <w:top w:val="single" w:sz="6" w:space="0" w:color="000000"/>
              <w:left w:val="double" w:sz="4" w:space="0" w:color="000000"/>
              <w:bottom w:val="single" w:sz="18" w:space="0" w:color="000000"/>
              <w:right w:val="single" w:sz="6" w:space="0" w:color="000000"/>
            </w:tcBorders>
            <w:tcMar>
              <w:top w:w="50" w:type="dxa"/>
              <w:left w:w="13" w:type="dxa"/>
              <w:bottom w:w="34" w:type="dxa"/>
              <w:right w:w="20" w:type="dxa"/>
            </w:tcMar>
            <w:hideMark/>
          </w:tcPr>
          <w:p w14:paraId="6106CB34" w14:textId="77777777" w:rsidR="00570FEC" w:rsidRPr="00570FEC" w:rsidRDefault="00570FEC" w:rsidP="00570FEC">
            <w:pPr>
              <w:spacing w:before="60" w:line="240" w:lineRule="atLeast"/>
              <w:rPr>
                <w:rFonts w:eastAsia="Times New Roman" w:cs="Times New Roman"/>
                <w:color w:val="000000"/>
                <w:sz w:val="20"/>
                <w:lang w:eastAsia="en-AU"/>
              </w:rPr>
            </w:pPr>
            <w:r w:rsidRPr="00570FEC">
              <w:rPr>
                <w:rFonts w:eastAsia="Times New Roman" w:cs="Times New Roman"/>
                <w:color w:val="000000"/>
                <w:sz w:val="20"/>
                <w:lang w:eastAsia="en-AU"/>
              </w:rPr>
              <w:t>0</w:t>
            </w:r>
          </w:p>
        </w:tc>
        <w:tc>
          <w:tcPr>
            <w:tcW w:w="1997" w:type="dxa"/>
            <w:tcBorders>
              <w:top w:val="single" w:sz="6" w:space="0" w:color="000000"/>
              <w:left w:val="single" w:sz="6" w:space="0" w:color="000000"/>
              <w:bottom w:val="single" w:sz="18" w:space="0" w:color="000000"/>
            </w:tcBorders>
            <w:tcMar>
              <w:top w:w="50" w:type="dxa"/>
              <w:left w:w="20" w:type="dxa"/>
              <w:bottom w:w="34" w:type="dxa"/>
              <w:right w:w="28" w:type="dxa"/>
            </w:tcMar>
            <w:hideMark/>
          </w:tcPr>
          <w:p w14:paraId="5CAE70C4" w14:textId="77777777" w:rsidR="00570FEC" w:rsidRPr="00570FEC" w:rsidRDefault="00570FEC" w:rsidP="00570FEC">
            <w:pPr>
              <w:spacing w:before="60" w:line="240" w:lineRule="atLeast"/>
              <w:rPr>
                <w:rFonts w:eastAsia="Times New Roman" w:cs="Times New Roman"/>
                <w:color w:val="000000"/>
                <w:sz w:val="20"/>
                <w:lang w:eastAsia="en-AU"/>
              </w:rPr>
            </w:pPr>
            <w:proofErr w:type="spellStart"/>
            <w:r w:rsidRPr="00570FEC">
              <w:rPr>
                <w:rFonts w:eastAsia="Times New Roman" w:cs="Times New Roman"/>
                <w:i/>
                <w:iCs/>
                <w:color w:val="000000"/>
                <w:sz w:val="20"/>
                <w:lang w:eastAsia="en-AU"/>
              </w:rPr>
              <w:t>A</w:t>
            </w:r>
            <w:r w:rsidRPr="00570FEC">
              <w:rPr>
                <w:rFonts w:eastAsia="Times New Roman" w:cs="Times New Roman"/>
                <w:i/>
                <w:iCs/>
                <w:color w:val="000000"/>
                <w:sz w:val="13"/>
                <w:szCs w:val="13"/>
                <w:vertAlign w:val="subscript"/>
                <w:lang w:eastAsia="en-AU"/>
              </w:rPr>
              <w:t>Seq</w:t>
            </w:r>
            <w:proofErr w:type="spellEnd"/>
            <w:r w:rsidRPr="00570FEC">
              <w:rPr>
                <w:rFonts w:eastAsia="Times New Roman" w:cs="Times New Roman"/>
                <w:color w:val="000000"/>
                <w:sz w:val="20"/>
                <w:lang w:eastAsia="en-AU"/>
              </w:rPr>
              <w:t> + </w:t>
            </w:r>
            <w:r w:rsidRPr="00570FEC">
              <w:rPr>
                <w:rFonts w:ascii="Symbol" w:eastAsia="Symbol" w:hAnsi="Symbol" w:cs="Symbol"/>
                <w:i/>
                <w:color w:val="000000"/>
                <w:sz w:val="20"/>
                <w:lang w:eastAsia="en-AU"/>
              </w:rPr>
              <w:sym w:font="Symbol" w:char="F044"/>
            </w:r>
            <w:proofErr w:type="spellStart"/>
            <w:proofErr w:type="gramStart"/>
            <w:r w:rsidRPr="00570FEC">
              <w:rPr>
                <w:rFonts w:eastAsia="Times New Roman" w:cs="Times New Roman"/>
                <w:i/>
                <w:iCs/>
                <w:color w:val="000000"/>
                <w:sz w:val="20"/>
                <w:lang w:eastAsia="en-AU"/>
              </w:rPr>
              <w:t>C</w:t>
            </w:r>
            <w:r w:rsidRPr="00570FEC">
              <w:rPr>
                <w:rFonts w:eastAsia="Times New Roman" w:cs="Times New Roman"/>
                <w:i/>
                <w:iCs/>
                <w:color w:val="000000"/>
                <w:sz w:val="13"/>
                <w:szCs w:val="13"/>
                <w:vertAlign w:val="subscript"/>
                <w:lang w:eastAsia="en-AU"/>
              </w:rPr>
              <w:t>Seq,Prev</w:t>
            </w:r>
            <w:proofErr w:type="spellEnd"/>
            <w:proofErr w:type="gramEnd"/>
          </w:p>
        </w:tc>
      </w:tr>
    </w:tbl>
    <w:p w14:paraId="5DC2E2AC" w14:textId="7A25A3F0" w:rsidR="00570FEC" w:rsidRPr="00570FEC" w:rsidRDefault="00570FEC" w:rsidP="00570FEC">
      <w:pPr>
        <w:spacing w:before="120" w:line="240" w:lineRule="auto"/>
        <w:ind w:left="1985" w:hanging="851"/>
        <w:rPr>
          <w:rFonts w:eastAsia="Times New Roman" w:cs="Times New Roman"/>
          <w:color w:val="000000"/>
          <w:sz w:val="18"/>
          <w:szCs w:val="18"/>
          <w:lang w:eastAsia="en-AU"/>
        </w:rPr>
      </w:pPr>
      <w:r w:rsidRPr="00570FEC">
        <w:rPr>
          <w:rFonts w:eastAsia="Times New Roman" w:cs="Times New Roman"/>
          <w:color w:val="000000"/>
          <w:sz w:val="18"/>
          <w:szCs w:val="18"/>
          <w:lang w:eastAsia="en-AU"/>
        </w:rPr>
        <w:t>Note 1: </w:t>
      </w:r>
      <w:r w:rsidR="00C04881">
        <w:rPr>
          <w:rFonts w:eastAsia="Times New Roman" w:cs="Times New Roman"/>
          <w:color w:val="000000"/>
          <w:sz w:val="18"/>
          <w:szCs w:val="18"/>
          <w:lang w:eastAsia="en-AU"/>
        </w:rPr>
        <w:tab/>
      </w:r>
      <w:r w:rsidRPr="00570FEC">
        <w:rPr>
          <w:rFonts w:eastAsia="Times New Roman" w:cs="Times New Roman"/>
          <w:color w:val="000000"/>
          <w:sz w:val="18"/>
          <w:szCs w:val="18"/>
          <w:lang w:eastAsia="en-AU"/>
        </w:rPr>
        <w:t>Division 3 of this Schedule sets out adjustments to these calculations, which apply:</w:t>
      </w:r>
    </w:p>
    <w:p w14:paraId="187EC989" w14:textId="77777777" w:rsidR="00570FEC" w:rsidRPr="00570FEC" w:rsidRDefault="00570FEC" w:rsidP="00570FEC">
      <w:pPr>
        <w:spacing w:before="40" w:line="240" w:lineRule="auto"/>
        <w:ind w:left="2314" w:hanging="284"/>
        <w:rPr>
          <w:rFonts w:eastAsia="Times New Roman" w:cs="Times New Roman"/>
          <w:color w:val="000000"/>
          <w:sz w:val="18"/>
          <w:szCs w:val="18"/>
          <w:lang w:eastAsia="en-AU"/>
        </w:rPr>
      </w:pPr>
      <w:r w:rsidRPr="00570FEC">
        <w:rPr>
          <w:rFonts w:ascii="Symbol" w:eastAsia="Symbol" w:hAnsi="Symbol" w:cs="Symbol"/>
          <w:color w:val="000000"/>
          <w:sz w:val="18"/>
          <w:szCs w:val="18"/>
          <w:lang w:eastAsia="en-AU"/>
        </w:rPr>
        <w:sym w:font="Symbol" w:char="F0B7"/>
      </w:r>
      <w:r w:rsidRPr="00570FEC">
        <w:rPr>
          <w:rFonts w:eastAsia="Times New Roman" w:cs="Times New Roman"/>
          <w:color w:val="000000"/>
          <w:sz w:val="18"/>
          <w:szCs w:val="18"/>
          <w:lang w:eastAsia="en-AU"/>
        </w:rPr>
        <w:t> if a project area spans both rainfall zones (see section 8 of this Schedule); and</w:t>
      </w:r>
    </w:p>
    <w:p w14:paraId="53065992" w14:textId="77777777" w:rsidR="00570FEC" w:rsidRPr="00570FEC" w:rsidRDefault="00570FEC" w:rsidP="00570FEC">
      <w:pPr>
        <w:spacing w:before="40" w:line="240" w:lineRule="auto"/>
        <w:ind w:left="2314" w:hanging="284"/>
        <w:rPr>
          <w:rFonts w:eastAsia="Times New Roman" w:cs="Times New Roman"/>
          <w:color w:val="000000"/>
          <w:sz w:val="18"/>
          <w:szCs w:val="18"/>
          <w:lang w:eastAsia="en-AU"/>
        </w:rPr>
      </w:pPr>
      <w:r w:rsidRPr="00570FEC">
        <w:rPr>
          <w:rFonts w:ascii="Symbol" w:eastAsia="Symbol" w:hAnsi="Symbol" w:cs="Symbol"/>
          <w:color w:val="000000"/>
          <w:sz w:val="18"/>
          <w:szCs w:val="18"/>
          <w:lang w:eastAsia="en-AU"/>
        </w:rPr>
        <w:sym w:font="Symbol" w:char="F0B7"/>
      </w:r>
      <w:r w:rsidRPr="00570FEC">
        <w:rPr>
          <w:rFonts w:eastAsia="Times New Roman" w:cs="Times New Roman"/>
          <w:color w:val="000000"/>
          <w:sz w:val="18"/>
          <w:szCs w:val="18"/>
          <w:lang w:eastAsia="en-AU"/>
        </w:rPr>
        <w:t> if, between the start of the crediting period and the end of the calendar year, there has been no relevant fire activity in the project area (see section 9 of this Schedule); and</w:t>
      </w:r>
    </w:p>
    <w:p w14:paraId="35A716D9" w14:textId="77777777" w:rsidR="00570FEC" w:rsidRPr="00570FEC" w:rsidRDefault="00570FEC" w:rsidP="00570FEC">
      <w:pPr>
        <w:spacing w:before="40" w:line="240" w:lineRule="auto"/>
        <w:ind w:left="2314" w:hanging="284"/>
        <w:rPr>
          <w:rFonts w:eastAsia="Times New Roman" w:cs="Times New Roman"/>
          <w:color w:val="000000"/>
          <w:sz w:val="18"/>
          <w:szCs w:val="18"/>
          <w:lang w:eastAsia="en-AU"/>
        </w:rPr>
      </w:pPr>
      <w:r w:rsidRPr="00570FEC">
        <w:rPr>
          <w:rFonts w:ascii="Symbol" w:eastAsia="Symbol" w:hAnsi="Symbol" w:cs="Symbol"/>
          <w:color w:val="000000"/>
          <w:sz w:val="18"/>
          <w:szCs w:val="18"/>
          <w:lang w:eastAsia="en-AU"/>
        </w:rPr>
        <w:sym w:font="Symbol" w:char="F0B7"/>
      </w:r>
      <w:r w:rsidRPr="00570FEC">
        <w:rPr>
          <w:rFonts w:eastAsia="Times New Roman" w:cs="Times New Roman"/>
          <w:color w:val="000000"/>
          <w:sz w:val="18"/>
          <w:szCs w:val="18"/>
          <w:lang w:eastAsia="en-AU"/>
        </w:rPr>
        <w:t> if a project area is divided into 2 or more subdivided project areas (see section 10 of this Schedule).</w:t>
      </w:r>
    </w:p>
    <w:p w14:paraId="66245061" w14:textId="15436840" w:rsidR="00570FEC" w:rsidRPr="00570FEC" w:rsidRDefault="00570FEC" w:rsidP="00570FEC">
      <w:pPr>
        <w:spacing w:before="120" w:line="240" w:lineRule="auto"/>
        <w:ind w:left="1985" w:hanging="851"/>
        <w:rPr>
          <w:rFonts w:eastAsia="Times New Roman" w:cs="Times New Roman"/>
          <w:color w:val="000000"/>
          <w:sz w:val="18"/>
          <w:szCs w:val="18"/>
          <w:lang w:eastAsia="en-AU"/>
        </w:rPr>
      </w:pPr>
      <w:r w:rsidRPr="77DC2EF6">
        <w:rPr>
          <w:rFonts w:eastAsia="Times New Roman" w:cs="Times New Roman"/>
          <w:color w:val="000000" w:themeColor="text1"/>
          <w:sz w:val="18"/>
          <w:szCs w:val="18"/>
          <w:lang w:eastAsia="en-AU"/>
        </w:rPr>
        <w:t>Note 2: </w:t>
      </w:r>
      <w:r w:rsidR="00C04881">
        <w:tab/>
      </w:r>
      <w:r w:rsidRPr="77DC2EF6">
        <w:rPr>
          <w:rFonts w:eastAsia="Times New Roman" w:cs="Times New Roman"/>
          <w:color w:val="000000" w:themeColor="text1"/>
          <w:sz w:val="18"/>
          <w:szCs w:val="18"/>
          <w:lang w:eastAsia="en-AU"/>
        </w:rPr>
        <w:t>If, during a reporting period, the vegetation fuel type map is revised in accordance with section </w:t>
      </w:r>
      <w:r w:rsidR="1C12A2DC" w:rsidRPr="77DC2EF6">
        <w:rPr>
          <w:rFonts w:eastAsia="Times New Roman" w:cs="Times New Roman"/>
          <w:color w:val="000000" w:themeColor="text1"/>
          <w:sz w:val="18"/>
          <w:szCs w:val="18"/>
          <w:lang w:eastAsia="en-AU"/>
        </w:rPr>
        <w:t>21</w:t>
      </w:r>
      <w:r w:rsidRPr="77DC2EF6">
        <w:rPr>
          <w:rFonts w:eastAsia="Times New Roman" w:cs="Times New Roman"/>
          <w:color w:val="000000" w:themeColor="text1"/>
          <w:sz w:val="18"/>
          <w:szCs w:val="18"/>
          <w:lang w:eastAsia="en-AU"/>
        </w:rPr>
        <w:t xml:space="preserve"> of this </w:t>
      </w:r>
      <w:r w:rsidR="00C929D7" w:rsidRPr="77DC2EF6">
        <w:rPr>
          <w:rFonts w:eastAsia="Times New Roman" w:cs="Times New Roman"/>
          <w:color w:val="000000" w:themeColor="text1"/>
          <w:sz w:val="18"/>
          <w:szCs w:val="18"/>
          <w:lang w:eastAsia="en-AU"/>
        </w:rPr>
        <w:t>instrument</w:t>
      </w:r>
      <w:r w:rsidRPr="77DC2EF6">
        <w:rPr>
          <w:rFonts w:eastAsia="Times New Roman" w:cs="Times New Roman"/>
          <w:color w:val="000000" w:themeColor="text1"/>
          <w:sz w:val="18"/>
          <w:szCs w:val="18"/>
          <w:lang w:eastAsia="en-AU"/>
        </w:rPr>
        <w:t xml:space="preserve">, the version of the map as in force at the end of the reporting period is used for calculations for all years of the reporting period (including for the calculation of amounts that relate to the baseline period). See subsection 10(1) of this </w:t>
      </w:r>
      <w:r w:rsidR="00C929D7" w:rsidRPr="77DC2EF6">
        <w:rPr>
          <w:rFonts w:eastAsia="Times New Roman" w:cs="Times New Roman"/>
          <w:color w:val="000000" w:themeColor="text1"/>
          <w:sz w:val="18"/>
          <w:szCs w:val="18"/>
          <w:lang w:eastAsia="en-AU"/>
        </w:rPr>
        <w:t>instrument</w:t>
      </w:r>
      <w:r w:rsidRPr="77DC2EF6">
        <w:rPr>
          <w:rFonts w:eastAsia="Times New Roman" w:cs="Times New Roman"/>
          <w:color w:val="000000" w:themeColor="text1"/>
          <w:sz w:val="18"/>
          <w:szCs w:val="18"/>
          <w:lang w:eastAsia="en-AU"/>
        </w:rPr>
        <w:t>. However, a previous year’s carryover amount, and a previous year’s value for </w:t>
      </w:r>
      <w:proofErr w:type="spellStart"/>
      <w:proofErr w:type="gramStart"/>
      <w:r w:rsidRPr="77DC2EF6">
        <w:rPr>
          <w:rFonts w:eastAsia="Times New Roman" w:cs="Times New Roman"/>
          <w:i/>
          <w:color w:val="000000" w:themeColor="text1"/>
          <w:sz w:val="18"/>
          <w:szCs w:val="18"/>
          <w:lang w:eastAsia="en-AU"/>
        </w:rPr>
        <w:t>C</w:t>
      </w:r>
      <w:r w:rsidRPr="77DC2EF6">
        <w:rPr>
          <w:rFonts w:eastAsia="Times New Roman" w:cs="Times New Roman"/>
          <w:i/>
          <w:color w:val="000000" w:themeColor="text1"/>
          <w:sz w:val="12"/>
          <w:szCs w:val="12"/>
          <w:vertAlign w:val="subscript"/>
          <w:lang w:eastAsia="en-AU"/>
        </w:rPr>
        <w:t>Seq,Prev</w:t>
      </w:r>
      <w:proofErr w:type="spellEnd"/>
      <w:proofErr w:type="gramEnd"/>
      <w:r w:rsidRPr="77DC2EF6">
        <w:rPr>
          <w:rFonts w:eastAsia="Times New Roman" w:cs="Times New Roman"/>
          <w:color w:val="000000" w:themeColor="text1"/>
          <w:sz w:val="18"/>
          <w:szCs w:val="18"/>
          <w:lang w:eastAsia="en-AU"/>
        </w:rPr>
        <w:t xml:space="preserve">, are not revised </w:t>
      </w:r>
      <w:proofErr w:type="gramStart"/>
      <w:r w:rsidRPr="77DC2EF6">
        <w:rPr>
          <w:rFonts w:eastAsia="Times New Roman" w:cs="Times New Roman"/>
          <w:color w:val="000000" w:themeColor="text1"/>
          <w:sz w:val="18"/>
          <w:szCs w:val="18"/>
          <w:lang w:eastAsia="en-AU"/>
        </w:rPr>
        <w:t>on the basis of</w:t>
      </w:r>
      <w:proofErr w:type="gramEnd"/>
      <w:r w:rsidRPr="77DC2EF6">
        <w:rPr>
          <w:rFonts w:eastAsia="Times New Roman" w:cs="Times New Roman"/>
          <w:color w:val="000000" w:themeColor="text1"/>
          <w:sz w:val="18"/>
          <w:szCs w:val="18"/>
          <w:lang w:eastAsia="en-AU"/>
        </w:rPr>
        <w:t xml:space="preserve"> the revised map.</w:t>
      </w:r>
    </w:p>
    <w:p w14:paraId="1A2C995E" w14:textId="1874FADB" w:rsidR="00570FEC" w:rsidRPr="00CE3B3D" w:rsidRDefault="00CE3B3D" w:rsidP="007B2786">
      <w:pPr>
        <w:pStyle w:val="ActHead5"/>
      </w:pPr>
      <w:bookmarkStart w:id="99" w:name="_Toc202953865"/>
      <w:r>
        <w:lastRenderedPageBreak/>
        <w:t>3</w:t>
      </w:r>
      <w:r w:rsidRPr="009E76D2">
        <w:t xml:space="preserve">   </w:t>
      </w:r>
      <w:r w:rsidR="00570FEC" w:rsidRPr="00570FEC">
        <w:t xml:space="preserve">The previous year’s </w:t>
      </w:r>
      <w:r w:rsidR="00570FEC" w:rsidRPr="007B2786">
        <w:t>carry</w:t>
      </w:r>
      <w:r w:rsidR="00570FEC" w:rsidRPr="00570FEC">
        <w:noBreakHyphen/>
        <w:t>over amount, </w:t>
      </w:r>
      <w:r w:rsidR="00570FEC" w:rsidRPr="00570FEC">
        <w:rPr>
          <w:rFonts w:ascii="Symbol" w:eastAsia="Symbol" w:hAnsi="Symbol" w:cs="Symbol"/>
          <w:i/>
        </w:rPr>
        <w:sym w:font="Symbol" w:char="F044"/>
      </w:r>
      <w:proofErr w:type="spellStart"/>
      <w:proofErr w:type="gramStart"/>
      <w:r w:rsidR="00570FEC" w:rsidRPr="00570FEC">
        <w:rPr>
          <w:i/>
          <w:iCs/>
        </w:rPr>
        <w:t>C</w:t>
      </w:r>
      <w:r w:rsidR="00570FEC" w:rsidRPr="00570FEC">
        <w:rPr>
          <w:i/>
          <w:iCs/>
          <w:sz w:val="16"/>
          <w:szCs w:val="16"/>
          <w:vertAlign w:val="subscript"/>
        </w:rPr>
        <w:t>Seq,Prev</w:t>
      </w:r>
      <w:bookmarkEnd w:id="99"/>
      <w:proofErr w:type="spellEnd"/>
      <w:proofErr w:type="gramEnd"/>
    </w:p>
    <w:p w14:paraId="3C0475DA" w14:textId="64AE5291" w:rsidR="00570FEC" w:rsidRPr="00570FEC" w:rsidRDefault="00570FEC" w:rsidP="00C04881">
      <w:pPr>
        <w:spacing w:before="120" w:line="240" w:lineRule="auto"/>
        <w:ind w:left="1985" w:hanging="851"/>
        <w:rPr>
          <w:rFonts w:eastAsia="Times New Roman" w:cs="Times New Roman"/>
          <w:color w:val="000000"/>
          <w:sz w:val="18"/>
          <w:szCs w:val="18"/>
          <w:lang w:eastAsia="en-AU"/>
        </w:rPr>
      </w:pPr>
      <w:r w:rsidRPr="00570FEC">
        <w:rPr>
          <w:rFonts w:eastAsia="Times New Roman" w:cs="Times New Roman"/>
          <w:color w:val="000000"/>
          <w:sz w:val="18"/>
          <w:szCs w:val="18"/>
          <w:lang w:eastAsia="en-AU"/>
        </w:rPr>
        <w:t>Note: </w:t>
      </w:r>
      <w:r w:rsidR="00C04881">
        <w:rPr>
          <w:rFonts w:eastAsia="Times New Roman" w:cs="Times New Roman"/>
          <w:color w:val="000000"/>
          <w:sz w:val="18"/>
          <w:szCs w:val="18"/>
          <w:lang w:eastAsia="en-AU"/>
        </w:rPr>
        <w:tab/>
      </w:r>
      <w:r w:rsidRPr="00570FEC">
        <w:rPr>
          <w:rFonts w:eastAsia="Times New Roman" w:cs="Times New Roman"/>
          <w:color w:val="000000"/>
          <w:sz w:val="18"/>
          <w:szCs w:val="18"/>
          <w:lang w:eastAsia="en-AU"/>
        </w:rPr>
        <w:t xml:space="preserve">In some years, the contribution to the net abatement amount from sequestration in </w:t>
      </w:r>
      <w:r w:rsidR="00EB1DBF">
        <w:rPr>
          <w:rFonts w:eastAsia="Times New Roman" w:cs="Times New Roman"/>
          <w:color w:val="000000"/>
          <w:sz w:val="18"/>
          <w:szCs w:val="18"/>
          <w:lang w:eastAsia="en-AU"/>
        </w:rPr>
        <w:t xml:space="preserve">living biomass or </w:t>
      </w:r>
      <w:r w:rsidRPr="00570FEC">
        <w:rPr>
          <w:rFonts w:eastAsia="Times New Roman" w:cs="Times New Roman"/>
          <w:color w:val="000000"/>
          <w:sz w:val="18"/>
          <w:szCs w:val="18"/>
          <w:lang w:eastAsia="en-AU"/>
        </w:rPr>
        <w:t>dead organic matter, </w:t>
      </w:r>
      <w:proofErr w:type="spellStart"/>
      <w:r w:rsidRPr="00570FEC">
        <w:rPr>
          <w:rFonts w:eastAsia="Times New Roman" w:cs="Times New Roman"/>
          <w:i/>
          <w:iCs/>
          <w:color w:val="000000"/>
          <w:sz w:val="18"/>
          <w:szCs w:val="18"/>
          <w:lang w:eastAsia="en-AU"/>
        </w:rPr>
        <w:t>A</w:t>
      </w:r>
      <w:r w:rsidRPr="00570FEC">
        <w:rPr>
          <w:rFonts w:eastAsia="Times New Roman" w:cs="Times New Roman"/>
          <w:i/>
          <w:iCs/>
          <w:color w:val="000000"/>
          <w:sz w:val="12"/>
          <w:szCs w:val="12"/>
          <w:vertAlign w:val="subscript"/>
          <w:lang w:eastAsia="en-AU"/>
        </w:rPr>
        <w:t>Seq</w:t>
      </w:r>
      <w:proofErr w:type="spellEnd"/>
      <w:r w:rsidRPr="00570FEC">
        <w:rPr>
          <w:rFonts w:eastAsia="Times New Roman" w:cs="Times New Roman"/>
          <w:color w:val="000000"/>
          <w:sz w:val="18"/>
          <w:szCs w:val="18"/>
          <w:lang w:eastAsia="en-AU"/>
        </w:rPr>
        <w:t>, might be a negative number, for example, if there has been a reversal of sequestration in the relevant year.</w:t>
      </w:r>
      <w:r w:rsidRPr="00570FEC">
        <w:rPr>
          <w:rFonts w:eastAsia="Times New Roman" w:cs="Times New Roman"/>
          <w:i/>
          <w:iCs/>
          <w:color w:val="000000"/>
          <w:sz w:val="18"/>
          <w:szCs w:val="18"/>
          <w:lang w:eastAsia="en-AU"/>
        </w:rPr>
        <w:t> </w:t>
      </w:r>
      <w:r w:rsidRPr="00570FEC">
        <w:rPr>
          <w:rFonts w:eastAsia="Times New Roman" w:cs="Times New Roman"/>
          <w:color w:val="000000"/>
          <w:sz w:val="18"/>
          <w:szCs w:val="18"/>
          <w:lang w:eastAsia="en-AU"/>
        </w:rPr>
        <w:t>Such negative</w:t>
      </w:r>
      <w:r w:rsidRPr="00570FEC">
        <w:rPr>
          <w:rFonts w:eastAsia="Times New Roman" w:cs="Times New Roman"/>
          <w:i/>
          <w:iCs/>
          <w:color w:val="000000"/>
          <w:sz w:val="18"/>
          <w:szCs w:val="18"/>
          <w:lang w:eastAsia="en-AU"/>
        </w:rPr>
        <w:t> </w:t>
      </w:r>
      <w:r w:rsidRPr="00570FEC">
        <w:rPr>
          <w:rFonts w:eastAsia="Times New Roman" w:cs="Times New Roman"/>
          <w:color w:val="000000"/>
          <w:sz w:val="18"/>
          <w:szCs w:val="18"/>
          <w:lang w:eastAsia="en-AU"/>
        </w:rPr>
        <w:t>amounts do not detract from the adjusted contribution to the net abatement amount, </w:t>
      </w:r>
      <w:proofErr w:type="spellStart"/>
      <w:proofErr w:type="gramStart"/>
      <w:r w:rsidRPr="00570FEC">
        <w:rPr>
          <w:rFonts w:eastAsia="Times New Roman" w:cs="Times New Roman"/>
          <w:i/>
          <w:iCs/>
          <w:color w:val="000000"/>
          <w:sz w:val="18"/>
          <w:szCs w:val="18"/>
          <w:lang w:eastAsia="en-AU"/>
        </w:rPr>
        <w:t>A</w:t>
      </w:r>
      <w:r w:rsidRPr="00570FEC">
        <w:rPr>
          <w:rFonts w:eastAsia="Times New Roman" w:cs="Times New Roman"/>
          <w:i/>
          <w:iCs/>
          <w:color w:val="000000"/>
          <w:sz w:val="12"/>
          <w:szCs w:val="12"/>
          <w:vertAlign w:val="subscript"/>
          <w:lang w:eastAsia="en-AU"/>
        </w:rPr>
        <w:t>Seq,adj</w:t>
      </w:r>
      <w:proofErr w:type="spellEnd"/>
      <w:proofErr w:type="gramEnd"/>
      <w:r w:rsidRPr="00570FEC">
        <w:rPr>
          <w:rFonts w:eastAsia="Times New Roman" w:cs="Times New Roman"/>
          <w:color w:val="000000"/>
          <w:sz w:val="18"/>
          <w:szCs w:val="18"/>
          <w:lang w:eastAsia="en-AU"/>
        </w:rPr>
        <w:t>, nor from the net abatement amount </w:t>
      </w:r>
      <w:r w:rsidRPr="00570FEC">
        <w:rPr>
          <w:rFonts w:eastAsia="Times New Roman" w:cs="Times New Roman"/>
          <w:i/>
          <w:iCs/>
          <w:color w:val="000000"/>
          <w:sz w:val="18"/>
          <w:szCs w:val="18"/>
          <w:lang w:eastAsia="en-AU"/>
        </w:rPr>
        <w:t>A</w:t>
      </w:r>
      <w:r w:rsidRPr="00570FEC">
        <w:rPr>
          <w:rFonts w:eastAsia="Times New Roman" w:cs="Times New Roman"/>
          <w:color w:val="000000"/>
          <w:sz w:val="18"/>
          <w:szCs w:val="18"/>
          <w:lang w:eastAsia="en-AU"/>
        </w:rPr>
        <w:t>. However, they are carried over into the following year’s calculations as the previous year’s carry</w:t>
      </w:r>
      <w:r w:rsidRPr="00570FEC">
        <w:rPr>
          <w:rFonts w:eastAsia="Times New Roman" w:cs="Times New Roman"/>
          <w:color w:val="000000"/>
          <w:sz w:val="18"/>
          <w:szCs w:val="18"/>
          <w:lang w:eastAsia="en-AU"/>
        </w:rPr>
        <w:noBreakHyphen/>
        <w:t>over amount, </w:t>
      </w:r>
      <w:r w:rsidRPr="00570FEC">
        <w:rPr>
          <w:rFonts w:ascii="Symbol" w:eastAsia="Symbol" w:hAnsi="Symbol" w:cs="Symbol"/>
          <w:i/>
          <w:color w:val="000000"/>
          <w:sz w:val="18"/>
          <w:szCs w:val="18"/>
          <w:lang w:eastAsia="en-AU"/>
        </w:rPr>
        <w:sym w:font="Symbol" w:char="F044"/>
      </w:r>
      <w:proofErr w:type="spellStart"/>
      <w:proofErr w:type="gramStart"/>
      <w:r w:rsidRPr="00570FEC">
        <w:rPr>
          <w:rFonts w:eastAsia="Times New Roman" w:cs="Times New Roman"/>
          <w:i/>
          <w:iCs/>
          <w:color w:val="000000"/>
          <w:sz w:val="18"/>
          <w:szCs w:val="18"/>
          <w:lang w:eastAsia="en-AU"/>
        </w:rPr>
        <w:t>C</w:t>
      </w:r>
      <w:r w:rsidRPr="00570FEC">
        <w:rPr>
          <w:rFonts w:eastAsia="Times New Roman" w:cs="Times New Roman"/>
          <w:i/>
          <w:iCs/>
          <w:color w:val="000000"/>
          <w:sz w:val="12"/>
          <w:szCs w:val="12"/>
          <w:vertAlign w:val="subscript"/>
          <w:lang w:eastAsia="en-AU"/>
        </w:rPr>
        <w:t>Seq,Prev</w:t>
      </w:r>
      <w:proofErr w:type="spellEnd"/>
      <w:proofErr w:type="gramEnd"/>
      <w:r w:rsidRPr="00570FEC">
        <w:rPr>
          <w:rFonts w:eastAsia="Times New Roman" w:cs="Times New Roman"/>
          <w:color w:val="000000"/>
          <w:sz w:val="18"/>
          <w:szCs w:val="18"/>
          <w:lang w:eastAsia="en-AU"/>
        </w:rPr>
        <w:t>, and detract from any positive sequestration that might occur in future years.</w:t>
      </w:r>
      <w:r w:rsidRPr="00570FEC">
        <w:rPr>
          <w:rFonts w:eastAsia="Times New Roman" w:cs="Times New Roman"/>
          <w:i/>
          <w:iCs/>
          <w:color w:val="000000"/>
          <w:sz w:val="18"/>
          <w:szCs w:val="18"/>
          <w:lang w:eastAsia="en-AU"/>
        </w:rPr>
        <w:t> </w:t>
      </w:r>
      <w:r w:rsidRPr="00570FEC">
        <w:rPr>
          <w:rFonts w:eastAsia="Times New Roman" w:cs="Times New Roman"/>
          <w:color w:val="000000"/>
          <w:sz w:val="18"/>
          <w:szCs w:val="18"/>
          <w:lang w:eastAsia="en-AU"/>
        </w:rPr>
        <w:t>The previous year’s carry</w:t>
      </w:r>
      <w:r w:rsidRPr="00570FEC">
        <w:rPr>
          <w:rFonts w:eastAsia="Times New Roman" w:cs="Times New Roman"/>
          <w:color w:val="000000"/>
          <w:sz w:val="18"/>
          <w:szCs w:val="18"/>
          <w:lang w:eastAsia="en-AU"/>
        </w:rPr>
        <w:noBreakHyphen/>
        <w:t>over amount will either be zero or a negative number.</w:t>
      </w:r>
    </w:p>
    <w:p w14:paraId="122A09B5" w14:textId="1243FD9A" w:rsidR="00570FEC" w:rsidRDefault="00570FEC" w:rsidP="004A7133">
      <w:pPr>
        <w:pStyle w:val="ListParagraph"/>
        <w:numPr>
          <w:ilvl w:val="0"/>
          <w:numId w:val="33"/>
        </w:numPr>
        <w:spacing w:before="180" w:line="240" w:lineRule="auto"/>
        <w:rPr>
          <w:rFonts w:eastAsia="Times New Roman" w:cs="Times New Roman"/>
          <w:color w:val="000000"/>
          <w:szCs w:val="22"/>
          <w:lang w:eastAsia="en-AU"/>
        </w:rPr>
      </w:pPr>
      <w:r w:rsidRPr="00D16BEE">
        <w:rPr>
          <w:rFonts w:eastAsia="Times New Roman" w:cs="Times New Roman"/>
          <w:color w:val="000000"/>
          <w:szCs w:val="22"/>
          <w:lang w:eastAsia="en-AU"/>
        </w:rPr>
        <w:t xml:space="preserve">For </w:t>
      </w:r>
      <w:r w:rsidR="0047263D" w:rsidRPr="0056276E">
        <w:rPr>
          <w:rFonts w:eastAsia="Times New Roman" w:cs="Times New Roman"/>
          <w:color w:val="000000"/>
          <w:szCs w:val="22"/>
          <w:lang w:eastAsia="en-AU"/>
        </w:rPr>
        <w:t>the purposes of</w:t>
      </w:r>
      <w:r w:rsidRPr="00D16BEE">
        <w:rPr>
          <w:rFonts w:eastAsia="Times New Roman" w:cs="Times New Roman"/>
          <w:color w:val="000000"/>
          <w:szCs w:val="22"/>
          <w:lang w:eastAsia="en-AU"/>
        </w:rPr>
        <w:t xml:space="preserve"> paragraph 2(a) of this Schedule, and subject to section 10 of this Schedule (which deals with subdivided project areas), the previous year’s carry</w:t>
      </w:r>
      <w:r w:rsidRPr="00D16BEE">
        <w:rPr>
          <w:rFonts w:eastAsia="Times New Roman" w:cs="Times New Roman"/>
          <w:color w:val="000000"/>
          <w:szCs w:val="22"/>
          <w:lang w:eastAsia="en-AU"/>
        </w:rPr>
        <w:noBreakHyphen/>
        <w:t>over amount for the project area, </w:t>
      </w:r>
      <w:r w:rsidRPr="00570FEC">
        <w:rPr>
          <w:rFonts w:ascii="Symbol" w:eastAsia="Symbol" w:hAnsi="Symbol" w:cs="Symbol"/>
          <w:i/>
          <w:lang w:eastAsia="en-AU"/>
        </w:rPr>
        <w:sym w:font="Symbol" w:char="F044"/>
      </w:r>
      <w:proofErr w:type="spellStart"/>
      <w:proofErr w:type="gramStart"/>
      <w:r w:rsidRPr="00D16BEE">
        <w:rPr>
          <w:rFonts w:eastAsia="Times New Roman" w:cs="Times New Roman"/>
          <w:i/>
          <w:iCs/>
          <w:color w:val="000000"/>
          <w:szCs w:val="22"/>
          <w:lang w:eastAsia="en-AU"/>
        </w:rPr>
        <w:t>C</w:t>
      </w:r>
      <w:r w:rsidRPr="00D16BEE">
        <w:rPr>
          <w:rFonts w:eastAsia="Times New Roman" w:cs="Times New Roman"/>
          <w:i/>
          <w:iCs/>
          <w:color w:val="000000"/>
          <w:sz w:val="15"/>
          <w:szCs w:val="15"/>
          <w:vertAlign w:val="subscript"/>
          <w:lang w:eastAsia="en-AU"/>
        </w:rPr>
        <w:t>Seq,Prev</w:t>
      </w:r>
      <w:proofErr w:type="spellEnd"/>
      <w:proofErr w:type="gramEnd"/>
      <w:r w:rsidRPr="00D16BEE">
        <w:rPr>
          <w:rFonts w:eastAsia="Times New Roman" w:cs="Times New Roman"/>
          <w:color w:val="000000"/>
          <w:szCs w:val="22"/>
          <w:lang w:eastAsia="en-AU"/>
        </w:rPr>
        <w:t>, in tonnes CO</w:t>
      </w:r>
      <w:r w:rsidRPr="00D16BEE">
        <w:rPr>
          <w:rFonts w:eastAsia="Times New Roman" w:cs="Times New Roman"/>
          <w:color w:val="000000"/>
          <w:sz w:val="15"/>
          <w:szCs w:val="15"/>
          <w:vertAlign w:val="subscript"/>
          <w:lang w:eastAsia="en-AU"/>
        </w:rPr>
        <w:t>2</w:t>
      </w:r>
      <w:r w:rsidRPr="00D16BEE">
        <w:rPr>
          <w:rFonts w:eastAsia="Times New Roman" w:cs="Times New Roman"/>
          <w:color w:val="000000"/>
          <w:szCs w:val="22"/>
          <w:lang w:eastAsia="en-AU"/>
        </w:rPr>
        <w:noBreakHyphen/>
        <w:t>e, is:</w:t>
      </w:r>
    </w:p>
    <w:p w14:paraId="4AA86C15" w14:textId="56030A7C" w:rsidR="00D16BEE" w:rsidRDefault="00B52967" w:rsidP="004A7133">
      <w:pPr>
        <w:pStyle w:val="ListParagraph"/>
        <w:numPr>
          <w:ilvl w:val="1"/>
          <w:numId w:val="33"/>
        </w:numPr>
        <w:spacing w:before="180" w:line="240" w:lineRule="auto"/>
        <w:rPr>
          <w:rFonts w:eastAsia="Times New Roman" w:cs="Times New Roman"/>
          <w:color w:val="000000"/>
          <w:szCs w:val="22"/>
          <w:lang w:eastAsia="en-AU"/>
        </w:rPr>
      </w:pPr>
      <w:r>
        <w:rPr>
          <w:rFonts w:eastAsia="Times New Roman" w:cs="Times New Roman"/>
          <w:color w:val="000000"/>
          <w:szCs w:val="22"/>
          <w:lang w:eastAsia="en-AU"/>
        </w:rPr>
        <w:t>i</w:t>
      </w:r>
      <w:r w:rsidRPr="00570FEC">
        <w:rPr>
          <w:rFonts w:eastAsia="Times New Roman" w:cs="Times New Roman"/>
          <w:color w:val="000000"/>
          <w:szCs w:val="22"/>
          <w:lang w:eastAsia="en-AU"/>
        </w:rPr>
        <w:t>f, for the previous calendar year, the current</w:t>
      </w:r>
      <w:r>
        <w:rPr>
          <w:rFonts w:eastAsia="Times New Roman" w:cs="Times New Roman"/>
          <w:color w:val="000000"/>
          <w:szCs w:val="22"/>
          <w:lang w:eastAsia="en-AU"/>
        </w:rPr>
        <w:t xml:space="preserve"> year’s </w:t>
      </w:r>
      <w:r w:rsidRPr="00570FEC">
        <w:rPr>
          <w:rFonts w:eastAsia="Times New Roman" w:cs="Times New Roman"/>
          <w:color w:val="000000"/>
          <w:szCs w:val="22"/>
          <w:lang w:eastAsia="en-AU"/>
        </w:rPr>
        <w:t>carry</w:t>
      </w:r>
      <w:r w:rsidRPr="00570FEC">
        <w:rPr>
          <w:rFonts w:eastAsia="Times New Roman" w:cs="Times New Roman"/>
          <w:color w:val="000000"/>
          <w:szCs w:val="22"/>
          <w:lang w:eastAsia="en-AU"/>
        </w:rPr>
        <w:noBreakHyphen/>
        <w:t>over amount (</w:t>
      </w:r>
      <w:r w:rsidRPr="00570FEC">
        <w:rPr>
          <w:rFonts w:ascii="Symbol" w:eastAsia="Symbol" w:hAnsi="Symbol" w:cs="Symbol"/>
          <w:i/>
          <w:color w:val="000000"/>
          <w:szCs w:val="22"/>
          <w:lang w:eastAsia="en-AU"/>
        </w:rPr>
        <w:sym w:font="Symbol" w:char="F044"/>
      </w:r>
      <w:proofErr w:type="spellStart"/>
      <w:proofErr w:type="gramStart"/>
      <w:r w:rsidRPr="00570FEC">
        <w:rPr>
          <w:rFonts w:eastAsia="Times New Roman" w:cs="Times New Roman"/>
          <w:i/>
          <w:iCs/>
          <w:color w:val="000000"/>
          <w:szCs w:val="22"/>
          <w:lang w:eastAsia="en-AU"/>
        </w:rPr>
        <w:t>C</w:t>
      </w:r>
      <w:r w:rsidRPr="00570FEC">
        <w:rPr>
          <w:rFonts w:eastAsia="Times New Roman" w:cs="Times New Roman"/>
          <w:i/>
          <w:iCs/>
          <w:color w:val="000000"/>
          <w:sz w:val="15"/>
          <w:szCs w:val="15"/>
          <w:vertAlign w:val="subscript"/>
          <w:lang w:eastAsia="en-AU"/>
        </w:rPr>
        <w:t>Seq,Curr</w:t>
      </w:r>
      <w:proofErr w:type="spellEnd"/>
      <w:proofErr w:type="gramEnd"/>
      <w:r w:rsidRPr="00570FEC">
        <w:rPr>
          <w:rFonts w:eastAsia="Times New Roman" w:cs="Times New Roman"/>
          <w:color w:val="000000"/>
          <w:szCs w:val="22"/>
          <w:lang w:eastAsia="en-AU"/>
        </w:rPr>
        <w:t>)</w:t>
      </w:r>
      <w:r w:rsidRPr="00570FEC">
        <w:rPr>
          <w:rFonts w:eastAsia="Times New Roman" w:cs="Times New Roman"/>
          <w:b/>
          <w:bCs/>
          <w:i/>
          <w:iCs/>
          <w:color w:val="000000"/>
          <w:szCs w:val="22"/>
          <w:lang w:eastAsia="en-AU"/>
        </w:rPr>
        <w:t> </w:t>
      </w:r>
      <w:r w:rsidRPr="00570FEC">
        <w:rPr>
          <w:rFonts w:eastAsia="Times New Roman" w:cs="Times New Roman"/>
          <w:color w:val="000000"/>
          <w:szCs w:val="22"/>
          <w:lang w:eastAsia="en-AU"/>
        </w:rPr>
        <w:t xml:space="preserve">was calculated for the project area in accordance with this </w:t>
      </w:r>
      <w:r w:rsidR="00C929D7">
        <w:rPr>
          <w:rFonts w:eastAsia="Times New Roman" w:cs="Times New Roman"/>
          <w:color w:val="000000"/>
          <w:szCs w:val="22"/>
          <w:lang w:eastAsia="en-AU"/>
        </w:rPr>
        <w:t>instrument</w:t>
      </w:r>
      <w:r w:rsidR="00C45A8C" w:rsidRPr="00570FEC">
        <w:rPr>
          <w:rFonts w:eastAsia="Times New Roman" w:cs="Times New Roman"/>
          <w:color w:val="000000"/>
          <w:szCs w:val="22"/>
          <w:lang w:eastAsia="en-AU"/>
        </w:rPr>
        <w:t>—equal to the amount so calculated; and</w:t>
      </w:r>
    </w:p>
    <w:p w14:paraId="4D6304E3" w14:textId="21A531E2" w:rsidR="00C45A8C" w:rsidRPr="00D16BEE" w:rsidRDefault="00620937" w:rsidP="007B2786">
      <w:pPr>
        <w:pStyle w:val="ListParagraph"/>
        <w:numPr>
          <w:ilvl w:val="1"/>
          <w:numId w:val="33"/>
        </w:numPr>
        <w:spacing w:before="180" w:after="120" w:line="240" w:lineRule="auto"/>
        <w:rPr>
          <w:rFonts w:eastAsia="Times New Roman" w:cs="Times New Roman"/>
          <w:color w:val="000000"/>
          <w:szCs w:val="22"/>
          <w:lang w:eastAsia="en-AU"/>
        </w:rPr>
      </w:pPr>
      <w:r>
        <w:rPr>
          <w:rFonts w:eastAsia="Times New Roman" w:cs="Times New Roman"/>
          <w:color w:val="000000"/>
          <w:szCs w:val="22"/>
          <w:lang w:eastAsia="en-AU"/>
        </w:rPr>
        <w:t>in any other case</w:t>
      </w:r>
      <w:r w:rsidR="00C45A8C" w:rsidRPr="00570FEC">
        <w:rPr>
          <w:rFonts w:eastAsia="Times New Roman" w:cs="Times New Roman"/>
          <w:color w:val="000000"/>
          <w:szCs w:val="22"/>
          <w:lang w:eastAsia="en-AU"/>
        </w:rPr>
        <w:t>—equal to zero.</w:t>
      </w:r>
    </w:p>
    <w:p w14:paraId="0CBCBBDD" w14:textId="4BBB6B74" w:rsidR="00570FEC" w:rsidRPr="00620937" w:rsidRDefault="00D16BEE" w:rsidP="004A7133">
      <w:pPr>
        <w:pStyle w:val="ListParagraph"/>
        <w:numPr>
          <w:ilvl w:val="0"/>
          <w:numId w:val="33"/>
        </w:numPr>
        <w:spacing w:before="180" w:line="240" w:lineRule="auto"/>
        <w:rPr>
          <w:rFonts w:eastAsia="Times New Roman" w:cs="Times New Roman"/>
          <w:color w:val="000000"/>
          <w:szCs w:val="22"/>
          <w:lang w:eastAsia="en-AU"/>
        </w:rPr>
      </w:pPr>
      <w:r w:rsidRPr="00570FEC">
        <w:rPr>
          <w:rFonts w:eastAsia="Times New Roman" w:cs="Times New Roman"/>
          <w:color w:val="000000"/>
          <w:szCs w:val="22"/>
          <w:lang w:eastAsia="en-AU"/>
        </w:rPr>
        <w:t xml:space="preserve">For </w:t>
      </w:r>
      <w:r w:rsidR="00655DD7" w:rsidRPr="0056276E">
        <w:rPr>
          <w:rFonts w:eastAsia="Times New Roman" w:cs="Times New Roman"/>
          <w:color w:val="000000"/>
          <w:szCs w:val="22"/>
          <w:lang w:eastAsia="en-AU"/>
        </w:rPr>
        <w:t>the purposes of</w:t>
      </w:r>
      <w:r w:rsidRPr="00570FEC">
        <w:rPr>
          <w:rFonts w:eastAsia="Times New Roman" w:cs="Times New Roman"/>
          <w:color w:val="000000"/>
          <w:szCs w:val="22"/>
          <w:lang w:eastAsia="en-AU"/>
        </w:rPr>
        <w:t xml:space="preserve"> paragraph (1)(a), if the project was reported on for that year, the relevant value is the value reported in the offsets report.</w:t>
      </w:r>
    </w:p>
    <w:p w14:paraId="3F7FD3DE" w14:textId="1870237F" w:rsidR="00570FEC" w:rsidRPr="00570FEC" w:rsidRDefault="00570FEC" w:rsidP="007B2786">
      <w:pPr>
        <w:pStyle w:val="notetext"/>
        <w:ind w:hanging="545"/>
      </w:pPr>
      <w:r w:rsidRPr="00570FEC">
        <w:t>Note: </w:t>
      </w:r>
      <w:r w:rsidR="00655DD7">
        <w:tab/>
      </w:r>
      <w:r w:rsidRPr="00570FEC">
        <w:t>Paragraph (1)(a) is modified in some cases if the requirement in lieu of the newness requirement set out in paragraph </w:t>
      </w:r>
      <w:r>
        <w:t>2</w:t>
      </w:r>
      <w:r w:rsidR="7E3D6388">
        <w:t>3</w:t>
      </w:r>
      <w:r w:rsidRPr="00570FEC">
        <w:t xml:space="preserve">(2)(c) of this </w:t>
      </w:r>
      <w:r w:rsidR="00C929D7">
        <w:t>instrument</w:t>
      </w:r>
      <w:r w:rsidRPr="00570FEC">
        <w:t> was met. See subparagraph </w:t>
      </w:r>
      <w:r>
        <w:t>2</w:t>
      </w:r>
      <w:r w:rsidR="2AB2FD19">
        <w:t>3</w:t>
      </w:r>
      <w:r w:rsidRPr="00570FEC">
        <w:t>(3)(</w:t>
      </w:r>
      <w:r w:rsidR="256C5B6B">
        <w:t>c</w:t>
      </w:r>
      <w:r w:rsidRPr="00570FEC">
        <w:t xml:space="preserve">)(ii) of this </w:t>
      </w:r>
      <w:r w:rsidR="00C929D7">
        <w:t>instrument</w:t>
      </w:r>
      <w:r w:rsidRPr="00570FEC">
        <w:t>.</w:t>
      </w:r>
    </w:p>
    <w:p w14:paraId="0E5FF8FD" w14:textId="1A6F521F" w:rsidR="00AD52BE" w:rsidRPr="00CE3B3D" w:rsidRDefault="00CE3B3D" w:rsidP="007B2786">
      <w:pPr>
        <w:pStyle w:val="ActHead5"/>
      </w:pPr>
      <w:bookmarkStart w:id="100" w:name="_Toc202953866"/>
      <w:r>
        <w:t>4</w:t>
      </w:r>
      <w:r w:rsidRPr="009E76D2">
        <w:t xml:space="preserve">   </w:t>
      </w:r>
      <w:r w:rsidR="00AD52BE" w:rsidRPr="00AD52BE">
        <w:t>The </w:t>
      </w:r>
      <w:r w:rsidR="00AD52BE" w:rsidRPr="007B2786">
        <w:t>contribution</w:t>
      </w:r>
      <w:r w:rsidR="00AD52BE" w:rsidRPr="00AD52BE">
        <w:t xml:space="preserve"> to the net abatement amount from sequestration for a calendar year, </w:t>
      </w:r>
      <w:proofErr w:type="spellStart"/>
      <w:r w:rsidR="00AD52BE" w:rsidRPr="00AD52BE">
        <w:rPr>
          <w:i/>
          <w:iCs/>
        </w:rPr>
        <w:t>A</w:t>
      </w:r>
      <w:r w:rsidR="00AD52BE" w:rsidRPr="00AD52BE">
        <w:rPr>
          <w:i/>
          <w:iCs/>
          <w:sz w:val="16"/>
          <w:szCs w:val="16"/>
          <w:vertAlign w:val="subscript"/>
        </w:rPr>
        <w:t>Seq</w:t>
      </w:r>
      <w:bookmarkEnd w:id="100"/>
      <w:proofErr w:type="spellEnd"/>
    </w:p>
    <w:p w14:paraId="239AA67D" w14:textId="5AFB0F3F" w:rsidR="00AD52BE" w:rsidRPr="00AD52BE" w:rsidRDefault="00B13AA0" w:rsidP="004A7133">
      <w:pPr>
        <w:pStyle w:val="ListParagraph"/>
        <w:numPr>
          <w:ilvl w:val="0"/>
          <w:numId w:val="34"/>
        </w:numPr>
        <w:spacing w:before="180" w:after="120" w:line="240" w:lineRule="auto"/>
        <w:rPr>
          <w:rFonts w:eastAsia="Times New Roman" w:cs="Times New Roman"/>
          <w:color w:val="000000"/>
          <w:szCs w:val="22"/>
          <w:lang w:eastAsia="en-AU"/>
        </w:rPr>
      </w:pPr>
      <w:r w:rsidRPr="005E2488">
        <w:rPr>
          <w:rFonts w:cs="Times New Roman"/>
        </w:rPr>
        <w:t>For the first reporting year</w:t>
      </w:r>
      <w:r>
        <w:rPr>
          <w:rFonts w:cs="Times New Roman"/>
        </w:rPr>
        <w:t>,</w:t>
      </w:r>
      <w:r w:rsidRPr="005E2488">
        <w:rPr>
          <w:rFonts w:cs="Times New Roman"/>
        </w:rPr>
        <w:t xml:space="preserve"> the </w:t>
      </w:r>
      <w:r>
        <w:rPr>
          <w:rFonts w:cs="Times New Roman"/>
        </w:rPr>
        <w:t xml:space="preserve">net carbon stock </w:t>
      </w:r>
      <w:r w:rsidR="00A644DE">
        <w:rPr>
          <w:rFonts w:cs="Times New Roman"/>
        </w:rPr>
        <w:t xml:space="preserve">change for a project area </w:t>
      </w:r>
      <w:r w:rsidRPr="005E2488">
        <w:rPr>
          <w:rFonts w:cs="Times New Roman"/>
        </w:rPr>
        <w:t xml:space="preserve">for </w:t>
      </w:r>
      <w:r>
        <w:rPr>
          <w:rFonts w:cs="Times New Roman"/>
        </w:rPr>
        <w:t>the</w:t>
      </w:r>
      <w:r w:rsidRPr="005E2488">
        <w:rPr>
          <w:rFonts w:cs="Times New Roman"/>
        </w:rPr>
        <w:t xml:space="preserve"> calendar year</w:t>
      </w:r>
      <w:r w:rsidRPr="00AD52BE">
        <w:rPr>
          <w:rFonts w:eastAsia="Times New Roman" w:cs="Times New Roman"/>
          <w:color w:val="000000"/>
          <w:szCs w:val="22"/>
          <w:lang w:eastAsia="en-AU"/>
        </w:rPr>
        <w:t xml:space="preserve"> </w:t>
      </w:r>
      <w:r w:rsidR="00AD52BE" w:rsidRPr="00AD52BE">
        <w:rPr>
          <w:rFonts w:eastAsia="Times New Roman" w:cs="Times New Roman"/>
          <w:color w:val="000000"/>
          <w:szCs w:val="22"/>
          <w:lang w:eastAsia="en-AU"/>
        </w:rPr>
        <w:t>is given by the following equation:</w:t>
      </w:r>
    </w:p>
    <w:tbl>
      <w:tblPr>
        <w:tblW w:w="0" w:type="auto"/>
        <w:tblInd w:w="112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942"/>
        <w:gridCol w:w="1226"/>
      </w:tblGrid>
      <w:tr w:rsidR="00AD52BE" w:rsidRPr="00AD52BE" w14:paraId="36BBC086" w14:textId="77777777" w:rsidTr="00867A6B">
        <w:trPr>
          <w:trHeight w:val="1108"/>
        </w:trPr>
        <w:tc>
          <w:tcPr>
            <w:tcW w:w="6214" w:type="dxa"/>
            <w:tcBorders>
              <w:right w:val="single" w:sz="6" w:space="0" w:color="000000"/>
            </w:tcBorders>
            <w:tcMar>
              <w:top w:w="0" w:type="dxa"/>
              <w:left w:w="101" w:type="dxa"/>
              <w:bottom w:w="0" w:type="dxa"/>
              <w:right w:w="101" w:type="dxa"/>
            </w:tcMar>
            <w:vAlign w:val="center"/>
            <w:hideMark/>
          </w:tcPr>
          <w:p w14:paraId="2994FBC7" w14:textId="2DA60823" w:rsidR="00AD52BE" w:rsidRPr="00AD52BE" w:rsidRDefault="00742C96" w:rsidP="00AD52BE">
            <w:pPr>
              <w:spacing w:line="240" w:lineRule="auto"/>
              <w:rPr>
                <w:rFonts w:eastAsia="Times New Roman" w:cs="Times New Roman"/>
                <w:color w:val="000000"/>
                <w:szCs w:val="22"/>
                <w:lang w:eastAsia="en-AU"/>
              </w:rPr>
            </w:pPr>
            <w:r w:rsidRPr="00102BF7">
              <w:rPr>
                <w:noProof/>
                <w:sz w:val="20"/>
              </w:rPr>
              <w:drawing>
                <wp:inline distT="0" distB="0" distL="0" distR="0" wp14:anchorId="5592E86D" wp14:editId="039F3E21">
                  <wp:extent cx="1445740" cy="444843"/>
                  <wp:effectExtent l="0" t="0" r="2540" b="0"/>
                  <wp:docPr id="658834323" name="Picture 1" descr="A formula to work out the contribution to the net abatement amount in tonnes CO2 e from the sequestration for a calendar year, for subsequent reporting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834323" name="Picture 1" descr="A formula to work out the contribution to the net abatement amount in tonnes CO2 e from the sequestration for a calendar year, for subsequent reporting years."/>
                          <pic:cNvPicPr/>
                        </pic:nvPicPr>
                        <pic:blipFill>
                          <a:blip r:embed="rId33"/>
                          <a:stretch>
                            <a:fillRect/>
                          </a:stretch>
                        </pic:blipFill>
                        <pic:spPr>
                          <a:xfrm>
                            <a:off x="0" y="0"/>
                            <a:ext cx="1445740" cy="444843"/>
                          </a:xfrm>
                          <a:prstGeom prst="rect">
                            <a:avLst/>
                          </a:prstGeom>
                        </pic:spPr>
                      </pic:pic>
                    </a:graphicData>
                  </a:graphic>
                </wp:inline>
              </w:drawing>
            </w:r>
          </w:p>
        </w:tc>
        <w:tc>
          <w:tcPr>
            <w:tcW w:w="1241" w:type="dxa"/>
            <w:tcBorders>
              <w:left w:val="single" w:sz="6" w:space="0" w:color="000000"/>
            </w:tcBorders>
            <w:tcMar>
              <w:top w:w="0" w:type="dxa"/>
              <w:left w:w="101" w:type="dxa"/>
              <w:bottom w:w="0" w:type="dxa"/>
              <w:right w:w="101" w:type="dxa"/>
            </w:tcMar>
            <w:vAlign w:val="center"/>
            <w:hideMark/>
          </w:tcPr>
          <w:p w14:paraId="538BD6C9" w14:textId="01830B54" w:rsidR="00AD52BE" w:rsidRPr="00AD52BE" w:rsidRDefault="00AD52BE" w:rsidP="00AD52BE">
            <w:pPr>
              <w:spacing w:before="60" w:line="240" w:lineRule="atLeast"/>
              <w:rPr>
                <w:rFonts w:eastAsia="Times New Roman" w:cs="Times New Roman"/>
                <w:color w:val="000000"/>
                <w:sz w:val="20"/>
                <w:lang w:eastAsia="en-AU"/>
              </w:rPr>
            </w:pPr>
            <w:r w:rsidRPr="00AD52BE">
              <w:rPr>
                <w:rFonts w:eastAsia="Times New Roman" w:cs="Times New Roman"/>
                <w:color w:val="000000"/>
                <w:sz w:val="20"/>
                <w:lang w:eastAsia="en-AU"/>
              </w:rPr>
              <w:t>equation </w:t>
            </w:r>
            <w:r w:rsidR="00477F60">
              <w:rPr>
                <w:rFonts w:eastAsia="Times New Roman" w:cs="Times New Roman"/>
                <w:color w:val="000000"/>
                <w:sz w:val="20"/>
                <w:lang w:eastAsia="en-AU"/>
              </w:rPr>
              <w:t>6</w:t>
            </w:r>
          </w:p>
        </w:tc>
      </w:tr>
    </w:tbl>
    <w:p w14:paraId="5BD5B6E9" w14:textId="5FBE414D" w:rsidR="00AD52BE" w:rsidRPr="00AD52BE" w:rsidRDefault="00AD52BE" w:rsidP="00AD52BE">
      <w:pPr>
        <w:spacing w:before="180" w:line="240" w:lineRule="auto"/>
        <w:ind w:left="1134" w:hanging="1134"/>
        <w:rPr>
          <w:rFonts w:eastAsia="Times New Roman" w:cs="Times New Roman"/>
          <w:color w:val="000000"/>
          <w:szCs w:val="22"/>
          <w:lang w:eastAsia="en-AU"/>
        </w:rPr>
      </w:pPr>
      <w:r w:rsidRPr="00AD52BE">
        <w:rPr>
          <w:rFonts w:eastAsia="Times New Roman" w:cs="Times New Roman"/>
          <w:color w:val="000000"/>
          <w:szCs w:val="22"/>
          <w:lang w:eastAsia="en-AU"/>
        </w:rPr>
        <w:t> </w:t>
      </w:r>
      <w:r>
        <w:rPr>
          <w:rFonts w:eastAsia="Times New Roman" w:cs="Times New Roman"/>
          <w:color w:val="000000"/>
          <w:szCs w:val="22"/>
          <w:lang w:eastAsia="en-AU"/>
        </w:rPr>
        <w:tab/>
      </w:r>
      <w:r w:rsidRPr="00AD52BE">
        <w:rPr>
          <w:rFonts w:eastAsia="Times New Roman" w:cs="Times New Roman"/>
          <w:color w:val="000000"/>
          <w:szCs w:val="22"/>
          <w:lang w:eastAsia="en-AU"/>
        </w:rPr>
        <w:t>where:</w:t>
      </w:r>
    </w:p>
    <w:p w14:paraId="30D6E781" w14:textId="7A35AF10" w:rsidR="00AD52BE" w:rsidRPr="00AD52BE" w:rsidRDefault="00AD52BE" w:rsidP="00AD52BE">
      <w:pPr>
        <w:spacing w:before="180" w:line="240" w:lineRule="auto"/>
        <w:ind w:left="1134"/>
        <w:rPr>
          <w:rFonts w:eastAsia="Times New Roman" w:cs="Times New Roman"/>
          <w:color w:val="000000"/>
          <w:szCs w:val="22"/>
          <w:lang w:eastAsia="en-AU"/>
        </w:rPr>
      </w:pPr>
      <w:r w:rsidRPr="00AD52BE">
        <w:rPr>
          <w:rFonts w:eastAsia="Times New Roman" w:cs="Times New Roman"/>
          <w:b/>
          <w:bCs/>
          <w:i/>
          <w:iCs/>
          <w:color w:val="000000"/>
          <w:szCs w:val="22"/>
          <w:lang w:eastAsia="en-AU"/>
        </w:rPr>
        <w:t>C</w:t>
      </w:r>
      <w:r w:rsidR="00BC1DC3">
        <w:rPr>
          <w:rFonts w:eastAsia="Times New Roman" w:cs="Times New Roman"/>
          <w:b/>
          <w:bCs/>
          <w:i/>
          <w:iCs/>
          <w:color w:val="000000"/>
          <w:sz w:val="15"/>
          <w:szCs w:val="15"/>
          <w:vertAlign w:val="subscript"/>
          <w:lang w:eastAsia="en-AU"/>
        </w:rPr>
        <w:t>y</w:t>
      </w:r>
      <w:r w:rsidRPr="00AD52BE">
        <w:rPr>
          <w:rFonts w:eastAsia="Times New Roman" w:cs="Times New Roman"/>
          <w:color w:val="000000"/>
          <w:szCs w:val="22"/>
          <w:lang w:eastAsia="en-AU"/>
        </w:rPr>
        <w:t xml:space="preserve"> is the </w:t>
      </w:r>
      <w:r w:rsidR="00BC1DC3">
        <w:rPr>
          <w:rFonts w:eastAsia="Times New Roman" w:cs="Times New Roman"/>
          <w:color w:val="000000"/>
          <w:szCs w:val="22"/>
          <w:lang w:eastAsia="en-AU"/>
        </w:rPr>
        <w:t xml:space="preserve">deemed net carbon stock in the project area at the </w:t>
      </w:r>
      <w:r w:rsidR="00223228">
        <w:rPr>
          <w:rFonts w:eastAsia="Times New Roman" w:cs="Times New Roman"/>
          <w:color w:val="000000"/>
          <w:szCs w:val="22"/>
          <w:lang w:eastAsia="en-AU"/>
        </w:rPr>
        <w:t>end of the calendar year</w:t>
      </w:r>
      <w:r w:rsidRPr="00AD52BE">
        <w:rPr>
          <w:rFonts w:eastAsia="Times New Roman" w:cs="Times New Roman"/>
          <w:color w:val="000000"/>
          <w:szCs w:val="22"/>
          <w:lang w:eastAsia="en-AU"/>
        </w:rPr>
        <w:t>, in tonnes CO</w:t>
      </w:r>
      <w:r w:rsidRPr="00AD52BE">
        <w:rPr>
          <w:rFonts w:eastAsia="Times New Roman" w:cs="Times New Roman"/>
          <w:color w:val="000000"/>
          <w:sz w:val="15"/>
          <w:szCs w:val="15"/>
          <w:vertAlign w:val="subscript"/>
          <w:lang w:eastAsia="en-AU"/>
        </w:rPr>
        <w:t>2</w:t>
      </w:r>
      <w:r w:rsidRPr="00AD52BE">
        <w:rPr>
          <w:rFonts w:eastAsia="Times New Roman" w:cs="Times New Roman"/>
          <w:color w:val="000000"/>
          <w:szCs w:val="22"/>
          <w:lang w:eastAsia="en-AU"/>
        </w:rPr>
        <w:softHyphen/>
      </w:r>
      <w:r w:rsidRPr="00AD52BE">
        <w:rPr>
          <w:rFonts w:eastAsia="Times New Roman" w:cs="Times New Roman"/>
          <w:color w:val="000000"/>
          <w:szCs w:val="22"/>
          <w:lang w:eastAsia="en-AU"/>
        </w:rPr>
        <w:softHyphen/>
      </w:r>
      <w:r w:rsidRPr="00AD52BE">
        <w:rPr>
          <w:rFonts w:eastAsia="Times New Roman" w:cs="Times New Roman"/>
          <w:color w:val="000000"/>
          <w:szCs w:val="22"/>
          <w:lang w:eastAsia="en-AU"/>
        </w:rPr>
        <w:noBreakHyphen/>
        <w:t>e</w:t>
      </w:r>
      <w:r w:rsidR="009B57D8" w:rsidRPr="00AD52BE">
        <w:rPr>
          <w:rFonts w:eastAsia="Times New Roman" w:cs="Times New Roman"/>
          <w:color w:val="000000"/>
          <w:szCs w:val="22"/>
          <w:lang w:eastAsia="en-AU"/>
        </w:rPr>
        <w:t>—</w:t>
      </w:r>
      <w:r w:rsidR="00223228">
        <w:rPr>
          <w:rFonts w:eastAsia="Times New Roman" w:cs="Times New Roman"/>
          <w:color w:val="000000"/>
          <w:szCs w:val="22"/>
          <w:lang w:eastAsia="en-AU"/>
        </w:rPr>
        <w:t xml:space="preserve">from </w:t>
      </w:r>
      <w:proofErr w:type="spellStart"/>
      <w:r w:rsidR="00223228">
        <w:rPr>
          <w:rFonts w:eastAsia="Times New Roman" w:cs="Times New Roman"/>
          <w:color w:val="000000"/>
          <w:szCs w:val="22"/>
          <w:lang w:eastAsia="en-AU"/>
        </w:rPr>
        <w:t>SavCAM</w:t>
      </w:r>
      <w:proofErr w:type="spellEnd"/>
      <w:r w:rsidR="00223228">
        <w:rPr>
          <w:rFonts w:eastAsia="Times New Roman" w:cs="Times New Roman"/>
          <w:color w:val="000000"/>
          <w:szCs w:val="22"/>
          <w:lang w:eastAsia="en-AU"/>
        </w:rPr>
        <w:t>.</w:t>
      </w:r>
    </w:p>
    <w:p w14:paraId="16B3A2E9" w14:textId="082E1761" w:rsidR="00FE3DB0" w:rsidRPr="00AD52BE" w:rsidRDefault="00BD395E" w:rsidP="00FE3DB0">
      <w:pPr>
        <w:spacing w:before="180" w:line="240" w:lineRule="auto"/>
        <w:ind w:left="1134"/>
        <w:rPr>
          <w:rFonts w:eastAsia="Times New Roman" w:cs="Times New Roman"/>
          <w:color w:val="000000"/>
          <w:szCs w:val="22"/>
          <w:lang w:eastAsia="en-AU"/>
        </w:rPr>
      </w:pPr>
      <w:r>
        <w:rPr>
          <w:rFonts w:eastAsia="Times New Roman" w:cs="Times New Roman"/>
          <w:b/>
          <w:bCs/>
          <w:i/>
          <w:iCs/>
          <w:noProof/>
          <w:color w:val="000000"/>
          <w:szCs w:val="22"/>
          <w:lang w:eastAsia="en-AU"/>
        </w:rPr>
        <w:drawing>
          <wp:inline distT="0" distB="0" distL="0" distR="0" wp14:anchorId="6DDD2F40" wp14:editId="1901D6B0">
            <wp:extent cx="184150" cy="247149"/>
            <wp:effectExtent l="0" t="0" r="6350" b="635"/>
            <wp:docPr id="14592011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7855" cy="252122"/>
                    </a:xfrm>
                    <a:prstGeom prst="rect">
                      <a:avLst/>
                    </a:prstGeom>
                    <a:noFill/>
                    <a:ln>
                      <a:noFill/>
                    </a:ln>
                  </pic:spPr>
                </pic:pic>
              </a:graphicData>
            </a:graphic>
          </wp:inline>
        </w:drawing>
      </w:r>
      <w:r w:rsidR="00AD52BE" w:rsidRPr="00AD52BE">
        <w:rPr>
          <w:rFonts w:eastAsia="Times New Roman" w:cs="Times New Roman"/>
          <w:color w:val="000000"/>
          <w:szCs w:val="22"/>
          <w:lang w:eastAsia="en-AU"/>
        </w:rPr>
        <w:t>is</w:t>
      </w:r>
      <w:r w:rsidR="00FE3DB0">
        <w:rPr>
          <w:rFonts w:eastAsia="Times New Roman" w:cs="Times New Roman"/>
          <w:color w:val="000000"/>
          <w:szCs w:val="22"/>
          <w:lang w:eastAsia="en-AU"/>
        </w:rPr>
        <w:t xml:space="preserve"> the mean baseline carbon stock</w:t>
      </w:r>
      <w:r w:rsidR="00B95607" w:rsidRPr="00AD52BE">
        <w:rPr>
          <w:rFonts w:eastAsia="Times New Roman" w:cs="Times New Roman"/>
          <w:color w:val="000000"/>
          <w:szCs w:val="22"/>
          <w:lang w:eastAsia="en-AU"/>
        </w:rPr>
        <w:t>, in tonnes CO</w:t>
      </w:r>
      <w:r w:rsidR="00B95607" w:rsidRPr="00AD52BE">
        <w:rPr>
          <w:rFonts w:eastAsia="Times New Roman" w:cs="Times New Roman"/>
          <w:color w:val="000000"/>
          <w:sz w:val="15"/>
          <w:szCs w:val="15"/>
          <w:vertAlign w:val="subscript"/>
          <w:lang w:eastAsia="en-AU"/>
        </w:rPr>
        <w:t>2</w:t>
      </w:r>
      <w:r w:rsidR="00B95607" w:rsidRPr="00AD52BE">
        <w:rPr>
          <w:rFonts w:eastAsia="Times New Roman" w:cs="Times New Roman"/>
          <w:color w:val="000000"/>
          <w:szCs w:val="22"/>
          <w:lang w:eastAsia="en-AU"/>
        </w:rPr>
        <w:softHyphen/>
      </w:r>
      <w:r w:rsidR="00B95607" w:rsidRPr="00AD52BE">
        <w:rPr>
          <w:rFonts w:eastAsia="Times New Roman" w:cs="Times New Roman"/>
          <w:color w:val="000000"/>
          <w:szCs w:val="22"/>
          <w:lang w:eastAsia="en-AU"/>
        </w:rPr>
        <w:softHyphen/>
      </w:r>
      <w:r w:rsidR="00B95607" w:rsidRPr="00AD52BE">
        <w:rPr>
          <w:rFonts w:eastAsia="Times New Roman" w:cs="Times New Roman"/>
          <w:color w:val="000000"/>
          <w:szCs w:val="22"/>
          <w:lang w:eastAsia="en-AU"/>
        </w:rPr>
        <w:noBreakHyphen/>
        <w:t>e—</w:t>
      </w:r>
      <w:r w:rsidR="00B95607">
        <w:rPr>
          <w:rFonts w:eastAsia="Times New Roman" w:cs="Times New Roman"/>
          <w:color w:val="000000"/>
          <w:szCs w:val="22"/>
          <w:lang w:eastAsia="en-AU"/>
        </w:rPr>
        <w:t>from equation 8.</w:t>
      </w:r>
    </w:p>
    <w:p w14:paraId="3F6852BB" w14:textId="39595EF4" w:rsidR="00AD52BE" w:rsidRDefault="00AD52BE" w:rsidP="00A644DE">
      <w:pPr>
        <w:spacing w:before="40" w:line="240" w:lineRule="auto"/>
        <w:rPr>
          <w:rFonts w:eastAsia="Times New Roman" w:cs="Times New Roman"/>
          <w:color w:val="000000"/>
          <w:szCs w:val="22"/>
          <w:lang w:eastAsia="en-AU"/>
        </w:rPr>
      </w:pPr>
    </w:p>
    <w:p w14:paraId="29E45CED" w14:textId="2700BAAD" w:rsidR="00320807" w:rsidRPr="00AD52BE" w:rsidRDefault="00382AAA" w:rsidP="004A7133">
      <w:pPr>
        <w:pStyle w:val="ListParagraph"/>
        <w:numPr>
          <w:ilvl w:val="0"/>
          <w:numId w:val="34"/>
        </w:numPr>
        <w:spacing w:before="180" w:after="120" w:line="240" w:lineRule="auto"/>
        <w:rPr>
          <w:rFonts w:eastAsia="Times New Roman" w:cs="Times New Roman"/>
          <w:color w:val="000000"/>
          <w:szCs w:val="22"/>
          <w:lang w:eastAsia="en-AU"/>
        </w:rPr>
      </w:pPr>
      <w:r>
        <w:rPr>
          <w:rFonts w:cs="Times New Roman"/>
        </w:rPr>
        <w:t>In subsequent reporting years, t</w:t>
      </w:r>
      <w:r w:rsidR="00A644DE" w:rsidRPr="005E2488">
        <w:rPr>
          <w:rFonts w:cs="Times New Roman"/>
        </w:rPr>
        <w:t xml:space="preserve">he </w:t>
      </w:r>
      <w:r w:rsidR="00A644DE">
        <w:rPr>
          <w:rFonts w:cs="Times New Roman"/>
        </w:rPr>
        <w:t xml:space="preserve">net carbon stock change for a project area </w:t>
      </w:r>
      <w:r w:rsidR="00A644DE" w:rsidRPr="005E2488">
        <w:rPr>
          <w:rFonts w:cs="Times New Roman"/>
        </w:rPr>
        <w:t xml:space="preserve">for </w:t>
      </w:r>
      <w:r w:rsidR="00A644DE">
        <w:rPr>
          <w:rFonts w:cs="Times New Roman"/>
        </w:rPr>
        <w:t>the</w:t>
      </w:r>
      <w:r w:rsidR="00A644DE" w:rsidRPr="005E2488">
        <w:rPr>
          <w:rFonts w:cs="Times New Roman"/>
        </w:rPr>
        <w:t xml:space="preserve"> calendar year</w:t>
      </w:r>
      <w:r w:rsidR="00A644DE" w:rsidRPr="00AD52BE">
        <w:rPr>
          <w:rFonts w:eastAsia="Times New Roman" w:cs="Times New Roman"/>
          <w:color w:val="000000"/>
          <w:szCs w:val="22"/>
          <w:lang w:eastAsia="en-AU"/>
        </w:rPr>
        <w:t xml:space="preserve"> is given by the following equation</w:t>
      </w:r>
      <w:r w:rsidR="00320807" w:rsidRPr="00AD52BE">
        <w:rPr>
          <w:rFonts w:eastAsia="Times New Roman" w:cs="Times New Roman"/>
          <w:color w:val="000000"/>
          <w:szCs w:val="22"/>
          <w:lang w:eastAsia="en-AU"/>
        </w:rPr>
        <w:t>:</w:t>
      </w:r>
    </w:p>
    <w:tbl>
      <w:tblPr>
        <w:tblW w:w="0" w:type="auto"/>
        <w:tblInd w:w="112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943"/>
        <w:gridCol w:w="1225"/>
      </w:tblGrid>
      <w:tr w:rsidR="00320807" w:rsidRPr="00AD52BE" w14:paraId="2FF2BA0F" w14:textId="77777777" w:rsidTr="00867A6B">
        <w:trPr>
          <w:trHeight w:val="1108"/>
        </w:trPr>
        <w:tc>
          <w:tcPr>
            <w:tcW w:w="6214" w:type="dxa"/>
            <w:tcBorders>
              <w:right w:val="single" w:sz="6" w:space="0" w:color="000000"/>
            </w:tcBorders>
            <w:tcMar>
              <w:top w:w="0" w:type="dxa"/>
              <w:left w:w="101" w:type="dxa"/>
              <w:bottom w:w="0" w:type="dxa"/>
              <w:right w:w="101" w:type="dxa"/>
            </w:tcMar>
            <w:vAlign w:val="center"/>
            <w:hideMark/>
          </w:tcPr>
          <w:p w14:paraId="38CDBF26" w14:textId="2870EB1F" w:rsidR="00320807" w:rsidRPr="00AD52BE" w:rsidRDefault="002801F4" w:rsidP="00F16DD7">
            <w:pPr>
              <w:spacing w:line="240" w:lineRule="auto"/>
              <w:rPr>
                <w:rFonts w:eastAsia="Times New Roman" w:cs="Times New Roman"/>
                <w:color w:val="000000"/>
                <w:szCs w:val="22"/>
                <w:lang w:eastAsia="en-AU"/>
              </w:rPr>
            </w:pPr>
            <w:r w:rsidRPr="00102BF7">
              <w:rPr>
                <w:noProof/>
                <w:sz w:val="20"/>
              </w:rPr>
              <w:lastRenderedPageBreak/>
              <w:drawing>
                <wp:inline distT="0" distB="0" distL="0" distR="0" wp14:anchorId="0EF8D38A" wp14:editId="51B2E32D">
                  <wp:extent cx="1608021" cy="526044"/>
                  <wp:effectExtent l="0" t="0" r="0" b="7620"/>
                  <wp:docPr id="290118373" name="Picture 1" descr="A formula to work out the contribution to the net abatement amount in tonnes CO2 e from the sequestration for a calendar year, for subsequent reporting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118373" name="Picture 1" descr="A formula to work out the contribution to the net abatement amount in tonnes CO2 e from the sequestration for a calendar year, for subsequent reporting years."/>
                          <pic:cNvPicPr/>
                        </pic:nvPicPr>
                        <pic:blipFill>
                          <a:blip r:embed="rId35"/>
                          <a:stretch>
                            <a:fillRect/>
                          </a:stretch>
                        </pic:blipFill>
                        <pic:spPr>
                          <a:xfrm>
                            <a:off x="0" y="0"/>
                            <a:ext cx="1619062" cy="529656"/>
                          </a:xfrm>
                          <a:prstGeom prst="rect">
                            <a:avLst/>
                          </a:prstGeom>
                        </pic:spPr>
                      </pic:pic>
                    </a:graphicData>
                  </a:graphic>
                </wp:inline>
              </w:drawing>
            </w:r>
          </w:p>
        </w:tc>
        <w:tc>
          <w:tcPr>
            <w:tcW w:w="1241" w:type="dxa"/>
            <w:tcBorders>
              <w:left w:val="single" w:sz="6" w:space="0" w:color="000000"/>
            </w:tcBorders>
            <w:tcMar>
              <w:top w:w="0" w:type="dxa"/>
              <w:left w:w="101" w:type="dxa"/>
              <w:bottom w:w="0" w:type="dxa"/>
              <w:right w:w="101" w:type="dxa"/>
            </w:tcMar>
            <w:vAlign w:val="center"/>
            <w:hideMark/>
          </w:tcPr>
          <w:p w14:paraId="482AE07B" w14:textId="54EE8790" w:rsidR="00320807" w:rsidRPr="00AD52BE" w:rsidRDefault="00320807" w:rsidP="00F16DD7">
            <w:pPr>
              <w:spacing w:before="60" w:line="240" w:lineRule="atLeast"/>
              <w:rPr>
                <w:rFonts w:eastAsia="Times New Roman" w:cs="Times New Roman"/>
                <w:color w:val="000000"/>
                <w:sz w:val="20"/>
                <w:lang w:eastAsia="en-AU"/>
              </w:rPr>
            </w:pPr>
            <w:r w:rsidRPr="00AD52BE">
              <w:rPr>
                <w:rFonts w:eastAsia="Times New Roman" w:cs="Times New Roman"/>
                <w:color w:val="000000"/>
                <w:sz w:val="20"/>
                <w:lang w:eastAsia="en-AU"/>
              </w:rPr>
              <w:t>equation </w:t>
            </w:r>
            <w:r w:rsidR="00E7519F">
              <w:rPr>
                <w:rFonts w:eastAsia="Times New Roman" w:cs="Times New Roman"/>
                <w:color w:val="000000"/>
                <w:sz w:val="20"/>
                <w:lang w:eastAsia="en-AU"/>
              </w:rPr>
              <w:t>7</w:t>
            </w:r>
          </w:p>
        </w:tc>
      </w:tr>
    </w:tbl>
    <w:p w14:paraId="0DD89018" w14:textId="77777777" w:rsidR="00320807" w:rsidRPr="00AD52BE" w:rsidRDefault="00320807" w:rsidP="00320807">
      <w:pPr>
        <w:spacing w:before="180" w:line="240" w:lineRule="auto"/>
        <w:ind w:left="1134" w:hanging="1134"/>
        <w:rPr>
          <w:rFonts w:eastAsia="Times New Roman" w:cs="Times New Roman"/>
          <w:color w:val="000000"/>
          <w:szCs w:val="22"/>
          <w:lang w:eastAsia="en-AU"/>
        </w:rPr>
      </w:pPr>
      <w:r w:rsidRPr="00AD52BE">
        <w:rPr>
          <w:rFonts w:eastAsia="Times New Roman" w:cs="Times New Roman"/>
          <w:color w:val="000000"/>
          <w:szCs w:val="22"/>
          <w:lang w:eastAsia="en-AU"/>
        </w:rPr>
        <w:t> </w:t>
      </w:r>
      <w:r>
        <w:rPr>
          <w:rFonts w:eastAsia="Times New Roman" w:cs="Times New Roman"/>
          <w:color w:val="000000"/>
          <w:szCs w:val="22"/>
          <w:lang w:eastAsia="en-AU"/>
        </w:rPr>
        <w:tab/>
      </w:r>
      <w:r w:rsidRPr="00AD52BE">
        <w:rPr>
          <w:rFonts w:eastAsia="Times New Roman" w:cs="Times New Roman"/>
          <w:color w:val="000000"/>
          <w:szCs w:val="22"/>
          <w:lang w:eastAsia="en-AU"/>
        </w:rPr>
        <w:t>where:</w:t>
      </w:r>
    </w:p>
    <w:p w14:paraId="481C9680" w14:textId="0FDB049E" w:rsidR="00320807" w:rsidRPr="00AD52BE" w:rsidRDefault="00320807" w:rsidP="00BE4D49">
      <w:pPr>
        <w:spacing w:before="180" w:line="240" w:lineRule="auto"/>
        <w:ind w:left="1134"/>
        <w:rPr>
          <w:rFonts w:eastAsia="Times New Roman" w:cs="Times New Roman"/>
          <w:color w:val="000000"/>
          <w:szCs w:val="22"/>
          <w:lang w:eastAsia="en-AU"/>
        </w:rPr>
      </w:pPr>
      <w:r w:rsidRPr="00AD52BE">
        <w:rPr>
          <w:rFonts w:eastAsia="Times New Roman" w:cs="Times New Roman"/>
          <w:b/>
          <w:bCs/>
          <w:i/>
          <w:iCs/>
          <w:color w:val="000000"/>
          <w:szCs w:val="22"/>
          <w:lang w:eastAsia="en-AU"/>
        </w:rPr>
        <w:t>C</w:t>
      </w:r>
      <w:r>
        <w:rPr>
          <w:rFonts w:eastAsia="Times New Roman" w:cs="Times New Roman"/>
          <w:b/>
          <w:bCs/>
          <w:i/>
          <w:iCs/>
          <w:color w:val="000000"/>
          <w:sz w:val="15"/>
          <w:szCs w:val="15"/>
          <w:vertAlign w:val="subscript"/>
          <w:lang w:eastAsia="en-AU"/>
        </w:rPr>
        <w:t>y</w:t>
      </w:r>
      <w:r w:rsidRPr="00AD52BE">
        <w:rPr>
          <w:rFonts w:eastAsia="Times New Roman" w:cs="Times New Roman"/>
          <w:color w:val="000000"/>
          <w:szCs w:val="22"/>
          <w:lang w:eastAsia="en-AU"/>
        </w:rPr>
        <w:t xml:space="preserve"> is the </w:t>
      </w:r>
      <w:r>
        <w:rPr>
          <w:rFonts w:eastAsia="Times New Roman" w:cs="Times New Roman"/>
          <w:color w:val="000000"/>
          <w:szCs w:val="22"/>
          <w:lang w:eastAsia="en-AU"/>
        </w:rPr>
        <w:t>deemed net carbon stock in the project area at the end of the calendar year</w:t>
      </w:r>
      <w:r w:rsidRPr="00AD52BE">
        <w:rPr>
          <w:rFonts w:eastAsia="Times New Roman" w:cs="Times New Roman"/>
          <w:color w:val="000000"/>
          <w:szCs w:val="22"/>
          <w:lang w:eastAsia="en-AU"/>
        </w:rPr>
        <w:t>, in tonnes CO</w:t>
      </w:r>
      <w:r w:rsidRPr="00AD52BE">
        <w:rPr>
          <w:rFonts w:eastAsia="Times New Roman" w:cs="Times New Roman"/>
          <w:color w:val="000000"/>
          <w:sz w:val="15"/>
          <w:szCs w:val="15"/>
          <w:vertAlign w:val="subscript"/>
          <w:lang w:eastAsia="en-AU"/>
        </w:rPr>
        <w:t>2</w:t>
      </w:r>
      <w:r w:rsidRPr="00AD52BE">
        <w:rPr>
          <w:rFonts w:eastAsia="Times New Roman" w:cs="Times New Roman"/>
          <w:color w:val="000000"/>
          <w:szCs w:val="22"/>
          <w:lang w:eastAsia="en-AU"/>
        </w:rPr>
        <w:softHyphen/>
      </w:r>
      <w:r w:rsidRPr="00AD52BE">
        <w:rPr>
          <w:rFonts w:eastAsia="Times New Roman" w:cs="Times New Roman"/>
          <w:color w:val="000000"/>
          <w:szCs w:val="22"/>
          <w:lang w:eastAsia="en-AU"/>
        </w:rPr>
        <w:softHyphen/>
      </w:r>
      <w:r w:rsidRPr="00AD52BE">
        <w:rPr>
          <w:rFonts w:eastAsia="Times New Roman" w:cs="Times New Roman"/>
          <w:color w:val="000000"/>
          <w:szCs w:val="22"/>
          <w:lang w:eastAsia="en-AU"/>
        </w:rPr>
        <w:noBreakHyphen/>
        <w:t>e</w:t>
      </w:r>
      <w:r w:rsidR="009B57D8" w:rsidRPr="00AD52BE">
        <w:rPr>
          <w:rFonts w:eastAsia="Times New Roman" w:cs="Times New Roman"/>
          <w:color w:val="000000"/>
          <w:szCs w:val="22"/>
          <w:lang w:eastAsia="en-AU"/>
        </w:rPr>
        <w:t>—</w:t>
      </w:r>
      <w:r>
        <w:rPr>
          <w:rFonts w:eastAsia="Times New Roman" w:cs="Times New Roman"/>
          <w:color w:val="000000"/>
          <w:szCs w:val="22"/>
          <w:lang w:eastAsia="en-AU"/>
        </w:rPr>
        <w:t xml:space="preserve">from </w:t>
      </w:r>
      <w:proofErr w:type="spellStart"/>
      <w:r>
        <w:rPr>
          <w:rFonts w:eastAsia="Times New Roman" w:cs="Times New Roman"/>
          <w:color w:val="000000"/>
          <w:szCs w:val="22"/>
          <w:lang w:eastAsia="en-AU"/>
        </w:rPr>
        <w:t>SavCAM</w:t>
      </w:r>
      <w:proofErr w:type="spellEnd"/>
      <w:r>
        <w:rPr>
          <w:rFonts w:eastAsia="Times New Roman" w:cs="Times New Roman"/>
          <w:color w:val="000000"/>
          <w:szCs w:val="22"/>
          <w:lang w:eastAsia="en-AU"/>
        </w:rPr>
        <w:t>.</w:t>
      </w:r>
    </w:p>
    <w:p w14:paraId="69B7BFB0" w14:textId="68C0E5D9" w:rsidR="00570FEC" w:rsidRDefault="00513474" w:rsidP="00EB260E">
      <w:pPr>
        <w:spacing w:before="180" w:line="240" w:lineRule="auto"/>
        <w:ind w:left="1134"/>
        <w:rPr>
          <w:rFonts w:eastAsia="Times New Roman" w:cs="Times New Roman"/>
          <w:color w:val="000000"/>
          <w:szCs w:val="22"/>
          <w:lang w:eastAsia="en-AU"/>
        </w:rPr>
      </w:pPr>
      <w:r>
        <w:rPr>
          <w:rFonts w:eastAsia="Times New Roman" w:cs="Times New Roman"/>
          <w:noProof/>
          <w:color w:val="000000"/>
          <w:szCs w:val="22"/>
          <w:lang w:eastAsia="en-AU"/>
        </w:rPr>
        <w:drawing>
          <wp:inline distT="0" distB="0" distL="0" distR="0" wp14:anchorId="44495400" wp14:editId="5072D466">
            <wp:extent cx="300404" cy="190500"/>
            <wp:effectExtent l="0" t="0" r="4445" b="0"/>
            <wp:docPr id="2771355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2237" cy="191663"/>
                    </a:xfrm>
                    <a:prstGeom prst="rect">
                      <a:avLst/>
                    </a:prstGeom>
                    <a:noFill/>
                    <a:ln>
                      <a:noFill/>
                    </a:ln>
                  </pic:spPr>
                </pic:pic>
              </a:graphicData>
            </a:graphic>
          </wp:inline>
        </w:drawing>
      </w:r>
      <w:r w:rsidR="00A67790">
        <w:rPr>
          <w:rFonts w:eastAsia="Times New Roman" w:cs="Times New Roman"/>
          <w:color w:val="000000"/>
          <w:szCs w:val="22"/>
          <w:lang w:eastAsia="en-AU"/>
        </w:rPr>
        <w:t xml:space="preserve"> </w:t>
      </w:r>
      <w:r w:rsidR="00320807" w:rsidRPr="00AD52BE">
        <w:rPr>
          <w:rFonts w:eastAsia="Times New Roman" w:cs="Times New Roman"/>
          <w:color w:val="000000"/>
          <w:szCs w:val="22"/>
          <w:lang w:eastAsia="en-AU"/>
        </w:rPr>
        <w:t>is</w:t>
      </w:r>
      <w:r w:rsidR="00320807">
        <w:rPr>
          <w:rFonts w:eastAsia="Times New Roman" w:cs="Times New Roman"/>
          <w:color w:val="000000"/>
          <w:szCs w:val="22"/>
          <w:lang w:eastAsia="en-AU"/>
        </w:rPr>
        <w:t xml:space="preserve"> the </w:t>
      </w:r>
      <w:r>
        <w:rPr>
          <w:rFonts w:eastAsia="Times New Roman" w:cs="Times New Roman"/>
          <w:color w:val="000000"/>
          <w:szCs w:val="22"/>
          <w:lang w:eastAsia="en-AU"/>
        </w:rPr>
        <w:t>deemed</w:t>
      </w:r>
      <w:r w:rsidR="00320807">
        <w:rPr>
          <w:rFonts w:eastAsia="Times New Roman" w:cs="Times New Roman"/>
          <w:color w:val="000000"/>
          <w:szCs w:val="22"/>
          <w:lang w:eastAsia="en-AU"/>
        </w:rPr>
        <w:t xml:space="preserve"> </w:t>
      </w:r>
      <w:r>
        <w:rPr>
          <w:rFonts w:eastAsia="Times New Roman" w:cs="Times New Roman"/>
          <w:color w:val="000000"/>
          <w:szCs w:val="22"/>
          <w:lang w:eastAsia="en-AU"/>
        </w:rPr>
        <w:t>net</w:t>
      </w:r>
      <w:r w:rsidR="00320807">
        <w:rPr>
          <w:rFonts w:eastAsia="Times New Roman" w:cs="Times New Roman"/>
          <w:color w:val="000000"/>
          <w:szCs w:val="22"/>
          <w:lang w:eastAsia="en-AU"/>
        </w:rPr>
        <w:t xml:space="preserve"> carbon </w:t>
      </w:r>
      <w:proofErr w:type="gramStart"/>
      <w:r w:rsidR="00320807">
        <w:rPr>
          <w:rFonts w:eastAsia="Times New Roman" w:cs="Times New Roman"/>
          <w:color w:val="000000"/>
          <w:szCs w:val="22"/>
          <w:lang w:eastAsia="en-AU"/>
        </w:rPr>
        <w:t>stock</w:t>
      </w:r>
      <w:r w:rsidR="00320807" w:rsidRPr="00AD52BE">
        <w:rPr>
          <w:rFonts w:eastAsia="Times New Roman" w:cs="Times New Roman"/>
          <w:color w:val="000000"/>
          <w:szCs w:val="22"/>
          <w:lang w:eastAsia="en-AU"/>
        </w:rPr>
        <w:t xml:space="preserve"> </w:t>
      </w:r>
      <w:r w:rsidR="00BE4D49">
        <w:rPr>
          <w:rFonts w:eastAsia="Times New Roman" w:cs="Times New Roman"/>
          <w:color w:val="000000"/>
          <w:szCs w:val="22"/>
          <w:lang w:eastAsia="en-AU"/>
        </w:rPr>
        <w:t xml:space="preserve"> in</w:t>
      </w:r>
      <w:proofErr w:type="gramEnd"/>
      <w:r w:rsidR="00BE4D49">
        <w:rPr>
          <w:rFonts w:eastAsia="Times New Roman" w:cs="Times New Roman"/>
          <w:color w:val="000000"/>
          <w:szCs w:val="22"/>
          <w:lang w:eastAsia="en-AU"/>
        </w:rPr>
        <w:t xml:space="preserve"> the project area at the end of the previous calendar year </w:t>
      </w:r>
      <w:r w:rsidR="00BE4D49" w:rsidRPr="00BE4D49">
        <w:rPr>
          <w:rFonts w:eastAsia="Times New Roman" w:cs="Times New Roman"/>
          <w:i/>
          <w:iCs/>
          <w:color w:val="000000"/>
          <w:szCs w:val="22"/>
          <w:lang w:eastAsia="en-AU"/>
        </w:rPr>
        <w:t>y</w:t>
      </w:r>
      <w:r w:rsidR="00BE4D49">
        <w:rPr>
          <w:rFonts w:eastAsia="Times New Roman" w:cs="Times New Roman"/>
          <w:color w:val="000000"/>
          <w:szCs w:val="22"/>
          <w:lang w:eastAsia="en-AU"/>
        </w:rPr>
        <w:t>-1</w:t>
      </w:r>
      <w:r w:rsidR="00AF3430">
        <w:rPr>
          <w:rFonts w:eastAsia="Times New Roman" w:cs="Times New Roman"/>
          <w:color w:val="000000"/>
          <w:szCs w:val="22"/>
          <w:lang w:eastAsia="en-AU"/>
        </w:rPr>
        <w:t xml:space="preserve">, </w:t>
      </w:r>
      <w:r w:rsidR="00AF3430" w:rsidRPr="00AD52BE">
        <w:rPr>
          <w:rFonts w:eastAsia="Times New Roman" w:cs="Times New Roman"/>
          <w:color w:val="000000"/>
          <w:szCs w:val="22"/>
          <w:lang w:eastAsia="en-AU"/>
        </w:rPr>
        <w:t>in tonnes CO</w:t>
      </w:r>
      <w:r w:rsidR="00AF3430" w:rsidRPr="00AD52BE">
        <w:rPr>
          <w:rFonts w:eastAsia="Times New Roman" w:cs="Times New Roman"/>
          <w:color w:val="000000"/>
          <w:sz w:val="15"/>
          <w:szCs w:val="15"/>
          <w:vertAlign w:val="subscript"/>
          <w:lang w:eastAsia="en-AU"/>
        </w:rPr>
        <w:t>2</w:t>
      </w:r>
      <w:r w:rsidR="00AF3430" w:rsidRPr="00AD52BE">
        <w:rPr>
          <w:rFonts w:eastAsia="Times New Roman" w:cs="Times New Roman"/>
          <w:color w:val="000000"/>
          <w:szCs w:val="22"/>
          <w:lang w:eastAsia="en-AU"/>
        </w:rPr>
        <w:softHyphen/>
      </w:r>
      <w:r w:rsidR="00AF3430" w:rsidRPr="00AD52BE">
        <w:rPr>
          <w:rFonts w:eastAsia="Times New Roman" w:cs="Times New Roman"/>
          <w:color w:val="000000"/>
          <w:szCs w:val="22"/>
          <w:lang w:eastAsia="en-AU"/>
        </w:rPr>
        <w:softHyphen/>
      </w:r>
      <w:r w:rsidR="00AF3430" w:rsidRPr="00AD52BE">
        <w:rPr>
          <w:rFonts w:eastAsia="Times New Roman" w:cs="Times New Roman"/>
          <w:color w:val="000000"/>
          <w:szCs w:val="22"/>
          <w:lang w:eastAsia="en-AU"/>
        </w:rPr>
        <w:noBreakHyphen/>
        <w:t>e</w:t>
      </w:r>
      <w:r w:rsidR="00BE4D49">
        <w:rPr>
          <w:rFonts w:eastAsia="Times New Roman" w:cs="Times New Roman"/>
          <w:color w:val="000000"/>
          <w:szCs w:val="22"/>
          <w:lang w:eastAsia="en-AU"/>
        </w:rPr>
        <w:t>.</w:t>
      </w:r>
    </w:p>
    <w:p w14:paraId="6CEF9E78" w14:textId="1E3A1EC3" w:rsidR="00EB260E" w:rsidRPr="00CE3B3D" w:rsidRDefault="00CE3B3D" w:rsidP="007B2786">
      <w:pPr>
        <w:pStyle w:val="ActHead5"/>
      </w:pPr>
      <w:bookmarkStart w:id="101" w:name="_Toc202953867"/>
      <w:r>
        <w:t>5</w:t>
      </w:r>
      <w:r w:rsidRPr="009E76D2">
        <w:t xml:space="preserve">   </w:t>
      </w:r>
      <w:r w:rsidR="00EB260E">
        <w:t>The </w:t>
      </w:r>
      <w:r w:rsidR="00EB260E" w:rsidRPr="007B2786">
        <w:t>sequestration</w:t>
      </w:r>
      <w:r w:rsidR="00EB260E">
        <w:t xml:space="preserve"> buffer</w:t>
      </w:r>
      <w:bookmarkEnd w:id="101"/>
    </w:p>
    <w:p w14:paraId="3F9F5DAD" w14:textId="075D86E6" w:rsidR="00EB260E" w:rsidRDefault="00EB260E" w:rsidP="00EB260E">
      <w:pPr>
        <w:pStyle w:val="tmain"/>
        <w:spacing w:before="180" w:beforeAutospacing="0" w:after="0" w:afterAutospacing="0"/>
        <w:ind w:left="1134" w:hanging="1134"/>
        <w:rPr>
          <w:color w:val="000000"/>
          <w:sz w:val="22"/>
          <w:szCs w:val="22"/>
        </w:rPr>
      </w:pPr>
      <w:r>
        <w:rPr>
          <w:color w:val="000000"/>
          <w:sz w:val="22"/>
          <w:szCs w:val="22"/>
        </w:rPr>
        <w:t>  </w:t>
      </w:r>
      <w:r>
        <w:rPr>
          <w:color w:val="000000"/>
          <w:sz w:val="22"/>
          <w:szCs w:val="22"/>
        </w:rPr>
        <w:tab/>
        <w:t xml:space="preserve">For </w:t>
      </w:r>
      <w:r w:rsidR="00655DD7" w:rsidRPr="0056276E">
        <w:rPr>
          <w:color w:val="000000"/>
          <w:sz w:val="22"/>
          <w:szCs w:val="22"/>
        </w:rPr>
        <w:t>the purposes of</w:t>
      </w:r>
      <w:r w:rsidR="00655DD7">
        <w:rPr>
          <w:color w:val="000000"/>
          <w:szCs w:val="22"/>
        </w:rPr>
        <w:t xml:space="preserve"> </w:t>
      </w:r>
      <w:r>
        <w:rPr>
          <w:color w:val="000000"/>
          <w:sz w:val="22"/>
          <w:szCs w:val="22"/>
        </w:rPr>
        <w:t>paragraph 2(c) of this Schedule, </w:t>
      </w:r>
      <w:proofErr w:type="spellStart"/>
      <w:r>
        <w:rPr>
          <w:i/>
          <w:iCs/>
          <w:color w:val="000000"/>
          <w:sz w:val="22"/>
          <w:szCs w:val="22"/>
        </w:rPr>
        <w:t>B</w:t>
      </w:r>
      <w:r>
        <w:rPr>
          <w:i/>
          <w:iCs/>
          <w:color w:val="000000"/>
          <w:sz w:val="15"/>
          <w:szCs w:val="15"/>
          <w:vertAlign w:val="subscript"/>
        </w:rPr>
        <w:t>Seq</w:t>
      </w:r>
      <w:proofErr w:type="spellEnd"/>
      <w:r>
        <w:rPr>
          <w:i/>
          <w:iCs/>
          <w:color w:val="000000"/>
          <w:sz w:val="22"/>
          <w:szCs w:val="22"/>
        </w:rPr>
        <w:t> </w:t>
      </w:r>
      <w:r>
        <w:rPr>
          <w:color w:val="000000"/>
          <w:sz w:val="22"/>
          <w:szCs w:val="22"/>
        </w:rPr>
        <w:t>is equal to:</w:t>
      </w:r>
    </w:p>
    <w:p w14:paraId="5FD987E4" w14:textId="7D28DC91" w:rsidR="00EB260E" w:rsidRDefault="00EB260E" w:rsidP="00EB260E">
      <w:pPr>
        <w:pStyle w:val="tpara"/>
        <w:spacing w:before="40" w:beforeAutospacing="0" w:after="0" w:afterAutospacing="0"/>
        <w:ind w:left="1644" w:hanging="1644"/>
        <w:rPr>
          <w:color w:val="000000"/>
          <w:sz w:val="22"/>
          <w:szCs w:val="22"/>
        </w:rPr>
      </w:pPr>
      <w:r>
        <w:rPr>
          <w:color w:val="000000"/>
          <w:sz w:val="22"/>
          <w:szCs w:val="22"/>
        </w:rPr>
        <w:t> </w:t>
      </w:r>
      <w:r>
        <w:rPr>
          <w:color w:val="000000"/>
          <w:sz w:val="22"/>
          <w:szCs w:val="22"/>
        </w:rPr>
        <w:tab/>
        <w:t>(a) if the project is a 25</w:t>
      </w:r>
      <w:r>
        <w:rPr>
          <w:color w:val="000000"/>
          <w:sz w:val="22"/>
          <w:szCs w:val="22"/>
        </w:rPr>
        <w:noBreakHyphen/>
        <w:t>year permanence period project—0.25; and</w:t>
      </w:r>
    </w:p>
    <w:p w14:paraId="373F320F" w14:textId="375FEF1B" w:rsidR="00EB260E" w:rsidRDefault="00EB260E" w:rsidP="00EB260E">
      <w:pPr>
        <w:pStyle w:val="tpara"/>
        <w:spacing w:before="40" w:beforeAutospacing="0" w:after="0" w:afterAutospacing="0"/>
        <w:ind w:left="1644" w:hanging="1644"/>
        <w:rPr>
          <w:color w:val="000000"/>
          <w:sz w:val="22"/>
          <w:szCs w:val="22"/>
        </w:rPr>
      </w:pPr>
      <w:r>
        <w:rPr>
          <w:color w:val="000000"/>
          <w:sz w:val="22"/>
          <w:szCs w:val="22"/>
        </w:rPr>
        <w:t> </w:t>
      </w:r>
      <w:r>
        <w:rPr>
          <w:color w:val="000000"/>
          <w:sz w:val="22"/>
          <w:szCs w:val="22"/>
        </w:rPr>
        <w:tab/>
        <w:t>(b) if the project is a 100</w:t>
      </w:r>
      <w:r>
        <w:rPr>
          <w:color w:val="000000"/>
          <w:sz w:val="22"/>
          <w:szCs w:val="22"/>
        </w:rPr>
        <w:noBreakHyphen/>
        <w:t>year permanence period project—0.05.</w:t>
      </w:r>
    </w:p>
    <w:p w14:paraId="22EB5FB7" w14:textId="62C4BC87" w:rsidR="00570FEC" w:rsidRPr="00A403A9" w:rsidRDefault="00EB260E" w:rsidP="00A403A9">
      <w:pPr>
        <w:pStyle w:val="nmain"/>
        <w:spacing w:before="120" w:beforeAutospacing="0" w:after="0" w:afterAutospacing="0"/>
        <w:ind w:left="1985" w:hanging="851"/>
        <w:rPr>
          <w:color w:val="000000"/>
          <w:sz w:val="18"/>
          <w:szCs w:val="18"/>
        </w:rPr>
      </w:pPr>
      <w:r>
        <w:rPr>
          <w:color w:val="000000"/>
          <w:sz w:val="18"/>
          <w:szCs w:val="18"/>
        </w:rPr>
        <w:t>Note: </w:t>
      </w:r>
      <w:r w:rsidR="00C04881">
        <w:rPr>
          <w:color w:val="000000"/>
          <w:sz w:val="18"/>
          <w:szCs w:val="18"/>
        </w:rPr>
        <w:tab/>
      </w:r>
      <w:r>
        <w:rPr>
          <w:color w:val="000000"/>
          <w:sz w:val="18"/>
          <w:szCs w:val="18"/>
        </w:rPr>
        <w:t>The sequestration buffer, </w:t>
      </w:r>
      <w:proofErr w:type="spellStart"/>
      <w:r>
        <w:rPr>
          <w:i/>
          <w:iCs/>
          <w:color w:val="000000"/>
          <w:sz w:val="18"/>
          <w:szCs w:val="18"/>
        </w:rPr>
        <w:t>B</w:t>
      </w:r>
      <w:r>
        <w:rPr>
          <w:i/>
          <w:iCs/>
          <w:color w:val="000000"/>
          <w:sz w:val="12"/>
          <w:szCs w:val="12"/>
          <w:vertAlign w:val="subscript"/>
        </w:rPr>
        <w:t>Seq</w:t>
      </w:r>
      <w:proofErr w:type="spellEnd"/>
      <w:r>
        <w:rPr>
          <w:color w:val="000000"/>
          <w:sz w:val="18"/>
          <w:szCs w:val="18"/>
        </w:rPr>
        <w:t xml:space="preserve">, is a buffer that is applied in lieu of the risk of reversal buffer number and the permanence period discount number that would otherwise apply in relation to a sequestration offsets project under subsection 16(2) of the Act. This buffer accounts for the risk that carbon sequestered </w:t>
      </w:r>
      <w:proofErr w:type="gramStart"/>
      <w:r>
        <w:rPr>
          <w:color w:val="000000"/>
          <w:sz w:val="18"/>
          <w:szCs w:val="18"/>
        </w:rPr>
        <w:t>as a result of</w:t>
      </w:r>
      <w:proofErr w:type="gramEnd"/>
      <w:r>
        <w:rPr>
          <w:color w:val="000000"/>
          <w:sz w:val="18"/>
          <w:szCs w:val="18"/>
        </w:rPr>
        <w:t xml:space="preserve"> the project does not remain permanently in the landscape.</w:t>
      </w:r>
    </w:p>
    <w:p w14:paraId="72ED674F" w14:textId="14DE33C7" w:rsidR="00A403A9" w:rsidRPr="00CE3B3D" w:rsidRDefault="00CE3B3D" w:rsidP="007B2786">
      <w:pPr>
        <w:pStyle w:val="ActHead5"/>
      </w:pPr>
      <w:bookmarkStart w:id="102" w:name="_Toc202953868"/>
      <w:r>
        <w:t>6</w:t>
      </w:r>
      <w:r w:rsidRPr="009E76D2">
        <w:t xml:space="preserve">   </w:t>
      </w:r>
      <w:r w:rsidR="00A403A9">
        <w:t>M</w:t>
      </w:r>
      <w:r w:rsidR="006C446A">
        <w:t xml:space="preserve">ean baseline </w:t>
      </w:r>
      <w:r w:rsidR="006C446A" w:rsidRPr="007B2786">
        <w:t>carbon</w:t>
      </w:r>
      <w:r w:rsidR="006C446A">
        <w:t xml:space="preserve"> stock for project</w:t>
      </w:r>
      <w:bookmarkEnd w:id="102"/>
    </w:p>
    <w:p w14:paraId="21158E14" w14:textId="5CC90FD4" w:rsidR="00CA22BD" w:rsidRDefault="00EF0D3F" w:rsidP="00CA22BD">
      <w:pPr>
        <w:pStyle w:val="tmain"/>
        <w:spacing w:before="180" w:beforeAutospacing="0" w:after="0" w:afterAutospacing="0"/>
        <w:ind w:left="1134" w:hanging="1134"/>
        <w:rPr>
          <w:color w:val="000000"/>
          <w:sz w:val="22"/>
          <w:szCs w:val="22"/>
        </w:rPr>
      </w:pPr>
      <w:r>
        <w:rPr>
          <w:color w:val="000000"/>
          <w:sz w:val="22"/>
          <w:szCs w:val="22"/>
        </w:rPr>
        <w:t>  </w:t>
      </w:r>
      <w:r>
        <w:rPr>
          <w:color w:val="000000"/>
          <w:sz w:val="22"/>
          <w:szCs w:val="22"/>
        </w:rPr>
        <w:tab/>
      </w:r>
      <w:r w:rsidR="00FB20F1">
        <w:rPr>
          <w:color w:val="000000"/>
          <w:sz w:val="22"/>
          <w:szCs w:val="22"/>
        </w:rPr>
        <w:t>The mean annual baseline carbon stock</w:t>
      </w:r>
      <w:r>
        <w:rPr>
          <w:color w:val="000000"/>
          <w:sz w:val="22"/>
          <w:szCs w:val="22"/>
        </w:rPr>
        <w:t>, </w:t>
      </w:r>
      <w:r w:rsidR="00FB20F1">
        <w:rPr>
          <w:b/>
          <w:bCs/>
          <w:i/>
          <w:iCs/>
          <w:noProof/>
          <w:color w:val="000000"/>
          <w:szCs w:val="22"/>
        </w:rPr>
        <w:drawing>
          <wp:inline distT="0" distB="0" distL="0" distR="0" wp14:anchorId="14A1F21C" wp14:editId="23D1D678">
            <wp:extent cx="184150" cy="247149"/>
            <wp:effectExtent l="0" t="0" r="6350" b="635"/>
            <wp:docPr id="4424434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7855" cy="252122"/>
                    </a:xfrm>
                    <a:prstGeom prst="rect">
                      <a:avLst/>
                    </a:prstGeom>
                    <a:noFill/>
                    <a:ln>
                      <a:noFill/>
                    </a:ln>
                  </pic:spPr>
                </pic:pic>
              </a:graphicData>
            </a:graphic>
          </wp:inline>
        </w:drawing>
      </w:r>
      <w:r w:rsidR="00CA22BD">
        <w:rPr>
          <w:color w:val="000000"/>
          <w:sz w:val="22"/>
          <w:szCs w:val="22"/>
        </w:rPr>
        <w:t>,</w:t>
      </w:r>
      <w:r>
        <w:rPr>
          <w:i/>
          <w:iCs/>
          <w:color w:val="000000"/>
          <w:sz w:val="22"/>
          <w:szCs w:val="22"/>
        </w:rPr>
        <w:t> </w:t>
      </w:r>
      <w:r>
        <w:rPr>
          <w:color w:val="000000"/>
          <w:sz w:val="22"/>
          <w:szCs w:val="22"/>
        </w:rPr>
        <w:t xml:space="preserve">is </w:t>
      </w:r>
      <w:r w:rsidR="00CA22BD">
        <w:rPr>
          <w:color w:val="000000"/>
          <w:sz w:val="22"/>
          <w:szCs w:val="22"/>
        </w:rPr>
        <w:t>given by the following equation</w:t>
      </w:r>
      <w:r>
        <w:rPr>
          <w:color w:val="000000"/>
          <w:sz w:val="22"/>
          <w:szCs w:val="22"/>
        </w:rPr>
        <w:t>:</w:t>
      </w:r>
    </w:p>
    <w:p w14:paraId="7558A0CE" w14:textId="77777777" w:rsidR="00CA22BD" w:rsidRPr="00CA22BD" w:rsidRDefault="00CA22BD" w:rsidP="00CA22BD">
      <w:pPr>
        <w:pStyle w:val="tmain"/>
        <w:spacing w:before="180" w:beforeAutospacing="0" w:after="0" w:afterAutospacing="0"/>
        <w:ind w:left="1134" w:hanging="1134"/>
        <w:rPr>
          <w:color w:val="000000"/>
          <w:sz w:val="22"/>
          <w:szCs w:val="22"/>
        </w:rPr>
      </w:pPr>
    </w:p>
    <w:tbl>
      <w:tblPr>
        <w:tblW w:w="0" w:type="auto"/>
        <w:tblInd w:w="112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941"/>
        <w:gridCol w:w="1227"/>
      </w:tblGrid>
      <w:tr w:rsidR="00CA22BD" w:rsidRPr="00AD52BE" w14:paraId="0B22487F" w14:textId="77777777" w:rsidTr="00867A6B">
        <w:trPr>
          <w:trHeight w:val="1108"/>
        </w:trPr>
        <w:tc>
          <w:tcPr>
            <w:tcW w:w="6214" w:type="dxa"/>
            <w:tcBorders>
              <w:right w:val="single" w:sz="6" w:space="0" w:color="000000"/>
            </w:tcBorders>
            <w:tcMar>
              <w:top w:w="0" w:type="dxa"/>
              <w:left w:w="101" w:type="dxa"/>
              <w:bottom w:w="0" w:type="dxa"/>
              <w:right w:w="101" w:type="dxa"/>
            </w:tcMar>
            <w:vAlign w:val="center"/>
            <w:hideMark/>
          </w:tcPr>
          <w:p w14:paraId="52F84871" w14:textId="0A25B1DE" w:rsidR="00CA22BD" w:rsidRPr="00AD52BE" w:rsidRDefault="006329C1" w:rsidP="00F16DD7">
            <w:pPr>
              <w:spacing w:line="240" w:lineRule="auto"/>
              <w:rPr>
                <w:rFonts w:eastAsia="Times New Roman" w:cs="Times New Roman"/>
                <w:color w:val="000000"/>
                <w:szCs w:val="22"/>
                <w:lang w:eastAsia="en-AU"/>
              </w:rPr>
            </w:pPr>
            <w:r w:rsidRPr="00102BF7">
              <w:rPr>
                <w:noProof/>
                <w:sz w:val="20"/>
              </w:rPr>
              <w:drawing>
                <wp:inline distT="0" distB="0" distL="0" distR="0" wp14:anchorId="63253503" wp14:editId="533D033D">
                  <wp:extent cx="1254191" cy="483679"/>
                  <wp:effectExtent l="0" t="0" r="3175" b="0"/>
                  <wp:docPr id="1918457911" name="Picture 1" descr="A formula to work out the mean annual baseline carbon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457911" name="Picture 1" descr="A formula to work out the mean annual baseline carbon stock."/>
                          <pic:cNvPicPr/>
                        </pic:nvPicPr>
                        <pic:blipFill>
                          <a:blip r:embed="rId37"/>
                          <a:stretch>
                            <a:fillRect/>
                          </a:stretch>
                        </pic:blipFill>
                        <pic:spPr>
                          <a:xfrm>
                            <a:off x="0" y="0"/>
                            <a:ext cx="1262756" cy="486982"/>
                          </a:xfrm>
                          <a:prstGeom prst="rect">
                            <a:avLst/>
                          </a:prstGeom>
                        </pic:spPr>
                      </pic:pic>
                    </a:graphicData>
                  </a:graphic>
                </wp:inline>
              </w:drawing>
            </w:r>
          </w:p>
        </w:tc>
        <w:tc>
          <w:tcPr>
            <w:tcW w:w="1241" w:type="dxa"/>
            <w:tcBorders>
              <w:left w:val="single" w:sz="6" w:space="0" w:color="000000"/>
            </w:tcBorders>
            <w:tcMar>
              <w:top w:w="0" w:type="dxa"/>
              <w:left w:w="101" w:type="dxa"/>
              <w:bottom w:w="0" w:type="dxa"/>
              <w:right w:w="101" w:type="dxa"/>
            </w:tcMar>
            <w:vAlign w:val="center"/>
            <w:hideMark/>
          </w:tcPr>
          <w:p w14:paraId="370A3965" w14:textId="77777777" w:rsidR="00CA22BD" w:rsidRDefault="00CA22BD" w:rsidP="00F16DD7">
            <w:pPr>
              <w:spacing w:before="60" w:line="240" w:lineRule="atLeast"/>
              <w:rPr>
                <w:rFonts w:eastAsia="Times New Roman" w:cs="Times New Roman"/>
                <w:color w:val="000000"/>
                <w:sz w:val="20"/>
                <w:lang w:eastAsia="en-AU"/>
              </w:rPr>
            </w:pPr>
            <w:r w:rsidRPr="00AD52BE">
              <w:rPr>
                <w:rFonts w:eastAsia="Times New Roman" w:cs="Times New Roman"/>
                <w:color w:val="000000"/>
                <w:sz w:val="20"/>
                <w:lang w:eastAsia="en-AU"/>
              </w:rPr>
              <w:t>equation </w:t>
            </w:r>
            <w:r>
              <w:rPr>
                <w:rFonts w:eastAsia="Times New Roman" w:cs="Times New Roman"/>
                <w:color w:val="000000"/>
                <w:sz w:val="20"/>
                <w:lang w:eastAsia="en-AU"/>
              </w:rPr>
              <w:t>8</w:t>
            </w:r>
          </w:p>
          <w:p w14:paraId="19FFF337" w14:textId="7C5D69C0" w:rsidR="00FB2DBF" w:rsidRPr="00AD52BE" w:rsidRDefault="00FB2DBF" w:rsidP="00F16DD7">
            <w:pPr>
              <w:spacing w:before="60" w:line="240" w:lineRule="atLeast"/>
              <w:rPr>
                <w:rFonts w:eastAsia="Times New Roman" w:cs="Times New Roman"/>
                <w:color w:val="000000"/>
                <w:sz w:val="20"/>
                <w:lang w:eastAsia="en-AU"/>
              </w:rPr>
            </w:pPr>
          </w:p>
        </w:tc>
      </w:tr>
    </w:tbl>
    <w:p w14:paraId="3D43D680" w14:textId="77777777" w:rsidR="00CA22BD" w:rsidRDefault="00CA22BD" w:rsidP="00CA22BD">
      <w:pPr>
        <w:spacing w:before="180" w:line="240" w:lineRule="auto"/>
        <w:ind w:left="1134" w:hanging="1134"/>
        <w:rPr>
          <w:rFonts w:eastAsia="Times New Roman" w:cs="Times New Roman"/>
          <w:color w:val="000000"/>
          <w:szCs w:val="22"/>
          <w:lang w:eastAsia="en-AU"/>
        </w:rPr>
      </w:pPr>
      <w:r w:rsidRPr="00AD52BE">
        <w:rPr>
          <w:rFonts w:eastAsia="Times New Roman" w:cs="Times New Roman"/>
          <w:color w:val="000000"/>
          <w:szCs w:val="22"/>
          <w:lang w:eastAsia="en-AU"/>
        </w:rPr>
        <w:t> </w:t>
      </w:r>
      <w:r>
        <w:rPr>
          <w:rFonts w:eastAsia="Times New Roman" w:cs="Times New Roman"/>
          <w:color w:val="000000"/>
          <w:szCs w:val="22"/>
          <w:lang w:eastAsia="en-AU"/>
        </w:rPr>
        <w:tab/>
      </w:r>
      <w:r w:rsidRPr="00AD52BE">
        <w:rPr>
          <w:rFonts w:eastAsia="Times New Roman" w:cs="Times New Roman"/>
          <w:color w:val="000000"/>
          <w:szCs w:val="22"/>
          <w:lang w:eastAsia="en-AU"/>
        </w:rPr>
        <w:t>where:</w:t>
      </w:r>
    </w:p>
    <w:p w14:paraId="21E2C167" w14:textId="04BEADC7" w:rsidR="001A376D" w:rsidRDefault="00610995" w:rsidP="00610995">
      <w:pPr>
        <w:spacing w:before="180" w:line="240" w:lineRule="auto"/>
        <w:ind w:left="1134"/>
        <w:rPr>
          <w:rFonts w:eastAsia="Times New Roman" w:cs="Times New Roman"/>
          <w:color w:val="000000"/>
          <w:szCs w:val="22"/>
          <w:lang w:eastAsia="en-AU"/>
        </w:rPr>
      </w:pPr>
      <w:r>
        <w:rPr>
          <w:rFonts w:eastAsia="Times New Roman" w:cs="Times New Roman"/>
          <w:noProof/>
          <w:color w:val="000000"/>
          <w:szCs w:val="22"/>
          <w:lang w:eastAsia="en-AU"/>
        </w:rPr>
        <w:drawing>
          <wp:inline distT="0" distB="0" distL="0" distR="0" wp14:anchorId="27D20D58" wp14:editId="500807CC">
            <wp:extent cx="184150" cy="224573"/>
            <wp:effectExtent l="0" t="0" r="6350" b="4445"/>
            <wp:docPr id="58607424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5553" cy="226284"/>
                    </a:xfrm>
                    <a:prstGeom prst="rect">
                      <a:avLst/>
                    </a:prstGeom>
                    <a:noFill/>
                    <a:ln>
                      <a:noFill/>
                    </a:ln>
                  </pic:spPr>
                </pic:pic>
              </a:graphicData>
            </a:graphic>
          </wp:inline>
        </w:drawing>
      </w:r>
      <w:r>
        <w:rPr>
          <w:rFonts w:eastAsia="Times New Roman" w:cs="Times New Roman"/>
          <w:color w:val="000000"/>
          <w:szCs w:val="22"/>
          <w:lang w:eastAsia="en-AU"/>
        </w:rPr>
        <w:t xml:space="preserve">is </w:t>
      </w:r>
      <w:r w:rsidR="00252ABA">
        <w:rPr>
          <w:rFonts w:eastAsia="Times New Roman" w:cs="Times New Roman"/>
          <w:color w:val="000000"/>
          <w:szCs w:val="22"/>
          <w:lang w:eastAsia="en-AU"/>
        </w:rPr>
        <w:t xml:space="preserve">the number of years in the </w:t>
      </w:r>
      <w:r w:rsidR="00A36B05">
        <w:rPr>
          <w:rFonts w:eastAsia="Times New Roman" w:cs="Times New Roman"/>
          <w:color w:val="000000"/>
          <w:szCs w:val="22"/>
          <w:lang w:eastAsia="en-AU"/>
        </w:rPr>
        <w:t>baseline</w:t>
      </w:r>
      <w:r w:rsidR="00252ABA">
        <w:rPr>
          <w:rFonts w:eastAsia="Times New Roman" w:cs="Times New Roman"/>
          <w:color w:val="000000"/>
          <w:szCs w:val="22"/>
          <w:lang w:eastAsia="en-AU"/>
        </w:rPr>
        <w:t xml:space="preserve"> period for the project area</w:t>
      </w:r>
      <w:r w:rsidR="00A36B05">
        <w:rPr>
          <w:rFonts w:eastAsia="Times New Roman" w:cs="Times New Roman"/>
          <w:color w:val="000000"/>
          <w:szCs w:val="22"/>
          <w:lang w:eastAsia="en-AU"/>
        </w:rPr>
        <w:t>.</w:t>
      </w:r>
    </w:p>
    <w:p w14:paraId="38035587" w14:textId="7A605B64" w:rsidR="00BA6DE7" w:rsidRDefault="0019169B" w:rsidP="00610995">
      <w:pPr>
        <w:spacing w:before="180" w:line="240" w:lineRule="auto"/>
        <w:ind w:left="1134"/>
        <w:rPr>
          <w:rFonts w:eastAsia="Times New Roman" w:cs="Times New Roman"/>
          <w:color w:val="000000"/>
          <w:szCs w:val="22"/>
          <w:lang w:eastAsia="en-AU"/>
        </w:rPr>
      </w:pPr>
      <w:r>
        <w:pict w14:anchorId="4386D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5" type="#_x0000_t75" style="width:11.1pt;height:14.75pt;visibility:visible">
            <v:imagedata r:id="rId39" o:title=""/>
          </v:shape>
        </w:pict>
      </w:r>
      <w:r w:rsidR="008448BC">
        <w:rPr>
          <w:rFonts w:eastAsia="Times New Roman" w:cs="Times New Roman"/>
          <w:color w:val="000000"/>
          <w:szCs w:val="22"/>
          <w:lang w:eastAsia="en-AU"/>
        </w:rPr>
        <w:t>is a calendar year of the baseline period.</w:t>
      </w:r>
    </w:p>
    <w:p w14:paraId="62959903" w14:textId="0D2A1A26" w:rsidR="0033403A" w:rsidRPr="00AD52BE" w:rsidRDefault="007F5666" w:rsidP="009518A0">
      <w:pPr>
        <w:spacing w:before="180" w:line="240" w:lineRule="auto"/>
        <w:ind w:left="1134"/>
        <w:rPr>
          <w:rFonts w:eastAsia="Times New Roman" w:cs="Times New Roman"/>
          <w:color w:val="000000"/>
          <w:szCs w:val="22"/>
          <w:lang w:eastAsia="en-AU"/>
        </w:rPr>
      </w:pPr>
      <w:r>
        <w:rPr>
          <w:rFonts w:eastAsia="Times New Roman" w:cs="Times New Roman"/>
          <w:noProof/>
          <w:color w:val="000000"/>
          <w:szCs w:val="22"/>
          <w:lang w:eastAsia="en-AU"/>
        </w:rPr>
        <w:drawing>
          <wp:inline distT="0" distB="0" distL="0" distR="0" wp14:anchorId="2A606E24" wp14:editId="286AF7C7">
            <wp:extent cx="304800" cy="242275"/>
            <wp:effectExtent l="0" t="0" r="0" b="5715"/>
            <wp:docPr id="16759337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1698" cy="247758"/>
                    </a:xfrm>
                    <a:prstGeom prst="rect">
                      <a:avLst/>
                    </a:prstGeom>
                    <a:noFill/>
                    <a:ln>
                      <a:noFill/>
                    </a:ln>
                  </pic:spPr>
                </pic:pic>
              </a:graphicData>
            </a:graphic>
          </wp:inline>
        </w:drawing>
      </w:r>
      <w:r w:rsidR="0078441D">
        <w:rPr>
          <w:rFonts w:eastAsia="Times New Roman" w:cs="Times New Roman"/>
          <w:color w:val="000000"/>
          <w:szCs w:val="22"/>
          <w:lang w:eastAsia="en-AU"/>
        </w:rPr>
        <w:t xml:space="preserve"> is the carbon stock</w:t>
      </w:r>
      <w:r w:rsidR="00F7254A">
        <w:rPr>
          <w:rFonts w:eastAsia="Times New Roman" w:cs="Times New Roman"/>
          <w:color w:val="000000"/>
          <w:szCs w:val="22"/>
          <w:lang w:eastAsia="en-AU"/>
        </w:rPr>
        <w:t xml:space="preserve"> for </w:t>
      </w:r>
      <w:r w:rsidR="0001768D">
        <w:rPr>
          <w:rFonts w:eastAsia="Times New Roman" w:cs="Times New Roman"/>
          <w:color w:val="000000"/>
          <w:szCs w:val="22"/>
          <w:lang w:eastAsia="en-AU"/>
        </w:rPr>
        <w:t>calendar</w:t>
      </w:r>
      <w:r w:rsidR="00F7254A">
        <w:rPr>
          <w:rFonts w:eastAsia="Times New Roman" w:cs="Times New Roman"/>
          <w:color w:val="000000"/>
          <w:szCs w:val="22"/>
          <w:lang w:eastAsia="en-AU"/>
        </w:rPr>
        <w:t xml:space="preserve"> year </w:t>
      </w:r>
      <w:r w:rsidR="00F7254A" w:rsidRPr="00F7254A">
        <w:rPr>
          <w:rFonts w:eastAsia="Times New Roman" w:cs="Times New Roman"/>
          <w:i/>
          <w:iCs/>
          <w:color w:val="000000"/>
          <w:szCs w:val="22"/>
          <w:lang w:eastAsia="en-AU"/>
        </w:rPr>
        <w:t>y</w:t>
      </w:r>
      <w:r w:rsidR="0078441D" w:rsidRPr="00AD52BE">
        <w:rPr>
          <w:rFonts w:eastAsia="Times New Roman" w:cs="Times New Roman"/>
          <w:color w:val="000000"/>
          <w:szCs w:val="22"/>
          <w:lang w:eastAsia="en-AU"/>
        </w:rPr>
        <w:t>, in tonnes CO</w:t>
      </w:r>
      <w:r w:rsidR="0078441D" w:rsidRPr="00AD52BE">
        <w:rPr>
          <w:rFonts w:eastAsia="Times New Roman" w:cs="Times New Roman"/>
          <w:color w:val="000000"/>
          <w:sz w:val="15"/>
          <w:szCs w:val="15"/>
          <w:vertAlign w:val="subscript"/>
          <w:lang w:eastAsia="en-AU"/>
        </w:rPr>
        <w:t>2</w:t>
      </w:r>
      <w:r w:rsidR="0078441D" w:rsidRPr="00AD52BE">
        <w:rPr>
          <w:rFonts w:eastAsia="Times New Roman" w:cs="Times New Roman"/>
          <w:color w:val="000000"/>
          <w:szCs w:val="22"/>
          <w:lang w:eastAsia="en-AU"/>
        </w:rPr>
        <w:softHyphen/>
      </w:r>
      <w:r w:rsidR="0078441D" w:rsidRPr="00AD52BE">
        <w:rPr>
          <w:rFonts w:eastAsia="Times New Roman" w:cs="Times New Roman"/>
          <w:color w:val="000000"/>
          <w:szCs w:val="22"/>
          <w:lang w:eastAsia="en-AU"/>
        </w:rPr>
        <w:softHyphen/>
      </w:r>
      <w:r w:rsidR="0078441D" w:rsidRPr="00AD52BE">
        <w:rPr>
          <w:rFonts w:eastAsia="Times New Roman" w:cs="Times New Roman"/>
          <w:color w:val="000000"/>
          <w:szCs w:val="22"/>
          <w:lang w:eastAsia="en-AU"/>
        </w:rPr>
        <w:noBreakHyphen/>
        <w:t>e</w:t>
      </w:r>
      <w:r w:rsidR="00F7254A">
        <w:rPr>
          <w:color w:val="000000"/>
          <w:szCs w:val="22"/>
        </w:rPr>
        <w:t>—</w:t>
      </w:r>
      <w:r w:rsidR="00C103D2">
        <w:rPr>
          <w:color w:val="000000"/>
          <w:szCs w:val="22"/>
        </w:rPr>
        <w:t xml:space="preserve">calculated as </w:t>
      </w:r>
      <w:r w:rsidR="00C103D2">
        <w:rPr>
          <w:rFonts w:eastAsia="Times New Roman" w:cs="Times New Roman"/>
          <w:b/>
          <w:bCs/>
          <w:i/>
          <w:iCs/>
          <w:noProof/>
          <w:color w:val="000000"/>
          <w:szCs w:val="22"/>
          <w:lang w:eastAsia="en-AU"/>
        </w:rPr>
        <w:drawing>
          <wp:inline distT="0" distB="0" distL="0" distR="0" wp14:anchorId="026ECF4D" wp14:editId="70135DDD">
            <wp:extent cx="184150" cy="247149"/>
            <wp:effectExtent l="0" t="0" r="6350" b="635"/>
            <wp:docPr id="1064512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7855" cy="252122"/>
                    </a:xfrm>
                    <a:prstGeom prst="rect">
                      <a:avLst/>
                    </a:prstGeom>
                    <a:noFill/>
                    <a:ln>
                      <a:noFill/>
                    </a:ln>
                  </pic:spPr>
                </pic:pic>
              </a:graphicData>
            </a:graphic>
          </wp:inline>
        </w:drawing>
      </w:r>
      <w:r w:rsidR="00C103D2">
        <w:rPr>
          <w:color w:val="000000"/>
          <w:szCs w:val="22"/>
        </w:rPr>
        <w:t xml:space="preserve"> for that year from </w:t>
      </w:r>
      <w:proofErr w:type="spellStart"/>
      <w:r w:rsidR="00C103D2">
        <w:rPr>
          <w:color w:val="000000"/>
          <w:szCs w:val="22"/>
        </w:rPr>
        <w:t>SavCAM</w:t>
      </w:r>
      <w:proofErr w:type="spellEnd"/>
      <w:r w:rsidR="00C103D2">
        <w:rPr>
          <w:color w:val="000000"/>
          <w:szCs w:val="22"/>
        </w:rPr>
        <w:t>.</w:t>
      </w:r>
    </w:p>
    <w:p w14:paraId="799E993E" w14:textId="77777777" w:rsidR="00C5238E" w:rsidRPr="009E6B2E" w:rsidRDefault="00C5238E" w:rsidP="00867A6B">
      <w:pPr>
        <w:pStyle w:val="ActHead3"/>
      </w:pPr>
      <w:bookmarkStart w:id="103" w:name="_Toc202953869"/>
      <w:r w:rsidRPr="009E6B2E">
        <w:lastRenderedPageBreak/>
        <w:t>Division 3—</w:t>
      </w:r>
      <w:r w:rsidRPr="00867A6B">
        <w:t xml:space="preserve"> Adjustments to calculations</w:t>
      </w:r>
      <w:bookmarkEnd w:id="103"/>
    </w:p>
    <w:p w14:paraId="439F005D" w14:textId="0B4935D2" w:rsidR="00CF0685" w:rsidRPr="00C5238E" w:rsidRDefault="00C5238E" w:rsidP="007B2786">
      <w:pPr>
        <w:pStyle w:val="ActHead5"/>
      </w:pPr>
      <w:bookmarkStart w:id="104" w:name="_Toc202953870"/>
      <w:r>
        <w:t>7</w:t>
      </w:r>
      <w:r w:rsidRPr="009E76D2">
        <w:t xml:space="preserve">   </w:t>
      </w:r>
      <w:r w:rsidR="00CF0685">
        <w:t>Adjustments resulting from project area spanning rainfall zones</w:t>
      </w:r>
      <w:bookmarkEnd w:id="104"/>
    </w:p>
    <w:p w14:paraId="45DDD430" w14:textId="4A43E533" w:rsidR="00CF0685" w:rsidRDefault="00CF0685" w:rsidP="00CF0685">
      <w:pPr>
        <w:pStyle w:val="tmain"/>
        <w:spacing w:before="180" w:beforeAutospacing="0" w:after="0" w:afterAutospacing="0"/>
        <w:ind w:left="1134" w:hanging="1134"/>
        <w:rPr>
          <w:color w:val="000000"/>
          <w:sz w:val="22"/>
          <w:szCs w:val="22"/>
        </w:rPr>
      </w:pPr>
      <w:r>
        <w:rPr>
          <w:color w:val="000000"/>
          <w:sz w:val="22"/>
          <w:szCs w:val="22"/>
        </w:rPr>
        <w:t> </w:t>
      </w:r>
      <w:r>
        <w:rPr>
          <w:color w:val="000000"/>
          <w:sz w:val="22"/>
          <w:szCs w:val="22"/>
        </w:rPr>
        <w:tab/>
        <w:t>If</w:t>
      </w:r>
      <w:r>
        <w:rPr>
          <w:i/>
          <w:iCs/>
          <w:color w:val="000000"/>
          <w:sz w:val="22"/>
          <w:szCs w:val="22"/>
        </w:rPr>
        <w:t> </w:t>
      </w:r>
      <w:r>
        <w:rPr>
          <w:color w:val="000000"/>
          <w:sz w:val="22"/>
          <w:szCs w:val="22"/>
        </w:rPr>
        <w:t>a single project area has 2 project area parts,</w:t>
      </w:r>
      <w:r>
        <w:rPr>
          <w:i/>
          <w:iCs/>
          <w:color w:val="000000"/>
          <w:sz w:val="22"/>
          <w:szCs w:val="22"/>
        </w:rPr>
        <w:t> </w:t>
      </w:r>
      <w:proofErr w:type="spellStart"/>
      <w:proofErr w:type="gramStart"/>
      <w:r>
        <w:rPr>
          <w:i/>
          <w:iCs/>
          <w:color w:val="000000"/>
          <w:sz w:val="22"/>
          <w:szCs w:val="22"/>
        </w:rPr>
        <w:t>A</w:t>
      </w:r>
      <w:r>
        <w:rPr>
          <w:i/>
          <w:iCs/>
          <w:color w:val="000000"/>
          <w:sz w:val="15"/>
          <w:szCs w:val="15"/>
          <w:vertAlign w:val="subscript"/>
        </w:rPr>
        <w:t>Seq,adj</w:t>
      </w:r>
      <w:proofErr w:type="spellEnd"/>
      <w:proofErr w:type="gramEnd"/>
      <w:r>
        <w:rPr>
          <w:color w:val="000000"/>
          <w:sz w:val="22"/>
          <w:szCs w:val="22"/>
        </w:rPr>
        <w:t> for the project area is instead calculated by:</w:t>
      </w:r>
    </w:p>
    <w:p w14:paraId="5A99B87E" w14:textId="0FCC86DF" w:rsidR="00CF0685" w:rsidRDefault="00CF0685" w:rsidP="004A7133">
      <w:pPr>
        <w:pStyle w:val="tpara"/>
        <w:numPr>
          <w:ilvl w:val="0"/>
          <w:numId w:val="35"/>
        </w:numPr>
        <w:spacing w:before="40" w:beforeAutospacing="0" w:after="0" w:afterAutospacing="0"/>
        <w:rPr>
          <w:color w:val="000000"/>
          <w:sz w:val="22"/>
          <w:szCs w:val="22"/>
        </w:rPr>
      </w:pPr>
      <w:r>
        <w:rPr>
          <w:color w:val="000000"/>
          <w:sz w:val="22"/>
          <w:szCs w:val="22"/>
        </w:rPr>
        <w:t>calculating a value of </w:t>
      </w:r>
      <w:proofErr w:type="spellStart"/>
      <w:proofErr w:type="gramStart"/>
      <w:r>
        <w:rPr>
          <w:i/>
          <w:iCs/>
          <w:color w:val="000000"/>
          <w:sz w:val="22"/>
          <w:szCs w:val="22"/>
        </w:rPr>
        <w:t>A</w:t>
      </w:r>
      <w:r>
        <w:rPr>
          <w:i/>
          <w:iCs/>
          <w:color w:val="000000"/>
          <w:sz w:val="15"/>
          <w:szCs w:val="15"/>
          <w:vertAlign w:val="subscript"/>
        </w:rPr>
        <w:t>Seq,adj</w:t>
      </w:r>
      <w:proofErr w:type="spellEnd"/>
      <w:proofErr w:type="gramEnd"/>
      <w:r>
        <w:rPr>
          <w:color w:val="000000"/>
          <w:sz w:val="22"/>
          <w:szCs w:val="22"/>
        </w:rPr>
        <w:t> in tonnes CO</w:t>
      </w:r>
      <w:r>
        <w:rPr>
          <w:color w:val="000000"/>
          <w:sz w:val="15"/>
          <w:szCs w:val="15"/>
          <w:vertAlign w:val="subscript"/>
        </w:rPr>
        <w:t>2</w:t>
      </w:r>
      <w:r>
        <w:rPr>
          <w:b/>
          <w:bCs/>
          <w:color w:val="000000"/>
          <w:sz w:val="22"/>
          <w:szCs w:val="22"/>
        </w:rPr>
        <w:noBreakHyphen/>
      </w:r>
      <w:r>
        <w:rPr>
          <w:color w:val="000000"/>
          <w:sz w:val="22"/>
          <w:szCs w:val="22"/>
        </w:rPr>
        <w:t>e in accordance with this Schedule for each project area part as if it were a separate project area; and</w:t>
      </w:r>
    </w:p>
    <w:p w14:paraId="39FB4E15" w14:textId="31A3239B" w:rsidR="00CF0685" w:rsidRDefault="00CF0685" w:rsidP="004A7133">
      <w:pPr>
        <w:pStyle w:val="tpara"/>
        <w:numPr>
          <w:ilvl w:val="0"/>
          <w:numId w:val="35"/>
        </w:numPr>
        <w:spacing w:before="40" w:beforeAutospacing="0" w:after="0" w:afterAutospacing="0"/>
        <w:rPr>
          <w:color w:val="000000"/>
          <w:sz w:val="22"/>
          <w:szCs w:val="22"/>
        </w:rPr>
      </w:pPr>
      <w:r>
        <w:rPr>
          <w:color w:val="000000"/>
          <w:sz w:val="22"/>
          <w:szCs w:val="22"/>
        </w:rPr>
        <w:t>summing the values so calculated.</w:t>
      </w:r>
    </w:p>
    <w:p w14:paraId="78EF5850" w14:textId="10FE9F4C" w:rsidR="00CF0685" w:rsidRPr="00A31E8D" w:rsidRDefault="007B7B2E" w:rsidP="007B2786">
      <w:pPr>
        <w:pStyle w:val="ActHead5"/>
      </w:pPr>
      <w:bookmarkStart w:id="105" w:name="_Toc202953871"/>
      <w:r w:rsidRPr="00A31E8D">
        <w:t xml:space="preserve">8   </w:t>
      </w:r>
      <w:r w:rsidR="00CF0685" w:rsidRPr="007B2786">
        <w:t>Adjustments resulting from lack of fire activity</w:t>
      </w:r>
      <w:bookmarkEnd w:id="105"/>
    </w:p>
    <w:p w14:paraId="730B050D" w14:textId="3B54E270" w:rsidR="0033246C" w:rsidRDefault="00DB041C" w:rsidP="004A7133">
      <w:pPr>
        <w:pStyle w:val="tmain"/>
        <w:numPr>
          <w:ilvl w:val="0"/>
          <w:numId w:val="36"/>
        </w:numPr>
        <w:spacing w:before="180" w:beforeAutospacing="0" w:after="0" w:afterAutospacing="0"/>
        <w:rPr>
          <w:color w:val="000000"/>
          <w:sz w:val="22"/>
          <w:szCs w:val="22"/>
        </w:rPr>
      </w:pPr>
      <w:r w:rsidRPr="00DB041C">
        <w:rPr>
          <w:color w:val="000000"/>
          <w:sz w:val="22"/>
          <w:szCs w:val="22"/>
        </w:rPr>
        <w:t xml:space="preserve">This section applies if planned </w:t>
      </w:r>
      <w:proofErr w:type="gramStart"/>
      <w:r w:rsidRPr="00DB041C">
        <w:rPr>
          <w:color w:val="000000"/>
          <w:sz w:val="22"/>
          <w:szCs w:val="22"/>
        </w:rPr>
        <w:t>burning</w:t>
      </w:r>
      <w:proofErr w:type="gramEnd"/>
      <w:r w:rsidRPr="00DB041C">
        <w:rPr>
          <w:color w:val="000000"/>
          <w:sz w:val="22"/>
          <w:szCs w:val="22"/>
        </w:rPr>
        <w:t xml:space="preserve"> for a project area was not undertaken in a calendar year.</w:t>
      </w:r>
    </w:p>
    <w:p w14:paraId="18295BE0" w14:textId="4F194A07" w:rsidR="0033246C" w:rsidRDefault="002F2FE8" w:rsidP="003F7526">
      <w:pPr>
        <w:pStyle w:val="tmain"/>
        <w:numPr>
          <w:ilvl w:val="0"/>
          <w:numId w:val="36"/>
        </w:numPr>
        <w:spacing w:before="180" w:beforeAutospacing="0" w:after="0" w:afterAutospacing="0"/>
        <w:rPr>
          <w:color w:val="000000"/>
          <w:sz w:val="22"/>
          <w:szCs w:val="22"/>
        </w:rPr>
      </w:pPr>
      <w:r w:rsidRPr="007B2786">
        <w:rPr>
          <w:sz w:val="22"/>
          <w:szCs w:val="22"/>
        </w:rPr>
        <w:t>For that calendar year</w:t>
      </w:r>
      <w:r w:rsidR="00EF77DB" w:rsidRPr="007B2786">
        <w:rPr>
          <w:sz w:val="22"/>
          <w:szCs w:val="22"/>
        </w:rPr>
        <w:t xml:space="preserve">, </w:t>
      </w:r>
      <w:r w:rsidR="00EF77DB" w:rsidRPr="007B2786">
        <w:rPr>
          <w:color w:val="000000" w:themeColor="text1"/>
          <w:sz w:val="22"/>
          <w:szCs w:val="22"/>
        </w:rPr>
        <w:t>carbon stock at the end of the calendar year</w:t>
      </w:r>
      <w:r w:rsidRPr="007B2786">
        <w:rPr>
          <w:sz w:val="22"/>
          <w:szCs w:val="22"/>
        </w:rPr>
        <w:t xml:space="preserve"> </w:t>
      </w:r>
      <w:r w:rsidRPr="00AD52BE">
        <w:rPr>
          <w:b/>
          <w:bCs/>
          <w:i/>
          <w:iCs/>
          <w:color w:val="000000"/>
          <w:szCs w:val="22"/>
        </w:rPr>
        <w:t>C</w:t>
      </w:r>
      <w:r>
        <w:rPr>
          <w:b/>
          <w:bCs/>
          <w:i/>
          <w:iCs/>
          <w:color w:val="000000"/>
          <w:sz w:val="15"/>
          <w:szCs w:val="15"/>
          <w:vertAlign w:val="subscript"/>
        </w:rPr>
        <w:t>y</w:t>
      </w:r>
      <w:r>
        <w:t xml:space="preserve">, </w:t>
      </w:r>
      <w:r w:rsidRPr="007B2786">
        <w:rPr>
          <w:sz w:val="22"/>
          <w:szCs w:val="22"/>
        </w:rPr>
        <w:t>is taken to be equal to</w:t>
      </w:r>
      <w:r w:rsidR="006103B3" w:rsidRPr="007B2786">
        <w:rPr>
          <w:sz w:val="22"/>
          <w:szCs w:val="22"/>
        </w:rPr>
        <w:t xml:space="preserve"> </w:t>
      </w:r>
      <w:r w:rsidR="006103B3" w:rsidRPr="007B2786">
        <w:rPr>
          <w:color w:val="000000" w:themeColor="text1"/>
          <w:sz w:val="22"/>
          <w:szCs w:val="22"/>
        </w:rPr>
        <w:t>carbon stock at the end of the previous year</w:t>
      </w:r>
      <w:r>
        <w:t xml:space="preserve"> </w:t>
      </w:r>
      <w:r>
        <w:rPr>
          <w:noProof/>
          <w:color w:val="000000"/>
          <w:szCs w:val="22"/>
        </w:rPr>
        <w:drawing>
          <wp:inline distT="0" distB="0" distL="0" distR="0" wp14:anchorId="7A3161C5" wp14:editId="5380C012">
            <wp:extent cx="300404" cy="190500"/>
            <wp:effectExtent l="0" t="0" r="4445" b="0"/>
            <wp:docPr id="105813116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2237" cy="191663"/>
                    </a:xfrm>
                    <a:prstGeom prst="rect">
                      <a:avLst/>
                    </a:prstGeom>
                    <a:noFill/>
                    <a:ln>
                      <a:noFill/>
                    </a:ln>
                  </pic:spPr>
                </pic:pic>
              </a:graphicData>
            </a:graphic>
          </wp:inline>
        </w:drawing>
      </w:r>
      <w:r w:rsidRPr="67C8D192">
        <w:rPr>
          <w:color w:val="000000" w:themeColor="text1"/>
        </w:rPr>
        <w:t>.</w:t>
      </w:r>
    </w:p>
    <w:p w14:paraId="637DBC03" w14:textId="36856D71" w:rsidR="009525FF" w:rsidRPr="00A31E8D" w:rsidRDefault="007B7B2E" w:rsidP="007B2786">
      <w:pPr>
        <w:pStyle w:val="ActHead5"/>
      </w:pPr>
      <w:bookmarkStart w:id="106" w:name="_Toc202953872"/>
      <w:r w:rsidRPr="00A31E8D">
        <w:t xml:space="preserve">9   </w:t>
      </w:r>
      <w:r w:rsidR="009525FF" w:rsidRPr="007B2786">
        <w:t>Adjustments resulting from subdivided project areas</w:t>
      </w:r>
      <w:bookmarkEnd w:id="106"/>
    </w:p>
    <w:p w14:paraId="69A29D46" w14:textId="77777777" w:rsidR="009525FF" w:rsidRPr="009525FF" w:rsidRDefault="009525FF" w:rsidP="009525FF">
      <w:pPr>
        <w:spacing w:before="240" w:line="240" w:lineRule="auto"/>
        <w:ind w:left="1134"/>
        <w:rPr>
          <w:rFonts w:eastAsia="Times New Roman" w:cs="Times New Roman"/>
          <w:i/>
          <w:iCs/>
          <w:color w:val="000000"/>
          <w:szCs w:val="22"/>
          <w:lang w:eastAsia="en-AU"/>
        </w:rPr>
      </w:pPr>
      <w:r w:rsidRPr="009525FF">
        <w:rPr>
          <w:rFonts w:eastAsia="Times New Roman" w:cs="Times New Roman"/>
          <w:i/>
          <w:iCs/>
          <w:color w:val="000000"/>
          <w:szCs w:val="22"/>
          <w:lang w:eastAsia="en-AU"/>
        </w:rPr>
        <w:t>Adjustments relating to section 3 of this Schedule—previous year’s carry</w:t>
      </w:r>
      <w:r w:rsidRPr="009525FF">
        <w:rPr>
          <w:rFonts w:eastAsia="Times New Roman" w:cs="Times New Roman"/>
          <w:i/>
          <w:iCs/>
          <w:color w:val="000000"/>
          <w:szCs w:val="22"/>
          <w:lang w:eastAsia="en-AU"/>
        </w:rPr>
        <w:noBreakHyphen/>
        <w:t>over amount, </w:t>
      </w:r>
      <w:r w:rsidRPr="009525FF">
        <w:rPr>
          <w:rFonts w:ascii="Symbol" w:eastAsia="Symbol" w:hAnsi="Symbol" w:cs="Symbol"/>
          <w:i/>
          <w:color w:val="000000"/>
          <w:szCs w:val="22"/>
          <w:lang w:eastAsia="en-AU"/>
        </w:rPr>
        <w:sym w:font="Symbol" w:char="F044"/>
      </w:r>
      <w:proofErr w:type="spellStart"/>
      <w:proofErr w:type="gramStart"/>
      <w:r w:rsidRPr="009525FF">
        <w:rPr>
          <w:rFonts w:eastAsia="Times New Roman" w:cs="Times New Roman"/>
          <w:i/>
          <w:iCs/>
          <w:color w:val="000000"/>
          <w:szCs w:val="22"/>
          <w:lang w:eastAsia="en-AU"/>
        </w:rPr>
        <w:t>C</w:t>
      </w:r>
      <w:r w:rsidRPr="009525FF">
        <w:rPr>
          <w:rFonts w:eastAsia="Times New Roman" w:cs="Times New Roman"/>
          <w:i/>
          <w:iCs/>
          <w:color w:val="000000"/>
          <w:sz w:val="15"/>
          <w:szCs w:val="15"/>
          <w:vertAlign w:val="subscript"/>
          <w:lang w:eastAsia="en-AU"/>
        </w:rPr>
        <w:t>Seq,Prev</w:t>
      </w:r>
      <w:proofErr w:type="spellEnd"/>
      <w:proofErr w:type="gramEnd"/>
    </w:p>
    <w:p w14:paraId="055BEC2F" w14:textId="31444556" w:rsidR="009525FF" w:rsidRPr="009525FF" w:rsidRDefault="009525FF" w:rsidP="004A7133">
      <w:pPr>
        <w:pStyle w:val="ListParagraph"/>
        <w:numPr>
          <w:ilvl w:val="0"/>
          <w:numId w:val="37"/>
        </w:numPr>
        <w:spacing w:before="180" w:after="120" w:line="240" w:lineRule="auto"/>
        <w:rPr>
          <w:rFonts w:eastAsia="Times New Roman" w:cs="Times New Roman"/>
          <w:color w:val="000000"/>
          <w:szCs w:val="22"/>
          <w:lang w:eastAsia="en-AU"/>
        </w:rPr>
      </w:pPr>
      <w:r w:rsidRPr="009525FF">
        <w:rPr>
          <w:rFonts w:eastAsia="Times New Roman" w:cs="Times New Roman"/>
          <w:color w:val="000000"/>
          <w:szCs w:val="22"/>
          <w:lang w:eastAsia="en-AU"/>
        </w:rPr>
        <w:t>If a project area is divided into 2 or more subdivided project areas, then </w:t>
      </w:r>
      <w:r w:rsidRPr="009525FF">
        <w:rPr>
          <w:rFonts w:ascii="Symbol" w:eastAsia="Symbol" w:hAnsi="Symbol" w:cs="Symbol"/>
          <w:i/>
          <w:lang w:eastAsia="en-AU"/>
        </w:rPr>
        <w:sym w:font="Symbol" w:char="F044"/>
      </w:r>
      <w:proofErr w:type="spellStart"/>
      <w:proofErr w:type="gramStart"/>
      <w:r w:rsidRPr="009525FF">
        <w:rPr>
          <w:rFonts w:eastAsia="Times New Roman" w:cs="Times New Roman"/>
          <w:i/>
          <w:iCs/>
          <w:color w:val="000000"/>
          <w:szCs w:val="22"/>
          <w:lang w:eastAsia="en-AU"/>
        </w:rPr>
        <w:t>C</w:t>
      </w:r>
      <w:r w:rsidRPr="009525FF">
        <w:rPr>
          <w:rFonts w:eastAsia="Times New Roman" w:cs="Times New Roman"/>
          <w:i/>
          <w:iCs/>
          <w:color w:val="000000"/>
          <w:sz w:val="15"/>
          <w:szCs w:val="15"/>
          <w:vertAlign w:val="subscript"/>
          <w:lang w:eastAsia="en-AU"/>
        </w:rPr>
        <w:t>Seq,Prev</w:t>
      </w:r>
      <w:proofErr w:type="spellEnd"/>
      <w:proofErr w:type="gramEnd"/>
      <w:r w:rsidRPr="009525FF">
        <w:rPr>
          <w:rFonts w:eastAsia="Times New Roman" w:cs="Times New Roman"/>
          <w:color w:val="000000"/>
          <w:szCs w:val="22"/>
          <w:lang w:eastAsia="en-AU"/>
        </w:rPr>
        <w:t> for each subdivided project area immediately after the subdivision takes effect is equal to the amount </w:t>
      </w:r>
      <w:r w:rsidRPr="009525FF">
        <w:rPr>
          <w:rFonts w:ascii="Symbol" w:eastAsia="Symbol" w:hAnsi="Symbol" w:cs="Symbol"/>
          <w:i/>
          <w:lang w:eastAsia="en-AU"/>
        </w:rPr>
        <w:sym w:font="Symbol" w:char="F044"/>
      </w:r>
      <w:proofErr w:type="spellStart"/>
      <w:proofErr w:type="gramStart"/>
      <w:r w:rsidRPr="009525FF">
        <w:rPr>
          <w:rFonts w:eastAsia="Times New Roman" w:cs="Times New Roman"/>
          <w:i/>
          <w:iCs/>
          <w:color w:val="000000"/>
          <w:szCs w:val="22"/>
          <w:lang w:eastAsia="en-AU"/>
        </w:rPr>
        <w:t>C</w:t>
      </w:r>
      <w:r w:rsidRPr="009525FF">
        <w:rPr>
          <w:rFonts w:eastAsia="Times New Roman" w:cs="Times New Roman"/>
          <w:i/>
          <w:iCs/>
          <w:color w:val="000000"/>
          <w:sz w:val="15"/>
          <w:szCs w:val="15"/>
          <w:vertAlign w:val="subscript"/>
          <w:lang w:eastAsia="en-AU"/>
        </w:rPr>
        <w:t>Seq,Prev</w:t>
      </w:r>
      <w:proofErr w:type="gramEnd"/>
      <w:r w:rsidRPr="009525FF">
        <w:rPr>
          <w:rFonts w:eastAsia="Times New Roman" w:cs="Times New Roman"/>
          <w:i/>
          <w:iCs/>
          <w:color w:val="000000"/>
          <w:sz w:val="15"/>
          <w:szCs w:val="15"/>
          <w:vertAlign w:val="subscript"/>
          <w:lang w:eastAsia="en-AU"/>
        </w:rPr>
        <w:t>,Subdiv</w:t>
      </w:r>
      <w:proofErr w:type="spellEnd"/>
      <w:r w:rsidR="00EF1839">
        <w:rPr>
          <w:rFonts w:eastAsia="Times New Roman" w:cs="Times New Roman"/>
          <w:color w:val="000000"/>
          <w:szCs w:val="22"/>
          <w:lang w:eastAsia="en-AU"/>
        </w:rPr>
        <w:t xml:space="preserve">, </w:t>
      </w:r>
      <w:r w:rsidRPr="009525FF">
        <w:rPr>
          <w:rFonts w:eastAsia="Times New Roman" w:cs="Times New Roman"/>
          <w:color w:val="000000"/>
          <w:szCs w:val="22"/>
          <w:lang w:eastAsia="en-AU"/>
        </w:rPr>
        <w:t>given by the following equation:</w:t>
      </w:r>
    </w:p>
    <w:tbl>
      <w:tblPr>
        <w:tblW w:w="0" w:type="auto"/>
        <w:tblInd w:w="113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024"/>
        <w:gridCol w:w="1139"/>
      </w:tblGrid>
      <w:tr w:rsidR="009525FF" w:rsidRPr="009525FF" w14:paraId="2ECBB668" w14:textId="77777777" w:rsidTr="00867A6B">
        <w:trPr>
          <w:trHeight w:val="1108"/>
        </w:trPr>
        <w:tc>
          <w:tcPr>
            <w:tcW w:w="6300" w:type="dxa"/>
            <w:tcBorders>
              <w:right w:val="single" w:sz="6" w:space="0" w:color="000000"/>
            </w:tcBorders>
            <w:tcMar>
              <w:top w:w="0" w:type="dxa"/>
              <w:left w:w="101" w:type="dxa"/>
              <w:bottom w:w="0" w:type="dxa"/>
              <w:right w:w="101" w:type="dxa"/>
            </w:tcMar>
            <w:vAlign w:val="center"/>
            <w:hideMark/>
          </w:tcPr>
          <w:p w14:paraId="0CEC5367" w14:textId="2E75379B" w:rsidR="009525FF" w:rsidRPr="009525FF" w:rsidRDefault="00121DA4" w:rsidP="009525FF">
            <w:pPr>
              <w:spacing w:line="240" w:lineRule="auto"/>
              <w:rPr>
                <w:rFonts w:eastAsia="Times New Roman" w:cs="Times New Roman"/>
                <w:color w:val="000000"/>
                <w:szCs w:val="22"/>
                <w:lang w:eastAsia="en-AU"/>
              </w:rPr>
            </w:pPr>
            <w:r w:rsidRPr="00102BF7">
              <w:rPr>
                <w:noProof/>
                <w:sz w:val="20"/>
              </w:rPr>
              <w:drawing>
                <wp:inline distT="0" distB="0" distL="0" distR="0" wp14:anchorId="61E2F3B9" wp14:editId="139D75F0">
                  <wp:extent cx="2185380" cy="435005"/>
                  <wp:effectExtent l="0" t="0" r="5715" b="3175"/>
                  <wp:docPr id="628893988" name="Picture 1" descr="A formula to work out the adjustment value for the previous year’s carry-over amount when a project area is subdivided into 2 or more subdivided project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893988" name="Picture 1" descr="A formula to work out the adjustment value for the previous year’s carry-over amount when a project area is subdivided into 2 or more subdivided project areas."/>
                          <pic:cNvPicPr/>
                        </pic:nvPicPr>
                        <pic:blipFill>
                          <a:blip r:embed="rId41"/>
                          <a:stretch>
                            <a:fillRect/>
                          </a:stretch>
                        </pic:blipFill>
                        <pic:spPr>
                          <a:xfrm>
                            <a:off x="0" y="0"/>
                            <a:ext cx="2224382" cy="442768"/>
                          </a:xfrm>
                          <a:prstGeom prst="rect">
                            <a:avLst/>
                          </a:prstGeom>
                        </pic:spPr>
                      </pic:pic>
                    </a:graphicData>
                  </a:graphic>
                </wp:inline>
              </w:drawing>
            </w:r>
          </w:p>
        </w:tc>
        <w:tc>
          <w:tcPr>
            <w:tcW w:w="1150" w:type="dxa"/>
            <w:tcBorders>
              <w:left w:val="single" w:sz="6" w:space="0" w:color="000000"/>
            </w:tcBorders>
            <w:tcMar>
              <w:top w:w="0" w:type="dxa"/>
              <w:left w:w="101" w:type="dxa"/>
              <w:bottom w:w="0" w:type="dxa"/>
              <w:right w:w="101" w:type="dxa"/>
            </w:tcMar>
            <w:vAlign w:val="center"/>
            <w:hideMark/>
          </w:tcPr>
          <w:p w14:paraId="61485402" w14:textId="1AE9A7F7" w:rsidR="009525FF" w:rsidRPr="009525FF" w:rsidRDefault="009525FF" w:rsidP="009525FF">
            <w:pPr>
              <w:spacing w:before="60" w:line="240" w:lineRule="atLeast"/>
              <w:rPr>
                <w:rFonts w:eastAsia="Times New Roman" w:cs="Times New Roman"/>
                <w:color w:val="000000"/>
                <w:sz w:val="20"/>
                <w:lang w:eastAsia="en-AU"/>
              </w:rPr>
            </w:pPr>
            <w:r w:rsidRPr="009525FF">
              <w:rPr>
                <w:rFonts w:eastAsia="Times New Roman" w:cs="Times New Roman"/>
                <w:color w:val="000000"/>
                <w:sz w:val="20"/>
                <w:lang w:eastAsia="en-AU"/>
              </w:rPr>
              <w:t>equation </w:t>
            </w:r>
            <w:r w:rsidR="00AA7B81">
              <w:rPr>
                <w:rFonts w:eastAsia="Times New Roman" w:cs="Times New Roman"/>
                <w:color w:val="000000"/>
                <w:sz w:val="20"/>
                <w:lang w:eastAsia="en-AU"/>
              </w:rPr>
              <w:t>9</w:t>
            </w:r>
          </w:p>
        </w:tc>
      </w:tr>
    </w:tbl>
    <w:p w14:paraId="582179EA" w14:textId="7179BC47" w:rsidR="009525FF" w:rsidRPr="009525FF" w:rsidRDefault="009525FF" w:rsidP="009525FF">
      <w:pPr>
        <w:spacing w:before="180" w:line="240" w:lineRule="auto"/>
        <w:ind w:left="1134" w:hanging="1134"/>
        <w:rPr>
          <w:rFonts w:eastAsia="Times New Roman" w:cs="Times New Roman"/>
          <w:color w:val="000000"/>
          <w:szCs w:val="22"/>
          <w:lang w:eastAsia="en-AU"/>
        </w:rPr>
      </w:pPr>
      <w:r w:rsidRPr="009525FF">
        <w:rPr>
          <w:rFonts w:eastAsia="Times New Roman" w:cs="Times New Roman"/>
          <w:color w:val="000000"/>
          <w:szCs w:val="22"/>
          <w:lang w:eastAsia="en-AU"/>
        </w:rPr>
        <w:t>  </w:t>
      </w:r>
      <w:r>
        <w:rPr>
          <w:rFonts w:eastAsia="Times New Roman" w:cs="Times New Roman"/>
          <w:color w:val="000000"/>
          <w:szCs w:val="22"/>
          <w:lang w:eastAsia="en-AU"/>
        </w:rPr>
        <w:tab/>
      </w:r>
      <w:r w:rsidRPr="009525FF">
        <w:rPr>
          <w:rFonts w:eastAsia="Times New Roman" w:cs="Times New Roman"/>
          <w:color w:val="000000"/>
          <w:szCs w:val="22"/>
          <w:lang w:eastAsia="en-AU"/>
        </w:rPr>
        <w:t>where:</w:t>
      </w:r>
    </w:p>
    <w:p w14:paraId="04162BAE" w14:textId="053AC4E8" w:rsidR="00C8504D" w:rsidRPr="00AD52BE" w:rsidRDefault="00B526F8" w:rsidP="00C8504D">
      <w:pPr>
        <w:spacing w:before="180" w:line="240" w:lineRule="auto"/>
        <w:ind w:left="1134"/>
        <w:rPr>
          <w:rFonts w:eastAsia="Times New Roman" w:cs="Times New Roman"/>
          <w:color w:val="000000"/>
          <w:szCs w:val="22"/>
          <w:lang w:eastAsia="en-AU"/>
        </w:rPr>
      </w:pPr>
      <w:r w:rsidRPr="00B526F8">
        <w:rPr>
          <w:rFonts w:eastAsia="Times New Roman" w:cs="Times New Roman"/>
          <w:b/>
          <w:bCs/>
          <w:noProof/>
          <w:color w:val="000000"/>
          <w:szCs w:val="22"/>
          <w:lang w:eastAsia="en-AU"/>
        </w:rPr>
        <w:drawing>
          <wp:inline distT="0" distB="0" distL="0" distR="0" wp14:anchorId="49EA2AA6" wp14:editId="3772F8D9">
            <wp:extent cx="609685" cy="257211"/>
            <wp:effectExtent l="0" t="0" r="0" b="9525"/>
            <wp:docPr id="500203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203579" name=""/>
                    <pic:cNvPicPr/>
                  </pic:nvPicPr>
                  <pic:blipFill>
                    <a:blip r:embed="rId42"/>
                    <a:stretch>
                      <a:fillRect/>
                    </a:stretch>
                  </pic:blipFill>
                  <pic:spPr>
                    <a:xfrm>
                      <a:off x="0" y="0"/>
                      <a:ext cx="609685" cy="257211"/>
                    </a:xfrm>
                    <a:prstGeom prst="rect">
                      <a:avLst/>
                    </a:prstGeom>
                  </pic:spPr>
                </pic:pic>
              </a:graphicData>
            </a:graphic>
          </wp:inline>
        </w:drawing>
      </w:r>
      <w:r w:rsidR="009525FF" w:rsidRPr="009525FF">
        <w:rPr>
          <w:rFonts w:eastAsia="Times New Roman" w:cs="Times New Roman"/>
          <w:color w:val="000000"/>
          <w:szCs w:val="22"/>
          <w:lang w:eastAsia="en-AU"/>
        </w:rPr>
        <w:t>is the</w:t>
      </w:r>
      <w:r w:rsidR="00C8504D">
        <w:rPr>
          <w:rFonts w:eastAsia="Times New Roman" w:cs="Times New Roman"/>
          <w:color w:val="000000"/>
          <w:szCs w:val="22"/>
          <w:lang w:eastAsia="en-AU"/>
        </w:rPr>
        <w:t xml:space="preserve"> mean carbon stock in the subdivided project area</w:t>
      </w:r>
      <w:r w:rsidR="00C8504D" w:rsidRPr="00AD52BE">
        <w:rPr>
          <w:rFonts w:eastAsia="Times New Roman" w:cs="Times New Roman"/>
          <w:color w:val="000000"/>
          <w:szCs w:val="22"/>
          <w:lang w:eastAsia="en-AU"/>
        </w:rPr>
        <w:t>, in tonnes CO</w:t>
      </w:r>
      <w:r w:rsidR="00C8504D" w:rsidRPr="00AD52BE">
        <w:rPr>
          <w:rFonts w:eastAsia="Times New Roman" w:cs="Times New Roman"/>
          <w:color w:val="000000"/>
          <w:sz w:val="15"/>
          <w:szCs w:val="15"/>
          <w:vertAlign w:val="subscript"/>
          <w:lang w:eastAsia="en-AU"/>
        </w:rPr>
        <w:t>2</w:t>
      </w:r>
      <w:r w:rsidR="00C8504D" w:rsidRPr="00AD52BE">
        <w:rPr>
          <w:rFonts w:eastAsia="Times New Roman" w:cs="Times New Roman"/>
          <w:color w:val="000000"/>
          <w:szCs w:val="22"/>
          <w:lang w:eastAsia="en-AU"/>
        </w:rPr>
        <w:softHyphen/>
      </w:r>
      <w:r w:rsidR="009F3DB3">
        <w:rPr>
          <w:rFonts w:eastAsia="Times New Roman" w:cs="Times New Roman"/>
          <w:color w:val="000000"/>
          <w:szCs w:val="22"/>
          <w:lang w:eastAsia="en-AU"/>
        </w:rPr>
        <w:t>-</w:t>
      </w:r>
      <w:r w:rsidR="00C8504D" w:rsidRPr="00AD52BE">
        <w:rPr>
          <w:rFonts w:eastAsia="Times New Roman" w:cs="Times New Roman"/>
          <w:color w:val="000000"/>
          <w:szCs w:val="22"/>
          <w:lang w:eastAsia="en-AU"/>
        </w:rPr>
        <w:t>e</w:t>
      </w:r>
      <w:r w:rsidR="00C8504D">
        <w:rPr>
          <w:rFonts w:eastAsia="Times New Roman" w:cs="Times New Roman"/>
          <w:color w:val="000000"/>
          <w:szCs w:val="22"/>
          <w:lang w:eastAsia="en-AU"/>
        </w:rPr>
        <w:t>, and is calculated</w:t>
      </w:r>
      <w:r w:rsidR="00E86B5A">
        <w:rPr>
          <w:rFonts w:eastAsia="Times New Roman" w:cs="Times New Roman"/>
          <w:color w:val="000000"/>
          <w:szCs w:val="22"/>
          <w:lang w:eastAsia="en-AU"/>
        </w:rPr>
        <w:t xml:space="preserve"> in accordance with section 7 of this Schedule over the baseline period for the subdivided project area</w:t>
      </w:r>
      <w:r w:rsidR="00C8504D">
        <w:rPr>
          <w:rFonts w:eastAsia="Times New Roman" w:cs="Times New Roman"/>
          <w:color w:val="000000"/>
          <w:szCs w:val="22"/>
          <w:lang w:eastAsia="en-AU"/>
        </w:rPr>
        <w:t>.</w:t>
      </w:r>
    </w:p>
    <w:p w14:paraId="48055878" w14:textId="3AA0A1F1" w:rsidR="009525FF" w:rsidRPr="009525FF" w:rsidRDefault="00AF404C" w:rsidP="009F3DB3">
      <w:pPr>
        <w:spacing w:before="180" w:line="240" w:lineRule="auto"/>
        <w:ind w:left="1134"/>
        <w:rPr>
          <w:rFonts w:eastAsia="Times New Roman" w:cs="Times New Roman"/>
          <w:color w:val="000000"/>
          <w:szCs w:val="22"/>
          <w:lang w:eastAsia="en-AU"/>
        </w:rPr>
      </w:pPr>
      <w:r w:rsidRPr="00AF404C">
        <w:rPr>
          <w:rFonts w:eastAsia="Times New Roman" w:cs="Times New Roman"/>
          <w:b/>
          <w:bCs/>
          <w:i/>
          <w:iCs/>
          <w:noProof/>
          <w:color w:val="000000"/>
          <w:szCs w:val="22"/>
          <w:lang w:eastAsia="en-AU"/>
        </w:rPr>
        <w:drawing>
          <wp:inline distT="0" distB="0" distL="0" distR="0" wp14:anchorId="35205847" wp14:editId="34E75B8F">
            <wp:extent cx="495369" cy="219106"/>
            <wp:effectExtent l="0" t="0" r="0" b="9525"/>
            <wp:docPr id="915300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300641" name=""/>
                    <pic:cNvPicPr/>
                  </pic:nvPicPr>
                  <pic:blipFill>
                    <a:blip r:embed="rId43"/>
                    <a:stretch>
                      <a:fillRect/>
                    </a:stretch>
                  </pic:blipFill>
                  <pic:spPr>
                    <a:xfrm>
                      <a:off x="0" y="0"/>
                      <a:ext cx="495369" cy="219106"/>
                    </a:xfrm>
                    <a:prstGeom prst="rect">
                      <a:avLst/>
                    </a:prstGeom>
                  </pic:spPr>
                </pic:pic>
              </a:graphicData>
            </a:graphic>
          </wp:inline>
        </w:drawing>
      </w:r>
      <w:r w:rsidR="00663DDD">
        <w:rPr>
          <w:rFonts w:eastAsia="Times New Roman" w:cs="Times New Roman"/>
          <w:b/>
          <w:bCs/>
          <w:i/>
          <w:iCs/>
          <w:color w:val="000000"/>
          <w:szCs w:val="22"/>
          <w:lang w:eastAsia="en-AU"/>
        </w:rPr>
        <w:t xml:space="preserve"> </w:t>
      </w:r>
      <w:r w:rsidR="00663DDD" w:rsidRPr="009525FF">
        <w:rPr>
          <w:rFonts w:eastAsia="Times New Roman" w:cs="Times New Roman"/>
          <w:color w:val="000000"/>
          <w:szCs w:val="22"/>
          <w:lang w:eastAsia="en-AU"/>
        </w:rPr>
        <w:t>is the</w:t>
      </w:r>
      <w:r w:rsidR="00663DDD">
        <w:rPr>
          <w:rFonts w:eastAsia="Times New Roman" w:cs="Times New Roman"/>
          <w:color w:val="000000"/>
          <w:szCs w:val="22"/>
          <w:lang w:eastAsia="en-AU"/>
        </w:rPr>
        <w:t xml:space="preserve"> mean baseline carbon stock in the </w:t>
      </w:r>
      <w:r w:rsidR="009F3DB3">
        <w:rPr>
          <w:rFonts w:eastAsia="Times New Roman" w:cs="Times New Roman"/>
          <w:color w:val="000000"/>
          <w:szCs w:val="22"/>
          <w:lang w:eastAsia="en-AU"/>
        </w:rPr>
        <w:t>original</w:t>
      </w:r>
      <w:r w:rsidR="00663DDD">
        <w:rPr>
          <w:rFonts w:eastAsia="Times New Roman" w:cs="Times New Roman"/>
          <w:color w:val="000000"/>
          <w:szCs w:val="22"/>
          <w:lang w:eastAsia="en-AU"/>
        </w:rPr>
        <w:t xml:space="preserve"> project area</w:t>
      </w:r>
      <w:r w:rsidR="00663DDD" w:rsidRPr="00AD52BE">
        <w:rPr>
          <w:rFonts w:eastAsia="Times New Roman" w:cs="Times New Roman"/>
          <w:color w:val="000000"/>
          <w:szCs w:val="22"/>
          <w:lang w:eastAsia="en-AU"/>
        </w:rPr>
        <w:t>, in tonnes CO</w:t>
      </w:r>
      <w:r w:rsidR="00663DDD" w:rsidRPr="00AD52BE">
        <w:rPr>
          <w:rFonts w:eastAsia="Times New Roman" w:cs="Times New Roman"/>
          <w:color w:val="000000"/>
          <w:sz w:val="15"/>
          <w:szCs w:val="15"/>
          <w:vertAlign w:val="subscript"/>
          <w:lang w:eastAsia="en-AU"/>
        </w:rPr>
        <w:t>2</w:t>
      </w:r>
      <w:r w:rsidR="00663DDD" w:rsidRPr="00AD52BE">
        <w:rPr>
          <w:rFonts w:eastAsia="Times New Roman" w:cs="Times New Roman"/>
          <w:color w:val="000000"/>
          <w:szCs w:val="22"/>
          <w:lang w:eastAsia="en-AU"/>
        </w:rPr>
        <w:softHyphen/>
      </w:r>
      <w:r w:rsidR="009F3DB3">
        <w:rPr>
          <w:rFonts w:eastAsia="Times New Roman" w:cs="Times New Roman"/>
          <w:color w:val="000000"/>
          <w:szCs w:val="22"/>
          <w:lang w:eastAsia="en-AU"/>
        </w:rPr>
        <w:t>-</w:t>
      </w:r>
      <w:r w:rsidR="00663DDD" w:rsidRPr="00AD52BE">
        <w:rPr>
          <w:rFonts w:eastAsia="Times New Roman" w:cs="Times New Roman"/>
          <w:color w:val="000000"/>
          <w:szCs w:val="22"/>
          <w:lang w:eastAsia="en-AU"/>
        </w:rPr>
        <w:t>e</w:t>
      </w:r>
      <w:r w:rsidR="00663DDD">
        <w:rPr>
          <w:rFonts w:eastAsia="Times New Roman" w:cs="Times New Roman"/>
          <w:color w:val="000000"/>
          <w:szCs w:val="22"/>
          <w:lang w:eastAsia="en-AU"/>
        </w:rPr>
        <w:t xml:space="preserve">, and is calculated in accordance with section 7 of this Schedule over the baseline period for the </w:t>
      </w:r>
      <w:r w:rsidR="009F3DB3">
        <w:rPr>
          <w:rFonts w:eastAsia="Times New Roman" w:cs="Times New Roman"/>
          <w:color w:val="000000"/>
          <w:szCs w:val="22"/>
          <w:lang w:eastAsia="en-AU"/>
        </w:rPr>
        <w:t xml:space="preserve">original </w:t>
      </w:r>
      <w:r w:rsidR="00663DDD">
        <w:rPr>
          <w:rFonts w:eastAsia="Times New Roman" w:cs="Times New Roman"/>
          <w:color w:val="000000"/>
          <w:szCs w:val="22"/>
          <w:lang w:eastAsia="en-AU"/>
        </w:rPr>
        <w:t>project area.</w:t>
      </w:r>
    </w:p>
    <w:p w14:paraId="101FD262" w14:textId="77777777" w:rsidR="009525FF" w:rsidRPr="009525FF" w:rsidRDefault="009525FF" w:rsidP="009525FF">
      <w:pPr>
        <w:spacing w:before="180" w:line="240" w:lineRule="auto"/>
        <w:ind w:left="1134"/>
        <w:rPr>
          <w:rFonts w:eastAsia="Times New Roman" w:cs="Times New Roman"/>
          <w:color w:val="000000"/>
          <w:szCs w:val="22"/>
          <w:lang w:eastAsia="en-AU"/>
        </w:rPr>
      </w:pPr>
      <w:r w:rsidRPr="009525FF">
        <w:rPr>
          <w:rFonts w:ascii="Symbol" w:eastAsia="Symbol" w:hAnsi="Symbol" w:cs="Symbol"/>
          <w:b/>
          <w:i/>
          <w:color w:val="000000"/>
          <w:szCs w:val="22"/>
          <w:lang w:eastAsia="en-AU"/>
        </w:rPr>
        <w:sym w:font="Symbol" w:char="F044"/>
      </w:r>
      <w:proofErr w:type="spellStart"/>
      <w:proofErr w:type="gramStart"/>
      <w:r w:rsidRPr="009525FF">
        <w:rPr>
          <w:rFonts w:eastAsia="Times New Roman" w:cs="Times New Roman"/>
          <w:b/>
          <w:bCs/>
          <w:i/>
          <w:iCs/>
          <w:color w:val="000000"/>
          <w:szCs w:val="22"/>
          <w:lang w:eastAsia="en-AU"/>
        </w:rPr>
        <w:t>C</w:t>
      </w:r>
      <w:r w:rsidRPr="009525FF">
        <w:rPr>
          <w:rFonts w:eastAsia="Times New Roman" w:cs="Times New Roman"/>
          <w:b/>
          <w:bCs/>
          <w:i/>
          <w:iCs/>
          <w:color w:val="000000"/>
          <w:sz w:val="15"/>
          <w:szCs w:val="15"/>
          <w:vertAlign w:val="subscript"/>
          <w:lang w:eastAsia="en-AU"/>
        </w:rPr>
        <w:t>Seq,Prev</w:t>
      </w:r>
      <w:proofErr w:type="gramEnd"/>
      <w:r w:rsidRPr="009525FF">
        <w:rPr>
          <w:rFonts w:eastAsia="Times New Roman" w:cs="Times New Roman"/>
          <w:b/>
          <w:bCs/>
          <w:i/>
          <w:iCs/>
          <w:color w:val="000000"/>
          <w:sz w:val="15"/>
          <w:szCs w:val="15"/>
          <w:vertAlign w:val="subscript"/>
          <w:lang w:eastAsia="en-AU"/>
        </w:rPr>
        <w:t>,Orig</w:t>
      </w:r>
      <w:proofErr w:type="spellEnd"/>
      <w:r w:rsidRPr="009525FF">
        <w:rPr>
          <w:rFonts w:eastAsia="Times New Roman" w:cs="Times New Roman"/>
          <w:color w:val="000000"/>
          <w:szCs w:val="22"/>
          <w:lang w:eastAsia="en-AU"/>
        </w:rPr>
        <w:t> is the previous year’s carry</w:t>
      </w:r>
      <w:r w:rsidRPr="009525FF">
        <w:rPr>
          <w:rFonts w:eastAsia="Times New Roman" w:cs="Times New Roman"/>
          <w:color w:val="000000"/>
          <w:szCs w:val="22"/>
          <w:lang w:eastAsia="en-AU"/>
        </w:rPr>
        <w:noBreakHyphen/>
        <w:t>over amount for the original project area, </w:t>
      </w:r>
      <w:r w:rsidRPr="009525FF">
        <w:rPr>
          <w:rFonts w:ascii="Symbol" w:eastAsia="Symbol" w:hAnsi="Symbol" w:cs="Symbol"/>
          <w:i/>
          <w:color w:val="000000"/>
          <w:szCs w:val="22"/>
          <w:lang w:eastAsia="en-AU"/>
        </w:rPr>
        <w:sym w:font="Symbol" w:char="F044"/>
      </w:r>
      <w:proofErr w:type="spellStart"/>
      <w:proofErr w:type="gramStart"/>
      <w:r w:rsidRPr="009525FF">
        <w:rPr>
          <w:rFonts w:eastAsia="Times New Roman" w:cs="Times New Roman"/>
          <w:i/>
          <w:iCs/>
          <w:color w:val="000000"/>
          <w:szCs w:val="22"/>
          <w:lang w:eastAsia="en-AU"/>
        </w:rPr>
        <w:t>C</w:t>
      </w:r>
      <w:r w:rsidRPr="009525FF">
        <w:rPr>
          <w:rFonts w:eastAsia="Times New Roman" w:cs="Times New Roman"/>
          <w:i/>
          <w:iCs/>
          <w:color w:val="000000"/>
          <w:sz w:val="15"/>
          <w:szCs w:val="15"/>
          <w:vertAlign w:val="subscript"/>
          <w:lang w:eastAsia="en-AU"/>
        </w:rPr>
        <w:t>Seq,Prev</w:t>
      </w:r>
      <w:proofErr w:type="spellEnd"/>
      <w:proofErr w:type="gramEnd"/>
      <w:r w:rsidRPr="009525FF">
        <w:rPr>
          <w:rFonts w:eastAsia="Times New Roman" w:cs="Times New Roman"/>
          <w:color w:val="000000"/>
          <w:szCs w:val="22"/>
          <w:lang w:eastAsia="en-AU"/>
        </w:rPr>
        <w:t>, as calculated in accordance with subsection 3(1) of this Schedule.</w:t>
      </w:r>
    </w:p>
    <w:p w14:paraId="2FD6A476" w14:textId="72D80F4D" w:rsidR="009525FF" w:rsidRPr="009525FF" w:rsidRDefault="009525FF" w:rsidP="009525FF">
      <w:pPr>
        <w:spacing w:before="240" w:line="240" w:lineRule="auto"/>
        <w:ind w:left="1134"/>
        <w:rPr>
          <w:rFonts w:eastAsia="Times New Roman" w:cs="Times New Roman"/>
          <w:i/>
          <w:iCs/>
          <w:color w:val="000000"/>
          <w:szCs w:val="22"/>
          <w:lang w:eastAsia="en-AU"/>
        </w:rPr>
      </w:pPr>
      <w:r w:rsidRPr="009525FF">
        <w:rPr>
          <w:rFonts w:eastAsia="Times New Roman" w:cs="Times New Roman"/>
          <w:i/>
          <w:iCs/>
          <w:color w:val="000000"/>
          <w:szCs w:val="22"/>
          <w:lang w:eastAsia="en-AU"/>
        </w:rPr>
        <w:t>Adjustments relati</w:t>
      </w:r>
      <w:r w:rsidR="00A310B0">
        <w:rPr>
          <w:rFonts w:eastAsia="Times New Roman" w:cs="Times New Roman"/>
          <w:i/>
          <w:iCs/>
          <w:color w:val="000000"/>
          <w:szCs w:val="22"/>
          <w:lang w:eastAsia="en-AU"/>
        </w:rPr>
        <w:t>ng</w:t>
      </w:r>
      <w:r w:rsidRPr="009525FF">
        <w:rPr>
          <w:rFonts w:eastAsia="Times New Roman" w:cs="Times New Roman"/>
          <w:i/>
          <w:iCs/>
          <w:color w:val="000000"/>
          <w:szCs w:val="22"/>
          <w:lang w:eastAsia="en-AU"/>
        </w:rPr>
        <w:t xml:space="preserve"> to section 4 of this Schedule—</w:t>
      </w:r>
      <w:proofErr w:type="spellStart"/>
      <w:proofErr w:type="gramStart"/>
      <w:r w:rsidRPr="009525FF">
        <w:rPr>
          <w:rFonts w:eastAsia="Times New Roman" w:cs="Times New Roman"/>
          <w:i/>
          <w:iCs/>
          <w:color w:val="000000"/>
          <w:szCs w:val="22"/>
          <w:lang w:eastAsia="en-AU"/>
        </w:rPr>
        <w:t>C</w:t>
      </w:r>
      <w:r w:rsidRPr="009525FF">
        <w:rPr>
          <w:rFonts w:eastAsia="Times New Roman" w:cs="Times New Roman"/>
          <w:i/>
          <w:iCs/>
          <w:color w:val="000000"/>
          <w:sz w:val="15"/>
          <w:szCs w:val="15"/>
          <w:vertAlign w:val="subscript"/>
          <w:lang w:eastAsia="en-AU"/>
        </w:rPr>
        <w:t>Seq,Prev</w:t>
      </w:r>
      <w:proofErr w:type="spellEnd"/>
      <w:proofErr w:type="gramEnd"/>
      <w:r w:rsidRPr="009525FF">
        <w:rPr>
          <w:rFonts w:eastAsia="Times New Roman" w:cs="Times New Roman"/>
          <w:i/>
          <w:iCs/>
          <w:color w:val="000000"/>
          <w:szCs w:val="22"/>
          <w:lang w:eastAsia="en-AU"/>
        </w:rPr>
        <w:t> in equation 14</w:t>
      </w:r>
    </w:p>
    <w:p w14:paraId="23EDCF45" w14:textId="5CA3D245" w:rsidR="00E31CDD" w:rsidRPr="00E31CDD" w:rsidRDefault="009525FF" w:rsidP="004A7133">
      <w:pPr>
        <w:pStyle w:val="ListParagraph"/>
        <w:numPr>
          <w:ilvl w:val="0"/>
          <w:numId w:val="37"/>
        </w:numPr>
        <w:spacing w:before="180" w:after="120" w:line="240" w:lineRule="auto"/>
        <w:rPr>
          <w:rFonts w:eastAsia="Times New Roman" w:cs="Times New Roman"/>
          <w:color w:val="000000"/>
          <w:szCs w:val="22"/>
          <w:lang w:eastAsia="en-AU"/>
        </w:rPr>
      </w:pPr>
      <w:r w:rsidRPr="00E31CDD">
        <w:rPr>
          <w:rFonts w:eastAsia="Times New Roman" w:cs="Times New Roman"/>
          <w:color w:val="000000"/>
          <w:szCs w:val="22"/>
          <w:lang w:eastAsia="en-AU"/>
        </w:rPr>
        <w:lastRenderedPageBreak/>
        <w:t>If a project area is divided into 2 or more subdivided project areas, the</w:t>
      </w:r>
      <w:r w:rsidR="00587683">
        <w:rPr>
          <w:rFonts w:eastAsia="Times New Roman" w:cs="Times New Roman"/>
          <w:color w:val="000000"/>
          <w:szCs w:val="22"/>
          <w:lang w:eastAsia="en-AU"/>
        </w:rPr>
        <w:t xml:space="preserve">n </w:t>
      </w:r>
      <w:r w:rsidR="00666629" w:rsidRPr="00666629">
        <w:rPr>
          <w:rFonts w:eastAsia="Times New Roman" w:cs="Times New Roman"/>
          <w:noProof/>
          <w:color w:val="000000"/>
          <w:szCs w:val="22"/>
          <w:lang w:eastAsia="en-AU"/>
        </w:rPr>
        <w:drawing>
          <wp:inline distT="0" distB="0" distL="0" distR="0" wp14:anchorId="1660C9D9" wp14:editId="1A2C548A">
            <wp:extent cx="238158" cy="152421"/>
            <wp:effectExtent l="0" t="0" r="9525" b="0"/>
            <wp:docPr id="1260360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360291" name=""/>
                    <pic:cNvPicPr/>
                  </pic:nvPicPr>
                  <pic:blipFill>
                    <a:blip r:embed="rId44"/>
                    <a:stretch>
                      <a:fillRect/>
                    </a:stretch>
                  </pic:blipFill>
                  <pic:spPr>
                    <a:xfrm>
                      <a:off x="0" y="0"/>
                      <a:ext cx="238158" cy="152421"/>
                    </a:xfrm>
                    <a:prstGeom prst="rect">
                      <a:avLst/>
                    </a:prstGeom>
                  </pic:spPr>
                </pic:pic>
              </a:graphicData>
            </a:graphic>
          </wp:inline>
        </w:drawing>
      </w:r>
      <w:r w:rsidRPr="00E31CDD">
        <w:rPr>
          <w:rFonts w:eastAsia="Times New Roman" w:cs="Times New Roman"/>
          <w:color w:val="000000"/>
          <w:szCs w:val="22"/>
          <w:lang w:eastAsia="en-AU"/>
        </w:rPr>
        <w:t> for each subdivided project area immediately after the subdivision takes effect is equal to the amount </w:t>
      </w:r>
      <w:r w:rsidR="006552E1" w:rsidRPr="006552E1">
        <w:rPr>
          <w:rFonts w:eastAsia="Times New Roman" w:cs="Times New Roman"/>
          <w:noProof/>
          <w:color w:val="000000"/>
          <w:szCs w:val="22"/>
          <w:lang w:eastAsia="en-AU"/>
        </w:rPr>
        <w:drawing>
          <wp:inline distT="0" distB="0" distL="0" distR="0" wp14:anchorId="11D0459A" wp14:editId="7E0AD4F9">
            <wp:extent cx="485843" cy="152421"/>
            <wp:effectExtent l="0" t="0" r="9525" b="0"/>
            <wp:docPr id="800024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24493" name=""/>
                    <pic:cNvPicPr/>
                  </pic:nvPicPr>
                  <pic:blipFill>
                    <a:blip r:embed="rId45"/>
                    <a:stretch>
                      <a:fillRect/>
                    </a:stretch>
                  </pic:blipFill>
                  <pic:spPr>
                    <a:xfrm>
                      <a:off x="0" y="0"/>
                      <a:ext cx="485843" cy="152421"/>
                    </a:xfrm>
                    <a:prstGeom prst="rect">
                      <a:avLst/>
                    </a:prstGeom>
                  </pic:spPr>
                </pic:pic>
              </a:graphicData>
            </a:graphic>
          </wp:inline>
        </w:drawing>
      </w:r>
      <w:r w:rsidR="00587683">
        <w:rPr>
          <w:rFonts w:eastAsia="Times New Roman" w:cs="Times New Roman"/>
          <w:i/>
          <w:iCs/>
          <w:color w:val="000000"/>
          <w:szCs w:val="22"/>
          <w:lang w:eastAsia="en-AU"/>
        </w:rPr>
        <w:t xml:space="preserve"> </w:t>
      </w:r>
      <w:r w:rsidRPr="00E31CDD">
        <w:rPr>
          <w:rFonts w:eastAsia="Times New Roman" w:cs="Times New Roman"/>
          <w:color w:val="000000"/>
          <w:szCs w:val="22"/>
          <w:lang w:eastAsia="en-AU"/>
        </w:rPr>
        <w:t>given by the following equation:</w:t>
      </w:r>
    </w:p>
    <w:tbl>
      <w:tblPr>
        <w:tblW w:w="0" w:type="auto"/>
        <w:tblInd w:w="113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014"/>
        <w:gridCol w:w="1149"/>
      </w:tblGrid>
      <w:tr w:rsidR="009525FF" w:rsidRPr="009525FF" w14:paraId="2079E898" w14:textId="77777777" w:rsidTr="00867A6B">
        <w:trPr>
          <w:trHeight w:val="1108"/>
        </w:trPr>
        <w:tc>
          <w:tcPr>
            <w:tcW w:w="6300" w:type="dxa"/>
            <w:tcBorders>
              <w:right w:val="single" w:sz="6" w:space="0" w:color="000000"/>
            </w:tcBorders>
            <w:tcMar>
              <w:top w:w="0" w:type="dxa"/>
              <w:left w:w="101" w:type="dxa"/>
              <w:bottom w:w="0" w:type="dxa"/>
              <w:right w:w="101" w:type="dxa"/>
            </w:tcMar>
            <w:vAlign w:val="center"/>
            <w:hideMark/>
          </w:tcPr>
          <w:p w14:paraId="5F74A426" w14:textId="392C492A" w:rsidR="009525FF" w:rsidRPr="009525FF" w:rsidRDefault="001F3CDA" w:rsidP="009525FF">
            <w:pPr>
              <w:spacing w:line="240" w:lineRule="auto"/>
              <w:rPr>
                <w:rFonts w:eastAsia="Times New Roman" w:cs="Times New Roman"/>
                <w:color w:val="000000"/>
                <w:szCs w:val="22"/>
                <w:lang w:eastAsia="en-AU"/>
              </w:rPr>
            </w:pPr>
            <w:r w:rsidRPr="00102BF7">
              <w:rPr>
                <w:noProof/>
                <w:sz w:val="20"/>
              </w:rPr>
              <w:drawing>
                <wp:inline distT="0" distB="0" distL="0" distR="0" wp14:anchorId="72FF9796" wp14:editId="436CCE77">
                  <wp:extent cx="2001914" cy="501676"/>
                  <wp:effectExtent l="0" t="0" r="0" b="0"/>
                  <wp:docPr id="887291174" name="Picture 1" descr="A formula to work out the adjustment value for the previous year’s carbon stock from the original project area that is attributed to each subdivided projec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291174" name="Picture 1" descr="A formula to work out the adjustment value for the previous year’s carbon stock from the original project area that is attributed to each subdivided project area."/>
                          <pic:cNvPicPr/>
                        </pic:nvPicPr>
                        <pic:blipFill>
                          <a:blip r:embed="rId46"/>
                          <a:stretch>
                            <a:fillRect/>
                          </a:stretch>
                        </pic:blipFill>
                        <pic:spPr>
                          <a:xfrm>
                            <a:off x="0" y="0"/>
                            <a:ext cx="2014490" cy="504828"/>
                          </a:xfrm>
                          <a:prstGeom prst="rect">
                            <a:avLst/>
                          </a:prstGeom>
                        </pic:spPr>
                      </pic:pic>
                    </a:graphicData>
                  </a:graphic>
                </wp:inline>
              </w:drawing>
            </w:r>
          </w:p>
        </w:tc>
        <w:tc>
          <w:tcPr>
            <w:tcW w:w="1150" w:type="dxa"/>
            <w:tcBorders>
              <w:left w:val="single" w:sz="6" w:space="0" w:color="000000"/>
            </w:tcBorders>
            <w:tcMar>
              <w:top w:w="0" w:type="dxa"/>
              <w:left w:w="101" w:type="dxa"/>
              <w:bottom w:w="0" w:type="dxa"/>
              <w:right w:w="101" w:type="dxa"/>
            </w:tcMar>
            <w:vAlign w:val="center"/>
            <w:hideMark/>
          </w:tcPr>
          <w:p w14:paraId="18CA35AD" w14:textId="70499F8F" w:rsidR="009525FF" w:rsidRPr="009525FF" w:rsidRDefault="009525FF" w:rsidP="009525FF">
            <w:pPr>
              <w:spacing w:before="60" w:line="240" w:lineRule="atLeast"/>
              <w:rPr>
                <w:rFonts w:eastAsia="Times New Roman" w:cs="Times New Roman"/>
                <w:color w:val="000000"/>
                <w:sz w:val="20"/>
                <w:lang w:eastAsia="en-AU"/>
              </w:rPr>
            </w:pPr>
            <w:r w:rsidRPr="009525FF">
              <w:rPr>
                <w:rFonts w:eastAsia="Times New Roman" w:cs="Times New Roman"/>
                <w:color w:val="000000"/>
                <w:sz w:val="20"/>
                <w:lang w:eastAsia="en-AU"/>
              </w:rPr>
              <w:t>equation </w:t>
            </w:r>
            <w:r w:rsidR="00E31CDD">
              <w:rPr>
                <w:rFonts w:eastAsia="Times New Roman" w:cs="Times New Roman"/>
                <w:color w:val="000000"/>
                <w:sz w:val="20"/>
                <w:lang w:eastAsia="en-AU"/>
              </w:rPr>
              <w:t>10</w:t>
            </w:r>
          </w:p>
        </w:tc>
      </w:tr>
    </w:tbl>
    <w:p w14:paraId="7FDCD247" w14:textId="74DFDAC2" w:rsidR="009525FF" w:rsidRPr="009525FF" w:rsidRDefault="009525FF" w:rsidP="009525FF">
      <w:pPr>
        <w:spacing w:before="180" w:line="240" w:lineRule="auto"/>
        <w:ind w:left="1134" w:hanging="1134"/>
        <w:rPr>
          <w:rFonts w:eastAsia="Times New Roman" w:cs="Times New Roman"/>
          <w:color w:val="000000"/>
          <w:szCs w:val="22"/>
          <w:lang w:eastAsia="en-AU"/>
        </w:rPr>
      </w:pPr>
      <w:r w:rsidRPr="009525FF">
        <w:rPr>
          <w:rFonts w:eastAsia="Times New Roman" w:cs="Times New Roman"/>
          <w:color w:val="000000"/>
          <w:szCs w:val="22"/>
          <w:lang w:eastAsia="en-AU"/>
        </w:rPr>
        <w:t>  </w:t>
      </w:r>
      <w:r w:rsidR="00DD34D1">
        <w:rPr>
          <w:rFonts w:eastAsia="Times New Roman" w:cs="Times New Roman"/>
          <w:color w:val="000000"/>
          <w:szCs w:val="22"/>
          <w:lang w:eastAsia="en-AU"/>
        </w:rPr>
        <w:tab/>
      </w:r>
      <w:r w:rsidRPr="009525FF">
        <w:rPr>
          <w:rFonts w:eastAsia="Times New Roman" w:cs="Times New Roman"/>
          <w:color w:val="000000"/>
          <w:szCs w:val="22"/>
          <w:lang w:eastAsia="en-AU"/>
        </w:rPr>
        <w:t>where:</w:t>
      </w:r>
    </w:p>
    <w:p w14:paraId="557BDD6F" w14:textId="5D3CD7B2" w:rsidR="009525FF" w:rsidRPr="009525FF" w:rsidRDefault="009F4193" w:rsidP="009525FF">
      <w:pPr>
        <w:spacing w:before="180" w:line="240" w:lineRule="auto"/>
        <w:ind w:left="1134"/>
        <w:rPr>
          <w:rFonts w:eastAsia="Times New Roman" w:cs="Times New Roman"/>
          <w:color w:val="000000"/>
          <w:szCs w:val="22"/>
          <w:lang w:eastAsia="en-AU"/>
        </w:rPr>
      </w:pPr>
      <w:r w:rsidRPr="009F4193">
        <w:rPr>
          <w:rFonts w:eastAsia="Times New Roman" w:cs="Times New Roman"/>
          <w:noProof/>
          <w:color w:val="000000"/>
          <w:szCs w:val="22"/>
          <w:lang w:eastAsia="en-AU"/>
        </w:rPr>
        <w:drawing>
          <wp:inline distT="0" distB="0" distL="0" distR="0" wp14:anchorId="122431F4" wp14:editId="119D2640">
            <wp:extent cx="514422" cy="209579"/>
            <wp:effectExtent l="0" t="0" r="0" b="0"/>
            <wp:docPr id="1703812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812329" name=""/>
                    <pic:cNvPicPr/>
                  </pic:nvPicPr>
                  <pic:blipFill>
                    <a:blip r:embed="rId47"/>
                    <a:stretch>
                      <a:fillRect/>
                    </a:stretch>
                  </pic:blipFill>
                  <pic:spPr>
                    <a:xfrm>
                      <a:off x="0" y="0"/>
                      <a:ext cx="514422" cy="209579"/>
                    </a:xfrm>
                    <a:prstGeom prst="rect">
                      <a:avLst/>
                    </a:prstGeom>
                  </pic:spPr>
                </pic:pic>
              </a:graphicData>
            </a:graphic>
          </wp:inline>
        </w:drawing>
      </w:r>
      <w:r w:rsidR="000C06D7">
        <w:rPr>
          <w:rFonts w:eastAsia="Times New Roman" w:cs="Times New Roman"/>
          <w:b/>
          <w:bCs/>
          <w:color w:val="000000"/>
          <w:szCs w:val="22"/>
          <w:lang w:eastAsia="en-AU"/>
        </w:rPr>
        <w:t xml:space="preserve"> </w:t>
      </w:r>
      <w:r w:rsidR="009525FF" w:rsidRPr="009525FF">
        <w:rPr>
          <w:rFonts w:eastAsia="Times New Roman" w:cs="Times New Roman"/>
          <w:color w:val="000000"/>
          <w:szCs w:val="22"/>
          <w:lang w:eastAsia="en-AU"/>
        </w:rPr>
        <w:t>has the same value as in subsection (1).</w:t>
      </w:r>
    </w:p>
    <w:p w14:paraId="0BEADE0B" w14:textId="574B0E0E" w:rsidR="009525FF" w:rsidRPr="009525FF" w:rsidRDefault="00BB6156" w:rsidP="009525FF">
      <w:pPr>
        <w:spacing w:before="180" w:line="240" w:lineRule="auto"/>
        <w:ind w:left="1134"/>
        <w:rPr>
          <w:rFonts w:eastAsia="Times New Roman" w:cs="Times New Roman"/>
          <w:color w:val="000000"/>
          <w:szCs w:val="22"/>
          <w:lang w:eastAsia="en-AU"/>
        </w:rPr>
      </w:pPr>
      <w:r w:rsidRPr="00BB6156">
        <w:rPr>
          <w:rFonts w:eastAsia="Times New Roman" w:cs="Times New Roman"/>
          <w:noProof/>
          <w:color w:val="000000"/>
          <w:szCs w:val="22"/>
          <w:lang w:eastAsia="en-AU"/>
        </w:rPr>
        <w:drawing>
          <wp:inline distT="0" distB="0" distL="0" distR="0" wp14:anchorId="2327380C" wp14:editId="329DED6A">
            <wp:extent cx="409632" cy="171474"/>
            <wp:effectExtent l="0" t="0" r="9525" b="0"/>
            <wp:docPr id="827422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22350" name=""/>
                    <pic:cNvPicPr/>
                  </pic:nvPicPr>
                  <pic:blipFill>
                    <a:blip r:embed="rId48"/>
                    <a:stretch>
                      <a:fillRect/>
                    </a:stretch>
                  </pic:blipFill>
                  <pic:spPr>
                    <a:xfrm>
                      <a:off x="0" y="0"/>
                      <a:ext cx="409632" cy="171474"/>
                    </a:xfrm>
                    <a:prstGeom prst="rect">
                      <a:avLst/>
                    </a:prstGeom>
                  </pic:spPr>
                </pic:pic>
              </a:graphicData>
            </a:graphic>
          </wp:inline>
        </w:drawing>
      </w:r>
      <w:r w:rsidR="009525FF" w:rsidRPr="009525FF">
        <w:rPr>
          <w:rFonts w:eastAsia="Times New Roman" w:cs="Times New Roman"/>
          <w:b/>
          <w:bCs/>
          <w:i/>
          <w:iCs/>
          <w:color w:val="000000"/>
          <w:szCs w:val="22"/>
          <w:lang w:eastAsia="en-AU"/>
        </w:rPr>
        <w:t> </w:t>
      </w:r>
      <w:r w:rsidR="009525FF" w:rsidRPr="009525FF">
        <w:rPr>
          <w:rFonts w:eastAsia="Times New Roman" w:cs="Times New Roman"/>
          <w:color w:val="000000"/>
          <w:szCs w:val="22"/>
          <w:lang w:eastAsia="en-AU"/>
        </w:rPr>
        <w:t>has the same value as in subsection (1).</w:t>
      </w:r>
    </w:p>
    <w:p w14:paraId="4C5502FE" w14:textId="1D94F1BA" w:rsidR="009525FF" w:rsidRDefault="00BB6156" w:rsidP="009525FF">
      <w:pPr>
        <w:spacing w:before="180" w:line="240" w:lineRule="auto"/>
        <w:ind w:left="1134"/>
        <w:rPr>
          <w:rFonts w:eastAsia="Times New Roman" w:cs="Times New Roman"/>
          <w:color w:val="000000"/>
          <w:szCs w:val="22"/>
          <w:lang w:eastAsia="en-AU"/>
        </w:rPr>
      </w:pPr>
      <w:r w:rsidRPr="00BB6156">
        <w:rPr>
          <w:rFonts w:eastAsia="Times New Roman" w:cs="Times New Roman"/>
          <w:b/>
          <w:bCs/>
          <w:i/>
          <w:iCs/>
          <w:noProof/>
          <w:color w:val="000000"/>
          <w:szCs w:val="22"/>
          <w:lang w:eastAsia="en-AU"/>
        </w:rPr>
        <w:drawing>
          <wp:inline distT="0" distB="0" distL="0" distR="0" wp14:anchorId="7858FA49" wp14:editId="0886ADE5">
            <wp:extent cx="428685" cy="190527"/>
            <wp:effectExtent l="0" t="0" r="0" b="0"/>
            <wp:docPr id="196768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68014" name=""/>
                    <pic:cNvPicPr/>
                  </pic:nvPicPr>
                  <pic:blipFill>
                    <a:blip r:embed="rId49"/>
                    <a:stretch>
                      <a:fillRect/>
                    </a:stretch>
                  </pic:blipFill>
                  <pic:spPr>
                    <a:xfrm>
                      <a:off x="0" y="0"/>
                      <a:ext cx="428685" cy="190527"/>
                    </a:xfrm>
                    <a:prstGeom prst="rect">
                      <a:avLst/>
                    </a:prstGeom>
                  </pic:spPr>
                </pic:pic>
              </a:graphicData>
            </a:graphic>
          </wp:inline>
        </w:drawing>
      </w:r>
      <w:r w:rsidR="009525FF" w:rsidRPr="009525FF">
        <w:rPr>
          <w:rFonts w:eastAsia="Times New Roman" w:cs="Times New Roman"/>
          <w:color w:val="000000"/>
          <w:szCs w:val="22"/>
          <w:lang w:eastAsia="en-AU"/>
        </w:rPr>
        <w:t> is the portion of the increase in</w:t>
      </w:r>
      <w:r w:rsidR="00C50CDD">
        <w:rPr>
          <w:rFonts w:eastAsia="Times New Roman" w:cs="Times New Roman"/>
          <w:color w:val="000000"/>
          <w:szCs w:val="22"/>
          <w:lang w:eastAsia="en-AU"/>
        </w:rPr>
        <w:t xml:space="preserve"> carbon stock </w:t>
      </w:r>
      <w:r w:rsidR="009525FF" w:rsidRPr="009525FF">
        <w:rPr>
          <w:rFonts w:eastAsia="Times New Roman" w:cs="Times New Roman"/>
          <w:color w:val="000000"/>
          <w:szCs w:val="22"/>
          <w:lang w:eastAsia="en-AU"/>
        </w:rPr>
        <w:t>for the original project area resulting from undertaking the project that is taken to have been achieved by the end of the year before the subdivision, </w:t>
      </w:r>
      <w:r w:rsidR="00601C06" w:rsidRPr="00601C06">
        <w:rPr>
          <w:rFonts w:eastAsia="Times New Roman" w:cs="Times New Roman"/>
          <w:noProof/>
          <w:color w:val="000000"/>
          <w:szCs w:val="22"/>
          <w:lang w:eastAsia="en-AU"/>
        </w:rPr>
        <w:drawing>
          <wp:inline distT="0" distB="0" distL="0" distR="0" wp14:anchorId="7D0B025C" wp14:editId="2A667371">
            <wp:extent cx="295316" cy="161948"/>
            <wp:effectExtent l="0" t="0" r="0" b="9525"/>
            <wp:docPr id="955910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910648" name=""/>
                    <pic:cNvPicPr/>
                  </pic:nvPicPr>
                  <pic:blipFill>
                    <a:blip r:embed="rId50"/>
                    <a:stretch>
                      <a:fillRect/>
                    </a:stretch>
                  </pic:blipFill>
                  <pic:spPr>
                    <a:xfrm>
                      <a:off x="0" y="0"/>
                      <a:ext cx="295316" cy="161948"/>
                    </a:xfrm>
                    <a:prstGeom prst="rect">
                      <a:avLst/>
                    </a:prstGeom>
                  </pic:spPr>
                </pic:pic>
              </a:graphicData>
            </a:graphic>
          </wp:inline>
        </w:drawing>
      </w:r>
      <w:r w:rsidR="009525FF" w:rsidRPr="009525FF">
        <w:rPr>
          <w:rFonts w:eastAsia="Times New Roman" w:cs="Times New Roman"/>
          <w:color w:val="000000"/>
          <w:szCs w:val="22"/>
          <w:lang w:eastAsia="en-AU"/>
        </w:rPr>
        <w:t>, as calculated in accordance with the definition of that term in subsection 4(1) of this Schedule.</w:t>
      </w:r>
    </w:p>
    <w:p w14:paraId="78177992" w14:textId="4B3578BF" w:rsidR="00DD34D1" w:rsidRPr="00A31E8D" w:rsidRDefault="007B7B2E" w:rsidP="007B2786">
      <w:pPr>
        <w:pStyle w:val="ActHead5"/>
      </w:pPr>
      <w:bookmarkStart w:id="107" w:name="_Toc202953873"/>
      <w:r w:rsidRPr="00A31E8D">
        <w:t>10   </w:t>
      </w:r>
      <w:r w:rsidR="00DD34D1" w:rsidRPr="007B2786">
        <w:t>Attribution of cumulative net abatement amount to a project area being removed from the project</w:t>
      </w:r>
      <w:bookmarkEnd w:id="107"/>
    </w:p>
    <w:p w14:paraId="718C2AD3" w14:textId="2324BAC0" w:rsidR="00DD34D1" w:rsidRPr="00DD34D1" w:rsidRDefault="00DD34D1" w:rsidP="004A7133">
      <w:pPr>
        <w:pStyle w:val="ListParagraph"/>
        <w:numPr>
          <w:ilvl w:val="0"/>
          <w:numId w:val="38"/>
        </w:numPr>
        <w:spacing w:before="180" w:after="120" w:line="240" w:lineRule="auto"/>
        <w:rPr>
          <w:rFonts w:eastAsia="Times New Roman" w:cs="Times New Roman"/>
          <w:color w:val="000000"/>
          <w:szCs w:val="22"/>
          <w:lang w:eastAsia="en-AU"/>
        </w:rPr>
      </w:pPr>
      <w:r w:rsidRPr="00DD34D1">
        <w:rPr>
          <w:rFonts w:eastAsia="Times New Roman" w:cs="Times New Roman"/>
          <w:color w:val="000000"/>
          <w:szCs w:val="22"/>
          <w:lang w:eastAsia="en-AU"/>
        </w:rPr>
        <w:t xml:space="preserve">For </w:t>
      </w:r>
      <w:r w:rsidR="002E0185">
        <w:rPr>
          <w:rFonts w:eastAsia="Times New Roman" w:cs="Times New Roman"/>
          <w:color w:val="000000"/>
          <w:szCs w:val="22"/>
          <w:lang w:eastAsia="en-AU"/>
        </w:rPr>
        <w:t>the purposes of</w:t>
      </w:r>
      <w:r w:rsidRPr="00DD34D1">
        <w:rPr>
          <w:rFonts w:eastAsia="Times New Roman" w:cs="Times New Roman"/>
          <w:color w:val="000000"/>
          <w:szCs w:val="22"/>
          <w:lang w:eastAsia="en-AU"/>
        </w:rPr>
        <w:t xml:space="preserve"> subsection 36(5) of this </w:t>
      </w:r>
      <w:r w:rsidR="00C929D7">
        <w:rPr>
          <w:rFonts w:eastAsia="Times New Roman" w:cs="Times New Roman"/>
          <w:color w:val="000000"/>
          <w:szCs w:val="22"/>
          <w:lang w:eastAsia="en-AU"/>
        </w:rPr>
        <w:t>instrument</w:t>
      </w:r>
      <w:r w:rsidRPr="00DD34D1">
        <w:rPr>
          <w:rFonts w:eastAsia="Times New Roman" w:cs="Times New Roman"/>
          <w:color w:val="000000"/>
          <w:szCs w:val="22"/>
          <w:lang w:eastAsia="en-AU"/>
        </w:rPr>
        <w:t>, for the removed project area, the portion of the cumulative net abatement amount, </w:t>
      </w:r>
      <w:proofErr w:type="spellStart"/>
      <w:r w:rsidRPr="00DD34D1">
        <w:rPr>
          <w:rFonts w:eastAsia="Times New Roman" w:cs="Times New Roman"/>
          <w:i/>
          <w:iCs/>
          <w:color w:val="000000"/>
          <w:szCs w:val="22"/>
          <w:lang w:eastAsia="en-AU"/>
        </w:rPr>
        <w:t>A</w:t>
      </w:r>
      <w:r w:rsidRPr="00DD34D1">
        <w:rPr>
          <w:rFonts w:eastAsia="Times New Roman" w:cs="Times New Roman"/>
          <w:i/>
          <w:iCs/>
          <w:color w:val="000000"/>
          <w:sz w:val="15"/>
          <w:szCs w:val="15"/>
          <w:vertAlign w:val="subscript"/>
          <w:lang w:eastAsia="en-AU"/>
        </w:rPr>
        <w:t>Cumulative</w:t>
      </w:r>
      <w:proofErr w:type="spellEnd"/>
      <w:r w:rsidRPr="00DD34D1">
        <w:rPr>
          <w:rFonts w:eastAsia="Times New Roman" w:cs="Times New Roman"/>
          <w:color w:val="000000"/>
          <w:szCs w:val="22"/>
          <w:lang w:eastAsia="en-AU"/>
        </w:rPr>
        <w:t>, is given by the following equation:</w:t>
      </w:r>
    </w:p>
    <w:tbl>
      <w:tblPr>
        <w:tblW w:w="0" w:type="auto"/>
        <w:tblInd w:w="113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014"/>
        <w:gridCol w:w="1149"/>
      </w:tblGrid>
      <w:tr w:rsidR="00DD34D1" w:rsidRPr="00DD34D1" w14:paraId="599F47DF" w14:textId="77777777" w:rsidTr="00867A6B">
        <w:trPr>
          <w:trHeight w:val="1108"/>
        </w:trPr>
        <w:tc>
          <w:tcPr>
            <w:tcW w:w="6300" w:type="dxa"/>
            <w:tcBorders>
              <w:right w:val="single" w:sz="6" w:space="0" w:color="000000"/>
            </w:tcBorders>
            <w:tcMar>
              <w:top w:w="0" w:type="dxa"/>
              <w:left w:w="101" w:type="dxa"/>
              <w:bottom w:w="0" w:type="dxa"/>
              <w:right w:w="101" w:type="dxa"/>
            </w:tcMar>
            <w:vAlign w:val="center"/>
            <w:hideMark/>
          </w:tcPr>
          <w:p w14:paraId="068C8112" w14:textId="0F705DB0" w:rsidR="00DD34D1" w:rsidRPr="00DD34D1" w:rsidRDefault="00D811A7" w:rsidP="00DD34D1">
            <w:pPr>
              <w:spacing w:line="240" w:lineRule="auto"/>
              <w:rPr>
                <w:rFonts w:eastAsia="Times New Roman" w:cs="Times New Roman"/>
                <w:color w:val="000000"/>
                <w:szCs w:val="22"/>
                <w:lang w:eastAsia="en-AU"/>
              </w:rPr>
            </w:pPr>
            <w:r w:rsidRPr="00102BF7">
              <w:rPr>
                <w:noProof/>
                <w:sz w:val="20"/>
              </w:rPr>
              <w:drawing>
                <wp:inline distT="0" distB="0" distL="0" distR="0" wp14:anchorId="64C6F0B8" wp14:editId="1D72A552">
                  <wp:extent cx="2105162" cy="239697"/>
                  <wp:effectExtent l="0" t="0" r="0" b="8255"/>
                  <wp:docPr id="504543060" name="Picture 1" descr="A formula to work out the portion of the cumulative net abatement amount that can be attributed to sequestration for a project area that is being removed from the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543060" name="Picture 1" descr="A formula to work out the portion of the cumulative net abatement amount that can be attributed to sequestration for a project area that is being removed from the project."/>
                          <pic:cNvPicPr/>
                        </pic:nvPicPr>
                        <pic:blipFill>
                          <a:blip r:embed="rId51"/>
                          <a:stretch>
                            <a:fillRect/>
                          </a:stretch>
                        </pic:blipFill>
                        <pic:spPr>
                          <a:xfrm>
                            <a:off x="0" y="0"/>
                            <a:ext cx="2257891" cy="257087"/>
                          </a:xfrm>
                          <a:prstGeom prst="rect">
                            <a:avLst/>
                          </a:prstGeom>
                        </pic:spPr>
                      </pic:pic>
                    </a:graphicData>
                  </a:graphic>
                </wp:inline>
              </w:drawing>
            </w:r>
          </w:p>
        </w:tc>
        <w:tc>
          <w:tcPr>
            <w:tcW w:w="1150" w:type="dxa"/>
            <w:tcBorders>
              <w:left w:val="single" w:sz="6" w:space="0" w:color="000000"/>
            </w:tcBorders>
            <w:tcMar>
              <w:top w:w="0" w:type="dxa"/>
              <w:left w:w="101" w:type="dxa"/>
              <w:bottom w:w="0" w:type="dxa"/>
              <w:right w:w="101" w:type="dxa"/>
            </w:tcMar>
            <w:vAlign w:val="center"/>
            <w:hideMark/>
          </w:tcPr>
          <w:p w14:paraId="57405239" w14:textId="39519BCE" w:rsidR="00DD34D1" w:rsidRPr="00DD34D1" w:rsidRDefault="00DD34D1" w:rsidP="00DD34D1">
            <w:pPr>
              <w:spacing w:before="60" w:line="240" w:lineRule="atLeast"/>
              <w:rPr>
                <w:rFonts w:eastAsia="Times New Roman" w:cs="Times New Roman"/>
                <w:color w:val="000000"/>
                <w:sz w:val="20"/>
                <w:lang w:eastAsia="en-AU"/>
              </w:rPr>
            </w:pPr>
            <w:r w:rsidRPr="00DD34D1">
              <w:rPr>
                <w:rFonts w:eastAsia="Times New Roman" w:cs="Times New Roman"/>
                <w:color w:val="000000"/>
                <w:sz w:val="20"/>
                <w:lang w:eastAsia="en-AU"/>
              </w:rPr>
              <w:t>equation </w:t>
            </w:r>
            <w:r w:rsidR="00E2567F">
              <w:rPr>
                <w:rFonts w:eastAsia="Times New Roman" w:cs="Times New Roman"/>
                <w:color w:val="000000"/>
                <w:sz w:val="20"/>
                <w:lang w:eastAsia="en-AU"/>
              </w:rPr>
              <w:t>11</w:t>
            </w:r>
          </w:p>
        </w:tc>
      </w:tr>
    </w:tbl>
    <w:p w14:paraId="4E9516D2" w14:textId="531D2EAA" w:rsidR="00DD34D1" w:rsidRPr="00DD34D1" w:rsidRDefault="00DD34D1" w:rsidP="00DD34D1">
      <w:pPr>
        <w:spacing w:before="180" w:line="240" w:lineRule="auto"/>
        <w:ind w:left="1134" w:hanging="1134"/>
        <w:rPr>
          <w:rFonts w:eastAsia="Times New Roman" w:cs="Times New Roman"/>
          <w:color w:val="000000"/>
          <w:szCs w:val="22"/>
          <w:lang w:eastAsia="en-AU"/>
        </w:rPr>
      </w:pPr>
      <w:r w:rsidRPr="00DD34D1">
        <w:rPr>
          <w:rFonts w:eastAsia="Times New Roman" w:cs="Times New Roman"/>
          <w:color w:val="000000"/>
          <w:szCs w:val="22"/>
          <w:lang w:eastAsia="en-AU"/>
        </w:rPr>
        <w:t> </w:t>
      </w:r>
      <w:r>
        <w:rPr>
          <w:rFonts w:eastAsia="Times New Roman" w:cs="Times New Roman"/>
          <w:color w:val="000000"/>
          <w:szCs w:val="22"/>
          <w:lang w:eastAsia="en-AU"/>
        </w:rPr>
        <w:tab/>
      </w:r>
      <w:r w:rsidRPr="00DD34D1">
        <w:rPr>
          <w:rFonts w:eastAsia="Times New Roman" w:cs="Times New Roman"/>
          <w:color w:val="000000"/>
          <w:szCs w:val="22"/>
          <w:lang w:eastAsia="en-AU"/>
        </w:rPr>
        <w:t>where:</w:t>
      </w:r>
    </w:p>
    <w:p w14:paraId="489943D7" w14:textId="77777777" w:rsidR="00DD34D1" w:rsidRPr="00DD34D1" w:rsidRDefault="00DD34D1" w:rsidP="00DD34D1">
      <w:pPr>
        <w:spacing w:before="180" w:line="240" w:lineRule="auto"/>
        <w:ind w:left="1134"/>
        <w:rPr>
          <w:rFonts w:eastAsia="Times New Roman" w:cs="Times New Roman"/>
          <w:color w:val="000000"/>
          <w:szCs w:val="22"/>
          <w:lang w:eastAsia="en-AU"/>
        </w:rPr>
      </w:pPr>
      <w:proofErr w:type="spellStart"/>
      <w:proofErr w:type="gramStart"/>
      <w:r w:rsidRPr="00DD34D1">
        <w:rPr>
          <w:rFonts w:eastAsia="Times New Roman" w:cs="Times New Roman"/>
          <w:b/>
          <w:bCs/>
          <w:i/>
          <w:iCs/>
          <w:color w:val="000000"/>
          <w:szCs w:val="22"/>
          <w:lang w:eastAsia="en-AU"/>
        </w:rPr>
        <w:t>C</w:t>
      </w:r>
      <w:r w:rsidRPr="00DD34D1">
        <w:rPr>
          <w:rFonts w:eastAsia="Times New Roman" w:cs="Times New Roman"/>
          <w:b/>
          <w:bCs/>
          <w:i/>
          <w:iCs/>
          <w:color w:val="000000"/>
          <w:sz w:val="15"/>
          <w:szCs w:val="15"/>
          <w:vertAlign w:val="subscript"/>
          <w:lang w:eastAsia="en-AU"/>
        </w:rPr>
        <w:t>Seq,Cumulative</w:t>
      </w:r>
      <w:proofErr w:type="spellEnd"/>
      <w:proofErr w:type="gramEnd"/>
      <w:r w:rsidRPr="00DD34D1">
        <w:rPr>
          <w:rFonts w:eastAsia="Times New Roman" w:cs="Times New Roman"/>
          <w:b/>
          <w:bCs/>
          <w:i/>
          <w:iCs/>
          <w:color w:val="000000"/>
          <w:szCs w:val="22"/>
          <w:lang w:eastAsia="en-AU"/>
        </w:rPr>
        <w:t> </w:t>
      </w:r>
      <w:r w:rsidRPr="00DD34D1">
        <w:rPr>
          <w:rFonts w:eastAsia="Times New Roman" w:cs="Times New Roman"/>
          <w:color w:val="000000"/>
          <w:szCs w:val="22"/>
          <w:lang w:eastAsia="en-AU"/>
        </w:rPr>
        <w:t>is:</w:t>
      </w:r>
    </w:p>
    <w:p w14:paraId="3ACC68DF" w14:textId="40570246" w:rsidR="00DD34D1" w:rsidRDefault="00DD34D1" w:rsidP="007B2786">
      <w:pPr>
        <w:pStyle w:val="paragraph"/>
        <w:numPr>
          <w:ilvl w:val="0"/>
          <w:numId w:val="39"/>
        </w:numPr>
      </w:pPr>
      <w:r w:rsidRPr="004E24C6">
        <w:t>for a project area other than a subdivided project area—equal to:</w:t>
      </w:r>
    </w:p>
    <w:p w14:paraId="06A2675F" w14:textId="55E3EE12" w:rsidR="004E24C6" w:rsidRPr="003B350F" w:rsidRDefault="004E24C6" w:rsidP="007B2786">
      <w:pPr>
        <w:pStyle w:val="paragraphsub"/>
        <w:numPr>
          <w:ilvl w:val="1"/>
          <w:numId w:val="39"/>
        </w:numPr>
        <w:tabs>
          <w:tab w:val="clear" w:pos="1985"/>
        </w:tabs>
        <w:ind w:left="1985"/>
      </w:pPr>
      <w:r w:rsidRPr="003B350F">
        <w:t>if a positive value of </w:t>
      </w:r>
      <w:proofErr w:type="spellStart"/>
      <w:r w:rsidRPr="007B2786">
        <w:t>CSeq</w:t>
      </w:r>
      <w:proofErr w:type="spellEnd"/>
      <w:r w:rsidRPr="003B350F">
        <w:t> has been reported for the project area in a previous offsets report—the largest such value that has been reported; and</w:t>
      </w:r>
    </w:p>
    <w:p w14:paraId="7CC9F169" w14:textId="0A540449" w:rsidR="004E24C6" w:rsidRPr="003B350F" w:rsidRDefault="004E24C6" w:rsidP="007B2786">
      <w:pPr>
        <w:pStyle w:val="paragraphsub"/>
        <w:numPr>
          <w:ilvl w:val="1"/>
          <w:numId w:val="39"/>
        </w:numPr>
        <w:tabs>
          <w:tab w:val="clear" w:pos="1985"/>
        </w:tabs>
        <w:ind w:left="1985"/>
      </w:pPr>
      <w:r w:rsidRPr="003B350F">
        <w:t>otherwise—zero; and</w:t>
      </w:r>
    </w:p>
    <w:p w14:paraId="02520821" w14:textId="519778E6" w:rsidR="00DD34D1" w:rsidRPr="007B2786" w:rsidRDefault="004E24C6" w:rsidP="007B2786">
      <w:pPr>
        <w:pStyle w:val="paragraph"/>
        <w:numPr>
          <w:ilvl w:val="0"/>
          <w:numId w:val="39"/>
        </w:numPr>
      </w:pPr>
      <w:r w:rsidRPr="007B2786">
        <w:t>for a subdivided project area—whichever of the following is larger:</w:t>
      </w:r>
    </w:p>
    <w:p w14:paraId="767A215A" w14:textId="041650C0" w:rsidR="006F2429" w:rsidRPr="007B2786" w:rsidRDefault="00DD34D1" w:rsidP="007B2786">
      <w:pPr>
        <w:pStyle w:val="paragraphsub"/>
        <w:numPr>
          <w:ilvl w:val="1"/>
          <w:numId w:val="39"/>
        </w:numPr>
        <w:tabs>
          <w:tab w:val="clear" w:pos="1985"/>
        </w:tabs>
        <w:ind w:left="1985"/>
      </w:pPr>
      <w:r w:rsidRPr="007B2786">
        <w:t>the largest positive value of </w:t>
      </w:r>
      <w:proofErr w:type="spellStart"/>
      <w:r w:rsidRPr="007B2786">
        <w:t>CSeq</w:t>
      </w:r>
      <w:proofErr w:type="spellEnd"/>
      <w:r w:rsidRPr="007B2786">
        <w:t xml:space="preserve"> (if any) that has been reported for that subdivided project area in a </w:t>
      </w:r>
      <w:proofErr w:type="gramStart"/>
      <w:r w:rsidRPr="007B2786">
        <w:t>previous offsets</w:t>
      </w:r>
      <w:proofErr w:type="gramEnd"/>
      <w:r w:rsidRPr="007B2786">
        <w:t xml:space="preserve"> </w:t>
      </w:r>
      <w:proofErr w:type="gramStart"/>
      <w:r w:rsidRPr="007B2786">
        <w:t>report;</w:t>
      </w:r>
      <w:proofErr w:type="gramEnd"/>
    </w:p>
    <w:p w14:paraId="67C0A922" w14:textId="19A1FD2B" w:rsidR="00DD34D1" w:rsidRPr="007B2786" w:rsidRDefault="00DD34D1" w:rsidP="007B2786">
      <w:pPr>
        <w:pStyle w:val="paragraphsub"/>
        <w:numPr>
          <w:ilvl w:val="1"/>
          <w:numId w:val="39"/>
        </w:numPr>
        <w:tabs>
          <w:tab w:val="clear" w:pos="1985"/>
        </w:tabs>
        <w:ind w:left="1985"/>
      </w:pPr>
      <w:r w:rsidRPr="007B2786">
        <w:t>the largest amount </w:t>
      </w:r>
      <w:proofErr w:type="spellStart"/>
      <w:proofErr w:type="gramStart"/>
      <w:r w:rsidRPr="007B2786">
        <w:t>CSeq,Cumulative</w:t>
      </w:r>
      <w:proofErr w:type="gramEnd"/>
      <w:r w:rsidRPr="007B2786">
        <w:t>,Subdiv</w:t>
      </w:r>
      <w:proofErr w:type="spellEnd"/>
      <w:r w:rsidRPr="007B2786">
        <w:t> for the subdivided project area as calculated in accordance with equation 21 </w:t>
      </w:r>
      <w:proofErr w:type="gramStart"/>
      <w:r w:rsidRPr="007B2786">
        <w:t>on the basis of</w:t>
      </w:r>
      <w:proofErr w:type="gramEnd"/>
      <w:r w:rsidRPr="007B2786">
        <w:t> all earlier project areas.</w:t>
      </w:r>
    </w:p>
    <w:p w14:paraId="65257203" w14:textId="21942493" w:rsidR="00DD34D1" w:rsidRPr="00DD34D1" w:rsidRDefault="00DD34D1" w:rsidP="004A78A7">
      <w:pPr>
        <w:spacing w:before="120" w:line="240" w:lineRule="auto"/>
        <w:ind w:left="2160" w:hanging="1026"/>
        <w:rPr>
          <w:rFonts w:eastAsia="Times New Roman" w:cs="Times New Roman"/>
          <w:color w:val="000000"/>
          <w:sz w:val="18"/>
          <w:szCs w:val="18"/>
          <w:lang w:eastAsia="en-AU"/>
        </w:rPr>
      </w:pPr>
      <w:r w:rsidRPr="00DD34D1">
        <w:rPr>
          <w:rFonts w:eastAsia="Times New Roman" w:cs="Times New Roman"/>
          <w:color w:val="000000"/>
          <w:sz w:val="18"/>
          <w:szCs w:val="18"/>
          <w:lang w:eastAsia="en-AU"/>
        </w:rPr>
        <w:lastRenderedPageBreak/>
        <w:t>Example:</w:t>
      </w:r>
      <w:r w:rsidR="004A78A7">
        <w:rPr>
          <w:rFonts w:eastAsia="Times New Roman" w:cs="Times New Roman"/>
          <w:color w:val="000000"/>
          <w:sz w:val="18"/>
          <w:szCs w:val="18"/>
          <w:lang w:eastAsia="en-AU"/>
        </w:rPr>
        <w:tab/>
      </w:r>
      <w:r w:rsidRPr="00DD34D1">
        <w:rPr>
          <w:rFonts w:eastAsia="Times New Roman" w:cs="Times New Roman"/>
          <w:color w:val="000000"/>
          <w:sz w:val="18"/>
          <w:szCs w:val="18"/>
          <w:lang w:eastAsia="en-AU"/>
        </w:rPr>
        <w:t xml:space="preserve">For </w:t>
      </w:r>
      <w:r w:rsidR="00655DD7">
        <w:rPr>
          <w:rFonts w:eastAsia="Times New Roman" w:cs="Times New Roman"/>
          <w:color w:val="000000"/>
          <w:sz w:val="18"/>
          <w:szCs w:val="18"/>
          <w:lang w:eastAsia="en-AU"/>
        </w:rPr>
        <w:t xml:space="preserve">the purposes of </w:t>
      </w:r>
      <w:r w:rsidRPr="00DD34D1">
        <w:rPr>
          <w:rFonts w:eastAsia="Times New Roman" w:cs="Times New Roman"/>
          <w:color w:val="000000"/>
          <w:sz w:val="18"/>
          <w:szCs w:val="18"/>
          <w:lang w:eastAsia="en-AU"/>
        </w:rPr>
        <w:t xml:space="preserve">paragraph (b), the project area might have been subdivided in accordance with subsection 14(3) of this </w:t>
      </w:r>
      <w:r w:rsidR="00C929D7">
        <w:rPr>
          <w:rFonts w:eastAsia="Times New Roman" w:cs="Times New Roman"/>
          <w:color w:val="000000"/>
          <w:sz w:val="18"/>
          <w:szCs w:val="18"/>
          <w:lang w:eastAsia="en-AU"/>
        </w:rPr>
        <w:t>instrument</w:t>
      </w:r>
      <w:r w:rsidRPr="00DD34D1">
        <w:rPr>
          <w:rFonts w:eastAsia="Times New Roman" w:cs="Times New Roman"/>
          <w:color w:val="000000"/>
          <w:sz w:val="18"/>
          <w:szCs w:val="18"/>
          <w:lang w:eastAsia="en-AU"/>
        </w:rPr>
        <w:t>.</w:t>
      </w:r>
    </w:p>
    <w:p w14:paraId="6893D62C" w14:textId="77777777" w:rsidR="00DD34D1" w:rsidRPr="00DD34D1" w:rsidRDefault="00DD34D1" w:rsidP="00DD34D1">
      <w:pPr>
        <w:spacing w:before="180" w:line="240" w:lineRule="auto"/>
        <w:ind w:left="1134"/>
        <w:rPr>
          <w:rFonts w:eastAsia="Times New Roman" w:cs="Times New Roman"/>
          <w:color w:val="000000"/>
          <w:szCs w:val="22"/>
          <w:lang w:eastAsia="en-AU"/>
        </w:rPr>
      </w:pPr>
      <w:proofErr w:type="spellStart"/>
      <w:r w:rsidRPr="00DD34D1">
        <w:rPr>
          <w:rFonts w:eastAsia="Times New Roman" w:cs="Times New Roman"/>
          <w:b/>
          <w:bCs/>
          <w:i/>
          <w:iCs/>
          <w:color w:val="000000"/>
          <w:szCs w:val="22"/>
          <w:lang w:eastAsia="en-AU"/>
        </w:rPr>
        <w:t>B</w:t>
      </w:r>
      <w:r w:rsidRPr="00DD34D1">
        <w:rPr>
          <w:rFonts w:eastAsia="Times New Roman" w:cs="Times New Roman"/>
          <w:b/>
          <w:bCs/>
          <w:i/>
          <w:iCs/>
          <w:color w:val="000000"/>
          <w:sz w:val="15"/>
          <w:szCs w:val="15"/>
          <w:vertAlign w:val="subscript"/>
          <w:lang w:eastAsia="en-AU"/>
        </w:rPr>
        <w:t>Seq</w:t>
      </w:r>
      <w:proofErr w:type="spellEnd"/>
      <w:r w:rsidRPr="00DD34D1">
        <w:rPr>
          <w:rFonts w:eastAsia="Times New Roman" w:cs="Times New Roman"/>
          <w:color w:val="000000"/>
          <w:szCs w:val="22"/>
          <w:lang w:eastAsia="en-AU"/>
        </w:rPr>
        <w:t> is the sequestration buffer, determined in accordance with section 5 of this Schedule.</w:t>
      </w:r>
    </w:p>
    <w:p w14:paraId="0A8C4435" w14:textId="1D330BC4" w:rsidR="00DD34D1" w:rsidRPr="00DD34D1" w:rsidRDefault="00DD34D1" w:rsidP="00070055">
      <w:pPr>
        <w:pStyle w:val="ListParagraph"/>
        <w:numPr>
          <w:ilvl w:val="0"/>
          <w:numId w:val="38"/>
        </w:numPr>
        <w:spacing w:before="180" w:after="120" w:line="240" w:lineRule="auto"/>
        <w:rPr>
          <w:rFonts w:eastAsia="Times New Roman" w:cs="Times New Roman"/>
          <w:color w:val="000000"/>
          <w:szCs w:val="22"/>
          <w:lang w:eastAsia="en-AU"/>
        </w:rPr>
      </w:pPr>
      <w:r w:rsidRPr="00DD34D1">
        <w:rPr>
          <w:rFonts w:eastAsia="Times New Roman" w:cs="Times New Roman"/>
          <w:color w:val="000000"/>
          <w:szCs w:val="22"/>
          <w:lang w:eastAsia="en-AU"/>
        </w:rPr>
        <w:t>For </w:t>
      </w:r>
      <w:r w:rsidR="00B323B1">
        <w:rPr>
          <w:rFonts w:eastAsia="Times New Roman" w:cs="Times New Roman"/>
          <w:color w:val="000000"/>
          <w:szCs w:val="22"/>
          <w:lang w:eastAsia="en-AU"/>
        </w:rPr>
        <w:t xml:space="preserve">the purposes of </w:t>
      </w:r>
      <w:r w:rsidRPr="00DD34D1">
        <w:rPr>
          <w:rFonts w:eastAsia="Times New Roman" w:cs="Times New Roman"/>
          <w:color w:val="000000"/>
          <w:szCs w:val="22"/>
          <w:lang w:eastAsia="en-AU"/>
        </w:rPr>
        <w:t>subparagraph (b)(ii) of the definition of </w:t>
      </w:r>
      <w:proofErr w:type="spellStart"/>
      <w:proofErr w:type="gramStart"/>
      <w:r w:rsidRPr="00DD34D1">
        <w:rPr>
          <w:rFonts w:eastAsia="Times New Roman" w:cs="Times New Roman"/>
          <w:i/>
          <w:iCs/>
          <w:color w:val="000000"/>
          <w:szCs w:val="22"/>
          <w:lang w:eastAsia="en-AU"/>
        </w:rPr>
        <w:t>C</w:t>
      </w:r>
      <w:r w:rsidRPr="00DD34D1">
        <w:rPr>
          <w:rFonts w:eastAsia="Times New Roman" w:cs="Times New Roman"/>
          <w:i/>
          <w:iCs/>
          <w:color w:val="000000"/>
          <w:sz w:val="15"/>
          <w:szCs w:val="15"/>
          <w:vertAlign w:val="subscript"/>
          <w:lang w:eastAsia="en-AU"/>
        </w:rPr>
        <w:t>Seq,Cumulative</w:t>
      </w:r>
      <w:proofErr w:type="spellEnd"/>
      <w:proofErr w:type="gramEnd"/>
      <w:r w:rsidRPr="00DD34D1">
        <w:rPr>
          <w:rFonts w:eastAsia="Times New Roman" w:cs="Times New Roman"/>
          <w:color w:val="000000"/>
          <w:szCs w:val="22"/>
          <w:lang w:eastAsia="en-AU"/>
        </w:rPr>
        <w:t> in subsection (1), and for a</w:t>
      </w:r>
      <w:r w:rsidR="00352B15">
        <w:rPr>
          <w:rFonts w:eastAsia="Times New Roman" w:cs="Times New Roman"/>
          <w:color w:val="000000"/>
          <w:szCs w:val="22"/>
          <w:lang w:eastAsia="en-AU"/>
        </w:rPr>
        <w:t xml:space="preserve"> </w:t>
      </w:r>
      <w:r w:rsidRPr="00DD34D1">
        <w:rPr>
          <w:rFonts w:eastAsia="Times New Roman" w:cs="Times New Roman"/>
          <w:color w:val="000000"/>
          <w:szCs w:val="22"/>
          <w:lang w:eastAsia="en-AU"/>
        </w:rPr>
        <w:t>particular earlier project area, equation </w:t>
      </w:r>
      <w:r w:rsidR="00094D71">
        <w:rPr>
          <w:rFonts w:eastAsia="Times New Roman" w:cs="Times New Roman"/>
          <w:color w:val="000000"/>
          <w:szCs w:val="22"/>
          <w:lang w:eastAsia="en-AU"/>
        </w:rPr>
        <w:t>12</w:t>
      </w:r>
      <w:r w:rsidRPr="00DD34D1">
        <w:rPr>
          <w:rFonts w:eastAsia="Times New Roman" w:cs="Times New Roman"/>
          <w:color w:val="000000"/>
          <w:szCs w:val="22"/>
          <w:lang w:eastAsia="en-AU"/>
        </w:rPr>
        <w:t> is as follows:</w:t>
      </w:r>
    </w:p>
    <w:tbl>
      <w:tblPr>
        <w:tblW w:w="0" w:type="auto"/>
        <w:tblInd w:w="113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014"/>
        <w:gridCol w:w="1149"/>
      </w:tblGrid>
      <w:tr w:rsidR="00DD34D1" w:rsidRPr="00DD34D1" w14:paraId="604539DF" w14:textId="77777777" w:rsidTr="00867A6B">
        <w:trPr>
          <w:trHeight w:val="1108"/>
        </w:trPr>
        <w:tc>
          <w:tcPr>
            <w:tcW w:w="6300" w:type="dxa"/>
            <w:tcBorders>
              <w:right w:val="single" w:sz="6" w:space="0" w:color="000000"/>
            </w:tcBorders>
            <w:tcMar>
              <w:top w:w="0" w:type="dxa"/>
              <w:left w:w="101" w:type="dxa"/>
              <w:bottom w:w="0" w:type="dxa"/>
              <w:right w:w="101" w:type="dxa"/>
            </w:tcMar>
            <w:vAlign w:val="center"/>
            <w:hideMark/>
          </w:tcPr>
          <w:p w14:paraId="42216026" w14:textId="5E919514" w:rsidR="00DD34D1" w:rsidRPr="00DD34D1" w:rsidRDefault="001077AF" w:rsidP="00DD34D1">
            <w:pPr>
              <w:spacing w:line="240" w:lineRule="auto"/>
              <w:rPr>
                <w:rFonts w:eastAsia="Times New Roman" w:cs="Times New Roman"/>
                <w:color w:val="000000"/>
                <w:szCs w:val="22"/>
                <w:lang w:eastAsia="en-AU"/>
              </w:rPr>
            </w:pPr>
            <w:r w:rsidRPr="00102BF7">
              <w:rPr>
                <w:noProof/>
                <w:sz w:val="20"/>
              </w:rPr>
              <w:drawing>
                <wp:inline distT="0" distB="0" distL="0" distR="0" wp14:anchorId="12110F50" wp14:editId="56F0BE41">
                  <wp:extent cx="2095130" cy="400672"/>
                  <wp:effectExtent l="0" t="0" r="635" b="0"/>
                  <wp:docPr id="1758610870" name="Picture 1" descr="A formula to work out the portion of the cumulative net abatement amount that can be attributed to sequestration for a project area that is being removed from the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610870" name="Picture 1" descr="A formula to work out the portion of the cumulative net abatement amount that can be attributed to sequestration for a project area that is being removed from the project."/>
                          <pic:cNvPicPr/>
                        </pic:nvPicPr>
                        <pic:blipFill>
                          <a:blip r:embed="rId52"/>
                          <a:stretch>
                            <a:fillRect/>
                          </a:stretch>
                        </pic:blipFill>
                        <pic:spPr>
                          <a:xfrm>
                            <a:off x="0" y="0"/>
                            <a:ext cx="2116681" cy="404793"/>
                          </a:xfrm>
                          <a:prstGeom prst="rect">
                            <a:avLst/>
                          </a:prstGeom>
                        </pic:spPr>
                      </pic:pic>
                    </a:graphicData>
                  </a:graphic>
                </wp:inline>
              </w:drawing>
            </w:r>
          </w:p>
        </w:tc>
        <w:tc>
          <w:tcPr>
            <w:tcW w:w="1150" w:type="dxa"/>
            <w:tcBorders>
              <w:left w:val="single" w:sz="6" w:space="0" w:color="000000"/>
            </w:tcBorders>
            <w:tcMar>
              <w:top w:w="0" w:type="dxa"/>
              <w:left w:w="101" w:type="dxa"/>
              <w:bottom w:w="0" w:type="dxa"/>
              <w:right w:w="101" w:type="dxa"/>
            </w:tcMar>
            <w:vAlign w:val="center"/>
            <w:hideMark/>
          </w:tcPr>
          <w:p w14:paraId="157262CE" w14:textId="75F8C08B" w:rsidR="00DD34D1" w:rsidRPr="00DD34D1" w:rsidRDefault="00DD34D1" w:rsidP="00DD34D1">
            <w:pPr>
              <w:spacing w:before="60" w:line="240" w:lineRule="atLeast"/>
              <w:rPr>
                <w:rFonts w:eastAsia="Times New Roman" w:cs="Times New Roman"/>
                <w:color w:val="000000"/>
                <w:sz w:val="20"/>
                <w:lang w:eastAsia="en-AU"/>
              </w:rPr>
            </w:pPr>
            <w:r w:rsidRPr="00DD34D1">
              <w:rPr>
                <w:rFonts w:eastAsia="Times New Roman" w:cs="Times New Roman"/>
                <w:color w:val="000000"/>
                <w:sz w:val="20"/>
                <w:lang w:eastAsia="en-AU"/>
              </w:rPr>
              <w:t>equation </w:t>
            </w:r>
            <w:r w:rsidR="00E2567F">
              <w:rPr>
                <w:rFonts w:eastAsia="Times New Roman" w:cs="Times New Roman"/>
                <w:color w:val="000000"/>
                <w:sz w:val="20"/>
                <w:lang w:eastAsia="en-AU"/>
              </w:rPr>
              <w:t>12</w:t>
            </w:r>
          </w:p>
        </w:tc>
      </w:tr>
    </w:tbl>
    <w:p w14:paraId="5ACA1353" w14:textId="4B4BD5B2" w:rsidR="00DD34D1" w:rsidRPr="00DD34D1" w:rsidRDefault="00DD34D1" w:rsidP="00DD34D1">
      <w:pPr>
        <w:spacing w:before="180" w:line="240" w:lineRule="auto"/>
        <w:ind w:left="1134" w:hanging="1134"/>
        <w:rPr>
          <w:rFonts w:eastAsia="Times New Roman" w:cs="Times New Roman"/>
          <w:color w:val="000000"/>
          <w:szCs w:val="22"/>
          <w:lang w:eastAsia="en-AU"/>
        </w:rPr>
      </w:pPr>
      <w:r w:rsidRPr="00DD34D1">
        <w:rPr>
          <w:rFonts w:eastAsia="Times New Roman" w:cs="Times New Roman"/>
          <w:color w:val="000000"/>
          <w:szCs w:val="22"/>
          <w:lang w:eastAsia="en-AU"/>
        </w:rPr>
        <w:t>  </w:t>
      </w:r>
      <w:r w:rsidR="005000F2">
        <w:rPr>
          <w:rFonts w:eastAsia="Times New Roman" w:cs="Times New Roman"/>
          <w:color w:val="000000"/>
          <w:szCs w:val="22"/>
          <w:lang w:eastAsia="en-AU"/>
        </w:rPr>
        <w:tab/>
      </w:r>
      <w:r w:rsidRPr="00DD34D1">
        <w:rPr>
          <w:rFonts w:eastAsia="Times New Roman" w:cs="Times New Roman"/>
          <w:color w:val="000000"/>
          <w:szCs w:val="22"/>
          <w:lang w:eastAsia="en-AU"/>
        </w:rPr>
        <w:t>where:</w:t>
      </w:r>
    </w:p>
    <w:p w14:paraId="155445E6" w14:textId="760A3D44" w:rsidR="00DD34D1" w:rsidRPr="00DD34D1" w:rsidRDefault="007B37E5" w:rsidP="00DD34D1">
      <w:pPr>
        <w:spacing w:before="180" w:line="240" w:lineRule="auto"/>
        <w:ind w:left="1134"/>
        <w:rPr>
          <w:rFonts w:eastAsia="Times New Roman" w:cs="Times New Roman"/>
          <w:color w:val="000000"/>
          <w:szCs w:val="22"/>
          <w:lang w:eastAsia="en-AU"/>
        </w:rPr>
      </w:pPr>
      <w:r w:rsidRPr="007B37E5">
        <w:rPr>
          <w:rFonts w:eastAsia="Times New Roman" w:cs="Times New Roman"/>
          <w:noProof/>
          <w:color w:val="000000"/>
          <w:szCs w:val="22"/>
          <w:lang w:eastAsia="en-AU"/>
        </w:rPr>
        <w:drawing>
          <wp:inline distT="0" distB="0" distL="0" distR="0" wp14:anchorId="2D776E4F" wp14:editId="59CF96A7">
            <wp:extent cx="695422" cy="266737"/>
            <wp:effectExtent l="0" t="0" r="9525" b="0"/>
            <wp:docPr id="1837371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371535" name=""/>
                    <pic:cNvPicPr/>
                  </pic:nvPicPr>
                  <pic:blipFill>
                    <a:blip r:embed="rId53"/>
                    <a:stretch>
                      <a:fillRect/>
                    </a:stretch>
                  </pic:blipFill>
                  <pic:spPr>
                    <a:xfrm>
                      <a:off x="0" y="0"/>
                      <a:ext cx="695422" cy="266737"/>
                    </a:xfrm>
                    <a:prstGeom prst="rect">
                      <a:avLst/>
                    </a:prstGeom>
                  </pic:spPr>
                </pic:pic>
              </a:graphicData>
            </a:graphic>
          </wp:inline>
        </w:drawing>
      </w:r>
      <w:r w:rsidR="0002181E">
        <w:rPr>
          <w:rFonts w:eastAsia="Times New Roman" w:cs="Times New Roman"/>
          <w:b/>
          <w:bCs/>
          <w:color w:val="000000"/>
          <w:szCs w:val="22"/>
          <w:lang w:eastAsia="en-AU"/>
        </w:rPr>
        <w:t xml:space="preserve"> </w:t>
      </w:r>
      <w:r w:rsidR="00DD34D1" w:rsidRPr="00DD34D1">
        <w:rPr>
          <w:rFonts w:eastAsia="Times New Roman" w:cs="Times New Roman"/>
          <w:color w:val="000000"/>
          <w:szCs w:val="22"/>
          <w:lang w:eastAsia="en-AU"/>
        </w:rPr>
        <w:t>has the same value as in subsection 10(1) of this Schedule.</w:t>
      </w:r>
    </w:p>
    <w:p w14:paraId="5D0A4DDD" w14:textId="3DEEB238" w:rsidR="00DD34D1" w:rsidRPr="00DD34D1" w:rsidRDefault="0097633D" w:rsidP="00DD34D1">
      <w:pPr>
        <w:spacing w:before="180" w:line="240" w:lineRule="auto"/>
        <w:ind w:left="1134"/>
        <w:rPr>
          <w:rFonts w:eastAsia="Times New Roman" w:cs="Times New Roman"/>
          <w:color w:val="000000"/>
          <w:szCs w:val="22"/>
          <w:lang w:eastAsia="en-AU"/>
        </w:rPr>
      </w:pPr>
      <w:r w:rsidRPr="0097633D">
        <w:rPr>
          <w:rFonts w:eastAsia="Times New Roman" w:cs="Times New Roman"/>
          <w:noProof/>
          <w:color w:val="000000"/>
          <w:szCs w:val="22"/>
          <w:lang w:eastAsia="en-AU"/>
        </w:rPr>
        <w:drawing>
          <wp:inline distT="0" distB="0" distL="0" distR="0" wp14:anchorId="6F19FFD1" wp14:editId="5377EC83">
            <wp:extent cx="657317" cy="209579"/>
            <wp:effectExtent l="0" t="0" r="9525" b="0"/>
            <wp:docPr id="903888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888081" name=""/>
                    <pic:cNvPicPr/>
                  </pic:nvPicPr>
                  <pic:blipFill>
                    <a:blip r:embed="rId54"/>
                    <a:stretch>
                      <a:fillRect/>
                    </a:stretch>
                  </pic:blipFill>
                  <pic:spPr>
                    <a:xfrm>
                      <a:off x="0" y="0"/>
                      <a:ext cx="657317" cy="209579"/>
                    </a:xfrm>
                    <a:prstGeom prst="rect">
                      <a:avLst/>
                    </a:prstGeom>
                  </pic:spPr>
                </pic:pic>
              </a:graphicData>
            </a:graphic>
          </wp:inline>
        </w:drawing>
      </w:r>
      <w:r w:rsidR="00A50046">
        <w:rPr>
          <w:rFonts w:eastAsia="Times New Roman" w:cs="Times New Roman"/>
          <w:noProof/>
          <w:color w:val="000000"/>
          <w:szCs w:val="22"/>
          <w:lang w:eastAsia="en-AU"/>
        </w:rPr>
        <w:t xml:space="preserve"> </w:t>
      </w:r>
      <w:r w:rsidR="00DD34D1" w:rsidRPr="00DD34D1">
        <w:rPr>
          <w:rFonts w:eastAsia="Times New Roman" w:cs="Times New Roman"/>
          <w:color w:val="000000"/>
          <w:szCs w:val="22"/>
          <w:lang w:eastAsia="en-AU"/>
        </w:rPr>
        <w:t xml:space="preserve">is the </w:t>
      </w:r>
      <w:r w:rsidR="0002181E">
        <w:rPr>
          <w:rFonts w:eastAsia="Times New Roman" w:cs="Times New Roman"/>
          <w:color w:val="000000"/>
          <w:szCs w:val="22"/>
          <w:lang w:eastAsia="en-AU"/>
        </w:rPr>
        <w:t xml:space="preserve">mean </w:t>
      </w:r>
      <w:r w:rsidR="00DD34D1" w:rsidRPr="00DD34D1">
        <w:rPr>
          <w:rFonts w:eastAsia="Times New Roman" w:cs="Times New Roman"/>
          <w:color w:val="000000"/>
          <w:szCs w:val="22"/>
          <w:lang w:eastAsia="en-AU"/>
        </w:rPr>
        <w:t xml:space="preserve">baseline </w:t>
      </w:r>
      <w:r w:rsidR="0002181E">
        <w:rPr>
          <w:rFonts w:eastAsia="Times New Roman" w:cs="Times New Roman"/>
          <w:color w:val="000000"/>
          <w:szCs w:val="22"/>
          <w:lang w:eastAsia="en-AU"/>
        </w:rPr>
        <w:t xml:space="preserve">carbon stock in the earlier </w:t>
      </w:r>
      <w:r w:rsidR="00DD34D1" w:rsidRPr="00DD34D1">
        <w:rPr>
          <w:rFonts w:eastAsia="Times New Roman" w:cs="Times New Roman"/>
          <w:color w:val="000000"/>
          <w:szCs w:val="22"/>
          <w:lang w:eastAsia="en-AU"/>
        </w:rPr>
        <w:t>project area, in tonnes CO</w:t>
      </w:r>
      <w:r w:rsidR="00DD34D1" w:rsidRPr="00DD34D1">
        <w:rPr>
          <w:rFonts w:eastAsia="Times New Roman" w:cs="Times New Roman"/>
          <w:color w:val="000000"/>
          <w:sz w:val="15"/>
          <w:szCs w:val="15"/>
          <w:vertAlign w:val="subscript"/>
          <w:lang w:eastAsia="en-AU"/>
        </w:rPr>
        <w:t>2</w:t>
      </w:r>
      <w:r w:rsidR="00DD34D1" w:rsidRPr="00DD34D1">
        <w:rPr>
          <w:rFonts w:eastAsia="Times New Roman" w:cs="Times New Roman"/>
          <w:color w:val="000000"/>
          <w:szCs w:val="22"/>
          <w:lang w:eastAsia="en-AU"/>
        </w:rPr>
        <w:t>-e, and is calculated in accordance with section 7 of this Schedule over the baseline period and for the earlier project area.</w:t>
      </w:r>
    </w:p>
    <w:p w14:paraId="6F59F1CC" w14:textId="44D07B2F" w:rsidR="00DD34D1" w:rsidRPr="00DD34D1" w:rsidRDefault="0097633D" w:rsidP="00DD34D1">
      <w:pPr>
        <w:spacing w:before="180" w:line="240" w:lineRule="auto"/>
        <w:ind w:left="1134"/>
        <w:rPr>
          <w:rFonts w:eastAsia="Times New Roman" w:cs="Times New Roman"/>
          <w:color w:val="000000"/>
          <w:szCs w:val="22"/>
          <w:lang w:eastAsia="en-AU"/>
        </w:rPr>
      </w:pPr>
      <w:r w:rsidRPr="0097633D">
        <w:rPr>
          <w:rFonts w:eastAsia="Times New Roman" w:cs="Times New Roman"/>
          <w:b/>
          <w:bCs/>
          <w:i/>
          <w:iCs/>
          <w:noProof/>
          <w:color w:val="000000"/>
          <w:szCs w:val="22"/>
          <w:lang w:eastAsia="en-AU"/>
        </w:rPr>
        <w:drawing>
          <wp:inline distT="0" distB="0" distL="0" distR="0" wp14:anchorId="4146F963" wp14:editId="5ADA24BA">
            <wp:extent cx="600159" cy="190527"/>
            <wp:effectExtent l="0" t="0" r="0" b="0"/>
            <wp:docPr id="1112258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258355" name=""/>
                    <pic:cNvPicPr/>
                  </pic:nvPicPr>
                  <pic:blipFill>
                    <a:blip r:embed="rId55"/>
                    <a:stretch>
                      <a:fillRect/>
                    </a:stretch>
                  </pic:blipFill>
                  <pic:spPr>
                    <a:xfrm>
                      <a:off x="0" y="0"/>
                      <a:ext cx="600159" cy="190527"/>
                    </a:xfrm>
                    <a:prstGeom prst="rect">
                      <a:avLst/>
                    </a:prstGeom>
                  </pic:spPr>
                </pic:pic>
              </a:graphicData>
            </a:graphic>
          </wp:inline>
        </w:drawing>
      </w:r>
      <w:r w:rsidR="00C31F14">
        <w:rPr>
          <w:rFonts w:eastAsia="Times New Roman" w:cs="Times New Roman"/>
          <w:b/>
          <w:bCs/>
          <w:i/>
          <w:iCs/>
          <w:color w:val="000000"/>
          <w:szCs w:val="22"/>
          <w:lang w:eastAsia="en-AU"/>
        </w:rPr>
        <w:t xml:space="preserve"> </w:t>
      </w:r>
      <w:r w:rsidR="00DD34D1" w:rsidRPr="00DD34D1">
        <w:rPr>
          <w:rFonts w:eastAsia="Times New Roman" w:cs="Times New Roman"/>
          <w:color w:val="000000"/>
          <w:szCs w:val="22"/>
          <w:lang w:eastAsia="en-AU"/>
        </w:rPr>
        <w:t>is equal to</w:t>
      </w:r>
      <w:r w:rsidR="003A173C">
        <w:rPr>
          <w:rFonts w:eastAsia="Times New Roman" w:cs="Times New Roman"/>
          <w:color w:val="000000"/>
          <w:szCs w:val="22"/>
          <w:lang w:eastAsia="en-AU"/>
        </w:rPr>
        <w:t xml:space="preserve"> the sum of </w:t>
      </w:r>
      <w:r w:rsidR="00D10203" w:rsidRPr="00D10203">
        <w:rPr>
          <w:rFonts w:eastAsia="Times New Roman" w:cs="Times New Roman"/>
          <w:noProof/>
          <w:color w:val="000000"/>
          <w:szCs w:val="22"/>
          <w:lang w:eastAsia="en-AU"/>
        </w:rPr>
        <w:drawing>
          <wp:inline distT="0" distB="0" distL="0" distR="0" wp14:anchorId="24AE6908" wp14:editId="52001F9D">
            <wp:extent cx="266737" cy="209579"/>
            <wp:effectExtent l="0" t="0" r="0" b="0"/>
            <wp:docPr id="883998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998672" name=""/>
                    <pic:cNvPicPr/>
                  </pic:nvPicPr>
                  <pic:blipFill>
                    <a:blip r:embed="rId56"/>
                    <a:stretch>
                      <a:fillRect/>
                    </a:stretch>
                  </pic:blipFill>
                  <pic:spPr>
                    <a:xfrm>
                      <a:off x="0" y="0"/>
                      <a:ext cx="266737" cy="209579"/>
                    </a:xfrm>
                    <a:prstGeom prst="rect">
                      <a:avLst/>
                    </a:prstGeom>
                  </pic:spPr>
                </pic:pic>
              </a:graphicData>
            </a:graphic>
          </wp:inline>
        </w:drawing>
      </w:r>
      <w:r w:rsidR="003A173C">
        <w:rPr>
          <w:rFonts w:eastAsia="Times New Roman" w:cs="Times New Roman"/>
          <w:color w:val="000000"/>
          <w:szCs w:val="22"/>
          <w:lang w:eastAsia="en-AU"/>
        </w:rPr>
        <w:t xml:space="preserve"> over the period that has been previously reported for that earlier project area.</w:t>
      </w:r>
    </w:p>
    <w:p w14:paraId="2261A2EC" w14:textId="77777777" w:rsidR="00DD34D1" w:rsidRPr="00DD34D1" w:rsidRDefault="00DD34D1" w:rsidP="00DD34D1">
      <w:pPr>
        <w:spacing w:before="240" w:line="240" w:lineRule="auto"/>
        <w:ind w:left="1134"/>
        <w:rPr>
          <w:rFonts w:eastAsia="Times New Roman" w:cs="Times New Roman"/>
          <w:i/>
          <w:iCs/>
          <w:color w:val="000000"/>
          <w:szCs w:val="22"/>
          <w:lang w:eastAsia="en-AU"/>
        </w:rPr>
      </w:pPr>
      <w:r w:rsidRPr="00DD34D1">
        <w:rPr>
          <w:rFonts w:eastAsia="Times New Roman" w:cs="Times New Roman"/>
          <w:i/>
          <w:iCs/>
          <w:color w:val="000000"/>
          <w:szCs w:val="22"/>
          <w:lang w:eastAsia="en-AU"/>
        </w:rPr>
        <w:t>Meaning of </w:t>
      </w:r>
      <w:r w:rsidRPr="00DD34D1">
        <w:rPr>
          <w:rFonts w:eastAsia="Times New Roman" w:cs="Times New Roman"/>
          <w:b/>
          <w:bCs/>
          <w:i/>
          <w:iCs/>
          <w:color w:val="000000"/>
          <w:szCs w:val="22"/>
          <w:lang w:eastAsia="en-AU"/>
        </w:rPr>
        <w:t>earlier project area</w:t>
      </w:r>
    </w:p>
    <w:p w14:paraId="16B4060A" w14:textId="77777777" w:rsidR="00DD34D1" w:rsidRPr="00DD34D1" w:rsidRDefault="00DD34D1" w:rsidP="00C31F14">
      <w:pPr>
        <w:spacing w:before="180" w:line="240" w:lineRule="auto"/>
        <w:ind w:left="1134" w:hanging="141"/>
        <w:rPr>
          <w:rFonts w:eastAsia="Times New Roman" w:cs="Times New Roman"/>
          <w:color w:val="000000"/>
          <w:szCs w:val="22"/>
          <w:lang w:eastAsia="en-AU"/>
        </w:rPr>
      </w:pPr>
      <w:r w:rsidRPr="00DD34D1">
        <w:rPr>
          <w:rFonts w:eastAsia="Times New Roman" w:cs="Times New Roman"/>
          <w:color w:val="000000"/>
          <w:szCs w:val="22"/>
          <w:lang w:eastAsia="en-AU"/>
        </w:rPr>
        <w:t> (3) In this section:</w:t>
      </w:r>
    </w:p>
    <w:p w14:paraId="135859FE" w14:textId="77777777" w:rsidR="00DD34D1" w:rsidRPr="00DD34D1" w:rsidRDefault="00DD34D1" w:rsidP="007B2786">
      <w:pPr>
        <w:spacing w:before="180" w:line="240" w:lineRule="auto"/>
        <w:ind w:left="273" w:firstLine="720"/>
        <w:rPr>
          <w:rFonts w:eastAsia="Times New Roman" w:cs="Times New Roman"/>
          <w:color w:val="000000"/>
          <w:szCs w:val="22"/>
          <w:lang w:eastAsia="en-AU"/>
        </w:rPr>
      </w:pPr>
      <w:r w:rsidRPr="00DD34D1">
        <w:rPr>
          <w:rFonts w:eastAsia="Times New Roman" w:cs="Times New Roman"/>
          <w:b/>
          <w:bCs/>
          <w:i/>
          <w:iCs/>
          <w:color w:val="000000"/>
          <w:szCs w:val="22"/>
          <w:lang w:eastAsia="en-AU"/>
        </w:rPr>
        <w:t>earlier project area</w:t>
      </w:r>
      <w:r w:rsidRPr="00DD34D1">
        <w:rPr>
          <w:rFonts w:eastAsia="Times New Roman" w:cs="Times New Roman"/>
          <w:color w:val="000000"/>
          <w:szCs w:val="22"/>
          <w:lang w:eastAsia="en-AU"/>
        </w:rPr>
        <w:t>, in relation to a subdivided project area, means:</w:t>
      </w:r>
    </w:p>
    <w:p w14:paraId="78A25874" w14:textId="225CA88A" w:rsidR="006F2429" w:rsidRPr="006F2429" w:rsidRDefault="00DD34D1" w:rsidP="004A7133">
      <w:pPr>
        <w:pStyle w:val="ListParagraph"/>
        <w:numPr>
          <w:ilvl w:val="0"/>
          <w:numId w:val="52"/>
        </w:numPr>
        <w:spacing w:before="40" w:line="240" w:lineRule="auto"/>
        <w:rPr>
          <w:rFonts w:eastAsia="Times New Roman" w:cs="Times New Roman"/>
          <w:color w:val="000000"/>
          <w:szCs w:val="22"/>
          <w:lang w:eastAsia="en-AU"/>
        </w:rPr>
      </w:pPr>
      <w:r w:rsidRPr="006F2429">
        <w:rPr>
          <w:rFonts w:eastAsia="Times New Roman" w:cs="Times New Roman"/>
          <w:color w:val="000000"/>
          <w:szCs w:val="22"/>
          <w:lang w:eastAsia="en-AU"/>
        </w:rPr>
        <w:t>the original project area that was divided to produce the subdivided project area; and</w:t>
      </w:r>
    </w:p>
    <w:p w14:paraId="653EC0E4" w14:textId="78B9F55A" w:rsidR="00510A44" w:rsidRPr="006F2429" w:rsidRDefault="00DD34D1" w:rsidP="004A7133">
      <w:pPr>
        <w:pStyle w:val="ListParagraph"/>
        <w:numPr>
          <w:ilvl w:val="0"/>
          <w:numId w:val="52"/>
        </w:numPr>
        <w:spacing w:before="40" w:line="240" w:lineRule="auto"/>
        <w:rPr>
          <w:rFonts w:eastAsia="Times New Roman" w:cs="Times New Roman"/>
          <w:color w:val="000000"/>
          <w:szCs w:val="22"/>
          <w:lang w:eastAsia="en-AU"/>
        </w:rPr>
      </w:pPr>
      <w:r w:rsidRPr="006F2429">
        <w:rPr>
          <w:rFonts w:eastAsia="Times New Roman" w:cs="Times New Roman"/>
          <w:color w:val="000000"/>
          <w:szCs w:val="22"/>
          <w:lang w:eastAsia="en-AU"/>
        </w:rPr>
        <w:t>any project area that was previously divided, however many times, to produce the original project area.</w:t>
      </w:r>
    </w:p>
    <w:p w14:paraId="4DFC6E19" w14:textId="014C910A" w:rsidR="00341AD5" w:rsidRPr="007B7B2E" w:rsidRDefault="0063186B" w:rsidP="007B2786">
      <w:pPr>
        <w:pStyle w:val="ActHead5"/>
      </w:pPr>
      <w:bookmarkStart w:id="108" w:name="_Toc202953874"/>
      <w:r>
        <w:t>11</w:t>
      </w:r>
      <w:r w:rsidR="007B7B2E" w:rsidRPr="009E76D2">
        <w:t xml:space="preserve">   </w:t>
      </w:r>
      <w:r w:rsidR="00341AD5" w:rsidRPr="007B2786">
        <w:t>Adjustments</w:t>
      </w:r>
      <w:r w:rsidR="00341AD5" w:rsidRPr="009525FF">
        <w:t> </w:t>
      </w:r>
      <w:r w:rsidR="00341AD5">
        <w:t>for transferring pro</w:t>
      </w:r>
      <w:r w:rsidR="00F858E8">
        <w:t>jects</w:t>
      </w:r>
      <w:bookmarkEnd w:id="108"/>
    </w:p>
    <w:p w14:paraId="7B53FCA3" w14:textId="5DFCBC95" w:rsidR="002C09E3" w:rsidRPr="00047F26" w:rsidRDefault="00F858E8" w:rsidP="004A7133">
      <w:pPr>
        <w:pStyle w:val="ListParagraph"/>
        <w:numPr>
          <w:ilvl w:val="0"/>
          <w:numId w:val="40"/>
        </w:numPr>
        <w:spacing w:before="180" w:after="120" w:line="240" w:lineRule="auto"/>
        <w:rPr>
          <w:rFonts w:eastAsia="Times New Roman" w:cs="Times New Roman"/>
          <w:color w:val="000000"/>
          <w:szCs w:val="22"/>
          <w:lang w:eastAsia="en-AU"/>
        </w:rPr>
      </w:pPr>
      <w:r>
        <w:rPr>
          <w:rFonts w:eastAsia="Times New Roman" w:cs="Times New Roman"/>
          <w:color w:val="000000"/>
          <w:szCs w:val="22"/>
          <w:lang w:eastAsia="en-AU"/>
        </w:rPr>
        <w:t>For projects transferring from th</w:t>
      </w:r>
      <w:r w:rsidR="00BE54AC">
        <w:rPr>
          <w:rFonts w:eastAsia="Times New Roman" w:cs="Times New Roman"/>
          <w:color w:val="000000"/>
          <w:szCs w:val="22"/>
          <w:lang w:eastAsia="en-AU"/>
        </w:rPr>
        <w:t xml:space="preserve">e </w:t>
      </w:r>
      <w:r w:rsidR="0083745D" w:rsidRPr="002A0A38">
        <w:rPr>
          <w:rFonts w:eastAsia="Times New Roman" w:cs="Times New Roman"/>
          <w:i/>
          <w:iCs/>
          <w:color w:val="000000"/>
          <w:szCs w:val="22"/>
          <w:lang w:eastAsia="en-AU"/>
        </w:rPr>
        <w:t>Carbon Credits (Carbon Farming Initiative—Savanna Fire Management—Sequestration and Emissions Abatement) Methodology Determination 2018</w:t>
      </w:r>
      <w:r w:rsidR="0083745D" w:rsidRPr="0083745D">
        <w:rPr>
          <w:rFonts w:eastAsia="Times New Roman" w:cs="Times New Roman"/>
          <w:color w:val="000000"/>
          <w:szCs w:val="22"/>
          <w:lang w:eastAsia="en-AU"/>
        </w:rPr>
        <w:t xml:space="preserve"> </w:t>
      </w:r>
      <w:r w:rsidR="00BE54AC">
        <w:rPr>
          <w:rFonts w:eastAsia="Times New Roman" w:cs="Times New Roman"/>
          <w:color w:val="000000"/>
          <w:szCs w:val="22"/>
          <w:lang w:eastAsia="en-AU"/>
        </w:rPr>
        <w:t xml:space="preserve">to this </w:t>
      </w:r>
      <w:r w:rsidR="00C929D7">
        <w:rPr>
          <w:rFonts w:eastAsia="Times New Roman" w:cs="Times New Roman"/>
          <w:color w:val="000000"/>
          <w:szCs w:val="22"/>
          <w:lang w:eastAsia="en-AU"/>
        </w:rPr>
        <w:t>instrument</w:t>
      </w:r>
      <w:r w:rsidR="00BE54AC">
        <w:rPr>
          <w:rFonts w:eastAsia="Times New Roman" w:cs="Times New Roman"/>
          <w:color w:val="000000"/>
          <w:szCs w:val="22"/>
          <w:lang w:eastAsia="en-AU"/>
        </w:rPr>
        <w:t xml:space="preserve">, the contribution to the net abatement </w:t>
      </w:r>
      <w:r w:rsidR="006B5A46">
        <w:rPr>
          <w:rFonts w:eastAsia="Times New Roman" w:cs="Times New Roman"/>
          <w:color w:val="000000"/>
          <w:szCs w:val="22"/>
          <w:lang w:eastAsia="en-AU"/>
        </w:rPr>
        <w:t>amount from sequestration for a calendar year</w:t>
      </w:r>
      <w:r w:rsidR="00084937">
        <w:rPr>
          <w:rFonts w:eastAsia="Times New Roman" w:cs="Times New Roman"/>
          <w:color w:val="000000"/>
          <w:szCs w:val="22"/>
          <w:lang w:eastAsia="en-AU"/>
        </w:rPr>
        <w:t xml:space="preserve">, </w:t>
      </w:r>
      <w:r w:rsidR="00900047" w:rsidRPr="00900047">
        <w:rPr>
          <w:rFonts w:eastAsia="Times New Roman" w:cs="Times New Roman"/>
          <w:noProof/>
          <w:color w:val="000000"/>
          <w:szCs w:val="22"/>
          <w:lang w:eastAsia="en-AU"/>
        </w:rPr>
        <w:drawing>
          <wp:inline distT="0" distB="0" distL="0" distR="0" wp14:anchorId="63BB1348" wp14:editId="1ADF94F7">
            <wp:extent cx="295316" cy="190527"/>
            <wp:effectExtent l="0" t="0" r="0" b="0"/>
            <wp:docPr id="2011979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979953" name=""/>
                    <pic:cNvPicPr/>
                  </pic:nvPicPr>
                  <pic:blipFill>
                    <a:blip r:embed="rId57"/>
                    <a:stretch>
                      <a:fillRect/>
                    </a:stretch>
                  </pic:blipFill>
                  <pic:spPr>
                    <a:xfrm>
                      <a:off x="0" y="0"/>
                      <a:ext cx="295316" cy="190527"/>
                    </a:xfrm>
                    <a:prstGeom prst="rect">
                      <a:avLst/>
                    </a:prstGeom>
                  </pic:spPr>
                </pic:pic>
              </a:graphicData>
            </a:graphic>
          </wp:inline>
        </w:drawing>
      </w:r>
      <w:r w:rsidR="00084937">
        <w:rPr>
          <w:rFonts w:eastAsia="Times New Roman" w:cs="Times New Roman"/>
          <w:color w:val="000000"/>
          <w:szCs w:val="22"/>
          <w:lang w:eastAsia="en-AU"/>
        </w:rPr>
        <w:t>,</w:t>
      </w:r>
      <w:r w:rsidR="000B4292">
        <w:rPr>
          <w:rFonts w:eastAsia="Times New Roman" w:cs="Times New Roman"/>
          <w:color w:val="000000"/>
          <w:szCs w:val="22"/>
          <w:lang w:eastAsia="en-AU"/>
        </w:rPr>
        <w:t xml:space="preserve"> is given by the following equation</w:t>
      </w:r>
      <w:r w:rsidR="00341AD5" w:rsidRPr="009525FF">
        <w:rPr>
          <w:rFonts w:eastAsia="Times New Roman" w:cs="Times New Roman"/>
          <w:color w:val="000000"/>
          <w:szCs w:val="22"/>
          <w:lang w:eastAsia="en-AU"/>
        </w:rPr>
        <w:t>:</w:t>
      </w:r>
    </w:p>
    <w:tbl>
      <w:tblPr>
        <w:tblW w:w="0" w:type="auto"/>
        <w:tblInd w:w="113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014"/>
        <w:gridCol w:w="1149"/>
      </w:tblGrid>
      <w:tr w:rsidR="00341AD5" w:rsidRPr="009525FF" w14:paraId="19E49F5F" w14:textId="77777777" w:rsidTr="00867A6B">
        <w:trPr>
          <w:trHeight w:val="1108"/>
        </w:trPr>
        <w:tc>
          <w:tcPr>
            <w:tcW w:w="6300" w:type="dxa"/>
            <w:tcBorders>
              <w:right w:val="single" w:sz="6" w:space="0" w:color="000000"/>
            </w:tcBorders>
            <w:tcMar>
              <w:top w:w="0" w:type="dxa"/>
              <w:left w:w="101" w:type="dxa"/>
              <w:bottom w:w="0" w:type="dxa"/>
              <w:right w:w="101" w:type="dxa"/>
            </w:tcMar>
            <w:vAlign w:val="center"/>
            <w:hideMark/>
          </w:tcPr>
          <w:p w14:paraId="6345A69D" w14:textId="42E9B9C7" w:rsidR="00341AD5" w:rsidRPr="009525FF" w:rsidRDefault="00DD6E5D" w:rsidP="00F16DD7">
            <w:pPr>
              <w:spacing w:line="240" w:lineRule="auto"/>
              <w:rPr>
                <w:rFonts w:eastAsia="Times New Roman" w:cs="Times New Roman"/>
                <w:color w:val="000000"/>
                <w:szCs w:val="22"/>
                <w:lang w:eastAsia="en-AU"/>
              </w:rPr>
            </w:pPr>
            <w:r>
              <w:rPr>
                <w:noProof/>
              </w:rPr>
              <w:drawing>
                <wp:inline distT="0" distB="0" distL="0" distR="0" wp14:anchorId="1B88CD47" wp14:editId="56615AB1">
                  <wp:extent cx="1609530" cy="342900"/>
                  <wp:effectExtent l="0" t="0" r="0" b="0"/>
                  <wp:docPr id="349841182" name="Picture 349841182" descr="A formula to work out the contribution to the net abatement amount in tonnes CO2e from the sequestration for a calendar year, for the first reporting year for projects transferring from the Savanna Fire Management 2018 sequestration and emissions avoidance method to this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841182" name="Picture 349841182" descr="A formula to work out the contribution to the net abatement amount in tonnes CO2e from the sequestration for a calendar year, for the first reporting year for projects transferring from the Savanna Fire Management 2018 sequestration and emissions avoidance method to this method."/>
                          <pic:cNvPicPr/>
                        </pic:nvPicPr>
                        <pic:blipFill>
                          <a:blip r:embed="rId58">
                            <a:extLst>
                              <a:ext uri="{28A0092B-C50C-407E-A947-70E740481C1C}">
                                <a14:useLocalDpi xmlns:a14="http://schemas.microsoft.com/office/drawing/2010/main" val="0"/>
                              </a:ext>
                            </a:extLst>
                          </a:blip>
                          <a:stretch>
                            <a:fillRect/>
                          </a:stretch>
                        </pic:blipFill>
                        <pic:spPr>
                          <a:xfrm>
                            <a:off x="0" y="0"/>
                            <a:ext cx="1609530" cy="342900"/>
                          </a:xfrm>
                          <a:prstGeom prst="rect">
                            <a:avLst/>
                          </a:prstGeom>
                        </pic:spPr>
                      </pic:pic>
                    </a:graphicData>
                  </a:graphic>
                </wp:inline>
              </w:drawing>
            </w:r>
          </w:p>
        </w:tc>
        <w:tc>
          <w:tcPr>
            <w:tcW w:w="1150" w:type="dxa"/>
            <w:tcBorders>
              <w:left w:val="single" w:sz="6" w:space="0" w:color="000000"/>
            </w:tcBorders>
            <w:tcMar>
              <w:top w:w="0" w:type="dxa"/>
              <w:left w:w="101" w:type="dxa"/>
              <w:bottom w:w="0" w:type="dxa"/>
              <w:right w:w="101" w:type="dxa"/>
            </w:tcMar>
            <w:vAlign w:val="center"/>
            <w:hideMark/>
          </w:tcPr>
          <w:p w14:paraId="0215D04C" w14:textId="7A93F7CD" w:rsidR="00341AD5" w:rsidRPr="009525FF" w:rsidRDefault="00341AD5" w:rsidP="00F16DD7">
            <w:pPr>
              <w:spacing w:before="60" w:line="240" w:lineRule="atLeast"/>
              <w:rPr>
                <w:rFonts w:eastAsia="Times New Roman" w:cs="Times New Roman"/>
                <w:color w:val="000000"/>
                <w:sz w:val="20"/>
                <w:lang w:eastAsia="en-AU"/>
              </w:rPr>
            </w:pPr>
            <w:r w:rsidRPr="009525FF">
              <w:rPr>
                <w:rFonts w:eastAsia="Times New Roman" w:cs="Times New Roman"/>
                <w:color w:val="000000"/>
                <w:sz w:val="20"/>
                <w:lang w:eastAsia="en-AU"/>
              </w:rPr>
              <w:t>equation </w:t>
            </w:r>
            <w:r w:rsidR="00047F26">
              <w:rPr>
                <w:rFonts w:eastAsia="Times New Roman" w:cs="Times New Roman"/>
                <w:color w:val="000000"/>
                <w:sz w:val="20"/>
                <w:lang w:eastAsia="en-AU"/>
              </w:rPr>
              <w:t>13</w:t>
            </w:r>
          </w:p>
        </w:tc>
      </w:tr>
    </w:tbl>
    <w:p w14:paraId="5DCE1B6F" w14:textId="43DB9072" w:rsidR="00341AD5" w:rsidRPr="009525FF" w:rsidRDefault="00341AD5" w:rsidP="00341AD5">
      <w:pPr>
        <w:spacing w:before="180" w:line="240" w:lineRule="auto"/>
        <w:ind w:left="1134" w:hanging="1134"/>
        <w:rPr>
          <w:rFonts w:eastAsia="Times New Roman" w:cs="Times New Roman"/>
          <w:color w:val="000000"/>
          <w:szCs w:val="22"/>
          <w:lang w:eastAsia="en-AU"/>
        </w:rPr>
      </w:pPr>
      <w:r w:rsidRPr="009525FF">
        <w:rPr>
          <w:rFonts w:eastAsia="Times New Roman" w:cs="Times New Roman"/>
          <w:color w:val="000000"/>
          <w:szCs w:val="22"/>
          <w:lang w:eastAsia="en-AU"/>
        </w:rPr>
        <w:lastRenderedPageBreak/>
        <w:t>  </w:t>
      </w:r>
      <w:r>
        <w:rPr>
          <w:rFonts w:eastAsia="Times New Roman" w:cs="Times New Roman"/>
          <w:color w:val="000000"/>
          <w:szCs w:val="22"/>
          <w:lang w:eastAsia="en-AU"/>
        </w:rPr>
        <w:tab/>
      </w:r>
      <w:r w:rsidRPr="009525FF">
        <w:rPr>
          <w:rFonts w:eastAsia="Times New Roman" w:cs="Times New Roman"/>
          <w:color w:val="000000"/>
          <w:szCs w:val="22"/>
          <w:lang w:eastAsia="en-AU"/>
        </w:rPr>
        <w:t>where:</w:t>
      </w:r>
    </w:p>
    <w:p w14:paraId="6BD946D4" w14:textId="5F65F0A8" w:rsidR="0045124E" w:rsidRDefault="001C6FD6" w:rsidP="0045124E">
      <w:pPr>
        <w:spacing w:before="180" w:line="240" w:lineRule="auto"/>
        <w:ind w:left="1134"/>
        <w:rPr>
          <w:color w:val="000000"/>
          <w:szCs w:val="22"/>
        </w:rPr>
      </w:pPr>
      <w:r w:rsidRPr="001C6FD6">
        <w:rPr>
          <w:rFonts w:eastAsia="Times New Roman" w:cs="Times New Roman"/>
          <w:b/>
          <w:bCs/>
          <w:noProof/>
          <w:color w:val="000000"/>
          <w:szCs w:val="22"/>
          <w:lang w:eastAsia="en-AU"/>
        </w:rPr>
        <w:drawing>
          <wp:inline distT="0" distB="0" distL="0" distR="0" wp14:anchorId="0044BA83" wp14:editId="67B3F42D">
            <wp:extent cx="114316" cy="200053"/>
            <wp:effectExtent l="0" t="0" r="0" b="9525"/>
            <wp:docPr id="684171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171628" name=""/>
                    <pic:cNvPicPr/>
                  </pic:nvPicPr>
                  <pic:blipFill>
                    <a:blip r:embed="rId59"/>
                    <a:stretch>
                      <a:fillRect/>
                    </a:stretch>
                  </pic:blipFill>
                  <pic:spPr>
                    <a:xfrm>
                      <a:off x="0" y="0"/>
                      <a:ext cx="114316" cy="200053"/>
                    </a:xfrm>
                    <a:prstGeom prst="rect">
                      <a:avLst/>
                    </a:prstGeom>
                  </pic:spPr>
                </pic:pic>
              </a:graphicData>
            </a:graphic>
          </wp:inline>
        </w:drawing>
      </w:r>
      <w:r w:rsidR="00341AD5">
        <w:rPr>
          <w:rFonts w:eastAsia="Times New Roman" w:cs="Times New Roman"/>
          <w:b/>
          <w:bCs/>
          <w:color w:val="000000"/>
          <w:szCs w:val="22"/>
          <w:lang w:eastAsia="en-AU"/>
        </w:rPr>
        <w:t xml:space="preserve"> </w:t>
      </w:r>
      <w:r w:rsidR="00341AD5" w:rsidRPr="009525FF">
        <w:rPr>
          <w:rFonts w:eastAsia="Times New Roman" w:cs="Times New Roman"/>
          <w:color w:val="000000"/>
          <w:szCs w:val="22"/>
          <w:lang w:eastAsia="en-AU"/>
        </w:rPr>
        <w:t xml:space="preserve">is </w:t>
      </w:r>
      <w:r w:rsidR="00BD26F4">
        <w:rPr>
          <w:rFonts w:eastAsia="Times New Roman" w:cs="Times New Roman"/>
          <w:color w:val="000000"/>
          <w:szCs w:val="22"/>
          <w:lang w:eastAsia="en-AU"/>
        </w:rPr>
        <w:t>the deeme</w:t>
      </w:r>
      <w:r w:rsidR="00A97E48">
        <w:rPr>
          <w:rFonts w:eastAsia="Times New Roman" w:cs="Times New Roman"/>
          <w:color w:val="000000"/>
          <w:szCs w:val="22"/>
          <w:lang w:eastAsia="en-AU"/>
        </w:rPr>
        <w:t xml:space="preserve">d net carbon stock for the project at the </w:t>
      </w:r>
      <w:r w:rsidR="0045124E">
        <w:rPr>
          <w:rFonts w:eastAsia="Times New Roman" w:cs="Times New Roman"/>
          <w:color w:val="000000"/>
          <w:szCs w:val="22"/>
          <w:lang w:eastAsia="en-AU"/>
        </w:rPr>
        <w:t xml:space="preserve">end of the calendar year </w:t>
      </w:r>
      <w:r w:rsidR="0045124E" w:rsidRPr="00F7254A">
        <w:rPr>
          <w:rFonts w:eastAsia="Times New Roman" w:cs="Times New Roman"/>
          <w:i/>
          <w:iCs/>
          <w:color w:val="000000"/>
          <w:szCs w:val="22"/>
          <w:lang w:eastAsia="en-AU"/>
        </w:rPr>
        <w:t>y</w:t>
      </w:r>
      <w:r w:rsidR="0045124E" w:rsidRPr="00AD52BE">
        <w:rPr>
          <w:rFonts w:eastAsia="Times New Roman" w:cs="Times New Roman"/>
          <w:color w:val="000000"/>
          <w:szCs w:val="22"/>
          <w:lang w:eastAsia="en-AU"/>
        </w:rPr>
        <w:t>, in tonnes CO</w:t>
      </w:r>
      <w:r w:rsidR="0045124E" w:rsidRPr="00AD52BE">
        <w:rPr>
          <w:rFonts w:eastAsia="Times New Roman" w:cs="Times New Roman"/>
          <w:color w:val="000000"/>
          <w:sz w:val="15"/>
          <w:szCs w:val="15"/>
          <w:vertAlign w:val="subscript"/>
          <w:lang w:eastAsia="en-AU"/>
        </w:rPr>
        <w:t>2</w:t>
      </w:r>
      <w:r w:rsidR="0045124E" w:rsidRPr="00AD52BE">
        <w:rPr>
          <w:rFonts w:eastAsia="Times New Roman" w:cs="Times New Roman"/>
          <w:color w:val="000000"/>
          <w:szCs w:val="22"/>
          <w:lang w:eastAsia="en-AU"/>
        </w:rPr>
        <w:softHyphen/>
      </w:r>
      <w:r w:rsidR="0045124E" w:rsidRPr="00AD52BE">
        <w:rPr>
          <w:rFonts w:eastAsia="Times New Roman" w:cs="Times New Roman"/>
          <w:color w:val="000000"/>
          <w:szCs w:val="22"/>
          <w:lang w:eastAsia="en-AU"/>
        </w:rPr>
        <w:softHyphen/>
      </w:r>
      <w:r w:rsidR="0045124E" w:rsidRPr="00AD52BE">
        <w:rPr>
          <w:rFonts w:eastAsia="Times New Roman" w:cs="Times New Roman"/>
          <w:color w:val="000000"/>
          <w:szCs w:val="22"/>
          <w:lang w:eastAsia="en-AU"/>
        </w:rPr>
        <w:noBreakHyphen/>
        <w:t>e</w:t>
      </w:r>
      <w:r w:rsidR="00E41CE6">
        <w:rPr>
          <w:rFonts w:eastAsia="Times New Roman" w:cs="Times New Roman"/>
          <w:color w:val="000000"/>
          <w:szCs w:val="22"/>
          <w:lang w:eastAsia="en-AU"/>
        </w:rPr>
        <w:t xml:space="preserve">, </w:t>
      </w:r>
      <w:r w:rsidR="0045124E">
        <w:rPr>
          <w:color w:val="000000"/>
          <w:szCs w:val="22"/>
        </w:rPr>
        <w:t xml:space="preserve">from </w:t>
      </w:r>
      <w:proofErr w:type="spellStart"/>
      <w:r w:rsidR="0045124E">
        <w:rPr>
          <w:color w:val="000000"/>
          <w:szCs w:val="22"/>
        </w:rPr>
        <w:t>SavCAM</w:t>
      </w:r>
      <w:proofErr w:type="spellEnd"/>
      <w:r w:rsidR="0045124E">
        <w:rPr>
          <w:color w:val="000000"/>
          <w:szCs w:val="22"/>
        </w:rPr>
        <w:t>.</w:t>
      </w:r>
    </w:p>
    <w:p w14:paraId="52370637" w14:textId="77777777" w:rsidR="00BB1307" w:rsidRDefault="00BB1307" w:rsidP="00BB1307">
      <w:pPr>
        <w:spacing w:before="180" w:line="240" w:lineRule="auto"/>
        <w:ind w:left="1134"/>
        <w:rPr>
          <w:rFonts w:eastAsia="Times New Roman" w:cs="Times New Roman"/>
          <w:color w:val="000000"/>
          <w:szCs w:val="22"/>
          <w:lang w:eastAsia="en-AU"/>
        </w:rPr>
      </w:pPr>
      <w:r>
        <w:rPr>
          <w:rFonts w:eastAsia="Times New Roman" w:cs="Times New Roman"/>
          <w:b/>
          <w:bCs/>
          <w:i/>
          <w:iCs/>
          <w:noProof/>
          <w:color w:val="000000"/>
          <w:szCs w:val="22"/>
          <w:lang w:eastAsia="en-AU"/>
        </w:rPr>
        <w:drawing>
          <wp:inline distT="0" distB="0" distL="0" distR="0" wp14:anchorId="23F64872" wp14:editId="3A45F66F">
            <wp:extent cx="184150" cy="247149"/>
            <wp:effectExtent l="0" t="0" r="6350" b="635"/>
            <wp:docPr id="9391721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7855" cy="252122"/>
                    </a:xfrm>
                    <a:prstGeom prst="rect">
                      <a:avLst/>
                    </a:prstGeom>
                    <a:noFill/>
                    <a:ln>
                      <a:noFill/>
                    </a:ln>
                  </pic:spPr>
                </pic:pic>
              </a:graphicData>
            </a:graphic>
          </wp:inline>
        </w:drawing>
      </w:r>
      <w:r w:rsidRPr="00AD52BE">
        <w:rPr>
          <w:rFonts w:eastAsia="Times New Roman" w:cs="Times New Roman"/>
          <w:color w:val="000000"/>
          <w:szCs w:val="22"/>
          <w:lang w:eastAsia="en-AU"/>
        </w:rPr>
        <w:t>is</w:t>
      </w:r>
      <w:r>
        <w:rPr>
          <w:rFonts w:eastAsia="Times New Roman" w:cs="Times New Roman"/>
          <w:color w:val="000000"/>
          <w:szCs w:val="22"/>
          <w:lang w:eastAsia="en-AU"/>
        </w:rPr>
        <w:t xml:space="preserve"> the mean baseline carbon stock</w:t>
      </w:r>
      <w:r w:rsidRPr="00AD52BE">
        <w:rPr>
          <w:rFonts w:eastAsia="Times New Roman" w:cs="Times New Roman"/>
          <w:color w:val="000000"/>
          <w:szCs w:val="22"/>
          <w:lang w:eastAsia="en-AU"/>
        </w:rPr>
        <w:t>, in tonnes CO</w:t>
      </w:r>
      <w:r w:rsidRPr="00AD52BE">
        <w:rPr>
          <w:rFonts w:eastAsia="Times New Roman" w:cs="Times New Roman"/>
          <w:color w:val="000000"/>
          <w:sz w:val="15"/>
          <w:szCs w:val="15"/>
          <w:vertAlign w:val="subscript"/>
          <w:lang w:eastAsia="en-AU"/>
        </w:rPr>
        <w:t>2</w:t>
      </w:r>
      <w:r w:rsidRPr="00AD52BE">
        <w:rPr>
          <w:rFonts w:eastAsia="Times New Roman" w:cs="Times New Roman"/>
          <w:color w:val="000000"/>
          <w:szCs w:val="22"/>
          <w:lang w:eastAsia="en-AU"/>
        </w:rPr>
        <w:softHyphen/>
      </w:r>
      <w:r w:rsidRPr="00AD52BE">
        <w:rPr>
          <w:rFonts w:eastAsia="Times New Roman" w:cs="Times New Roman"/>
          <w:color w:val="000000"/>
          <w:szCs w:val="22"/>
          <w:lang w:eastAsia="en-AU"/>
        </w:rPr>
        <w:softHyphen/>
      </w:r>
      <w:r w:rsidRPr="00AD52BE">
        <w:rPr>
          <w:rFonts w:eastAsia="Times New Roman" w:cs="Times New Roman"/>
          <w:color w:val="000000"/>
          <w:szCs w:val="22"/>
          <w:lang w:eastAsia="en-AU"/>
        </w:rPr>
        <w:noBreakHyphen/>
        <w:t>e—</w:t>
      </w:r>
      <w:r>
        <w:rPr>
          <w:rFonts w:eastAsia="Times New Roman" w:cs="Times New Roman"/>
          <w:color w:val="000000"/>
          <w:szCs w:val="22"/>
          <w:lang w:eastAsia="en-AU"/>
        </w:rPr>
        <w:t>from equation 8.</w:t>
      </w:r>
    </w:p>
    <w:p w14:paraId="7163D694" w14:textId="7B4AB03F" w:rsidR="003120AC" w:rsidRPr="00AD52BE" w:rsidRDefault="00053317" w:rsidP="00BB1307">
      <w:pPr>
        <w:spacing w:before="180" w:line="240" w:lineRule="auto"/>
        <w:ind w:left="1134"/>
        <w:rPr>
          <w:rFonts w:eastAsia="Times New Roman" w:cs="Times New Roman"/>
          <w:color w:val="000000"/>
          <w:szCs w:val="22"/>
          <w:lang w:eastAsia="en-AU"/>
        </w:rPr>
      </w:pPr>
      <w:r w:rsidRPr="00053317">
        <w:rPr>
          <w:rFonts w:eastAsia="Times New Roman" w:cs="Times New Roman"/>
          <w:b/>
          <w:bCs/>
          <w:i/>
          <w:iCs/>
          <w:noProof/>
          <w:color w:val="000000"/>
          <w:szCs w:val="22"/>
          <w:lang w:eastAsia="en-AU"/>
        </w:rPr>
        <w:drawing>
          <wp:inline distT="0" distB="0" distL="0" distR="0" wp14:anchorId="17DD3A45" wp14:editId="1D1114E7">
            <wp:extent cx="314369" cy="181000"/>
            <wp:effectExtent l="0" t="0" r="9525" b="9525"/>
            <wp:docPr id="1379775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775465" name=""/>
                    <pic:cNvPicPr/>
                  </pic:nvPicPr>
                  <pic:blipFill>
                    <a:blip r:embed="rId60"/>
                    <a:stretch>
                      <a:fillRect/>
                    </a:stretch>
                  </pic:blipFill>
                  <pic:spPr>
                    <a:xfrm>
                      <a:off x="0" y="0"/>
                      <a:ext cx="314369" cy="181000"/>
                    </a:xfrm>
                    <a:prstGeom prst="rect">
                      <a:avLst/>
                    </a:prstGeom>
                  </pic:spPr>
                </pic:pic>
              </a:graphicData>
            </a:graphic>
          </wp:inline>
        </w:drawing>
      </w:r>
      <w:r w:rsidR="005D3CBA">
        <w:rPr>
          <w:rFonts w:eastAsia="Times New Roman" w:cs="Times New Roman"/>
          <w:b/>
          <w:bCs/>
          <w:i/>
          <w:iCs/>
          <w:noProof/>
          <w:color w:val="000000"/>
          <w:szCs w:val="22"/>
          <w:lang w:eastAsia="en-AU"/>
        </w:rPr>
        <w:t xml:space="preserve"> </w:t>
      </w:r>
      <w:r w:rsidR="005D3CBA" w:rsidRPr="002A0A38">
        <w:rPr>
          <w:rFonts w:eastAsia="Times New Roman" w:cs="Times New Roman"/>
          <w:noProof/>
          <w:color w:val="000000"/>
          <w:szCs w:val="22"/>
          <w:lang w:eastAsia="en-AU"/>
        </w:rPr>
        <w:t>is the sum of</w:t>
      </w:r>
      <w:r w:rsidR="005D3CBA" w:rsidRPr="00AD52BE">
        <w:rPr>
          <w:bCs/>
          <w:color w:val="000000"/>
          <w:szCs w:val="24"/>
        </w:rPr>
        <w:t> </w:t>
      </w:r>
      <w:proofErr w:type="spellStart"/>
      <w:proofErr w:type="gramStart"/>
      <w:r w:rsidR="005B5C54" w:rsidRPr="00AD52BE">
        <w:rPr>
          <w:bCs/>
          <w:i/>
          <w:iCs/>
          <w:color w:val="000000"/>
          <w:szCs w:val="24"/>
        </w:rPr>
        <w:t>A</w:t>
      </w:r>
      <w:r w:rsidR="005B5C54" w:rsidRPr="00AD52BE">
        <w:rPr>
          <w:bCs/>
          <w:i/>
          <w:iCs/>
          <w:color w:val="000000"/>
          <w:sz w:val="16"/>
          <w:szCs w:val="16"/>
          <w:vertAlign w:val="subscript"/>
        </w:rPr>
        <w:t>Seq</w:t>
      </w:r>
      <w:proofErr w:type="spellEnd"/>
      <w:r w:rsidR="005B5C54">
        <w:rPr>
          <w:bCs/>
          <w:i/>
          <w:iCs/>
          <w:color w:val="000000"/>
          <w:sz w:val="16"/>
          <w:szCs w:val="16"/>
          <w:vertAlign w:val="subscript"/>
        </w:rPr>
        <w:t xml:space="preserve">  </w:t>
      </w:r>
      <w:r w:rsidR="005D3CBA">
        <w:rPr>
          <w:bCs/>
          <w:color w:val="000000"/>
          <w:szCs w:val="24"/>
        </w:rPr>
        <w:t>for</w:t>
      </w:r>
      <w:proofErr w:type="gramEnd"/>
      <w:r w:rsidR="005D3CBA">
        <w:rPr>
          <w:bCs/>
          <w:color w:val="000000"/>
          <w:szCs w:val="24"/>
        </w:rPr>
        <w:t xml:space="preserve"> all years that the project reported under the </w:t>
      </w:r>
      <w:r w:rsidR="005B5C54" w:rsidRPr="005744AB">
        <w:rPr>
          <w:rFonts w:eastAsia="Times New Roman" w:cs="Times New Roman"/>
          <w:i/>
          <w:iCs/>
          <w:color w:val="000000"/>
          <w:szCs w:val="22"/>
          <w:lang w:eastAsia="en-AU"/>
        </w:rPr>
        <w:t>Carbon Credits (Carbon Farming Initiative—Savanna Fire Management—Sequestration and Emissions Abatement) Methodology Determination 2018</w:t>
      </w:r>
      <w:r w:rsidR="005B5C54">
        <w:rPr>
          <w:rFonts w:eastAsia="Times New Roman" w:cs="Times New Roman"/>
          <w:i/>
          <w:iCs/>
          <w:color w:val="000000"/>
          <w:szCs w:val="22"/>
          <w:lang w:eastAsia="en-AU"/>
        </w:rPr>
        <w:t>.</w:t>
      </w:r>
    </w:p>
    <w:p w14:paraId="700A063F" w14:textId="21E45D3F" w:rsidR="00510A44" w:rsidRDefault="00510A44" w:rsidP="006F2429">
      <w:pPr>
        <w:spacing w:line="240" w:lineRule="auto"/>
        <w:ind w:left="1134"/>
        <w:rPr>
          <w:rFonts w:eastAsia="Times New Roman" w:cs="Times New Roman"/>
          <w:lang w:eastAsia="en-AU"/>
        </w:rPr>
      </w:pPr>
    </w:p>
    <w:p w14:paraId="7118DEE0" w14:textId="38BF7FCB" w:rsidR="00047F26" w:rsidRPr="00047F26" w:rsidRDefault="00047F26" w:rsidP="004A7133">
      <w:pPr>
        <w:pStyle w:val="ListParagraph"/>
        <w:numPr>
          <w:ilvl w:val="0"/>
          <w:numId w:val="40"/>
        </w:numPr>
        <w:spacing w:before="180" w:after="120" w:line="240" w:lineRule="auto"/>
        <w:rPr>
          <w:rFonts w:eastAsia="Times New Roman" w:cs="Times New Roman"/>
          <w:color w:val="000000"/>
          <w:szCs w:val="22"/>
          <w:lang w:eastAsia="en-AU"/>
        </w:rPr>
      </w:pPr>
      <w:r>
        <w:rPr>
          <w:rFonts w:eastAsia="Times New Roman" w:cs="Times New Roman"/>
          <w:color w:val="000000"/>
          <w:szCs w:val="22"/>
          <w:lang w:eastAsia="en-AU"/>
        </w:rPr>
        <w:t xml:space="preserve">For projects transferring from </w:t>
      </w:r>
      <w:r w:rsidR="00832AA4">
        <w:rPr>
          <w:rFonts w:eastAsia="Times New Roman" w:cs="Times New Roman"/>
          <w:color w:val="000000"/>
          <w:szCs w:val="22"/>
          <w:lang w:eastAsia="en-AU"/>
        </w:rPr>
        <w:t xml:space="preserve">an emissions avoidance methodology </w:t>
      </w:r>
      <w:r w:rsidR="00CA7228">
        <w:rPr>
          <w:rFonts w:eastAsia="Times New Roman" w:cs="Times New Roman"/>
          <w:color w:val="000000"/>
          <w:szCs w:val="22"/>
          <w:lang w:eastAsia="en-AU"/>
        </w:rPr>
        <w:t xml:space="preserve">determination </w:t>
      </w:r>
      <w:r>
        <w:rPr>
          <w:rFonts w:eastAsia="Times New Roman" w:cs="Times New Roman"/>
          <w:color w:val="000000"/>
          <w:szCs w:val="22"/>
          <w:lang w:eastAsia="en-AU"/>
        </w:rPr>
        <w:t xml:space="preserve">to this </w:t>
      </w:r>
      <w:r w:rsidR="00C929D7">
        <w:rPr>
          <w:rFonts w:eastAsia="Times New Roman" w:cs="Times New Roman"/>
          <w:color w:val="000000"/>
          <w:szCs w:val="22"/>
          <w:lang w:eastAsia="en-AU"/>
        </w:rPr>
        <w:t>instrument</w:t>
      </w:r>
      <w:r>
        <w:rPr>
          <w:rFonts w:eastAsia="Times New Roman" w:cs="Times New Roman"/>
          <w:color w:val="000000"/>
          <w:szCs w:val="22"/>
          <w:lang w:eastAsia="en-AU"/>
        </w:rPr>
        <w:t xml:space="preserve">, the contribution to the net abatement amount from sequestration for a calendar year, </w:t>
      </w:r>
      <w:r w:rsidR="002A1BDF" w:rsidRPr="002A1BDF">
        <w:rPr>
          <w:rFonts w:eastAsia="Times New Roman" w:cs="Times New Roman"/>
          <w:noProof/>
          <w:color w:val="000000"/>
          <w:szCs w:val="22"/>
          <w:lang w:eastAsia="en-AU"/>
        </w:rPr>
        <w:drawing>
          <wp:inline distT="0" distB="0" distL="0" distR="0" wp14:anchorId="6670D518" wp14:editId="11ABE937">
            <wp:extent cx="295316" cy="190527"/>
            <wp:effectExtent l="0" t="0" r="0" b="0"/>
            <wp:docPr id="1089909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909477" name=""/>
                    <pic:cNvPicPr/>
                  </pic:nvPicPr>
                  <pic:blipFill>
                    <a:blip r:embed="rId57"/>
                    <a:stretch>
                      <a:fillRect/>
                    </a:stretch>
                  </pic:blipFill>
                  <pic:spPr>
                    <a:xfrm>
                      <a:off x="0" y="0"/>
                      <a:ext cx="295316" cy="190527"/>
                    </a:xfrm>
                    <a:prstGeom prst="rect">
                      <a:avLst/>
                    </a:prstGeom>
                  </pic:spPr>
                </pic:pic>
              </a:graphicData>
            </a:graphic>
          </wp:inline>
        </w:drawing>
      </w:r>
      <w:r>
        <w:rPr>
          <w:rFonts w:eastAsia="Times New Roman" w:cs="Times New Roman"/>
          <w:color w:val="000000"/>
          <w:szCs w:val="22"/>
          <w:lang w:eastAsia="en-AU"/>
        </w:rPr>
        <w:t>,</w:t>
      </w:r>
      <w:r w:rsidR="003E5C71">
        <w:rPr>
          <w:rFonts w:eastAsia="Times New Roman" w:cs="Times New Roman"/>
          <w:color w:val="000000"/>
          <w:szCs w:val="22"/>
          <w:lang w:eastAsia="en-AU"/>
        </w:rPr>
        <w:t xml:space="preserve"> is given by the following equation</w:t>
      </w:r>
      <w:r w:rsidRPr="009525FF">
        <w:rPr>
          <w:rFonts w:eastAsia="Times New Roman" w:cs="Times New Roman"/>
          <w:color w:val="000000"/>
          <w:szCs w:val="22"/>
          <w:lang w:eastAsia="en-AU"/>
        </w:rPr>
        <w:t>:</w:t>
      </w:r>
    </w:p>
    <w:tbl>
      <w:tblPr>
        <w:tblW w:w="0" w:type="auto"/>
        <w:tblInd w:w="113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014"/>
        <w:gridCol w:w="1149"/>
      </w:tblGrid>
      <w:tr w:rsidR="00047F26" w:rsidRPr="009525FF" w14:paraId="5A902BAD" w14:textId="77777777" w:rsidTr="00867A6B">
        <w:trPr>
          <w:trHeight w:val="1108"/>
        </w:trPr>
        <w:tc>
          <w:tcPr>
            <w:tcW w:w="6300" w:type="dxa"/>
            <w:tcBorders>
              <w:right w:val="single" w:sz="6" w:space="0" w:color="000000"/>
            </w:tcBorders>
            <w:tcMar>
              <w:top w:w="0" w:type="dxa"/>
              <w:left w:w="101" w:type="dxa"/>
              <w:bottom w:w="0" w:type="dxa"/>
              <w:right w:w="101" w:type="dxa"/>
            </w:tcMar>
            <w:vAlign w:val="center"/>
            <w:hideMark/>
          </w:tcPr>
          <w:p w14:paraId="622B364D" w14:textId="6CE6974E" w:rsidR="00047F26" w:rsidRPr="009525FF" w:rsidRDefault="009C718A" w:rsidP="00F16DD7">
            <w:pPr>
              <w:spacing w:line="240" w:lineRule="auto"/>
              <w:rPr>
                <w:rFonts w:eastAsia="Times New Roman" w:cs="Times New Roman"/>
                <w:color w:val="000000"/>
                <w:szCs w:val="22"/>
                <w:lang w:eastAsia="en-AU"/>
              </w:rPr>
            </w:pPr>
            <w:r w:rsidRPr="00102BF7">
              <w:rPr>
                <w:noProof/>
                <w:sz w:val="20"/>
              </w:rPr>
              <w:drawing>
                <wp:inline distT="0" distB="0" distL="0" distR="0" wp14:anchorId="654789BD" wp14:editId="209EC4D8">
                  <wp:extent cx="1469437" cy="469557"/>
                  <wp:effectExtent l="0" t="0" r="0" b="6985"/>
                  <wp:docPr id="1111898557" name="Picture 1" descr="A formula to work out the contribution to the net abatement amount in tonnes CO2 e from the sequestration for a calendar year, for the first reporting year for projects transferring from an emissions avoidance method to this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898557" name="Picture 1" descr="A formula to work out the contribution to the net abatement amount in tonnes CO2 e from the sequestration for a calendar year, for the first reporting year for projects transferring from an emissions avoidance method to this method."/>
                          <pic:cNvPicPr/>
                        </pic:nvPicPr>
                        <pic:blipFill>
                          <a:blip r:embed="rId61"/>
                          <a:stretch>
                            <a:fillRect/>
                          </a:stretch>
                        </pic:blipFill>
                        <pic:spPr>
                          <a:xfrm>
                            <a:off x="0" y="0"/>
                            <a:ext cx="1485542" cy="474703"/>
                          </a:xfrm>
                          <a:prstGeom prst="rect">
                            <a:avLst/>
                          </a:prstGeom>
                        </pic:spPr>
                      </pic:pic>
                    </a:graphicData>
                  </a:graphic>
                </wp:inline>
              </w:drawing>
            </w:r>
          </w:p>
        </w:tc>
        <w:tc>
          <w:tcPr>
            <w:tcW w:w="1150" w:type="dxa"/>
            <w:tcBorders>
              <w:left w:val="single" w:sz="6" w:space="0" w:color="000000"/>
            </w:tcBorders>
            <w:tcMar>
              <w:top w:w="0" w:type="dxa"/>
              <w:left w:w="101" w:type="dxa"/>
              <w:bottom w:w="0" w:type="dxa"/>
              <w:right w:w="101" w:type="dxa"/>
            </w:tcMar>
            <w:vAlign w:val="center"/>
            <w:hideMark/>
          </w:tcPr>
          <w:p w14:paraId="2ECF1CCA" w14:textId="68868ED2" w:rsidR="00047F26" w:rsidRPr="009525FF" w:rsidRDefault="00047F26" w:rsidP="00F16DD7">
            <w:pPr>
              <w:spacing w:before="60" w:line="240" w:lineRule="atLeast"/>
              <w:rPr>
                <w:rFonts w:eastAsia="Times New Roman" w:cs="Times New Roman"/>
                <w:color w:val="000000"/>
                <w:sz w:val="20"/>
                <w:lang w:eastAsia="en-AU"/>
              </w:rPr>
            </w:pPr>
            <w:r w:rsidRPr="009525FF">
              <w:rPr>
                <w:rFonts w:eastAsia="Times New Roman" w:cs="Times New Roman"/>
                <w:color w:val="000000"/>
                <w:sz w:val="20"/>
                <w:lang w:eastAsia="en-AU"/>
              </w:rPr>
              <w:t>equation </w:t>
            </w:r>
            <w:r w:rsidR="00EE2660">
              <w:rPr>
                <w:rFonts w:eastAsia="Times New Roman" w:cs="Times New Roman"/>
                <w:color w:val="000000"/>
                <w:sz w:val="20"/>
                <w:lang w:eastAsia="en-AU"/>
              </w:rPr>
              <w:t>14</w:t>
            </w:r>
          </w:p>
        </w:tc>
      </w:tr>
    </w:tbl>
    <w:p w14:paraId="67E871D3" w14:textId="25965A47" w:rsidR="00047F26" w:rsidRPr="009525FF" w:rsidRDefault="00047F26" w:rsidP="00047F26">
      <w:pPr>
        <w:spacing w:before="180" w:line="240" w:lineRule="auto"/>
        <w:ind w:left="1134" w:hanging="1134"/>
        <w:rPr>
          <w:rFonts w:eastAsia="Times New Roman" w:cs="Times New Roman"/>
          <w:color w:val="000000"/>
          <w:szCs w:val="22"/>
          <w:lang w:eastAsia="en-AU"/>
        </w:rPr>
      </w:pPr>
      <w:r w:rsidRPr="009525FF">
        <w:rPr>
          <w:rFonts w:eastAsia="Times New Roman" w:cs="Times New Roman"/>
          <w:color w:val="000000"/>
          <w:szCs w:val="22"/>
          <w:lang w:eastAsia="en-AU"/>
        </w:rPr>
        <w:t>  </w:t>
      </w:r>
      <w:r>
        <w:rPr>
          <w:rFonts w:eastAsia="Times New Roman" w:cs="Times New Roman"/>
          <w:color w:val="000000"/>
          <w:szCs w:val="22"/>
          <w:lang w:eastAsia="en-AU"/>
        </w:rPr>
        <w:tab/>
      </w:r>
      <w:r w:rsidRPr="009525FF">
        <w:rPr>
          <w:rFonts w:eastAsia="Times New Roman" w:cs="Times New Roman"/>
          <w:color w:val="000000"/>
          <w:szCs w:val="22"/>
          <w:lang w:eastAsia="en-AU"/>
        </w:rPr>
        <w:t>where:</w:t>
      </w:r>
    </w:p>
    <w:p w14:paraId="0B1AF5E5" w14:textId="71FFAADB" w:rsidR="003D6979" w:rsidRDefault="00B8428B" w:rsidP="006F2429">
      <w:pPr>
        <w:spacing w:line="240" w:lineRule="auto"/>
        <w:ind w:left="1134"/>
        <w:rPr>
          <w:rFonts w:eastAsia="Times New Roman" w:cs="Times New Roman"/>
          <w:color w:val="000000"/>
          <w:szCs w:val="22"/>
          <w:lang w:eastAsia="en-AU"/>
        </w:rPr>
      </w:pPr>
      <w:r w:rsidRPr="00B8428B">
        <w:rPr>
          <w:rFonts w:eastAsia="Times New Roman" w:cs="Times New Roman"/>
          <w:b/>
          <w:bCs/>
          <w:noProof/>
          <w:color w:val="000000"/>
          <w:szCs w:val="22"/>
          <w:lang w:eastAsia="en-AU"/>
        </w:rPr>
        <w:drawing>
          <wp:inline distT="0" distB="0" distL="0" distR="0" wp14:anchorId="01A43F25" wp14:editId="15171183">
            <wp:extent cx="200053" cy="219106"/>
            <wp:effectExtent l="0" t="0" r="9525" b="9525"/>
            <wp:docPr id="1271466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466838" name=""/>
                    <pic:cNvPicPr/>
                  </pic:nvPicPr>
                  <pic:blipFill>
                    <a:blip r:embed="rId62"/>
                    <a:stretch>
                      <a:fillRect/>
                    </a:stretch>
                  </pic:blipFill>
                  <pic:spPr>
                    <a:xfrm>
                      <a:off x="0" y="0"/>
                      <a:ext cx="200053" cy="219106"/>
                    </a:xfrm>
                    <a:prstGeom prst="rect">
                      <a:avLst/>
                    </a:prstGeom>
                  </pic:spPr>
                </pic:pic>
              </a:graphicData>
            </a:graphic>
          </wp:inline>
        </w:drawing>
      </w:r>
      <w:r w:rsidR="00047F26" w:rsidRPr="009525FF">
        <w:rPr>
          <w:rFonts w:eastAsia="Times New Roman" w:cs="Times New Roman"/>
          <w:color w:val="000000"/>
          <w:szCs w:val="22"/>
          <w:lang w:eastAsia="en-AU"/>
        </w:rPr>
        <w:t>is the</w:t>
      </w:r>
      <w:r w:rsidR="00047F26">
        <w:rPr>
          <w:rFonts w:eastAsia="Times New Roman" w:cs="Times New Roman"/>
          <w:color w:val="000000"/>
          <w:szCs w:val="22"/>
          <w:lang w:eastAsia="en-AU"/>
        </w:rPr>
        <w:t xml:space="preserve"> </w:t>
      </w:r>
      <w:r w:rsidR="003D6979">
        <w:rPr>
          <w:rFonts w:eastAsia="Times New Roman" w:cs="Times New Roman"/>
          <w:color w:val="000000"/>
          <w:szCs w:val="22"/>
          <w:lang w:eastAsia="en-AU"/>
        </w:rPr>
        <w:t xml:space="preserve">deemed net </w:t>
      </w:r>
      <w:r w:rsidR="00047F26">
        <w:rPr>
          <w:rFonts w:eastAsia="Times New Roman" w:cs="Times New Roman"/>
          <w:color w:val="000000"/>
          <w:szCs w:val="22"/>
          <w:lang w:eastAsia="en-AU"/>
        </w:rPr>
        <w:t xml:space="preserve">carbon stock </w:t>
      </w:r>
      <w:r w:rsidR="003D6979">
        <w:rPr>
          <w:rFonts w:eastAsia="Times New Roman" w:cs="Times New Roman"/>
          <w:color w:val="000000"/>
          <w:szCs w:val="22"/>
          <w:lang w:eastAsia="en-AU"/>
        </w:rPr>
        <w:t xml:space="preserve">at the end of the calendar year, </w:t>
      </w:r>
      <w:r w:rsidR="00047F26" w:rsidRPr="00AD52BE">
        <w:rPr>
          <w:rFonts w:eastAsia="Times New Roman" w:cs="Times New Roman"/>
          <w:color w:val="000000"/>
          <w:szCs w:val="22"/>
          <w:lang w:eastAsia="en-AU"/>
        </w:rPr>
        <w:t>in tonnes CO</w:t>
      </w:r>
      <w:r w:rsidR="00047F26" w:rsidRPr="00AD52BE">
        <w:rPr>
          <w:rFonts w:eastAsia="Times New Roman" w:cs="Times New Roman"/>
          <w:color w:val="000000"/>
          <w:sz w:val="15"/>
          <w:szCs w:val="15"/>
          <w:vertAlign w:val="subscript"/>
          <w:lang w:eastAsia="en-AU"/>
        </w:rPr>
        <w:t>2</w:t>
      </w:r>
      <w:r w:rsidR="00047F26" w:rsidRPr="00AD52BE">
        <w:rPr>
          <w:rFonts w:eastAsia="Times New Roman" w:cs="Times New Roman"/>
          <w:color w:val="000000"/>
          <w:szCs w:val="22"/>
          <w:lang w:eastAsia="en-AU"/>
        </w:rPr>
        <w:softHyphen/>
      </w:r>
      <w:r w:rsidR="00047F26">
        <w:rPr>
          <w:rFonts w:eastAsia="Times New Roman" w:cs="Times New Roman"/>
          <w:color w:val="000000"/>
          <w:szCs w:val="22"/>
          <w:lang w:eastAsia="en-AU"/>
        </w:rPr>
        <w:t>-</w:t>
      </w:r>
      <w:r w:rsidR="00047F26" w:rsidRPr="00AD52BE">
        <w:rPr>
          <w:rFonts w:eastAsia="Times New Roman" w:cs="Times New Roman"/>
          <w:color w:val="000000"/>
          <w:szCs w:val="22"/>
          <w:lang w:eastAsia="en-AU"/>
        </w:rPr>
        <w:t>e</w:t>
      </w:r>
      <w:r w:rsidR="00047F26">
        <w:rPr>
          <w:rFonts w:eastAsia="Times New Roman" w:cs="Times New Roman"/>
          <w:color w:val="000000"/>
          <w:szCs w:val="22"/>
          <w:lang w:eastAsia="en-AU"/>
        </w:rPr>
        <w:t xml:space="preserve">, </w:t>
      </w:r>
      <w:r w:rsidR="003D6979">
        <w:rPr>
          <w:rFonts w:eastAsia="Times New Roman" w:cs="Times New Roman"/>
          <w:color w:val="000000"/>
          <w:szCs w:val="22"/>
          <w:lang w:eastAsia="en-AU"/>
        </w:rPr>
        <w:t xml:space="preserve">from </w:t>
      </w:r>
      <w:proofErr w:type="spellStart"/>
      <w:r w:rsidR="003D6979">
        <w:rPr>
          <w:rFonts w:eastAsia="Times New Roman" w:cs="Times New Roman"/>
          <w:color w:val="000000"/>
          <w:szCs w:val="22"/>
          <w:lang w:eastAsia="en-AU"/>
        </w:rPr>
        <w:t>SavCAM</w:t>
      </w:r>
      <w:proofErr w:type="spellEnd"/>
      <w:r w:rsidR="003D6979">
        <w:rPr>
          <w:rFonts w:eastAsia="Times New Roman" w:cs="Times New Roman"/>
          <w:color w:val="000000"/>
          <w:szCs w:val="22"/>
          <w:lang w:eastAsia="en-AU"/>
        </w:rPr>
        <w:t>.</w:t>
      </w:r>
    </w:p>
    <w:p w14:paraId="2F03C98A" w14:textId="77777777" w:rsidR="003D6979" w:rsidRDefault="003D6979" w:rsidP="003D6979">
      <w:pPr>
        <w:spacing w:before="180" w:line="240" w:lineRule="auto"/>
        <w:ind w:left="1134"/>
        <w:rPr>
          <w:rFonts w:eastAsia="Times New Roman" w:cs="Times New Roman"/>
          <w:color w:val="000000"/>
          <w:szCs w:val="22"/>
          <w:lang w:eastAsia="en-AU"/>
        </w:rPr>
      </w:pPr>
      <w:r>
        <w:rPr>
          <w:rFonts w:eastAsia="Times New Roman" w:cs="Times New Roman"/>
          <w:b/>
          <w:bCs/>
          <w:i/>
          <w:iCs/>
          <w:noProof/>
          <w:color w:val="000000"/>
          <w:szCs w:val="22"/>
          <w:lang w:eastAsia="en-AU"/>
        </w:rPr>
        <w:drawing>
          <wp:inline distT="0" distB="0" distL="0" distR="0" wp14:anchorId="3F5789AD" wp14:editId="1C4983D2">
            <wp:extent cx="184150" cy="247149"/>
            <wp:effectExtent l="0" t="0" r="6350" b="635"/>
            <wp:docPr id="1769359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7855" cy="252122"/>
                    </a:xfrm>
                    <a:prstGeom prst="rect">
                      <a:avLst/>
                    </a:prstGeom>
                    <a:noFill/>
                    <a:ln>
                      <a:noFill/>
                    </a:ln>
                  </pic:spPr>
                </pic:pic>
              </a:graphicData>
            </a:graphic>
          </wp:inline>
        </w:drawing>
      </w:r>
      <w:r w:rsidRPr="00AD52BE">
        <w:rPr>
          <w:rFonts w:eastAsia="Times New Roman" w:cs="Times New Roman"/>
          <w:color w:val="000000"/>
          <w:szCs w:val="22"/>
          <w:lang w:eastAsia="en-AU"/>
        </w:rPr>
        <w:t>is</w:t>
      </w:r>
      <w:r>
        <w:rPr>
          <w:rFonts w:eastAsia="Times New Roman" w:cs="Times New Roman"/>
          <w:color w:val="000000"/>
          <w:szCs w:val="22"/>
          <w:lang w:eastAsia="en-AU"/>
        </w:rPr>
        <w:t xml:space="preserve"> the mean baseline carbon stock</w:t>
      </w:r>
      <w:r w:rsidRPr="00AD52BE">
        <w:rPr>
          <w:rFonts w:eastAsia="Times New Roman" w:cs="Times New Roman"/>
          <w:color w:val="000000"/>
          <w:szCs w:val="22"/>
          <w:lang w:eastAsia="en-AU"/>
        </w:rPr>
        <w:t>, in tonnes CO</w:t>
      </w:r>
      <w:r w:rsidRPr="00AD52BE">
        <w:rPr>
          <w:rFonts w:eastAsia="Times New Roman" w:cs="Times New Roman"/>
          <w:color w:val="000000"/>
          <w:sz w:val="15"/>
          <w:szCs w:val="15"/>
          <w:vertAlign w:val="subscript"/>
          <w:lang w:eastAsia="en-AU"/>
        </w:rPr>
        <w:t>2</w:t>
      </w:r>
      <w:r w:rsidRPr="00AD52BE">
        <w:rPr>
          <w:rFonts w:eastAsia="Times New Roman" w:cs="Times New Roman"/>
          <w:color w:val="000000"/>
          <w:szCs w:val="22"/>
          <w:lang w:eastAsia="en-AU"/>
        </w:rPr>
        <w:softHyphen/>
      </w:r>
      <w:r w:rsidRPr="00AD52BE">
        <w:rPr>
          <w:rFonts w:eastAsia="Times New Roman" w:cs="Times New Roman"/>
          <w:color w:val="000000"/>
          <w:szCs w:val="22"/>
          <w:lang w:eastAsia="en-AU"/>
        </w:rPr>
        <w:softHyphen/>
      </w:r>
      <w:r w:rsidRPr="00AD52BE">
        <w:rPr>
          <w:rFonts w:eastAsia="Times New Roman" w:cs="Times New Roman"/>
          <w:color w:val="000000"/>
          <w:szCs w:val="22"/>
          <w:lang w:eastAsia="en-AU"/>
        </w:rPr>
        <w:noBreakHyphen/>
        <w:t>e—</w:t>
      </w:r>
      <w:r>
        <w:rPr>
          <w:rFonts w:eastAsia="Times New Roman" w:cs="Times New Roman"/>
          <w:color w:val="000000"/>
          <w:szCs w:val="22"/>
          <w:lang w:eastAsia="en-AU"/>
        </w:rPr>
        <w:t>from equation 8.</w:t>
      </w:r>
    </w:p>
    <w:p w14:paraId="48FD45D1" w14:textId="77777777" w:rsidR="003D6979" w:rsidRDefault="003D6979" w:rsidP="006F2429">
      <w:pPr>
        <w:spacing w:line="240" w:lineRule="auto"/>
        <w:ind w:left="1134"/>
        <w:rPr>
          <w:rFonts w:eastAsia="Times New Roman" w:cs="Times New Roman"/>
          <w:color w:val="000000"/>
          <w:szCs w:val="22"/>
          <w:lang w:eastAsia="en-AU"/>
        </w:rPr>
      </w:pPr>
    </w:p>
    <w:p w14:paraId="63DEF42A" w14:textId="77777777" w:rsidR="00510A44" w:rsidRDefault="00510A44" w:rsidP="00554826">
      <w:pPr>
        <w:spacing w:line="240" w:lineRule="auto"/>
        <w:rPr>
          <w:rFonts w:eastAsia="Times New Roman" w:cs="Times New Roman"/>
          <w:lang w:eastAsia="en-AU"/>
        </w:rPr>
      </w:pPr>
    </w:p>
    <w:p w14:paraId="51FCC61A" w14:textId="77777777" w:rsidR="00047F26" w:rsidRDefault="00047F26" w:rsidP="00554826">
      <w:pPr>
        <w:spacing w:line="240" w:lineRule="auto"/>
        <w:rPr>
          <w:rFonts w:eastAsia="Times New Roman" w:cs="Times New Roman"/>
          <w:lang w:eastAsia="en-AU"/>
        </w:rPr>
      </w:pPr>
    </w:p>
    <w:p w14:paraId="30D6BDC5" w14:textId="77777777" w:rsidR="00AA0DBF" w:rsidRDefault="00AA0DBF" w:rsidP="00554826">
      <w:pPr>
        <w:spacing w:line="240" w:lineRule="auto"/>
        <w:rPr>
          <w:rFonts w:eastAsia="Times New Roman" w:cs="Times New Roman"/>
          <w:lang w:eastAsia="en-AU"/>
        </w:rPr>
      </w:pPr>
    </w:p>
    <w:p w14:paraId="5FE8C107" w14:textId="77777777" w:rsidR="009E6B2E" w:rsidRDefault="009E6B2E">
      <w:pPr>
        <w:spacing w:line="240" w:lineRule="auto"/>
        <w:rPr>
          <w:rFonts w:ascii="Arial" w:eastAsia="Times New Roman" w:hAnsi="Arial" w:cs="Times New Roman"/>
          <w:b/>
          <w:kern w:val="28"/>
          <w:sz w:val="32"/>
          <w:lang w:eastAsia="en-AU"/>
        </w:rPr>
      </w:pPr>
      <w:r>
        <w:br w:type="page"/>
      </w:r>
    </w:p>
    <w:p w14:paraId="5EF08AAB" w14:textId="15EFC165" w:rsidR="00D6537E" w:rsidRPr="004E1307" w:rsidRDefault="004E1307" w:rsidP="00867A6B">
      <w:pPr>
        <w:pStyle w:val="ActHead6"/>
        <w:outlineLvl w:val="0"/>
      </w:pPr>
      <w:bookmarkStart w:id="109" w:name="_Toc202953875"/>
      <w:r>
        <w:lastRenderedPageBreak/>
        <w:t xml:space="preserve">Schedule </w:t>
      </w:r>
      <w:r w:rsidR="00953C41">
        <w:t>3</w:t>
      </w:r>
      <w:r w:rsidR="00D6537E" w:rsidRPr="004E1307">
        <w:t>—</w:t>
      </w:r>
      <w:r w:rsidR="009E3B41">
        <w:t>Re</w:t>
      </w:r>
      <w:r w:rsidR="003E5C71">
        <w:t>peals</w:t>
      </w:r>
      <w:bookmarkEnd w:id="109"/>
    </w:p>
    <w:p w14:paraId="4DEBB848" w14:textId="5E6B21D8" w:rsidR="00175973" w:rsidRPr="009E6B2E" w:rsidRDefault="00F83518" w:rsidP="00867A6B">
      <w:pPr>
        <w:pStyle w:val="ActHead9"/>
        <w:outlineLvl w:val="1"/>
      </w:pPr>
      <w:bookmarkStart w:id="110" w:name="_Toc202953876"/>
      <w:r w:rsidRPr="009E6B2E">
        <w:t>Carbon Credits (Carbon Farming Initiative—Savanna Fire Management—Sequestration and Emissions Avoidance) Methodology Determination 2018</w:t>
      </w:r>
      <w:bookmarkEnd w:id="110"/>
    </w:p>
    <w:p w14:paraId="67097A1F" w14:textId="77777777" w:rsidR="00175973" w:rsidRPr="009A4107" w:rsidRDefault="00175973" w:rsidP="00DA23A9">
      <w:pPr>
        <w:pStyle w:val="ItemHead"/>
        <w:outlineLvl w:val="2"/>
      </w:pPr>
      <w:proofErr w:type="gramStart"/>
      <w:r w:rsidRPr="009A4107">
        <w:t>1  The</w:t>
      </w:r>
      <w:proofErr w:type="gramEnd"/>
      <w:r w:rsidRPr="009A4107">
        <w:t xml:space="preserve"> whole of the instrument</w:t>
      </w:r>
    </w:p>
    <w:p w14:paraId="719EDA8A" w14:textId="29DB0766" w:rsidR="00175973" w:rsidRDefault="0055489D" w:rsidP="00DA23A9">
      <w:pPr>
        <w:pStyle w:val="Item"/>
      </w:pPr>
      <w:r>
        <w:t>Re</w:t>
      </w:r>
      <w:r w:rsidR="003E5C71">
        <w:t>peal</w:t>
      </w:r>
      <w:r>
        <w:t xml:space="preserve"> </w:t>
      </w:r>
      <w:r w:rsidR="00175973">
        <w:t xml:space="preserve">the </w:t>
      </w:r>
      <w:r w:rsidR="00175973" w:rsidRPr="009A4107">
        <w:t>instrument</w:t>
      </w:r>
    </w:p>
    <w:p w14:paraId="7FB404DE" w14:textId="7EF0C315" w:rsidR="00A75FE9" w:rsidRDefault="00A75FE9" w:rsidP="00142D23">
      <w:pPr>
        <w:spacing w:line="240" w:lineRule="auto"/>
      </w:pPr>
    </w:p>
    <w:sectPr w:rsidR="00A75FE9" w:rsidSect="008C2EAC">
      <w:headerReference w:type="even" r:id="rId63"/>
      <w:headerReference w:type="default" r:id="rId64"/>
      <w:footerReference w:type="even" r:id="rId65"/>
      <w:footerReference w:type="default" r:id="rId66"/>
      <w:headerReference w:type="first" r:id="rId67"/>
      <w:footerReference w:type="first" r:id="rId68"/>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EB597" w14:textId="77777777" w:rsidR="00643C85" w:rsidRDefault="00643C85" w:rsidP="00715914">
      <w:pPr>
        <w:spacing w:line="240" w:lineRule="auto"/>
      </w:pPr>
      <w:r>
        <w:separator/>
      </w:r>
    </w:p>
  </w:endnote>
  <w:endnote w:type="continuationSeparator" w:id="0">
    <w:p w14:paraId="6B57A6C1" w14:textId="77777777" w:rsidR="00643C85" w:rsidRDefault="00643C85" w:rsidP="00715914">
      <w:pPr>
        <w:spacing w:line="240" w:lineRule="auto"/>
      </w:pPr>
      <w:r>
        <w:continuationSeparator/>
      </w:r>
    </w:p>
  </w:endnote>
  <w:endnote w:type="continuationNotice" w:id="1">
    <w:p w14:paraId="07EF1BDE" w14:textId="77777777" w:rsidR="00643C85" w:rsidRDefault="00643C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AF9C4EEC-A256-4A38-A35C-7C52FFE2552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E95AF" w14:textId="12EE469C" w:rsidR="0072147A" w:rsidRPr="00E33C1C" w:rsidRDefault="008B0A88" w:rsidP="00D6537E">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40832" behindDoc="0" locked="0" layoutInCell="1" allowOverlap="1" wp14:anchorId="5A1784D8" wp14:editId="63A15CEB">
              <wp:simplePos x="635" y="635"/>
              <wp:positionH relativeFrom="page">
                <wp:align>center</wp:align>
              </wp:positionH>
              <wp:positionV relativeFrom="page">
                <wp:align>bottom</wp:align>
              </wp:positionV>
              <wp:extent cx="2107565" cy="376555"/>
              <wp:effectExtent l="0" t="0" r="6985" b="0"/>
              <wp:wrapNone/>
              <wp:docPr id="270071410" name="Text Box 11"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7A5DBDA4" w14:textId="79412300" w:rsidR="008B0A88" w:rsidRPr="008B0A88" w:rsidRDefault="008B0A88" w:rsidP="008B0A88">
                          <w:pPr>
                            <w:rPr>
                              <w:rFonts w:ascii="Calibri" w:eastAsia="Calibri" w:hAnsi="Calibri" w:cs="Calibri"/>
                              <w:noProof/>
                              <w:color w:val="FF0000"/>
                              <w:sz w:val="24"/>
                              <w:szCs w:val="24"/>
                            </w:rPr>
                          </w:pPr>
                          <w:r w:rsidRPr="008B0A88">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1784D8" id="_x0000_t202" coordsize="21600,21600" o:spt="202" path="m,l,21600r21600,l21600,xe">
              <v:stroke joinstyle="miter"/>
              <v:path gradientshapeok="t" o:connecttype="rect"/>
            </v:shapetype>
            <v:shape id="Text Box 11" o:spid="_x0000_s1029" type="#_x0000_t202" alt="OFFICIAL: Sensitive Legal-Privilege" style="position:absolute;margin-left:0;margin-top:0;width:165.95pt;height:29.65pt;z-index:2516408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" filled="f" stroked="f">
              <v:textbox style="mso-fit-shape-to-text:t" inset="0,0,0,15pt">
                <w:txbxContent>
                  <w:p w14:paraId="7A5DBDA4" w14:textId="79412300" w:rsidR="008B0A88" w:rsidRPr="008B0A88" w:rsidRDefault="008B0A88" w:rsidP="008B0A88">
                    <w:pPr>
                      <w:rPr>
                        <w:rFonts w:ascii="Calibri" w:eastAsia="Calibri" w:hAnsi="Calibri" w:cs="Calibri"/>
                        <w:noProof/>
                        <w:color w:val="FF0000"/>
                        <w:sz w:val="24"/>
                        <w:szCs w:val="24"/>
                      </w:rPr>
                    </w:pPr>
                    <w:r w:rsidRPr="008B0A88">
                      <w:rPr>
                        <w:rFonts w:ascii="Calibri" w:eastAsia="Calibri" w:hAnsi="Calibri" w:cs="Calibri"/>
                        <w:noProof/>
                        <w:color w:val="FF0000"/>
                        <w:sz w:val="24"/>
                        <w:szCs w:val="24"/>
                      </w:rPr>
                      <w:t>OFFICIAL: Sensitive Legal-Privilege</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72147A" w14:paraId="380C762B" w14:textId="77777777" w:rsidTr="00B33709">
      <w:tc>
        <w:tcPr>
          <w:tcW w:w="709" w:type="dxa"/>
          <w:tcBorders>
            <w:top w:val="nil"/>
            <w:left w:val="nil"/>
            <w:bottom w:val="nil"/>
            <w:right w:val="nil"/>
          </w:tcBorders>
        </w:tcPr>
        <w:p w14:paraId="4A6141E6"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102A00E7" w14:textId="534D1A68"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end"/>
          </w:r>
        </w:p>
      </w:tc>
      <w:tc>
        <w:tcPr>
          <w:tcW w:w="1383" w:type="dxa"/>
          <w:tcBorders>
            <w:top w:val="nil"/>
            <w:left w:val="nil"/>
            <w:bottom w:val="nil"/>
            <w:right w:val="nil"/>
          </w:tcBorders>
        </w:tcPr>
        <w:p w14:paraId="36716A6C" w14:textId="77777777" w:rsidR="0072147A" w:rsidRDefault="0072147A" w:rsidP="00A369E3">
          <w:pPr>
            <w:spacing w:line="0" w:lineRule="atLeast"/>
            <w:jc w:val="right"/>
            <w:rPr>
              <w:sz w:val="18"/>
            </w:rPr>
          </w:pPr>
        </w:p>
      </w:tc>
    </w:tr>
    <w:tr w:rsidR="0072147A" w14:paraId="0DCA5E4D"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11E2DA8" w14:textId="77777777" w:rsidR="0072147A" w:rsidRDefault="0072147A" w:rsidP="00A369E3">
          <w:pPr>
            <w:jc w:val="right"/>
            <w:rPr>
              <w:sz w:val="18"/>
            </w:rPr>
          </w:pPr>
        </w:p>
      </w:tc>
    </w:tr>
  </w:tbl>
  <w:p w14:paraId="27906267"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1BEB2" w14:textId="1E3260D5" w:rsidR="0072147A" w:rsidRPr="00E33C1C" w:rsidRDefault="008B0A88" w:rsidP="00D6537E">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44928" behindDoc="0" locked="0" layoutInCell="1" allowOverlap="1" wp14:anchorId="0DB99184" wp14:editId="111BC631">
              <wp:simplePos x="635" y="635"/>
              <wp:positionH relativeFrom="page">
                <wp:align>center</wp:align>
              </wp:positionH>
              <wp:positionV relativeFrom="page">
                <wp:align>bottom</wp:align>
              </wp:positionV>
              <wp:extent cx="2107565" cy="376555"/>
              <wp:effectExtent l="0" t="0" r="6985" b="0"/>
              <wp:wrapNone/>
              <wp:docPr id="26066803" name="Text Box 12"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0DA2D05F" w14:textId="3A20775F" w:rsidR="008B0A88" w:rsidRPr="008B0A88" w:rsidRDefault="008B0A88" w:rsidP="008B0A88">
                          <w:pPr>
                            <w:rPr>
                              <w:rFonts w:ascii="Calibri" w:eastAsia="Calibri" w:hAnsi="Calibri" w:cs="Calibri"/>
                              <w:noProof/>
                              <w:color w:val="FF0000"/>
                              <w:sz w:val="24"/>
                              <w:szCs w:val="24"/>
                            </w:rPr>
                          </w:pPr>
                          <w:r w:rsidRPr="008B0A88">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B99184" id="_x0000_t202" coordsize="21600,21600" o:spt="202" path="m,l,21600r21600,l21600,xe">
              <v:stroke joinstyle="miter"/>
              <v:path gradientshapeok="t" o:connecttype="rect"/>
            </v:shapetype>
            <v:shape id="Text Box 12" o:spid="_x0000_s1030" type="#_x0000_t202" alt="OFFICIAL: Sensitive Legal-Privilege" style="position:absolute;margin-left:0;margin-top:0;width:165.95pt;height:29.65pt;z-index:2516449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" filled="f" stroked="f">
              <v:textbox style="mso-fit-shape-to-text:t" inset="0,0,0,15pt">
                <w:txbxContent>
                  <w:p w14:paraId="0DA2D05F" w14:textId="3A20775F" w:rsidR="008B0A88" w:rsidRPr="008B0A88" w:rsidRDefault="008B0A88" w:rsidP="008B0A88">
                    <w:pPr>
                      <w:rPr>
                        <w:rFonts w:ascii="Calibri" w:eastAsia="Calibri" w:hAnsi="Calibri" w:cs="Calibri"/>
                        <w:noProof/>
                        <w:color w:val="FF0000"/>
                        <w:sz w:val="24"/>
                        <w:szCs w:val="24"/>
                      </w:rPr>
                    </w:pPr>
                    <w:r w:rsidRPr="008B0A88">
                      <w:rPr>
                        <w:rFonts w:ascii="Calibri" w:eastAsia="Calibri" w:hAnsi="Calibri" w:cs="Calibri"/>
                        <w:noProof/>
                        <w:color w:val="FF0000"/>
                        <w:sz w:val="24"/>
                        <w:szCs w:val="24"/>
                      </w:rPr>
                      <w:t>OFFICIAL: Sensitive Legal-Privilege</w:t>
                    </w:r>
                  </w:p>
                </w:txbxContent>
              </v:textbox>
              <w10:wrap anchorx="page" anchory="page"/>
            </v:shape>
          </w:pict>
        </mc:Fallback>
      </mc:AlternateContent>
    </w:r>
  </w:p>
  <w:tbl>
    <w:tblPr>
      <w:tblStyle w:val="TableGrid"/>
      <w:tblW w:w="0" w:type="auto"/>
      <w:tblLook w:val="04A0" w:firstRow="1" w:lastRow="0" w:firstColumn="1" w:lastColumn="0" w:noHBand="0" w:noVBand="1"/>
    </w:tblPr>
    <w:tblGrid>
      <w:gridCol w:w="1360"/>
      <w:gridCol w:w="6252"/>
      <w:gridCol w:w="701"/>
    </w:tblGrid>
    <w:tr w:rsidR="0072147A" w14:paraId="6D56AC50" w14:textId="77777777" w:rsidTr="00867A6B">
      <w:tc>
        <w:tcPr>
          <w:tcW w:w="1384" w:type="dxa"/>
          <w:tcBorders>
            <w:top w:val="nil"/>
            <w:left w:val="nil"/>
            <w:bottom w:val="nil"/>
            <w:right w:val="nil"/>
          </w:tcBorders>
        </w:tcPr>
        <w:p w14:paraId="174DA203" w14:textId="77777777" w:rsidR="0072147A" w:rsidRDefault="0072147A" w:rsidP="00A369E3">
          <w:pPr>
            <w:spacing w:line="0" w:lineRule="atLeast"/>
            <w:rPr>
              <w:sz w:val="18"/>
            </w:rPr>
          </w:pPr>
        </w:p>
      </w:tc>
      <w:tc>
        <w:tcPr>
          <w:tcW w:w="6379" w:type="dxa"/>
          <w:tcBorders>
            <w:top w:val="nil"/>
            <w:left w:val="nil"/>
            <w:bottom w:val="nil"/>
            <w:right w:val="nil"/>
          </w:tcBorders>
        </w:tcPr>
        <w:p w14:paraId="184CFD6C" w14:textId="6840D053"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end"/>
          </w:r>
        </w:p>
      </w:tc>
      <w:tc>
        <w:tcPr>
          <w:tcW w:w="709" w:type="dxa"/>
          <w:tcBorders>
            <w:top w:val="nil"/>
            <w:left w:val="nil"/>
            <w:bottom w:val="nil"/>
            <w:right w:val="nil"/>
          </w:tcBorders>
        </w:tcPr>
        <w:p w14:paraId="5CA2D1C7"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4EA8C6BA" w14:textId="77777777" w:rsidTr="00867A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11D5DEB" w14:textId="77777777" w:rsidR="0072147A" w:rsidRDefault="0072147A" w:rsidP="00A369E3">
          <w:pPr>
            <w:rPr>
              <w:sz w:val="18"/>
            </w:rPr>
          </w:pPr>
        </w:p>
      </w:tc>
    </w:tr>
  </w:tbl>
  <w:p w14:paraId="3BDCBCEA"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300E1" w14:textId="572F8500" w:rsidR="0072147A" w:rsidRPr="00430E90" w:rsidRDefault="00430E90" w:rsidP="00430E90">
    <w:pPr>
      <w:jc w:val="center"/>
      <w:rPr>
        <w:rFonts w:ascii="Arial" w:hAnsi="Arial" w:cs="Arial"/>
        <w:b/>
        <w:noProof/>
        <w:sz w:val="40"/>
      </w:rPr>
    </w:pPr>
    <w:r>
      <w:rPr>
        <w:rFonts w:ascii="Arial" w:hAnsi="Arial" w:cs="Arial"/>
        <w:b/>
        <w:noProof/>
        <w:sz w:val="40"/>
      </w:rPr>
      <mc:AlternateContent>
        <mc:Choice Requires="wps">
          <w:drawing>
            <wp:anchor distT="0" distB="0" distL="0" distR="0" simplePos="0" relativeHeight="251658254" behindDoc="0" locked="0" layoutInCell="1" allowOverlap="1" wp14:anchorId="7590C5C3" wp14:editId="4DFFB450">
              <wp:simplePos x="0" y="0"/>
              <wp:positionH relativeFrom="page">
                <wp:posOffset>3503488</wp:posOffset>
              </wp:positionH>
              <wp:positionV relativeFrom="paragraph">
                <wp:posOffset>316572</wp:posOffset>
              </wp:positionV>
              <wp:extent cx="551815" cy="376505"/>
              <wp:effectExtent l="0" t="0" r="635" b="5080"/>
              <wp:wrapNone/>
              <wp:docPr id="55744510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05"/>
                      </a:xfrm>
                      <a:prstGeom prst="rect">
                        <a:avLst/>
                      </a:prstGeom>
                      <a:noFill/>
                      <a:ln>
                        <a:noFill/>
                      </a:ln>
                    </wps:spPr>
                    <wps:txbx>
                      <w:txbxContent>
                        <w:p w14:paraId="67BCFD1A" w14:textId="029620A8" w:rsidR="00430E90" w:rsidRPr="00CA7F19" w:rsidRDefault="00430E90" w:rsidP="00430E90">
                          <w:pPr>
                            <w:spacing w:line="240" w:lineRule="auto"/>
                            <w:jc w:val="center"/>
                            <w:rPr>
                              <w:rFonts w:ascii="Calibri" w:eastAsia="Calibri" w:hAnsi="Calibri" w:cs="Calibri"/>
                              <w:noProof/>
                              <w:color w:val="FF0000"/>
                              <w:sz w:val="24"/>
                              <w:szCs w:val="24"/>
                            </w:rPr>
                          </w:pPr>
                        </w:p>
                      </w:txbxContent>
                    </wps:txbx>
                    <wps:bodyPr rot="0" spcFirstLastPara="0" vertOverflow="overflow" horzOverflow="overflow" vert="horz" wrap="square" lIns="0" tIns="190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90C5C3" id="_x0000_t202" coordsize="21600,21600" o:spt="202" path="m,l,21600r21600,l21600,xe">
              <v:stroke joinstyle="miter"/>
              <v:path gradientshapeok="t" o:connecttype="rect"/>
            </v:shapetype>
            <v:shape id="_x0000_s1031" type="#_x0000_t202" alt="OFFICIAL" style="position:absolute;left:0;text-align:left;margin-left:275.85pt;margin-top:24.95pt;width:43.45pt;height:29.65pt;z-index:25165825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" filled="f" stroked="f">
              <v:textbox inset="0,15pt,0,0">
                <w:txbxContent>
                  <w:p w14:paraId="67BCFD1A" w14:textId="029620A8" w:rsidR="00430E90" w:rsidRPr="00CA7F19" w:rsidRDefault="00430E90" w:rsidP="00430E90">
                    <w:pPr>
                      <w:spacing w:line="240" w:lineRule="auto"/>
                      <w:jc w:val="center"/>
                      <w:rPr>
                        <w:rFonts w:ascii="Calibri" w:eastAsia="Calibri" w:hAnsi="Calibri" w:cs="Calibri"/>
                        <w:noProof/>
                        <w:color w:val="FF0000"/>
                        <w:sz w:val="24"/>
                        <w:szCs w:val="24"/>
                      </w:rPr>
                    </w:pPr>
                  </w:p>
                </w:txbxContent>
              </v:textbox>
              <w10:wrap anchorx="page"/>
            </v:shape>
          </w:pict>
        </mc:Fallback>
      </mc:AlternateContent>
    </w:r>
    <w:r>
      <w:rPr>
        <w:rFonts w:ascii="Arial" w:hAnsi="Arial" w:cs="Arial"/>
        <w:b/>
        <w:noProof/>
        <w:sz w:val="40"/>
      </w:rPr>
      <w:t>EXPOSURE DRAFT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37261" w14:textId="1CF2B996" w:rsidR="00F6696E" w:rsidRPr="002B0EA5" w:rsidRDefault="00F6696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28AEC8EC" w14:textId="77777777" w:rsidTr="00867A6B">
      <w:tc>
        <w:tcPr>
          <w:tcW w:w="365" w:type="pct"/>
        </w:tcPr>
        <w:p w14:paraId="4C97D758" w14:textId="77777777" w:rsidR="00F6696E" w:rsidRDefault="00F6696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782D1837" w14:textId="027A54FA" w:rsidR="00F6696E" w:rsidRDefault="00F6696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E5103">
            <w:rPr>
              <w:i/>
              <w:noProof/>
              <w:sz w:val="18"/>
            </w:rPr>
            <w:t>Carbon Credits (Carbon Farming Initiative—Savanna Fire Management—Sequestration and Emissions Avoidance) Methodology Determination 2025</w:t>
          </w:r>
          <w:r w:rsidRPr="004E1307">
            <w:rPr>
              <w:i/>
              <w:sz w:val="18"/>
            </w:rPr>
            <w:fldChar w:fldCharType="end"/>
          </w:r>
        </w:p>
      </w:tc>
      <w:tc>
        <w:tcPr>
          <w:tcW w:w="947" w:type="pct"/>
        </w:tcPr>
        <w:p w14:paraId="75070098" w14:textId="77777777" w:rsidR="00F6696E" w:rsidRDefault="00F6696E">
          <w:pPr>
            <w:spacing w:line="0" w:lineRule="atLeast"/>
            <w:jc w:val="right"/>
            <w:rPr>
              <w:sz w:val="18"/>
            </w:rPr>
          </w:pPr>
        </w:p>
      </w:tc>
    </w:tr>
    <w:tr w:rsidR="00F6696E" w14:paraId="5361025B" w14:textId="77777777" w:rsidTr="00867A6B">
      <w:tc>
        <w:tcPr>
          <w:tcW w:w="5000" w:type="pct"/>
          <w:gridSpan w:val="3"/>
        </w:tcPr>
        <w:p w14:paraId="545EC965" w14:textId="77777777" w:rsidR="00F6696E" w:rsidRDefault="00F6696E">
          <w:pPr>
            <w:jc w:val="right"/>
            <w:rPr>
              <w:sz w:val="18"/>
            </w:rPr>
          </w:pPr>
        </w:p>
      </w:tc>
    </w:tr>
  </w:tbl>
  <w:p w14:paraId="509D1EE5" w14:textId="77777777" w:rsidR="00430E90" w:rsidRPr="00430E90" w:rsidRDefault="00430E90" w:rsidP="00430E90">
    <w:pPr>
      <w:jc w:val="center"/>
      <w:rPr>
        <w:rFonts w:ascii="Arial" w:hAnsi="Arial" w:cs="Arial"/>
        <w:b/>
        <w:noProof/>
        <w:sz w:val="40"/>
      </w:rPr>
    </w:pPr>
    <w:r>
      <w:rPr>
        <w:rFonts w:ascii="Arial" w:hAnsi="Arial" w:cs="Arial"/>
        <w:b/>
        <w:noProof/>
        <w:sz w:val="40"/>
      </w:rPr>
      <mc:AlternateContent>
        <mc:Choice Requires="wps">
          <w:drawing>
            <wp:anchor distT="0" distB="0" distL="0" distR="0" simplePos="0" relativeHeight="251661312" behindDoc="0" locked="0" layoutInCell="1" allowOverlap="1" wp14:anchorId="36B711C8" wp14:editId="2831F049">
              <wp:simplePos x="0" y="0"/>
              <wp:positionH relativeFrom="page">
                <wp:posOffset>3503488</wp:posOffset>
              </wp:positionH>
              <wp:positionV relativeFrom="paragraph">
                <wp:posOffset>316572</wp:posOffset>
              </wp:positionV>
              <wp:extent cx="551815" cy="376505"/>
              <wp:effectExtent l="0" t="0" r="635" b="5080"/>
              <wp:wrapNone/>
              <wp:docPr id="214428625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05"/>
                      </a:xfrm>
                      <a:prstGeom prst="rect">
                        <a:avLst/>
                      </a:prstGeom>
                      <a:noFill/>
                      <a:ln>
                        <a:noFill/>
                      </a:ln>
                    </wps:spPr>
                    <wps:txbx>
                      <w:txbxContent>
                        <w:p w14:paraId="7F82FC4B" w14:textId="783B8025" w:rsidR="00430E90" w:rsidRPr="00CA7F19" w:rsidRDefault="00430E90" w:rsidP="00430E90">
                          <w:pPr>
                            <w:spacing w:line="240" w:lineRule="auto"/>
                            <w:jc w:val="center"/>
                            <w:rPr>
                              <w:rFonts w:ascii="Calibri" w:eastAsia="Calibri" w:hAnsi="Calibri" w:cs="Calibri"/>
                              <w:noProof/>
                              <w:color w:val="FF0000"/>
                              <w:sz w:val="24"/>
                              <w:szCs w:val="24"/>
                            </w:rPr>
                          </w:pPr>
                        </w:p>
                      </w:txbxContent>
                    </wps:txbx>
                    <wps:bodyPr rot="0" spcFirstLastPara="0" vertOverflow="overflow" horzOverflow="overflow" vert="horz" wrap="square" lIns="0" tIns="190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B711C8" id="_x0000_t202" coordsize="21600,21600" o:spt="202" path="m,l,21600r21600,l21600,xe">
              <v:stroke joinstyle="miter"/>
              <v:path gradientshapeok="t" o:connecttype="rect"/>
            </v:shapetype>
            <v:shape id="_x0000_s1032" type="#_x0000_t202" alt="OFFICIAL" style="position:absolute;left:0;text-align:left;margin-left:275.85pt;margin-top:24.95pt;width:43.45pt;height:29.65pt;z-index:25166131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" filled="f" stroked="f">
              <v:textbox inset="0,15pt,0,0">
                <w:txbxContent>
                  <w:p w14:paraId="7F82FC4B" w14:textId="783B8025" w:rsidR="00430E90" w:rsidRPr="00CA7F19" w:rsidRDefault="00430E90" w:rsidP="00430E90">
                    <w:pPr>
                      <w:spacing w:line="240" w:lineRule="auto"/>
                      <w:jc w:val="center"/>
                      <w:rPr>
                        <w:rFonts w:ascii="Calibri" w:eastAsia="Calibri" w:hAnsi="Calibri" w:cs="Calibri"/>
                        <w:noProof/>
                        <w:color w:val="FF0000"/>
                        <w:sz w:val="24"/>
                        <w:szCs w:val="24"/>
                      </w:rPr>
                    </w:pPr>
                  </w:p>
                </w:txbxContent>
              </v:textbox>
              <w10:wrap anchorx="page"/>
            </v:shape>
          </w:pict>
        </mc:Fallback>
      </mc:AlternateContent>
    </w:r>
    <w:r>
      <w:rPr>
        <w:rFonts w:ascii="Arial" w:hAnsi="Arial" w:cs="Arial"/>
        <w:b/>
        <w:noProof/>
        <w:sz w:val="40"/>
      </w:rPr>
      <mc:AlternateContent>
        <mc:Choice Requires="wps">
          <w:drawing>
            <wp:anchor distT="0" distB="0" distL="0" distR="0" simplePos="0" relativeHeight="251657216" behindDoc="0" locked="0" layoutInCell="1" allowOverlap="1" wp14:anchorId="1EDBF710" wp14:editId="77A1F2C8">
              <wp:simplePos x="1140431" y="462337"/>
              <wp:positionH relativeFrom="page">
                <wp:align>center</wp:align>
              </wp:positionH>
              <wp:positionV relativeFrom="page">
                <wp:align>top</wp:align>
              </wp:positionV>
              <wp:extent cx="551815" cy="376555"/>
              <wp:effectExtent l="0" t="0" r="635" b="4445"/>
              <wp:wrapNone/>
              <wp:docPr id="39421116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F15CD91" w14:textId="2DB53179" w:rsidR="00430E90" w:rsidRPr="00CA7F19" w:rsidRDefault="00430E90" w:rsidP="00430E90">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1EDBF710" id="_x0000_s1033" type="#_x0000_t202" alt="OFFICIAL" style="position:absolute;left:0;text-align:left;margin-left:0;margin-top:0;width:43.45pt;height:29.6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textbox style="mso-fit-shape-to-text:t" inset="0,15pt,0,0">
                <w:txbxContent>
                  <w:p w14:paraId="5F15CD91" w14:textId="2DB53179" w:rsidR="00430E90" w:rsidRPr="00CA7F19" w:rsidRDefault="00430E90" w:rsidP="00430E90">
                    <w:pPr>
                      <w:rPr>
                        <w:rFonts w:ascii="Calibri" w:eastAsia="Calibri" w:hAnsi="Calibri" w:cs="Calibri"/>
                        <w:noProof/>
                        <w:color w:val="FF0000"/>
                        <w:sz w:val="24"/>
                        <w:szCs w:val="24"/>
                      </w:rPr>
                    </w:pPr>
                  </w:p>
                </w:txbxContent>
              </v:textbox>
              <w10:wrap anchorx="page" anchory="page"/>
            </v:shape>
          </w:pict>
        </mc:Fallback>
      </mc:AlternateContent>
    </w:r>
    <w:r>
      <w:rPr>
        <w:rFonts w:ascii="Arial" w:hAnsi="Arial" w:cs="Arial"/>
        <w:b/>
        <w:noProof/>
        <w:sz w:val="40"/>
      </w:rPr>
      <w:t>EXPOSURE DRAFT</w:t>
    </w:r>
  </w:p>
  <w:p w14:paraId="4BA42EA8" w14:textId="77777777" w:rsidR="00F6696E" w:rsidRPr="00ED79B6" w:rsidRDefault="00F6696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3F57E" w14:textId="01325798" w:rsidR="00F6696E" w:rsidRPr="002B0EA5" w:rsidRDefault="00F6696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695703FE" w14:textId="77777777" w:rsidTr="00867A6B">
      <w:tc>
        <w:tcPr>
          <w:tcW w:w="947" w:type="pct"/>
        </w:tcPr>
        <w:p w14:paraId="380D87DD" w14:textId="77777777" w:rsidR="00F6696E" w:rsidRDefault="00F6696E">
          <w:pPr>
            <w:spacing w:line="0" w:lineRule="atLeast"/>
            <w:rPr>
              <w:sz w:val="18"/>
            </w:rPr>
          </w:pPr>
        </w:p>
      </w:tc>
      <w:tc>
        <w:tcPr>
          <w:tcW w:w="3688" w:type="pct"/>
        </w:tcPr>
        <w:p w14:paraId="7A21FFC0" w14:textId="5EA50A02" w:rsidR="00F6696E" w:rsidRDefault="00F6696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E5103">
            <w:rPr>
              <w:i/>
              <w:noProof/>
              <w:sz w:val="18"/>
            </w:rPr>
            <w:t>Carbon Credits (Carbon Farming Initiative—Savanna Fire Management—Sequestration and Emissions Avoidance) Methodology Determination 2025</w:t>
          </w:r>
          <w:r w:rsidRPr="004E1307">
            <w:rPr>
              <w:i/>
              <w:sz w:val="18"/>
            </w:rPr>
            <w:fldChar w:fldCharType="end"/>
          </w:r>
        </w:p>
      </w:tc>
      <w:tc>
        <w:tcPr>
          <w:tcW w:w="365" w:type="pct"/>
        </w:tcPr>
        <w:p w14:paraId="055D5A1F" w14:textId="77777777" w:rsidR="00F6696E" w:rsidRDefault="00F6696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3D5B4A1C" w14:textId="77777777" w:rsidTr="00867A6B">
      <w:tc>
        <w:tcPr>
          <w:tcW w:w="5000" w:type="pct"/>
          <w:gridSpan w:val="3"/>
        </w:tcPr>
        <w:p w14:paraId="4A4111F9" w14:textId="77777777" w:rsidR="00F6696E" w:rsidRDefault="00F6696E">
          <w:pPr>
            <w:rPr>
              <w:sz w:val="18"/>
            </w:rPr>
          </w:pPr>
        </w:p>
      </w:tc>
    </w:tr>
  </w:tbl>
  <w:p w14:paraId="60FF1582" w14:textId="3894701C" w:rsidR="00430E90" w:rsidRPr="00430E90" w:rsidRDefault="00430E90" w:rsidP="00430E90">
    <w:pPr>
      <w:jc w:val="center"/>
      <w:rPr>
        <w:rFonts w:ascii="Arial" w:hAnsi="Arial" w:cs="Arial"/>
        <w:b/>
        <w:noProof/>
        <w:sz w:val="40"/>
      </w:rPr>
    </w:pPr>
    <w:r>
      <w:rPr>
        <w:rFonts w:ascii="Arial" w:hAnsi="Arial" w:cs="Arial"/>
        <w:b/>
        <w:noProof/>
        <w:sz w:val="40"/>
      </w:rPr>
      <w:t>EXPOSURE DRAFT</w:t>
    </w:r>
  </w:p>
  <w:p w14:paraId="7236E70A" w14:textId="77777777" w:rsidR="00F6696E" w:rsidRPr="00ED79B6" w:rsidRDefault="00F6696E">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27FCA" w14:textId="4A9BF4E6" w:rsidR="008B0A88" w:rsidRDefault="008B0A88">
    <w:pPr>
      <w:pStyle w:val="Footer"/>
    </w:pPr>
    <w:r>
      <w:rPr>
        <w:noProof/>
      </w:rPr>
      <mc:AlternateContent>
        <mc:Choice Requires="wps">
          <w:drawing>
            <wp:anchor distT="0" distB="0" distL="0" distR="0" simplePos="0" relativeHeight="251658246" behindDoc="0" locked="0" layoutInCell="1" allowOverlap="1" wp14:anchorId="5C0F026E" wp14:editId="3A20231D">
              <wp:simplePos x="635" y="635"/>
              <wp:positionH relativeFrom="page">
                <wp:align>center</wp:align>
              </wp:positionH>
              <wp:positionV relativeFrom="page">
                <wp:align>bottom</wp:align>
              </wp:positionV>
              <wp:extent cx="2107565" cy="376555"/>
              <wp:effectExtent l="0" t="0" r="6985" b="0"/>
              <wp:wrapNone/>
              <wp:docPr id="699728863" name="Text Box 13"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0E4C71DC" w14:textId="25B8AB5D" w:rsidR="008B0A88" w:rsidRPr="008B0A88" w:rsidRDefault="008B0A88" w:rsidP="008B0A88">
                          <w:pPr>
                            <w:rPr>
                              <w:rFonts w:ascii="Calibri" w:eastAsia="Calibri" w:hAnsi="Calibri" w:cs="Calibri"/>
                              <w:noProof/>
                              <w:color w:val="FF0000"/>
                              <w:sz w:val="24"/>
                              <w:szCs w:val="24"/>
                            </w:rPr>
                          </w:pPr>
                          <w:r w:rsidRPr="008B0A88">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0F026E" id="_x0000_t202" coordsize="21600,21600" o:spt="202" path="m,l,21600r21600,l21600,xe">
              <v:stroke joinstyle="miter"/>
              <v:path gradientshapeok="t" o:connecttype="rect"/>
            </v:shapetype>
            <v:shape id="Text Box 13" o:spid="_x0000_s1041" type="#_x0000_t202" alt="OFFICIAL: Sensitive Legal-Privilege" style="position:absolute;margin-left:0;margin-top:0;width:165.95pt;height:29.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" filled="f" stroked="f">
              <v:textbox style="mso-fit-shape-to-text:t" inset="0,0,0,15pt">
                <w:txbxContent>
                  <w:p w14:paraId="0E4C71DC" w14:textId="25B8AB5D" w:rsidR="008B0A88" w:rsidRPr="008B0A88" w:rsidRDefault="008B0A88" w:rsidP="008B0A88">
                    <w:pPr>
                      <w:rPr>
                        <w:rFonts w:ascii="Calibri" w:eastAsia="Calibri" w:hAnsi="Calibri" w:cs="Calibri"/>
                        <w:noProof/>
                        <w:color w:val="FF0000"/>
                        <w:sz w:val="24"/>
                        <w:szCs w:val="24"/>
                      </w:rPr>
                    </w:pPr>
                    <w:r w:rsidRPr="008B0A88">
                      <w:rPr>
                        <w:rFonts w:ascii="Calibri" w:eastAsia="Calibri" w:hAnsi="Calibri" w:cs="Calibri"/>
                        <w:noProof/>
                        <w:color w:val="FF0000"/>
                        <w:sz w:val="24"/>
                        <w:szCs w:val="24"/>
                      </w:rPr>
                      <w:t>OFFICIAL: Sensitive Legal-Privilege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DA0C" w14:textId="063ABC91" w:rsidR="008C2EAC" w:rsidRPr="002B0EA5" w:rsidRDefault="008C2EA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5F7ACBBA" w14:textId="77777777" w:rsidTr="00867A6B">
      <w:tc>
        <w:tcPr>
          <w:tcW w:w="365" w:type="pct"/>
        </w:tcPr>
        <w:p w14:paraId="4770C624" w14:textId="77777777" w:rsidR="008C2EAC" w:rsidRDefault="008C2E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4C6E2D5E" w14:textId="4A7F46D3" w:rsidR="008C2EAC" w:rsidRDefault="008C2E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E5103">
            <w:rPr>
              <w:i/>
              <w:noProof/>
              <w:sz w:val="18"/>
            </w:rPr>
            <w:t>Carbon Credits (Carbon Farming Initiative—Savanna Fire Management—Sequestration and Emissions Avoidance) Methodology Determination 2025</w:t>
          </w:r>
          <w:r w:rsidRPr="004E1307">
            <w:rPr>
              <w:i/>
              <w:sz w:val="18"/>
            </w:rPr>
            <w:fldChar w:fldCharType="end"/>
          </w:r>
        </w:p>
      </w:tc>
      <w:tc>
        <w:tcPr>
          <w:tcW w:w="947" w:type="pct"/>
        </w:tcPr>
        <w:p w14:paraId="39CF4445" w14:textId="77777777" w:rsidR="008C2EAC" w:rsidRDefault="008C2EAC">
          <w:pPr>
            <w:spacing w:line="0" w:lineRule="atLeast"/>
            <w:jc w:val="right"/>
            <w:rPr>
              <w:sz w:val="18"/>
            </w:rPr>
          </w:pPr>
        </w:p>
      </w:tc>
    </w:tr>
    <w:tr w:rsidR="008C2EAC" w14:paraId="1CFE93C5" w14:textId="77777777" w:rsidTr="00867A6B">
      <w:tc>
        <w:tcPr>
          <w:tcW w:w="5000" w:type="pct"/>
          <w:gridSpan w:val="3"/>
        </w:tcPr>
        <w:p w14:paraId="04E69569" w14:textId="77777777" w:rsidR="008C2EAC" w:rsidRDefault="008C2EAC">
          <w:pPr>
            <w:jc w:val="right"/>
            <w:rPr>
              <w:sz w:val="18"/>
            </w:rPr>
          </w:pPr>
        </w:p>
      </w:tc>
    </w:tr>
  </w:tbl>
  <w:p w14:paraId="2EC3F605" w14:textId="3AF6C439" w:rsidR="00430E90" w:rsidRPr="00430E90" w:rsidRDefault="00430E90" w:rsidP="00430E90">
    <w:pPr>
      <w:jc w:val="center"/>
      <w:rPr>
        <w:rFonts w:ascii="Arial" w:hAnsi="Arial" w:cs="Arial"/>
        <w:b/>
        <w:noProof/>
        <w:sz w:val="40"/>
      </w:rPr>
    </w:pPr>
    <w:r>
      <w:rPr>
        <w:rFonts w:ascii="Arial" w:hAnsi="Arial" w:cs="Arial"/>
        <w:b/>
        <w:noProof/>
        <w:sz w:val="40"/>
      </w:rPr>
      <mc:AlternateContent>
        <mc:Choice Requires="wps">
          <w:drawing>
            <wp:anchor distT="0" distB="0" distL="0" distR="0" simplePos="0" relativeHeight="251673600" behindDoc="0" locked="0" layoutInCell="1" allowOverlap="1" wp14:anchorId="3AAE8D9C" wp14:editId="0B55731C">
              <wp:simplePos x="1140431" y="462337"/>
              <wp:positionH relativeFrom="page">
                <wp:align>center</wp:align>
              </wp:positionH>
              <wp:positionV relativeFrom="page">
                <wp:align>top</wp:align>
              </wp:positionV>
              <wp:extent cx="551815" cy="376555"/>
              <wp:effectExtent l="0" t="0" r="635" b="4445"/>
              <wp:wrapNone/>
              <wp:docPr id="196869680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D831DEA" w14:textId="11F92D96" w:rsidR="00430E90" w:rsidRPr="00CA7F19" w:rsidRDefault="00430E90" w:rsidP="00430E90">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AE8D9C" id="_x0000_t202" coordsize="21600,21600" o:spt="202" path="m,l,21600r21600,l21600,xe">
              <v:stroke joinstyle="miter"/>
              <v:path gradientshapeok="t" o:connecttype="rect"/>
            </v:shapetype>
            <v:shape id="_x0000_s1037" type="#_x0000_t202" alt="OFFICIAL" style="position:absolute;left:0;text-align:left;margin-left:0;margin-top:0;width:43.45pt;height:29.6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v7sDgIAAB0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2Fv7sDgIAAB0E&#10;AAAOAAAAAAAAAAAAAAAAAC4CAABkcnMvZTJvRG9jLnhtbFBLAQItABQABgAIAAAAIQDDiR132gAA&#10;AAMBAAAPAAAAAAAAAAAAAAAAAGgEAABkcnMvZG93bnJldi54bWxQSwUGAAAAAAQABADzAAAAbwUA&#10;AAAA&#10;" filled="f" stroked="f">
              <v:textbox style="mso-fit-shape-to-text:t" inset="0,15pt,0,0">
                <w:txbxContent>
                  <w:p w14:paraId="1D831DEA" w14:textId="11F92D96" w:rsidR="00430E90" w:rsidRPr="00CA7F19" w:rsidRDefault="00430E90" w:rsidP="00430E90">
                    <w:pPr>
                      <w:rPr>
                        <w:rFonts w:ascii="Calibri" w:eastAsia="Calibri" w:hAnsi="Calibri" w:cs="Calibri"/>
                        <w:noProof/>
                        <w:color w:val="FF0000"/>
                        <w:sz w:val="24"/>
                        <w:szCs w:val="24"/>
                      </w:rPr>
                    </w:pPr>
                  </w:p>
                </w:txbxContent>
              </v:textbox>
              <w10:wrap anchorx="page" anchory="page"/>
            </v:shape>
          </w:pict>
        </mc:Fallback>
      </mc:AlternateContent>
    </w:r>
    <w:r>
      <w:rPr>
        <w:rFonts w:ascii="Arial" w:hAnsi="Arial" w:cs="Arial"/>
        <w:b/>
        <w:noProof/>
        <w:sz w:val="40"/>
      </w:rPr>
      <w:t>EXPOSURE DRAFT</w:t>
    </w:r>
  </w:p>
  <w:p w14:paraId="6D77B000" w14:textId="77777777" w:rsidR="008C2EAC" w:rsidRPr="00ED79B6" w:rsidRDefault="008C2EAC">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46F4B" w14:textId="5592A9DF" w:rsidR="008C2EAC" w:rsidRPr="002B0EA5" w:rsidRDefault="008C2EA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43B3255F" w14:textId="77777777" w:rsidTr="00867A6B">
      <w:tc>
        <w:tcPr>
          <w:tcW w:w="947" w:type="pct"/>
        </w:tcPr>
        <w:p w14:paraId="1A1E8EE1" w14:textId="77777777" w:rsidR="008C2EAC" w:rsidRDefault="008C2EAC">
          <w:pPr>
            <w:spacing w:line="0" w:lineRule="atLeast"/>
            <w:rPr>
              <w:sz w:val="18"/>
            </w:rPr>
          </w:pPr>
        </w:p>
      </w:tc>
      <w:tc>
        <w:tcPr>
          <w:tcW w:w="3688" w:type="pct"/>
        </w:tcPr>
        <w:p w14:paraId="215C0051" w14:textId="6D1727EC" w:rsidR="008C2EAC" w:rsidRDefault="008C2E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E5103">
            <w:rPr>
              <w:i/>
              <w:noProof/>
              <w:sz w:val="18"/>
            </w:rPr>
            <w:t>Carbon Credits (Carbon Farming Initiative—Savanna Fire Management—Sequestration and Emissions Avoidance) Methodology Determination 2025</w:t>
          </w:r>
          <w:r w:rsidRPr="004E1307">
            <w:rPr>
              <w:i/>
              <w:sz w:val="18"/>
            </w:rPr>
            <w:fldChar w:fldCharType="end"/>
          </w:r>
        </w:p>
      </w:tc>
      <w:tc>
        <w:tcPr>
          <w:tcW w:w="365" w:type="pct"/>
        </w:tcPr>
        <w:p w14:paraId="6184EE34" w14:textId="77777777" w:rsidR="008C2EAC" w:rsidRDefault="008C2E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7BC4552B" w14:textId="77777777" w:rsidTr="00867A6B">
      <w:tc>
        <w:tcPr>
          <w:tcW w:w="5000" w:type="pct"/>
          <w:gridSpan w:val="3"/>
        </w:tcPr>
        <w:p w14:paraId="4AAD773E" w14:textId="77777777" w:rsidR="008C2EAC" w:rsidRDefault="008C2EAC">
          <w:pPr>
            <w:rPr>
              <w:sz w:val="18"/>
            </w:rPr>
          </w:pPr>
        </w:p>
      </w:tc>
    </w:tr>
  </w:tbl>
  <w:p w14:paraId="0699CA9B" w14:textId="6624AC20" w:rsidR="00430E90" w:rsidRPr="00430E90" w:rsidRDefault="00430E90" w:rsidP="00430E90">
    <w:pPr>
      <w:jc w:val="center"/>
      <w:rPr>
        <w:rFonts w:ascii="Arial" w:hAnsi="Arial" w:cs="Arial"/>
        <w:b/>
        <w:noProof/>
        <w:sz w:val="40"/>
      </w:rPr>
    </w:pPr>
    <w:r>
      <w:rPr>
        <w:rFonts w:ascii="Arial" w:hAnsi="Arial" w:cs="Arial"/>
        <w:b/>
        <w:noProof/>
        <w:sz w:val="40"/>
      </w:rPr>
      <mc:AlternateContent>
        <mc:Choice Requires="wps">
          <w:drawing>
            <wp:anchor distT="0" distB="0" distL="0" distR="0" simplePos="0" relativeHeight="251665408" behindDoc="0" locked="0" layoutInCell="1" allowOverlap="1" wp14:anchorId="7F5A2124" wp14:editId="2B4FE7FF">
              <wp:simplePos x="1140431" y="462337"/>
              <wp:positionH relativeFrom="page">
                <wp:align>center</wp:align>
              </wp:positionH>
              <wp:positionV relativeFrom="page">
                <wp:align>top</wp:align>
              </wp:positionV>
              <wp:extent cx="551815" cy="376555"/>
              <wp:effectExtent l="0" t="0" r="635" b="4445"/>
              <wp:wrapNone/>
              <wp:docPr id="179251928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4216C5F" w14:textId="532A65AC" w:rsidR="00430E90" w:rsidRPr="00CA7F19" w:rsidRDefault="00430E90" w:rsidP="00430E90">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5A2124" id="_x0000_t202" coordsize="21600,21600" o:spt="202" path="m,l,21600r21600,l21600,xe">
              <v:stroke joinstyle="miter"/>
              <v:path gradientshapeok="t" o:connecttype="rect"/>
            </v:shapetype>
            <v:shape id="_x0000_s1038" type="#_x0000_t202" alt="OFFICIAL" style="position:absolute;left:0;text-align:left;margin-left:0;margin-top:0;width:43.45pt;height:29.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PEaWY8NAgAAHQQA&#10;AA4AAAAAAAAAAAAAAAAALgIAAGRycy9lMm9Eb2MueG1sUEsBAi0AFAAGAAgAAAAhAMOJHXfaAAAA&#10;AwEAAA8AAAAAAAAAAAAAAAAAZwQAAGRycy9kb3ducmV2LnhtbFBLBQYAAAAABAAEAPMAAABuBQAA&#10;AAA=&#10;" filled="f" stroked="f">
              <v:textbox style="mso-fit-shape-to-text:t" inset="0,15pt,0,0">
                <w:txbxContent>
                  <w:p w14:paraId="14216C5F" w14:textId="532A65AC" w:rsidR="00430E90" w:rsidRPr="00CA7F19" w:rsidRDefault="00430E90" w:rsidP="00430E90">
                    <w:pPr>
                      <w:rPr>
                        <w:rFonts w:ascii="Calibri" w:eastAsia="Calibri" w:hAnsi="Calibri" w:cs="Calibri"/>
                        <w:noProof/>
                        <w:color w:val="FF0000"/>
                        <w:sz w:val="24"/>
                        <w:szCs w:val="24"/>
                      </w:rPr>
                    </w:pPr>
                  </w:p>
                </w:txbxContent>
              </v:textbox>
              <w10:wrap anchorx="page" anchory="page"/>
            </v:shape>
          </w:pict>
        </mc:Fallback>
      </mc:AlternateContent>
    </w:r>
    <w:r>
      <w:rPr>
        <w:rFonts w:ascii="Arial" w:hAnsi="Arial" w:cs="Arial"/>
        <w:b/>
        <w:noProof/>
        <w:sz w:val="40"/>
      </w:rPr>
      <w:t>EXPOSURE DRAFT</w:t>
    </w:r>
  </w:p>
  <w:p w14:paraId="3604560C" w14:textId="77777777" w:rsidR="008C2EAC" w:rsidRPr="00ED79B6" w:rsidRDefault="008C2EAC">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67FAC" w14:textId="47242F96" w:rsidR="008B0A88" w:rsidRDefault="008B0A88">
    <w:pPr>
      <w:pStyle w:val="Footer"/>
    </w:pPr>
    <w:r>
      <w:rPr>
        <w:noProof/>
      </w:rPr>
      <mc:AlternateContent>
        <mc:Choice Requires="wps">
          <w:drawing>
            <wp:anchor distT="0" distB="0" distL="0" distR="0" simplePos="0" relativeHeight="251658247" behindDoc="0" locked="0" layoutInCell="1" allowOverlap="1" wp14:anchorId="52426349" wp14:editId="70C215AD">
              <wp:simplePos x="635" y="635"/>
              <wp:positionH relativeFrom="page">
                <wp:align>center</wp:align>
              </wp:positionH>
              <wp:positionV relativeFrom="page">
                <wp:align>bottom</wp:align>
              </wp:positionV>
              <wp:extent cx="2107565" cy="376555"/>
              <wp:effectExtent l="0" t="0" r="6985" b="0"/>
              <wp:wrapNone/>
              <wp:docPr id="354906879" name="Text Box 16"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4729BD50" w14:textId="27507051" w:rsidR="008B0A88" w:rsidRPr="008B0A88" w:rsidRDefault="008B0A88" w:rsidP="008B0A88">
                          <w:pPr>
                            <w:rPr>
                              <w:rFonts w:ascii="Calibri" w:eastAsia="Calibri" w:hAnsi="Calibri" w:cs="Calibri"/>
                              <w:noProof/>
                              <w:color w:val="FF0000"/>
                              <w:sz w:val="24"/>
                              <w:szCs w:val="24"/>
                            </w:rPr>
                          </w:pPr>
                          <w:r w:rsidRPr="008B0A88">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426349" id="_x0000_t202" coordsize="21600,21600" o:spt="202" path="m,l,21600r21600,l21600,xe">
              <v:stroke joinstyle="miter"/>
              <v:path gradientshapeok="t" o:connecttype="rect"/>
            </v:shapetype>
            <v:shape id="Text Box 16" o:spid="_x0000_s1049" type="#_x0000_t202" alt="OFFICIAL: Sensitive Legal-Privilege" style="position:absolute;margin-left:0;margin-top:0;width:165.95pt;height:29.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" filled="f" stroked="f">
              <v:textbox style="mso-fit-shape-to-text:t" inset="0,0,0,15pt">
                <w:txbxContent>
                  <w:p w14:paraId="4729BD50" w14:textId="27507051" w:rsidR="008B0A88" w:rsidRPr="008B0A88" w:rsidRDefault="008B0A88" w:rsidP="008B0A88">
                    <w:pPr>
                      <w:rPr>
                        <w:rFonts w:ascii="Calibri" w:eastAsia="Calibri" w:hAnsi="Calibri" w:cs="Calibri"/>
                        <w:noProof/>
                        <w:color w:val="FF0000"/>
                        <w:sz w:val="24"/>
                        <w:szCs w:val="24"/>
                      </w:rPr>
                    </w:pPr>
                    <w:r w:rsidRPr="008B0A88">
                      <w:rPr>
                        <w:rFonts w:ascii="Calibri" w:eastAsia="Calibri" w:hAnsi="Calibri" w:cs="Calibri"/>
                        <w:noProof/>
                        <w:color w:val="FF0000"/>
                        <w:sz w:val="24"/>
                        <w:szCs w:val="24"/>
                      </w:rPr>
                      <w:t>OFFICIAL: Sensitive Legal-Privilege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A7263" w14:textId="77777777" w:rsidR="00643C85" w:rsidRDefault="00643C85" w:rsidP="00715914">
      <w:pPr>
        <w:spacing w:line="240" w:lineRule="auto"/>
      </w:pPr>
      <w:r>
        <w:separator/>
      </w:r>
    </w:p>
  </w:footnote>
  <w:footnote w:type="continuationSeparator" w:id="0">
    <w:p w14:paraId="76754904" w14:textId="77777777" w:rsidR="00643C85" w:rsidRDefault="00643C85" w:rsidP="00715914">
      <w:pPr>
        <w:spacing w:line="240" w:lineRule="auto"/>
      </w:pPr>
      <w:r>
        <w:continuationSeparator/>
      </w:r>
    </w:p>
  </w:footnote>
  <w:footnote w:type="continuationNotice" w:id="1">
    <w:p w14:paraId="01D69B3B" w14:textId="77777777" w:rsidR="00643C85" w:rsidRDefault="00643C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185D1" w14:textId="5056E8E7" w:rsidR="00F6696E" w:rsidRPr="005F1388" w:rsidRDefault="008B0A88" w:rsidP="00715914">
    <w:pPr>
      <w:pStyle w:val="Header"/>
      <w:tabs>
        <w:tab w:val="clear" w:pos="4150"/>
        <w:tab w:val="clear" w:pos="8307"/>
      </w:tabs>
    </w:pPr>
    <w:r>
      <w:rPr>
        <w:noProof/>
      </w:rPr>
      <mc:AlternateContent>
        <mc:Choice Requires="wps">
          <w:drawing>
            <wp:anchor distT="0" distB="0" distL="0" distR="0" simplePos="0" relativeHeight="251658240" behindDoc="0" locked="0" layoutInCell="1" allowOverlap="1" wp14:anchorId="3131B33F" wp14:editId="39C10762">
              <wp:simplePos x="635" y="635"/>
              <wp:positionH relativeFrom="page">
                <wp:align>center</wp:align>
              </wp:positionH>
              <wp:positionV relativeFrom="page">
                <wp:align>top</wp:align>
              </wp:positionV>
              <wp:extent cx="2107565" cy="376555"/>
              <wp:effectExtent l="0" t="0" r="6985" b="4445"/>
              <wp:wrapNone/>
              <wp:docPr id="1219147122" name="Text Box 2"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28133887" w14:textId="046C6B76" w:rsidR="008B0A88" w:rsidRPr="008B0A88" w:rsidRDefault="008B0A88" w:rsidP="008B0A88">
                          <w:pPr>
                            <w:rPr>
                              <w:rFonts w:ascii="Calibri" w:eastAsia="Calibri" w:hAnsi="Calibri" w:cs="Calibri"/>
                              <w:noProof/>
                              <w:color w:val="FF0000"/>
                              <w:sz w:val="24"/>
                              <w:szCs w:val="24"/>
                            </w:rPr>
                          </w:pPr>
                          <w:r w:rsidRPr="008B0A88">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31B33F" id="_x0000_t202" coordsize="21600,21600" o:spt="202" path="m,l,21600r21600,l21600,xe">
              <v:stroke joinstyle="miter"/>
              <v:path gradientshapeok="t" o:connecttype="rect"/>
            </v:shapetype>
            <v:shape id="_x0000_s1027" type="#_x0000_t202" alt="OFFICIAL: Sensitive Legal-Privilege" style="position:absolute;margin-left:0;margin-top:0;width:165.9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" filled="f" stroked="f">
              <v:textbox style="mso-fit-shape-to-text:t" inset="0,15pt,0,0">
                <w:txbxContent>
                  <w:p w14:paraId="28133887" w14:textId="046C6B76" w:rsidR="008B0A88" w:rsidRPr="008B0A88" w:rsidRDefault="008B0A88" w:rsidP="008B0A88">
                    <w:pPr>
                      <w:rPr>
                        <w:rFonts w:ascii="Calibri" w:eastAsia="Calibri" w:hAnsi="Calibri" w:cs="Calibri"/>
                        <w:noProof/>
                        <w:color w:val="FF0000"/>
                        <w:sz w:val="24"/>
                        <w:szCs w:val="24"/>
                      </w:rPr>
                    </w:pPr>
                    <w:r w:rsidRPr="008B0A88">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46854" w14:textId="1BC6E067" w:rsidR="00F6696E" w:rsidRPr="005F1388" w:rsidRDefault="008B0A88" w:rsidP="00715914">
    <w:pPr>
      <w:pStyle w:val="Header"/>
      <w:tabs>
        <w:tab w:val="clear" w:pos="4150"/>
        <w:tab w:val="clear" w:pos="8307"/>
      </w:tabs>
    </w:pPr>
    <w:r>
      <w:rPr>
        <w:noProof/>
      </w:rPr>
      <mc:AlternateContent>
        <mc:Choice Requires="wps">
          <w:drawing>
            <wp:anchor distT="0" distB="0" distL="0" distR="0" simplePos="0" relativeHeight="251658241" behindDoc="0" locked="0" layoutInCell="1" allowOverlap="1" wp14:anchorId="379B81FF" wp14:editId="5D3B44B1">
              <wp:simplePos x="635" y="635"/>
              <wp:positionH relativeFrom="page">
                <wp:align>center</wp:align>
              </wp:positionH>
              <wp:positionV relativeFrom="page">
                <wp:align>top</wp:align>
              </wp:positionV>
              <wp:extent cx="2107565" cy="376555"/>
              <wp:effectExtent l="0" t="0" r="6985" b="4445"/>
              <wp:wrapNone/>
              <wp:docPr id="1632955517" name="Text Box 3"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61A4EFA3" w14:textId="0F8A363B" w:rsidR="008B0A88" w:rsidRPr="008B0A88" w:rsidRDefault="008B0A88" w:rsidP="008B0A88">
                          <w:pPr>
                            <w:rPr>
                              <w:rFonts w:ascii="Calibri" w:eastAsia="Calibri" w:hAnsi="Calibri" w:cs="Calibri"/>
                              <w:noProof/>
                              <w:color w:val="FF0000"/>
                              <w:sz w:val="24"/>
                              <w:szCs w:val="24"/>
                            </w:rPr>
                          </w:pPr>
                          <w:r w:rsidRPr="008B0A88">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9B81FF" id="_x0000_t202" coordsize="21600,21600" o:spt="202" path="m,l,21600r21600,l21600,xe">
              <v:stroke joinstyle="miter"/>
              <v:path gradientshapeok="t" o:connecttype="rect"/>
            </v:shapetype>
            <v:shape id="Text Box 3" o:spid="_x0000_s1028" type="#_x0000_t202" alt="OFFICIAL: Sensitive Legal-Privilege" style="position:absolute;margin-left:0;margin-top:0;width:165.9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" filled="f" stroked="f">
              <v:textbox style="mso-fit-shape-to-text:t" inset="0,15pt,0,0">
                <w:txbxContent>
                  <w:p w14:paraId="61A4EFA3" w14:textId="0F8A363B" w:rsidR="008B0A88" w:rsidRPr="008B0A88" w:rsidRDefault="008B0A88" w:rsidP="008B0A88">
                    <w:pPr>
                      <w:rPr>
                        <w:rFonts w:ascii="Calibri" w:eastAsia="Calibri" w:hAnsi="Calibri" w:cs="Calibri"/>
                        <w:noProof/>
                        <w:color w:val="FF0000"/>
                        <w:sz w:val="24"/>
                        <w:szCs w:val="24"/>
                      </w:rPr>
                    </w:pPr>
                    <w:r w:rsidRPr="008B0A88">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3DC27" w14:textId="3262E2A2" w:rsidR="00E52FF7" w:rsidRPr="00F2627B" w:rsidRDefault="00E52FF7" w:rsidP="00E52FF7">
    <w:pPr>
      <w:jc w:val="center"/>
      <w:rPr>
        <w:rFonts w:ascii="Arial" w:hAnsi="Arial" w:cs="Arial"/>
        <w:b/>
        <w:sz w:val="40"/>
      </w:rPr>
    </w:pPr>
    <w:r>
      <w:rPr>
        <w:rFonts w:ascii="Arial" w:hAnsi="Arial" w:cs="Arial"/>
        <w:b/>
        <w:noProof/>
        <w:sz w:val="40"/>
      </w:rPr>
      <w:t>EXPOSURE DRAFT</w:t>
    </w:r>
  </w:p>
  <w:p w14:paraId="087B6FB2" w14:textId="16317548" w:rsidR="008B0A88" w:rsidRDefault="008B0A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A171C" w14:textId="700B2C2C" w:rsidR="00816D80" w:rsidRPr="00816D80" w:rsidRDefault="00816D80" w:rsidP="00816D80">
    <w:pPr>
      <w:jc w:val="center"/>
      <w:rPr>
        <w:rFonts w:ascii="Arial" w:hAnsi="Arial" w:cs="Arial"/>
        <w:b/>
        <w:sz w:val="40"/>
      </w:rPr>
    </w:pPr>
    <w:r>
      <w:rPr>
        <w:rFonts w:ascii="Arial" w:hAnsi="Arial" w:cs="Arial"/>
        <w:b/>
        <w:noProof/>
        <w:sz w:val="40"/>
      </w:rPr>
      <w:t>EXPOSURE DRAFT</w:t>
    </w:r>
  </w:p>
  <w:p w14:paraId="56456895" w14:textId="77777777" w:rsidR="00816D80" w:rsidRDefault="00816D80" w:rsidP="00816D80">
    <w:pPr>
      <w:jc w:val="right"/>
      <w:rPr>
        <w:b/>
        <w:sz w:val="24"/>
      </w:rPr>
    </w:pPr>
  </w:p>
  <w:p w14:paraId="3FCA0D0C" w14:textId="77777777" w:rsidR="00816D80" w:rsidRPr="007A1328" w:rsidRDefault="00816D80" w:rsidP="00816D80">
    <w:pPr>
      <w:jc w:val="right"/>
      <w:rPr>
        <w:b/>
        <w:sz w:val="24"/>
      </w:rPr>
    </w:pPr>
  </w:p>
  <w:p w14:paraId="456354EF" w14:textId="64113610" w:rsidR="00816D80" w:rsidRPr="007A1328" w:rsidRDefault="00816D80" w:rsidP="00816D80">
    <w:pPr>
      <w:pBdr>
        <w:bottom w:val="single" w:sz="6" w:space="1" w:color="auto"/>
      </w:pBdr>
      <w:spacing w:after="120"/>
      <w:jc w:val="right"/>
      <w:rPr>
        <w:sz w:val="24"/>
      </w:rPr>
    </w:pPr>
  </w:p>
  <w:p w14:paraId="2AC109C8" w14:textId="32E6E7A6" w:rsidR="00F6696E" w:rsidRPr="00816D80" w:rsidRDefault="00F6696E" w:rsidP="00816D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CC1E1" w14:textId="09DDF5B1" w:rsidR="00816D80" w:rsidRPr="00816D80" w:rsidRDefault="00816D80" w:rsidP="00816D80">
    <w:pPr>
      <w:jc w:val="center"/>
      <w:rPr>
        <w:rFonts w:ascii="Arial" w:hAnsi="Arial" w:cs="Arial"/>
        <w:b/>
        <w:sz w:val="40"/>
      </w:rPr>
    </w:pPr>
    <w:r>
      <w:rPr>
        <w:rFonts w:ascii="Arial" w:hAnsi="Arial" w:cs="Arial"/>
        <w:b/>
        <w:noProof/>
        <w:sz w:val="40"/>
      </w:rPr>
      <w:t>EXPOSURE DRAFT</w:t>
    </w:r>
  </w:p>
  <w:p w14:paraId="06F6C9A2" w14:textId="77777777" w:rsidR="00816D80" w:rsidRDefault="00816D80" w:rsidP="00816D80">
    <w:pPr>
      <w:jc w:val="right"/>
      <w:rPr>
        <w:b/>
        <w:sz w:val="24"/>
      </w:rPr>
    </w:pPr>
  </w:p>
  <w:p w14:paraId="459E2EDA" w14:textId="77777777" w:rsidR="00816D80" w:rsidRDefault="00816D80" w:rsidP="00816D80">
    <w:pPr>
      <w:pBdr>
        <w:bottom w:val="single" w:sz="6" w:space="1" w:color="auto"/>
      </w:pBdr>
      <w:spacing w:after="120"/>
      <w:jc w:val="right"/>
      <w:rPr>
        <w:b/>
        <w:sz w:val="24"/>
      </w:rPr>
    </w:pPr>
  </w:p>
  <w:p w14:paraId="796267FC" w14:textId="77777777" w:rsidR="00816D80" w:rsidRPr="007A1328" w:rsidRDefault="00816D80" w:rsidP="00816D80">
    <w:pPr>
      <w:pBdr>
        <w:bottom w:val="single" w:sz="6" w:space="1" w:color="auto"/>
      </w:pBdr>
      <w:spacing w:after="120"/>
      <w:jc w:val="right"/>
      <w:rPr>
        <w:sz w:val="24"/>
      </w:rPr>
    </w:pPr>
  </w:p>
  <w:p w14:paraId="1C74C0D6" w14:textId="17B11BCB" w:rsidR="00F6696E" w:rsidRPr="00816D80" w:rsidRDefault="00F6696E" w:rsidP="00816D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62C79" w14:textId="01A177A6" w:rsidR="00F6696E" w:rsidRPr="00ED79B6" w:rsidRDefault="008B0A88" w:rsidP="00715914">
    <w:pPr>
      <w:pStyle w:val="Header"/>
      <w:tabs>
        <w:tab w:val="clear" w:pos="4150"/>
        <w:tab w:val="clear" w:pos="8307"/>
      </w:tabs>
    </w:pPr>
    <w:r>
      <w:rPr>
        <w:noProof/>
      </w:rPr>
      <mc:AlternateContent>
        <mc:Choice Requires="wps">
          <w:drawing>
            <wp:anchor distT="0" distB="0" distL="0" distR="0" simplePos="0" relativeHeight="251658242" behindDoc="0" locked="0" layoutInCell="1" allowOverlap="1" wp14:anchorId="2A77DE84" wp14:editId="69299695">
              <wp:simplePos x="635" y="635"/>
              <wp:positionH relativeFrom="page">
                <wp:align>center</wp:align>
              </wp:positionH>
              <wp:positionV relativeFrom="page">
                <wp:align>top</wp:align>
              </wp:positionV>
              <wp:extent cx="2107565" cy="376555"/>
              <wp:effectExtent l="0" t="0" r="6985" b="4445"/>
              <wp:wrapNone/>
              <wp:docPr id="801309314" name="Text Box 4"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493B8C46" w14:textId="0C8131A0" w:rsidR="008B0A88" w:rsidRPr="008B0A88" w:rsidRDefault="008B0A88" w:rsidP="008B0A88">
                          <w:pPr>
                            <w:rPr>
                              <w:rFonts w:ascii="Calibri" w:eastAsia="Calibri" w:hAnsi="Calibri" w:cs="Calibri"/>
                              <w:noProof/>
                              <w:color w:val="FF0000"/>
                              <w:sz w:val="24"/>
                              <w:szCs w:val="24"/>
                            </w:rPr>
                          </w:pPr>
                          <w:r w:rsidRPr="008B0A88">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77DE84" id="_x0000_t202" coordsize="21600,21600" o:spt="202" path="m,l,21600r21600,l21600,xe">
              <v:stroke joinstyle="miter"/>
              <v:path gradientshapeok="t" o:connecttype="rect"/>
            </v:shapetype>
            <v:shape id="Text Box 4" o:spid="_x0000_s1040" type="#_x0000_t202" alt="OFFICIAL: Sensitive Legal-Privilege" style="position:absolute;margin-left:0;margin-top:0;width:165.9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" filled="f" stroked="f">
              <v:textbox style="mso-fit-shape-to-text:t" inset="0,15pt,0,0">
                <w:txbxContent>
                  <w:p w14:paraId="493B8C46" w14:textId="0C8131A0" w:rsidR="008B0A88" w:rsidRPr="008B0A88" w:rsidRDefault="008B0A88" w:rsidP="008B0A88">
                    <w:pPr>
                      <w:rPr>
                        <w:rFonts w:ascii="Calibri" w:eastAsia="Calibri" w:hAnsi="Calibri" w:cs="Calibri"/>
                        <w:noProof/>
                        <w:color w:val="FF0000"/>
                        <w:sz w:val="24"/>
                        <w:szCs w:val="24"/>
                      </w:rPr>
                    </w:pPr>
                    <w:r w:rsidRPr="008B0A88">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1BE55" w14:textId="6F4D538D" w:rsidR="00525B72" w:rsidRPr="00816D80" w:rsidRDefault="00525B72" w:rsidP="00525B72">
    <w:pPr>
      <w:jc w:val="center"/>
      <w:rPr>
        <w:rFonts w:ascii="Arial" w:hAnsi="Arial" w:cs="Arial"/>
        <w:b/>
        <w:sz w:val="40"/>
      </w:rPr>
    </w:pPr>
    <w:r>
      <w:rPr>
        <w:rFonts w:ascii="Arial" w:hAnsi="Arial" w:cs="Arial"/>
        <w:b/>
        <w:noProof/>
        <w:sz w:val="40"/>
      </w:rPr>
      <w:t>EXPOSURE DRAFT</w:t>
    </w:r>
  </w:p>
  <w:p w14:paraId="303083B0" w14:textId="77777777" w:rsidR="00525B72" w:rsidRDefault="00525B72" w:rsidP="00525B72">
    <w:pPr>
      <w:jc w:val="right"/>
      <w:rPr>
        <w:b/>
        <w:sz w:val="24"/>
      </w:rPr>
    </w:pPr>
  </w:p>
  <w:p w14:paraId="5038BF8B" w14:textId="77777777" w:rsidR="00525B72" w:rsidRPr="007A1328" w:rsidRDefault="00525B72" w:rsidP="00525B72">
    <w:pPr>
      <w:jc w:val="right"/>
      <w:rPr>
        <w:b/>
        <w:sz w:val="24"/>
      </w:rPr>
    </w:pPr>
  </w:p>
  <w:p w14:paraId="2C1911B6" w14:textId="77777777" w:rsidR="00525B72" w:rsidRPr="007A1328" w:rsidRDefault="00525B72" w:rsidP="00525B72">
    <w:pPr>
      <w:pBdr>
        <w:bottom w:val="single" w:sz="6" w:space="1" w:color="auto"/>
      </w:pBdr>
      <w:spacing w:after="120"/>
      <w:jc w:val="right"/>
      <w:rPr>
        <w:sz w:val="24"/>
      </w:rPr>
    </w:pPr>
  </w:p>
  <w:p w14:paraId="58C94144" w14:textId="77777777" w:rsidR="004E1307" w:rsidRPr="00525B72" w:rsidRDefault="004E1307" w:rsidP="00525B7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0E455" w14:textId="514F8A1F" w:rsidR="00816D80" w:rsidRPr="00816D80" w:rsidRDefault="00816D80" w:rsidP="00816D80">
    <w:pPr>
      <w:jc w:val="center"/>
      <w:rPr>
        <w:rFonts w:ascii="Arial" w:hAnsi="Arial" w:cs="Arial"/>
        <w:b/>
        <w:sz w:val="40"/>
      </w:rPr>
    </w:pPr>
    <w:r>
      <w:rPr>
        <w:rFonts w:ascii="Arial" w:hAnsi="Arial" w:cs="Arial"/>
        <w:b/>
        <w:noProof/>
        <w:sz w:val="40"/>
      </w:rPr>
      <mc:AlternateContent>
        <mc:Choice Requires="wps">
          <w:drawing>
            <wp:anchor distT="0" distB="0" distL="0" distR="0" simplePos="0" relativeHeight="251658249" behindDoc="0" locked="0" layoutInCell="1" allowOverlap="1" wp14:anchorId="178C1F3F" wp14:editId="75977AD7">
              <wp:simplePos x="1140431" y="462337"/>
              <wp:positionH relativeFrom="page">
                <wp:align>center</wp:align>
              </wp:positionH>
              <wp:positionV relativeFrom="page">
                <wp:align>top</wp:align>
              </wp:positionV>
              <wp:extent cx="551815" cy="376555"/>
              <wp:effectExtent l="0" t="0" r="635" b="4445"/>
              <wp:wrapNone/>
              <wp:docPr id="170300435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B3D9BA4" w14:textId="1B3A4248" w:rsidR="00816D80" w:rsidRPr="00CA7F19" w:rsidRDefault="00816D80" w:rsidP="00816D80">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8C1F3F" id="_x0000_t202" coordsize="21600,21600" o:spt="202" path="m,l,21600r21600,l21600,xe">
              <v:stroke joinstyle="miter"/>
              <v:path gradientshapeok="t" o:connecttype="rect"/>
            </v:shapetype>
            <v:shape id="_x0000_s1036" type="#_x0000_t202" alt="OFFICIAL" style="position:absolute;left:0;text-align:left;margin-left:0;margin-top:0;width:43.45pt;height:29.6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VXDgIAAB0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xaLVXDgIAAB0E&#10;AAAOAAAAAAAAAAAAAAAAAC4CAABkcnMvZTJvRG9jLnhtbFBLAQItABQABgAIAAAAIQDDiR132gAA&#10;AAMBAAAPAAAAAAAAAAAAAAAAAGgEAABkcnMvZG93bnJldi54bWxQSwUGAAAAAAQABADzAAAAbwUA&#10;AAAA&#10;" filled="f" stroked="f">
              <v:textbox style="mso-fit-shape-to-text:t" inset="0,15pt,0,0">
                <w:txbxContent>
                  <w:p w14:paraId="2B3D9BA4" w14:textId="1B3A4248" w:rsidR="00816D80" w:rsidRPr="00CA7F19" w:rsidRDefault="00816D80" w:rsidP="00816D80">
                    <w:pPr>
                      <w:rPr>
                        <w:rFonts w:ascii="Calibri" w:eastAsia="Calibri" w:hAnsi="Calibri" w:cs="Calibri"/>
                        <w:noProof/>
                        <w:color w:val="FF0000"/>
                        <w:sz w:val="24"/>
                        <w:szCs w:val="24"/>
                      </w:rPr>
                    </w:pPr>
                  </w:p>
                </w:txbxContent>
              </v:textbox>
              <w10:wrap anchorx="page" anchory="page"/>
            </v:shape>
          </w:pict>
        </mc:Fallback>
      </mc:AlternateContent>
    </w:r>
    <w:r>
      <w:rPr>
        <w:rFonts w:ascii="Arial" w:hAnsi="Arial" w:cs="Arial"/>
        <w:b/>
        <w:noProof/>
        <w:sz w:val="40"/>
      </w:rPr>
      <w:t>EXPOSURE DRAFT</w:t>
    </w:r>
  </w:p>
  <w:p w14:paraId="4D963DAD" w14:textId="77777777" w:rsidR="00816D80" w:rsidRDefault="00816D80" w:rsidP="00715914">
    <w:pPr>
      <w:jc w:val="right"/>
      <w:rPr>
        <w:b/>
        <w:sz w:val="24"/>
      </w:rPr>
    </w:pPr>
  </w:p>
  <w:p w14:paraId="425C0525" w14:textId="77777777" w:rsidR="00816D80" w:rsidRPr="007A1328" w:rsidRDefault="00816D80" w:rsidP="00715914">
    <w:pPr>
      <w:jc w:val="right"/>
      <w:rPr>
        <w:b/>
        <w:sz w:val="24"/>
      </w:rPr>
    </w:pPr>
  </w:p>
  <w:p w14:paraId="1CA68414" w14:textId="725F1FE8" w:rsidR="004E1307" w:rsidRPr="007A1328" w:rsidRDefault="004E1307" w:rsidP="00D6537E">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148CC" w14:textId="1E9D7025" w:rsidR="008B0A88" w:rsidRDefault="008B0A88">
    <w:pPr>
      <w:pStyle w:val="Header"/>
    </w:pPr>
    <w:r>
      <w:rPr>
        <w:noProof/>
      </w:rPr>
      <mc:AlternateContent>
        <mc:Choice Requires="wps">
          <w:drawing>
            <wp:anchor distT="0" distB="0" distL="0" distR="0" simplePos="0" relativeHeight="251658243" behindDoc="0" locked="0" layoutInCell="1" allowOverlap="1" wp14:anchorId="18E3ECD2" wp14:editId="0B5E4E0A">
              <wp:simplePos x="635" y="635"/>
              <wp:positionH relativeFrom="page">
                <wp:align>center</wp:align>
              </wp:positionH>
              <wp:positionV relativeFrom="page">
                <wp:align>top</wp:align>
              </wp:positionV>
              <wp:extent cx="2107565" cy="376555"/>
              <wp:effectExtent l="0" t="0" r="6985" b="4445"/>
              <wp:wrapNone/>
              <wp:docPr id="1182463733" name="Text Box 7"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78A0B896" w14:textId="48D63B2B" w:rsidR="008B0A88" w:rsidRPr="008B0A88" w:rsidRDefault="008B0A88" w:rsidP="008B0A88">
                          <w:pPr>
                            <w:rPr>
                              <w:rFonts w:ascii="Calibri" w:eastAsia="Calibri" w:hAnsi="Calibri" w:cs="Calibri"/>
                              <w:noProof/>
                              <w:color w:val="FF0000"/>
                              <w:sz w:val="24"/>
                              <w:szCs w:val="24"/>
                            </w:rPr>
                          </w:pPr>
                          <w:r w:rsidRPr="008B0A88">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E3ECD2" id="_x0000_t202" coordsize="21600,21600" o:spt="202" path="m,l,21600r21600,l21600,xe">
              <v:stroke joinstyle="miter"/>
              <v:path gradientshapeok="t" o:connecttype="rect"/>
            </v:shapetype>
            <v:shape id="Text Box 7" o:spid="_x0000_s1048" type="#_x0000_t202" alt="OFFICIAL: Sensitive Legal-Privilege" style="position:absolute;margin-left:0;margin-top:0;width:165.9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" filled="f" stroked="f">
              <v:textbox style="mso-fit-shape-to-text:t" inset="0,15pt,0,0">
                <w:txbxContent>
                  <w:p w14:paraId="78A0B896" w14:textId="48D63B2B" w:rsidR="008B0A88" w:rsidRPr="008B0A88" w:rsidRDefault="008B0A88" w:rsidP="008B0A88">
                    <w:pPr>
                      <w:rPr>
                        <w:rFonts w:ascii="Calibri" w:eastAsia="Calibri" w:hAnsi="Calibri" w:cs="Calibri"/>
                        <w:noProof/>
                        <w:color w:val="FF0000"/>
                        <w:sz w:val="24"/>
                        <w:szCs w:val="24"/>
                      </w:rPr>
                    </w:pPr>
                    <w:r w:rsidRPr="008B0A88">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92652"/>
    <w:multiLevelType w:val="hybridMultilevel"/>
    <w:tmpl w:val="95B4C966"/>
    <w:lvl w:ilvl="0" w:tplc="76D41860">
      <w:start w:val="3"/>
      <w:numFmt w:val="decimal"/>
      <w:lvlText w:val="(%1)"/>
      <w:lvlJc w:val="left"/>
      <w:pPr>
        <w:ind w:left="1658" w:hanging="360"/>
      </w:pPr>
      <w:rPr>
        <w:rFonts w:hint="default"/>
      </w:rPr>
    </w:lvl>
    <w:lvl w:ilvl="1" w:tplc="0C090019">
      <w:start w:val="1"/>
      <w:numFmt w:val="lowerLetter"/>
      <w:lvlText w:val="%2."/>
      <w:lvlJc w:val="left"/>
      <w:pPr>
        <w:ind w:left="1462" w:hanging="360"/>
      </w:pPr>
    </w:lvl>
    <w:lvl w:ilvl="2" w:tplc="0C09001B" w:tentative="1">
      <w:start w:val="1"/>
      <w:numFmt w:val="lowerRoman"/>
      <w:lvlText w:val="%3."/>
      <w:lvlJc w:val="right"/>
      <w:pPr>
        <w:ind w:left="2182" w:hanging="180"/>
      </w:pPr>
    </w:lvl>
    <w:lvl w:ilvl="3" w:tplc="0C09000F" w:tentative="1">
      <w:start w:val="1"/>
      <w:numFmt w:val="decimal"/>
      <w:lvlText w:val="%4."/>
      <w:lvlJc w:val="left"/>
      <w:pPr>
        <w:ind w:left="2902" w:hanging="360"/>
      </w:pPr>
    </w:lvl>
    <w:lvl w:ilvl="4" w:tplc="0C090019" w:tentative="1">
      <w:start w:val="1"/>
      <w:numFmt w:val="lowerLetter"/>
      <w:lvlText w:val="%5."/>
      <w:lvlJc w:val="left"/>
      <w:pPr>
        <w:ind w:left="3622" w:hanging="360"/>
      </w:pPr>
    </w:lvl>
    <w:lvl w:ilvl="5" w:tplc="0C09001B" w:tentative="1">
      <w:start w:val="1"/>
      <w:numFmt w:val="lowerRoman"/>
      <w:lvlText w:val="%6."/>
      <w:lvlJc w:val="right"/>
      <w:pPr>
        <w:ind w:left="4342" w:hanging="180"/>
      </w:pPr>
    </w:lvl>
    <w:lvl w:ilvl="6" w:tplc="0C09000F" w:tentative="1">
      <w:start w:val="1"/>
      <w:numFmt w:val="decimal"/>
      <w:lvlText w:val="%7."/>
      <w:lvlJc w:val="left"/>
      <w:pPr>
        <w:ind w:left="5062" w:hanging="360"/>
      </w:pPr>
    </w:lvl>
    <w:lvl w:ilvl="7" w:tplc="0C090019" w:tentative="1">
      <w:start w:val="1"/>
      <w:numFmt w:val="lowerLetter"/>
      <w:lvlText w:val="%8."/>
      <w:lvlJc w:val="left"/>
      <w:pPr>
        <w:ind w:left="5782" w:hanging="360"/>
      </w:pPr>
    </w:lvl>
    <w:lvl w:ilvl="8" w:tplc="0C09001B" w:tentative="1">
      <w:start w:val="1"/>
      <w:numFmt w:val="lowerRoman"/>
      <w:lvlText w:val="%9."/>
      <w:lvlJc w:val="right"/>
      <w:pPr>
        <w:ind w:left="6502" w:hanging="180"/>
      </w:pPr>
    </w:lvl>
  </w:abstractNum>
  <w:abstractNum w:abstractNumId="1" w15:restartNumberingAfterBreak="0">
    <w:nsid w:val="0B4F046B"/>
    <w:multiLevelType w:val="hybridMultilevel"/>
    <w:tmpl w:val="B084492A"/>
    <w:lvl w:ilvl="0" w:tplc="FFFFFFFF">
      <w:start w:val="1"/>
      <w:numFmt w:val="lowerLetter"/>
      <w:lvlText w:val="(%1)"/>
      <w:lvlJc w:val="left"/>
      <w:pPr>
        <w:ind w:left="2000" w:hanging="360"/>
      </w:pPr>
      <w:rPr>
        <w:rFonts w:hint="default"/>
      </w:rPr>
    </w:lvl>
    <w:lvl w:ilvl="1" w:tplc="FFFFFFFF" w:tentative="1">
      <w:start w:val="1"/>
      <w:numFmt w:val="lowerLetter"/>
      <w:lvlText w:val="%2."/>
      <w:lvlJc w:val="left"/>
      <w:pPr>
        <w:ind w:left="2720" w:hanging="360"/>
      </w:pPr>
    </w:lvl>
    <w:lvl w:ilvl="2" w:tplc="FFFFFFFF" w:tentative="1">
      <w:start w:val="1"/>
      <w:numFmt w:val="lowerRoman"/>
      <w:lvlText w:val="%3."/>
      <w:lvlJc w:val="right"/>
      <w:pPr>
        <w:ind w:left="3440" w:hanging="180"/>
      </w:pPr>
    </w:lvl>
    <w:lvl w:ilvl="3" w:tplc="FFFFFFFF" w:tentative="1">
      <w:start w:val="1"/>
      <w:numFmt w:val="decimal"/>
      <w:lvlText w:val="%4."/>
      <w:lvlJc w:val="left"/>
      <w:pPr>
        <w:ind w:left="4160" w:hanging="360"/>
      </w:pPr>
    </w:lvl>
    <w:lvl w:ilvl="4" w:tplc="FFFFFFFF" w:tentative="1">
      <w:start w:val="1"/>
      <w:numFmt w:val="lowerLetter"/>
      <w:lvlText w:val="%5."/>
      <w:lvlJc w:val="left"/>
      <w:pPr>
        <w:ind w:left="4880" w:hanging="360"/>
      </w:pPr>
    </w:lvl>
    <w:lvl w:ilvl="5" w:tplc="FFFFFFFF" w:tentative="1">
      <w:start w:val="1"/>
      <w:numFmt w:val="lowerRoman"/>
      <w:lvlText w:val="%6."/>
      <w:lvlJc w:val="right"/>
      <w:pPr>
        <w:ind w:left="5600" w:hanging="180"/>
      </w:pPr>
    </w:lvl>
    <w:lvl w:ilvl="6" w:tplc="FFFFFFFF" w:tentative="1">
      <w:start w:val="1"/>
      <w:numFmt w:val="decimal"/>
      <w:lvlText w:val="%7."/>
      <w:lvlJc w:val="left"/>
      <w:pPr>
        <w:ind w:left="6320" w:hanging="360"/>
      </w:pPr>
    </w:lvl>
    <w:lvl w:ilvl="7" w:tplc="FFFFFFFF" w:tentative="1">
      <w:start w:val="1"/>
      <w:numFmt w:val="lowerLetter"/>
      <w:lvlText w:val="%8."/>
      <w:lvlJc w:val="left"/>
      <w:pPr>
        <w:ind w:left="7040" w:hanging="360"/>
      </w:pPr>
    </w:lvl>
    <w:lvl w:ilvl="8" w:tplc="FFFFFFFF" w:tentative="1">
      <w:start w:val="1"/>
      <w:numFmt w:val="lowerRoman"/>
      <w:lvlText w:val="%9."/>
      <w:lvlJc w:val="right"/>
      <w:pPr>
        <w:ind w:left="7760" w:hanging="180"/>
      </w:pPr>
    </w:lvl>
  </w:abstractNum>
  <w:abstractNum w:abstractNumId="2" w15:restartNumberingAfterBreak="0">
    <w:nsid w:val="14163AC7"/>
    <w:multiLevelType w:val="hybridMultilevel"/>
    <w:tmpl w:val="F6DE2ED4"/>
    <w:lvl w:ilvl="0" w:tplc="8C201A84">
      <w:start w:val="1"/>
      <w:numFmt w:val="decimal"/>
      <w:lvlText w:val="(%1)"/>
      <w:lvlJc w:val="left"/>
      <w:pPr>
        <w:ind w:left="1140" w:hanging="360"/>
      </w:pPr>
      <w:rPr>
        <w:rFonts w:hint="default"/>
      </w:rPr>
    </w:lvl>
    <w:lvl w:ilvl="1" w:tplc="00C0001A">
      <w:start w:val="1"/>
      <w:numFmt w:val="lowerLetter"/>
      <w:lvlText w:val="(%2)"/>
      <w:lvlJc w:val="left"/>
      <w:pPr>
        <w:ind w:left="1850" w:hanging="360"/>
      </w:pPr>
      <w:rPr>
        <w:rFonts w:ascii="Times New Roman" w:eastAsia="Times New Roman" w:hAnsi="Times New Roman" w:cs="Times New Roman"/>
      </w:r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3" w15:restartNumberingAfterBreak="0">
    <w:nsid w:val="14B059CA"/>
    <w:multiLevelType w:val="hybridMultilevel"/>
    <w:tmpl w:val="6B5C0A64"/>
    <w:lvl w:ilvl="0" w:tplc="FFFFFFFF">
      <w:start w:val="1"/>
      <w:numFmt w:val="decimal"/>
      <w:lvlText w:val="(%1)"/>
      <w:lvlJc w:val="left"/>
      <w:pPr>
        <w:ind w:left="720" w:hanging="360"/>
      </w:pPr>
      <w:rPr>
        <w:rFonts w:hint="default"/>
      </w:rPr>
    </w:lvl>
    <w:lvl w:ilvl="1" w:tplc="B2FE5F84">
      <w:start w:val="1"/>
      <w:numFmt w:val="lowerLetter"/>
      <w:lvlText w:val="(%2)"/>
      <w:lvlJc w:val="left"/>
      <w:pPr>
        <w:ind w:left="1636" w:hanging="360"/>
      </w:pPr>
      <w:rPr>
        <w:rFonts w:ascii="Times New Roman" w:eastAsia="Times New Roman" w:hAnsi="Times New Roman" w:cs="Times New Roman"/>
      </w:rPr>
    </w:lvl>
    <w:lvl w:ilvl="2" w:tplc="86E47BD8">
      <w:start w:val="1"/>
      <w:numFmt w:val="lowerRoman"/>
      <w:lvlText w:val="(%3)"/>
      <w:lvlJc w:val="left"/>
      <w:pPr>
        <w:ind w:left="275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235E2C"/>
    <w:multiLevelType w:val="hybridMultilevel"/>
    <w:tmpl w:val="AB600A7E"/>
    <w:lvl w:ilvl="0" w:tplc="83BA1644">
      <w:start w:val="1"/>
      <w:numFmt w:val="decimal"/>
      <w:lvlText w:val="(%1)"/>
      <w:lvlJc w:val="left"/>
      <w:pPr>
        <w:ind w:left="420" w:hanging="360"/>
      </w:pPr>
      <w:rPr>
        <w:rFonts w:hint="default"/>
      </w:rPr>
    </w:lvl>
    <w:lvl w:ilvl="1" w:tplc="1B9CB48A">
      <w:start w:val="1"/>
      <w:numFmt w:val="lowerLetter"/>
      <w:lvlText w:val="(%2)"/>
      <w:lvlJc w:val="left"/>
      <w:pPr>
        <w:ind w:left="1636" w:hanging="360"/>
      </w:pPr>
      <w:rPr>
        <w:rFonts w:ascii="Times New Roman" w:eastAsia="Times New Roman" w:hAnsi="Times New Roman" w:cs="Times New Roman"/>
      </w:r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5" w15:restartNumberingAfterBreak="0">
    <w:nsid w:val="18CE4278"/>
    <w:multiLevelType w:val="hybridMultilevel"/>
    <w:tmpl w:val="F262336E"/>
    <w:lvl w:ilvl="0" w:tplc="4914E1F2">
      <w:start w:val="1"/>
      <w:numFmt w:val="decimal"/>
      <w:lvlText w:val="(%1)"/>
      <w:lvlJc w:val="left"/>
      <w:pPr>
        <w:ind w:left="1490" w:hanging="360"/>
      </w:pPr>
      <w:rPr>
        <w:rFonts w:hint="default"/>
      </w:rPr>
    </w:lvl>
    <w:lvl w:ilvl="1" w:tplc="46D6F2A8">
      <w:start w:val="1"/>
      <w:numFmt w:val="lowerLetter"/>
      <w:lvlText w:val="(%2)"/>
      <w:lvlJc w:val="left"/>
      <w:pPr>
        <w:ind w:left="1850" w:hanging="360"/>
      </w:pPr>
      <w:rPr>
        <w:rFonts w:hint="default"/>
      </w:r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6" w15:restartNumberingAfterBreak="0">
    <w:nsid w:val="18D977D0"/>
    <w:multiLevelType w:val="hybridMultilevel"/>
    <w:tmpl w:val="F84E556E"/>
    <w:lvl w:ilvl="0" w:tplc="FFFFFFFF">
      <w:start w:val="1"/>
      <w:numFmt w:val="decimal"/>
      <w:lvlText w:val="(%1)"/>
      <w:lvlJc w:val="left"/>
      <w:pPr>
        <w:ind w:left="720" w:hanging="360"/>
      </w:pPr>
      <w:rPr>
        <w:rFonts w:hint="default"/>
      </w:rPr>
    </w:lvl>
    <w:lvl w:ilvl="1" w:tplc="FFFFFFFF">
      <w:start w:val="1"/>
      <w:numFmt w:val="lowerLetter"/>
      <w:lvlText w:val="(%2)"/>
      <w:lvlJc w:val="left"/>
      <w:pPr>
        <w:ind w:left="1636"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127AD4"/>
    <w:multiLevelType w:val="hybridMultilevel"/>
    <w:tmpl w:val="FBE658F8"/>
    <w:lvl w:ilvl="0" w:tplc="FFFFFFFF">
      <w:start w:val="1"/>
      <w:numFmt w:val="decimal"/>
      <w:lvlText w:val="(%1)"/>
      <w:lvlJc w:val="left"/>
      <w:pPr>
        <w:ind w:left="1130" w:hanging="360"/>
      </w:pPr>
      <w:rPr>
        <w:rFonts w:hint="default"/>
      </w:rPr>
    </w:lvl>
    <w:lvl w:ilvl="1" w:tplc="FFFFFFFF" w:tentative="1">
      <w:start w:val="1"/>
      <w:numFmt w:val="lowerLetter"/>
      <w:lvlText w:val="%2."/>
      <w:lvlJc w:val="left"/>
      <w:pPr>
        <w:ind w:left="1850" w:hanging="360"/>
      </w:pPr>
    </w:lvl>
    <w:lvl w:ilvl="2" w:tplc="FFFFFFFF" w:tentative="1">
      <w:start w:val="1"/>
      <w:numFmt w:val="lowerRoman"/>
      <w:lvlText w:val="%3."/>
      <w:lvlJc w:val="right"/>
      <w:pPr>
        <w:ind w:left="2570" w:hanging="180"/>
      </w:pPr>
    </w:lvl>
    <w:lvl w:ilvl="3" w:tplc="FFFFFFFF" w:tentative="1">
      <w:start w:val="1"/>
      <w:numFmt w:val="decimal"/>
      <w:lvlText w:val="%4."/>
      <w:lvlJc w:val="left"/>
      <w:pPr>
        <w:ind w:left="3290" w:hanging="360"/>
      </w:pPr>
    </w:lvl>
    <w:lvl w:ilvl="4" w:tplc="FFFFFFFF" w:tentative="1">
      <w:start w:val="1"/>
      <w:numFmt w:val="lowerLetter"/>
      <w:lvlText w:val="%5."/>
      <w:lvlJc w:val="left"/>
      <w:pPr>
        <w:ind w:left="4010" w:hanging="360"/>
      </w:pPr>
    </w:lvl>
    <w:lvl w:ilvl="5" w:tplc="FFFFFFFF" w:tentative="1">
      <w:start w:val="1"/>
      <w:numFmt w:val="lowerRoman"/>
      <w:lvlText w:val="%6."/>
      <w:lvlJc w:val="right"/>
      <w:pPr>
        <w:ind w:left="4730" w:hanging="180"/>
      </w:pPr>
    </w:lvl>
    <w:lvl w:ilvl="6" w:tplc="FFFFFFFF" w:tentative="1">
      <w:start w:val="1"/>
      <w:numFmt w:val="decimal"/>
      <w:lvlText w:val="%7."/>
      <w:lvlJc w:val="left"/>
      <w:pPr>
        <w:ind w:left="5450" w:hanging="360"/>
      </w:pPr>
    </w:lvl>
    <w:lvl w:ilvl="7" w:tplc="FFFFFFFF" w:tentative="1">
      <w:start w:val="1"/>
      <w:numFmt w:val="lowerLetter"/>
      <w:lvlText w:val="%8."/>
      <w:lvlJc w:val="left"/>
      <w:pPr>
        <w:ind w:left="6170" w:hanging="360"/>
      </w:pPr>
    </w:lvl>
    <w:lvl w:ilvl="8" w:tplc="FFFFFFFF" w:tentative="1">
      <w:start w:val="1"/>
      <w:numFmt w:val="lowerRoman"/>
      <w:lvlText w:val="%9."/>
      <w:lvlJc w:val="right"/>
      <w:pPr>
        <w:ind w:left="6890" w:hanging="180"/>
      </w:pPr>
    </w:lvl>
  </w:abstractNum>
  <w:abstractNum w:abstractNumId="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886ADC"/>
    <w:multiLevelType w:val="hybridMultilevel"/>
    <w:tmpl w:val="037C07F6"/>
    <w:lvl w:ilvl="0" w:tplc="24182B1A">
      <w:start w:val="1"/>
      <w:numFmt w:val="decimal"/>
      <w:lvlText w:val="(%1)"/>
      <w:lvlJc w:val="left"/>
      <w:pPr>
        <w:ind w:left="720" w:hanging="360"/>
      </w:pPr>
      <w:rPr>
        <w:rFonts w:hint="default"/>
      </w:rPr>
    </w:lvl>
    <w:lvl w:ilvl="1" w:tplc="2DAEE740">
      <w:start w:val="1"/>
      <w:numFmt w:val="lowerLetter"/>
      <w:lvlText w:val="(%2)"/>
      <w:lvlJc w:val="left"/>
      <w:pPr>
        <w:ind w:left="1636"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D154DC"/>
    <w:multiLevelType w:val="hybridMultilevel"/>
    <w:tmpl w:val="7DC6A092"/>
    <w:lvl w:ilvl="0" w:tplc="FFFFFFFF">
      <w:start w:val="1"/>
      <w:numFmt w:val="lowerLetter"/>
      <w:lvlText w:val="(%1)"/>
      <w:lvlJc w:val="left"/>
      <w:pPr>
        <w:ind w:left="2000" w:hanging="360"/>
      </w:pPr>
      <w:rPr>
        <w:rFonts w:hint="default"/>
      </w:rPr>
    </w:lvl>
    <w:lvl w:ilvl="1" w:tplc="FFFFFFFF" w:tentative="1">
      <w:start w:val="1"/>
      <w:numFmt w:val="lowerLetter"/>
      <w:lvlText w:val="%2."/>
      <w:lvlJc w:val="left"/>
      <w:pPr>
        <w:ind w:left="2720" w:hanging="360"/>
      </w:pPr>
    </w:lvl>
    <w:lvl w:ilvl="2" w:tplc="FFFFFFFF" w:tentative="1">
      <w:start w:val="1"/>
      <w:numFmt w:val="lowerRoman"/>
      <w:lvlText w:val="%3."/>
      <w:lvlJc w:val="right"/>
      <w:pPr>
        <w:ind w:left="3440" w:hanging="180"/>
      </w:pPr>
    </w:lvl>
    <w:lvl w:ilvl="3" w:tplc="FFFFFFFF" w:tentative="1">
      <w:start w:val="1"/>
      <w:numFmt w:val="decimal"/>
      <w:lvlText w:val="%4."/>
      <w:lvlJc w:val="left"/>
      <w:pPr>
        <w:ind w:left="4160" w:hanging="360"/>
      </w:pPr>
    </w:lvl>
    <w:lvl w:ilvl="4" w:tplc="FFFFFFFF" w:tentative="1">
      <w:start w:val="1"/>
      <w:numFmt w:val="lowerLetter"/>
      <w:lvlText w:val="%5."/>
      <w:lvlJc w:val="left"/>
      <w:pPr>
        <w:ind w:left="4880" w:hanging="360"/>
      </w:pPr>
    </w:lvl>
    <w:lvl w:ilvl="5" w:tplc="FFFFFFFF" w:tentative="1">
      <w:start w:val="1"/>
      <w:numFmt w:val="lowerRoman"/>
      <w:lvlText w:val="%6."/>
      <w:lvlJc w:val="right"/>
      <w:pPr>
        <w:ind w:left="5600" w:hanging="180"/>
      </w:pPr>
    </w:lvl>
    <w:lvl w:ilvl="6" w:tplc="FFFFFFFF" w:tentative="1">
      <w:start w:val="1"/>
      <w:numFmt w:val="decimal"/>
      <w:lvlText w:val="%7."/>
      <w:lvlJc w:val="left"/>
      <w:pPr>
        <w:ind w:left="6320" w:hanging="360"/>
      </w:pPr>
    </w:lvl>
    <w:lvl w:ilvl="7" w:tplc="FFFFFFFF" w:tentative="1">
      <w:start w:val="1"/>
      <w:numFmt w:val="lowerLetter"/>
      <w:lvlText w:val="%8."/>
      <w:lvlJc w:val="left"/>
      <w:pPr>
        <w:ind w:left="7040" w:hanging="360"/>
      </w:pPr>
    </w:lvl>
    <w:lvl w:ilvl="8" w:tplc="FFFFFFFF" w:tentative="1">
      <w:start w:val="1"/>
      <w:numFmt w:val="lowerRoman"/>
      <w:lvlText w:val="%9."/>
      <w:lvlJc w:val="right"/>
      <w:pPr>
        <w:ind w:left="7760" w:hanging="180"/>
      </w:pPr>
    </w:lvl>
  </w:abstractNum>
  <w:abstractNum w:abstractNumId="11" w15:restartNumberingAfterBreak="0">
    <w:nsid w:val="1CC26B46"/>
    <w:multiLevelType w:val="hybridMultilevel"/>
    <w:tmpl w:val="57969D1A"/>
    <w:lvl w:ilvl="0" w:tplc="1D209876">
      <w:start w:val="2"/>
      <w:numFmt w:val="decimal"/>
      <w:lvlText w:val="(%1)"/>
      <w:lvlJc w:val="left"/>
      <w:pPr>
        <w:ind w:left="4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D42FE8"/>
    <w:multiLevelType w:val="hybridMultilevel"/>
    <w:tmpl w:val="8646908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030" w:hanging="360"/>
      </w:pPr>
    </w:lvl>
    <w:lvl w:ilvl="2" w:tplc="FFFFFFFF" w:tentative="1">
      <w:start w:val="1"/>
      <w:numFmt w:val="lowerRoman"/>
      <w:lvlText w:val="%3."/>
      <w:lvlJc w:val="right"/>
      <w:pPr>
        <w:ind w:left="1750" w:hanging="180"/>
      </w:pPr>
    </w:lvl>
    <w:lvl w:ilvl="3" w:tplc="FFFFFFFF" w:tentative="1">
      <w:start w:val="1"/>
      <w:numFmt w:val="decimal"/>
      <w:lvlText w:val="%4."/>
      <w:lvlJc w:val="left"/>
      <w:pPr>
        <w:ind w:left="2470" w:hanging="360"/>
      </w:pPr>
    </w:lvl>
    <w:lvl w:ilvl="4" w:tplc="FFFFFFFF" w:tentative="1">
      <w:start w:val="1"/>
      <w:numFmt w:val="lowerLetter"/>
      <w:lvlText w:val="%5."/>
      <w:lvlJc w:val="left"/>
      <w:pPr>
        <w:ind w:left="3190" w:hanging="360"/>
      </w:pPr>
    </w:lvl>
    <w:lvl w:ilvl="5" w:tplc="FFFFFFFF" w:tentative="1">
      <w:start w:val="1"/>
      <w:numFmt w:val="lowerRoman"/>
      <w:lvlText w:val="%6."/>
      <w:lvlJc w:val="right"/>
      <w:pPr>
        <w:ind w:left="3910" w:hanging="180"/>
      </w:pPr>
    </w:lvl>
    <w:lvl w:ilvl="6" w:tplc="FFFFFFFF" w:tentative="1">
      <w:start w:val="1"/>
      <w:numFmt w:val="decimal"/>
      <w:lvlText w:val="%7."/>
      <w:lvlJc w:val="left"/>
      <w:pPr>
        <w:ind w:left="4630" w:hanging="360"/>
      </w:pPr>
    </w:lvl>
    <w:lvl w:ilvl="7" w:tplc="FFFFFFFF" w:tentative="1">
      <w:start w:val="1"/>
      <w:numFmt w:val="lowerLetter"/>
      <w:lvlText w:val="%8."/>
      <w:lvlJc w:val="left"/>
      <w:pPr>
        <w:ind w:left="5350" w:hanging="360"/>
      </w:pPr>
    </w:lvl>
    <w:lvl w:ilvl="8" w:tplc="FFFFFFFF" w:tentative="1">
      <w:start w:val="1"/>
      <w:numFmt w:val="lowerRoman"/>
      <w:lvlText w:val="%9."/>
      <w:lvlJc w:val="right"/>
      <w:pPr>
        <w:ind w:left="6070" w:hanging="180"/>
      </w:pPr>
    </w:lvl>
  </w:abstractNum>
  <w:abstractNum w:abstractNumId="13" w15:restartNumberingAfterBreak="0">
    <w:nsid w:val="1E281897"/>
    <w:multiLevelType w:val="hybridMultilevel"/>
    <w:tmpl w:val="58D426B8"/>
    <w:lvl w:ilvl="0" w:tplc="FFFFFFFF">
      <w:start w:val="1"/>
      <w:numFmt w:val="lowerLetter"/>
      <w:lvlText w:val="(%1)"/>
      <w:lvlJc w:val="left"/>
      <w:pPr>
        <w:ind w:left="1636"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802F7E"/>
    <w:multiLevelType w:val="hybridMultilevel"/>
    <w:tmpl w:val="5F7CA8DE"/>
    <w:lvl w:ilvl="0" w:tplc="FFFFFFFF">
      <w:start w:val="1"/>
      <w:numFmt w:val="lowerLetter"/>
      <w:lvlText w:val="(%1)"/>
      <w:lvlJc w:val="left"/>
      <w:pPr>
        <w:ind w:left="1636" w:hanging="360"/>
      </w:pPr>
      <w:rPr>
        <w:rFonts w:hint="default"/>
      </w:rPr>
    </w:lvl>
    <w:lvl w:ilvl="1" w:tplc="EA5EA66A">
      <w:start w:val="1"/>
      <w:numFmt w:val="lowerRoman"/>
      <w:lvlText w:val="(%2)"/>
      <w:lvlJc w:val="right"/>
      <w:pPr>
        <w:ind w:left="2356" w:hanging="360"/>
      </w:pPr>
      <w:rPr>
        <w:rFonts w:ascii="Times New Roman" w:eastAsia="Times New Roman" w:hAnsi="Times New Roman" w:cs="Times New Roman"/>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5" w15:restartNumberingAfterBreak="0">
    <w:nsid w:val="21A73CD4"/>
    <w:multiLevelType w:val="hybridMultilevel"/>
    <w:tmpl w:val="8020CDC4"/>
    <w:lvl w:ilvl="0" w:tplc="FFFFFFFF">
      <w:start w:val="1"/>
      <w:numFmt w:val="lowerLetter"/>
      <w:lvlText w:val="(%1)"/>
      <w:lvlJc w:val="left"/>
      <w:pPr>
        <w:ind w:left="163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012127"/>
    <w:multiLevelType w:val="hybridMultilevel"/>
    <w:tmpl w:val="1CBE1C6A"/>
    <w:lvl w:ilvl="0" w:tplc="86E47BD8">
      <w:start w:val="1"/>
      <w:numFmt w:val="lowerRoman"/>
      <w:lvlText w:val="(%1)"/>
      <w:lvlJc w:val="left"/>
      <w:pPr>
        <w:ind w:left="275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2B619A"/>
    <w:multiLevelType w:val="hybridMultilevel"/>
    <w:tmpl w:val="70B4413E"/>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2C4E1C"/>
    <w:multiLevelType w:val="hybridMultilevel"/>
    <w:tmpl w:val="48B6F964"/>
    <w:lvl w:ilvl="0" w:tplc="D7C40216">
      <w:start w:val="1"/>
      <w:numFmt w:val="decimal"/>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19" w15:restartNumberingAfterBreak="0">
    <w:nsid w:val="276B5E77"/>
    <w:multiLevelType w:val="hybridMultilevel"/>
    <w:tmpl w:val="A7DAD642"/>
    <w:lvl w:ilvl="0" w:tplc="E0F6FADE">
      <w:start w:val="1"/>
      <w:numFmt w:val="lowerLetter"/>
      <w:lvlText w:val="(%1)"/>
      <w:lvlJc w:val="left"/>
      <w:pPr>
        <w:ind w:left="2000" w:hanging="360"/>
      </w:pPr>
      <w:rPr>
        <w:rFonts w:hint="default"/>
      </w:rPr>
    </w:lvl>
    <w:lvl w:ilvl="1" w:tplc="0C090019" w:tentative="1">
      <w:start w:val="1"/>
      <w:numFmt w:val="lowerLetter"/>
      <w:lvlText w:val="%2."/>
      <w:lvlJc w:val="left"/>
      <w:pPr>
        <w:ind w:left="2720" w:hanging="360"/>
      </w:pPr>
    </w:lvl>
    <w:lvl w:ilvl="2" w:tplc="0C09001B" w:tentative="1">
      <w:start w:val="1"/>
      <w:numFmt w:val="lowerRoman"/>
      <w:lvlText w:val="%3."/>
      <w:lvlJc w:val="right"/>
      <w:pPr>
        <w:ind w:left="3440" w:hanging="180"/>
      </w:pPr>
    </w:lvl>
    <w:lvl w:ilvl="3" w:tplc="0C09000F" w:tentative="1">
      <w:start w:val="1"/>
      <w:numFmt w:val="decimal"/>
      <w:lvlText w:val="%4."/>
      <w:lvlJc w:val="left"/>
      <w:pPr>
        <w:ind w:left="4160" w:hanging="360"/>
      </w:pPr>
    </w:lvl>
    <w:lvl w:ilvl="4" w:tplc="0C090019" w:tentative="1">
      <w:start w:val="1"/>
      <w:numFmt w:val="lowerLetter"/>
      <w:lvlText w:val="%5."/>
      <w:lvlJc w:val="left"/>
      <w:pPr>
        <w:ind w:left="4880" w:hanging="360"/>
      </w:pPr>
    </w:lvl>
    <w:lvl w:ilvl="5" w:tplc="0C09001B" w:tentative="1">
      <w:start w:val="1"/>
      <w:numFmt w:val="lowerRoman"/>
      <w:lvlText w:val="%6."/>
      <w:lvlJc w:val="right"/>
      <w:pPr>
        <w:ind w:left="5600" w:hanging="180"/>
      </w:pPr>
    </w:lvl>
    <w:lvl w:ilvl="6" w:tplc="0C09000F" w:tentative="1">
      <w:start w:val="1"/>
      <w:numFmt w:val="decimal"/>
      <w:lvlText w:val="%7."/>
      <w:lvlJc w:val="left"/>
      <w:pPr>
        <w:ind w:left="6320" w:hanging="360"/>
      </w:pPr>
    </w:lvl>
    <w:lvl w:ilvl="7" w:tplc="0C090019" w:tentative="1">
      <w:start w:val="1"/>
      <w:numFmt w:val="lowerLetter"/>
      <w:lvlText w:val="%8."/>
      <w:lvlJc w:val="left"/>
      <w:pPr>
        <w:ind w:left="7040" w:hanging="360"/>
      </w:pPr>
    </w:lvl>
    <w:lvl w:ilvl="8" w:tplc="0C09001B" w:tentative="1">
      <w:start w:val="1"/>
      <w:numFmt w:val="lowerRoman"/>
      <w:lvlText w:val="%9."/>
      <w:lvlJc w:val="right"/>
      <w:pPr>
        <w:ind w:left="7760" w:hanging="180"/>
      </w:pPr>
    </w:lvl>
  </w:abstractNum>
  <w:abstractNum w:abstractNumId="20" w15:restartNumberingAfterBreak="0">
    <w:nsid w:val="27762419"/>
    <w:multiLevelType w:val="hybridMultilevel"/>
    <w:tmpl w:val="1856E2B6"/>
    <w:lvl w:ilvl="0" w:tplc="FF66B06E">
      <w:start w:val="1"/>
      <w:numFmt w:val="decimal"/>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21" w15:restartNumberingAfterBreak="0">
    <w:nsid w:val="2C585D3B"/>
    <w:multiLevelType w:val="hybridMultilevel"/>
    <w:tmpl w:val="A72CE076"/>
    <w:lvl w:ilvl="0" w:tplc="15DCE860">
      <w:start w:val="1"/>
      <w:numFmt w:val="decimal"/>
      <w:lvlText w:val="(%1)"/>
      <w:lvlJc w:val="left"/>
      <w:pPr>
        <w:ind w:left="720" w:hanging="360"/>
      </w:pPr>
      <w:rPr>
        <w:rFonts w:hint="default"/>
      </w:rPr>
    </w:lvl>
    <w:lvl w:ilvl="1" w:tplc="2DAEE740">
      <w:start w:val="1"/>
      <w:numFmt w:val="lowerLetter"/>
      <w:lvlText w:val="(%2)"/>
      <w:lvlJc w:val="left"/>
      <w:pPr>
        <w:ind w:left="1636"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CCB3198"/>
    <w:multiLevelType w:val="hybridMultilevel"/>
    <w:tmpl w:val="BBECCA9C"/>
    <w:lvl w:ilvl="0" w:tplc="FFFFFFFF">
      <w:start w:val="1"/>
      <w:numFmt w:val="decimal"/>
      <w:lvlText w:val="(%1)"/>
      <w:lvlJc w:val="left"/>
      <w:pPr>
        <w:ind w:left="1130" w:hanging="360"/>
      </w:pPr>
      <w:rPr>
        <w:rFonts w:hint="default"/>
      </w:rPr>
    </w:lvl>
    <w:lvl w:ilvl="1" w:tplc="FFFFFFFF">
      <w:start w:val="1"/>
      <w:numFmt w:val="lowerLetter"/>
      <w:lvlText w:val="(%2)"/>
      <w:lvlJc w:val="left"/>
      <w:pPr>
        <w:ind w:left="1636" w:hanging="360"/>
      </w:pPr>
      <w:rPr>
        <w:rFonts w:hint="default"/>
      </w:rPr>
    </w:lvl>
    <w:lvl w:ilvl="2" w:tplc="FFFFFFFF" w:tentative="1">
      <w:start w:val="1"/>
      <w:numFmt w:val="lowerRoman"/>
      <w:lvlText w:val="%3."/>
      <w:lvlJc w:val="right"/>
      <w:pPr>
        <w:ind w:left="2570" w:hanging="180"/>
      </w:pPr>
    </w:lvl>
    <w:lvl w:ilvl="3" w:tplc="FFFFFFFF" w:tentative="1">
      <w:start w:val="1"/>
      <w:numFmt w:val="decimal"/>
      <w:lvlText w:val="%4."/>
      <w:lvlJc w:val="left"/>
      <w:pPr>
        <w:ind w:left="3290" w:hanging="360"/>
      </w:pPr>
    </w:lvl>
    <w:lvl w:ilvl="4" w:tplc="FFFFFFFF" w:tentative="1">
      <w:start w:val="1"/>
      <w:numFmt w:val="lowerLetter"/>
      <w:lvlText w:val="%5."/>
      <w:lvlJc w:val="left"/>
      <w:pPr>
        <w:ind w:left="4010" w:hanging="360"/>
      </w:pPr>
    </w:lvl>
    <w:lvl w:ilvl="5" w:tplc="FFFFFFFF" w:tentative="1">
      <w:start w:val="1"/>
      <w:numFmt w:val="lowerRoman"/>
      <w:lvlText w:val="%6."/>
      <w:lvlJc w:val="right"/>
      <w:pPr>
        <w:ind w:left="4730" w:hanging="180"/>
      </w:pPr>
    </w:lvl>
    <w:lvl w:ilvl="6" w:tplc="FFFFFFFF" w:tentative="1">
      <w:start w:val="1"/>
      <w:numFmt w:val="decimal"/>
      <w:lvlText w:val="%7."/>
      <w:lvlJc w:val="left"/>
      <w:pPr>
        <w:ind w:left="5450" w:hanging="360"/>
      </w:pPr>
    </w:lvl>
    <w:lvl w:ilvl="7" w:tplc="FFFFFFFF" w:tentative="1">
      <w:start w:val="1"/>
      <w:numFmt w:val="lowerLetter"/>
      <w:lvlText w:val="%8."/>
      <w:lvlJc w:val="left"/>
      <w:pPr>
        <w:ind w:left="6170" w:hanging="360"/>
      </w:pPr>
    </w:lvl>
    <w:lvl w:ilvl="8" w:tplc="FFFFFFFF" w:tentative="1">
      <w:start w:val="1"/>
      <w:numFmt w:val="lowerRoman"/>
      <w:lvlText w:val="%9."/>
      <w:lvlJc w:val="right"/>
      <w:pPr>
        <w:ind w:left="6890" w:hanging="180"/>
      </w:pPr>
    </w:lvl>
  </w:abstractNum>
  <w:abstractNum w:abstractNumId="23" w15:restartNumberingAfterBreak="0">
    <w:nsid w:val="2CD7762F"/>
    <w:multiLevelType w:val="hybridMultilevel"/>
    <w:tmpl w:val="AAD2C0FC"/>
    <w:lvl w:ilvl="0" w:tplc="801E66EA">
      <w:start w:val="1"/>
      <w:numFmt w:val="decimal"/>
      <w:lvlText w:val="(%1)"/>
      <w:lvlJc w:val="left"/>
      <w:pPr>
        <w:ind w:left="1130" w:hanging="41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2D695FF2"/>
    <w:multiLevelType w:val="hybridMultilevel"/>
    <w:tmpl w:val="3B8E2B8C"/>
    <w:lvl w:ilvl="0" w:tplc="0ACA69D2">
      <w:start w:val="1"/>
      <w:numFmt w:val="lowerLetter"/>
      <w:lvlText w:val="(%1)"/>
      <w:lvlJc w:val="left"/>
      <w:pPr>
        <w:ind w:left="2000" w:hanging="360"/>
      </w:pPr>
      <w:rPr>
        <w:rFonts w:hint="default"/>
      </w:rPr>
    </w:lvl>
    <w:lvl w:ilvl="1" w:tplc="0C090019" w:tentative="1">
      <w:start w:val="1"/>
      <w:numFmt w:val="lowerLetter"/>
      <w:lvlText w:val="%2."/>
      <w:lvlJc w:val="left"/>
      <w:pPr>
        <w:ind w:left="2720" w:hanging="360"/>
      </w:pPr>
    </w:lvl>
    <w:lvl w:ilvl="2" w:tplc="0C09001B" w:tentative="1">
      <w:start w:val="1"/>
      <w:numFmt w:val="lowerRoman"/>
      <w:lvlText w:val="%3."/>
      <w:lvlJc w:val="right"/>
      <w:pPr>
        <w:ind w:left="3440" w:hanging="180"/>
      </w:pPr>
    </w:lvl>
    <w:lvl w:ilvl="3" w:tplc="0C09000F" w:tentative="1">
      <w:start w:val="1"/>
      <w:numFmt w:val="decimal"/>
      <w:lvlText w:val="%4."/>
      <w:lvlJc w:val="left"/>
      <w:pPr>
        <w:ind w:left="4160" w:hanging="360"/>
      </w:pPr>
    </w:lvl>
    <w:lvl w:ilvl="4" w:tplc="0C090019" w:tentative="1">
      <w:start w:val="1"/>
      <w:numFmt w:val="lowerLetter"/>
      <w:lvlText w:val="%5."/>
      <w:lvlJc w:val="left"/>
      <w:pPr>
        <w:ind w:left="4880" w:hanging="360"/>
      </w:pPr>
    </w:lvl>
    <w:lvl w:ilvl="5" w:tplc="0C09001B" w:tentative="1">
      <w:start w:val="1"/>
      <w:numFmt w:val="lowerRoman"/>
      <w:lvlText w:val="%6."/>
      <w:lvlJc w:val="right"/>
      <w:pPr>
        <w:ind w:left="5600" w:hanging="180"/>
      </w:pPr>
    </w:lvl>
    <w:lvl w:ilvl="6" w:tplc="0C09000F" w:tentative="1">
      <w:start w:val="1"/>
      <w:numFmt w:val="decimal"/>
      <w:lvlText w:val="%7."/>
      <w:lvlJc w:val="left"/>
      <w:pPr>
        <w:ind w:left="6320" w:hanging="360"/>
      </w:pPr>
    </w:lvl>
    <w:lvl w:ilvl="7" w:tplc="0C090019" w:tentative="1">
      <w:start w:val="1"/>
      <w:numFmt w:val="lowerLetter"/>
      <w:lvlText w:val="%8."/>
      <w:lvlJc w:val="left"/>
      <w:pPr>
        <w:ind w:left="7040" w:hanging="360"/>
      </w:pPr>
    </w:lvl>
    <w:lvl w:ilvl="8" w:tplc="0C09001B" w:tentative="1">
      <w:start w:val="1"/>
      <w:numFmt w:val="lowerRoman"/>
      <w:lvlText w:val="%9."/>
      <w:lvlJc w:val="right"/>
      <w:pPr>
        <w:ind w:left="7760" w:hanging="180"/>
      </w:pPr>
    </w:lvl>
  </w:abstractNum>
  <w:abstractNum w:abstractNumId="25" w15:restartNumberingAfterBreak="0">
    <w:nsid w:val="2E5826FB"/>
    <w:multiLevelType w:val="hybridMultilevel"/>
    <w:tmpl w:val="58D426B8"/>
    <w:lvl w:ilvl="0" w:tplc="B2FE5F84">
      <w:start w:val="1"/>
      <w:numFmt w:val="lowerLetter"/>
      <w:lvlText w:val="(%1)"/>
      <w:lvlJc w:val="left"/>
      <w:pPr>
        <w:ind w:left="1636"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E8724E4"/>
    <w:multiLevelType w:val="hybridMultilevel"/>
    <w:tmpl w:val="DA80FFEC"/>
    <w:lvl w:ilvl="0" w:tplc="68C6E72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EAE0541"/>
    <w:multiLevelType w:val="hybridMultilevel"/>
    <w:tmpl w:val="DD1289B8"/>
    <w:lvl w:ilvl="0" w:tplc="7716E4F0">
      <w:start w:val="1"/>
      <w:numFmt w:val="lowerLetter"/>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2F6152D8"/>
    <w:multiLevelType w:val="hybridMultilevel"/>
    <w:tmpl w:val="09F67D58"/>
    <w:lvl w:ilvl="0" w:tplc="D00C1C9C">
      <w:start w:val="1"/>
      <w:numFmt w:val="decimal"/>
      <w:lvlText w:val="(%1)"/>
      <w:lvlJc w:val="left"/>
      <w:pPr>
        <w:ind w:left="1490" w:hanging="360"/>
      </w:pPr>
      <w:rPr>
        <w:rFonts w:hint="default"/>
      </w:rPr>
    </w:lvl>
    <w:lvl w:ilvl="1" w:tplc="46D6F2A8">
      <w:start w:val="1"/>
      <w:numFmt w:val="lowerLetter"/>
      <w:lvlText w:val="(%2)"/>
      <w:lvlJc w:val="left"/>
      <w:pPr>
        <w:ind w:left="1850" w:hanging="360"/>
      </w:pPr>
      <w:rPr>
        <w:rFonts w:hint="default"/>
      </w:r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29" w15:restartNumberingAfterBreak="0">
    <w:nsid w:val="30404D83"/>
    <w:multiLevelType w:val="hybridMultilevel"/>
    <w:tmpl w:val="07DE549A"/>
    <w:lvl w:ilvl="0" w:tplc="EE340512">
      <w:start w:val="1"/>
      <w:numFmt w:val="lowerLetter"/>
      <w:lvlText w:val="(%1)"/>
      <w:lvlJc w:val="left"/>
      <w:pPr>
        <w:ind w:left="1550" w:hanging="360"/>
      </w:pPr>
      <w:rPr>
        <w:rFonts w:hint="default"/>
      </w:rPr>
    </w:lvl>
    <w:lvl w:ilvl="1" w:tplc="0C090019" w:tentative="1">
      <w:start w:val="1"/>
      <w:numFmt w:val="lowerLetter"/>
      <w:lvlText w:val="%2."/>
      <w:lvlJc w:val="left"/>
      <w:pPr>
        <w:ind w:left="2270" w:hanging="360"/>
      </w:pPr>
    </w:lvl>
    <w:lvl w:ilvl="2" w:tplc="0C09001B" w:tentative="1">
      <w:start w:val="1"/>
      <w:numFmt w:val="lowerRoman"/>
      <w:lvlText w:val="%3."/>
      <w:lvlJc w:val="right"/>
      <w:pPr>
        <w:ind w:left="2990" w:hanging="180"/>
      </w:pPr>
    </w:lvl>
    <w:lvl w:ilvl="3" w:tplc="0C09000F" w:tentative="1">
      <w:start w:val="1"/>
      <w:numFmt w:val="decimal"/>
      <w:lvlText w:val="%4."/>
      <w:lvlJc w:val="left"/>
      <w:pPr>
        <w:ind w:left="3710" w:hanging="360"/>
      </w:pPr>
    </w:lvl>
    <w:lvl w:ilvl="4" w:tplc="0C090019" w:tentative="1">
      <w:start w:val="1"/>
      <w:numFmt w:val="lowerLetter"/>
      <w:lvlText w:val="%5."/>
      <w:lvlJc w:val="left"/>
      <w:pPr>
        <w:ind w:left="4430" w:hanging="360"/>
      </w:pPr>
    </w:lvl>
    <w:lvl w:ilvl="5" w:tplc="0C09001B" w:tentative="1">
      <w:start w:val="1"/>
      <w:numFmt w:val="lowerRoman"/>
      <w:lvlText w:val="%6."/>
      <w:lvlJc w:val="right"/>
      <w:pPr>
        <w:ind w:left="5150" w:hanging="180"/>
      </w:pPr>
    </w:lvl>
    <w:lvl w:ilvl="6" w:tplc="0C09000F" w:tentative="1">
      <w:start w:val="1"/>
      <w:numFmt w:val="decimal"/>
      <w:lvlText w:val="%7."/>
      <w:lvlJc w:val="left"/>
      <w:pPr>
        <w:ind w:left="5870" w:hanging="360"/>
      </w:pPr>
    </w:lvl>
    <w:lvl w:ilvl="7" w:tplc="0C090019" w:tentative="1">
      <w:start w:val="1"/>
      <w:numFmt w:val="lowerLetter"/>
      <w:lvlText w:val="%8."/>
      <w:lvlJc w:val="left"/>
      <w:pPr>
        <w:ind w:left="6590" w:hanging="360"/>
      </w:pPr>
    </w:lvl>
    <w:lvl w:ilvl="8" w:tplc="0C09001B" w:tentative="1">
      <w:start w:val="1"/>
      <w:numFmt w:val="lowerRoman"/>
      <w:lvlText w:val="%9."/>
      <w:lvlJc w:val="right"/>
      <w:pPr>
        <w:ind w:left="7310" w:hanging="180"/>
      </w:pPr>
    </w:lvl>
  </w:abstractNum>
  <w:abstractNum w:abstractNumId="30" w15:restartNumberingAfterBreak="0">
    <w:nsid w:val="30B42389"/>
    <w:multiLevelType w:val="hybridMultilevel"/>
    <w:tmpl w:val="10283358"/>
    <w:lvl w:ilvl="0" w:tplc="35FC871A">
      <w:start w:val="1"/>
      <w:numFmt w:val="decimal"/>
      <w:lvlText w:val="%1."/>
      <w:lvlJc w:val="left"/>
      <w:pPr>
        <w:ind w:left="1020" w:hanging="360"/>
      </w:pPr>
    </w:lvl>
    <w:lvl w:ilvl="1" w:tplc="5106B4C8">
      <w:start w:val="1"/>
      <w:numFmt w:val="decimal"/>
      <w:lvlText w:val="%2."/>
      <w:lvlJc w:val="left"/>
      <w:pPr>
        <w:ind w:left="1020" w:hanging="360"/>
      </w:pPr>
    </w:lvl>
    <w:lvl w:ilvl="2" w:tplc="0792E6A6">
      <w:start w:val="1"/>
      <w:numFmt w:val="decimal"/>
      <w:lvlText w:val="%3."/>
      <w:lvlJc w:val="left"/>
      <w:pPr>
        <w:ind w:left="1020" w:hanging="360"/>
      </w:pPr>
    </w:lvl>
    <w:lvl w:ilvl="3" w:tplc="337476D8">
      <w:start w:val="1"/>
      <w:numFmt w:val="decimal"/>
      <w:lvlText w:val="%4."/>
      <w:lvlJc w:val="left"/>
      <w:pPr>
        <w:ind w:left="1020" w:hanging="360"/>
      </w:pPr>
    </w:lvl>
    <w:lvl w:ilvl="4" w:tplc="D5CC8C92">
      <w:start w:val="1"/>
      <w:numFmt w:val="decimal"/>
      <w:lvlText w:val="%5."/>
      <w:lvlJc w:val="left"/>
      <w:pPr>
        <w:ind w:left="1020" w:hanging="360"/>
      </w:pPr>
    </w:lvl>
    <w:lvl w:ilvl="5" w:tplc="23F25BBA">
      <w:start w:val="1"/>
      <w:numFmt w:val="decimal"/>
      <w:lvlText w:val="%6."/>
      <w:lvlJc w:val="left"/>
      <w:pPr>
        <w:ind w:left="1020" w:hanging="360"/>
      </w:pPr>
    </w:lvl>
    <w:lvl w:ilvl="6" w:tplc="79C4DB66">
      <w:start w:val="1"/>
      <w:numFmt w:val="decimal"/>
      <w:lvlText w:val="%7."/>
      <w:lvlJc w:val="left"/>
      <w:pPr>
        <w:ind w:left="1020" w:hanging="360"/>
      </w:pPr>
    </w:lvl>
    <w:lvl w:ilvl="7" w:tplc="9438A2C4">
      <w:start w:val="1"/>
      <w:numFmt w:val="decimal"/>
      <w:lvlText w:val="%8."/>
      <w:lvlJc w:val="left"/>
      <w:pPr>
        <w:ind w:left="1020" w:hanging="360"/>
      </w:pPr>
    </w:lvl>
    <w:lvl w:ilvl="8" w:tplc="CEEE20A2">
      <w:start w:val="1"/>
      <w:numFmt w:val="decimal"/>
      <w:lvlText w:val="%9."/>
      <w:lvlJc w:val="left"/>
      <w:pPr>
        <w:ind w:left="1020" w:hanging="360"/>
      </w:pPr>
    </w:lvl>
  </w:abstractNum>
  <w:abstractNum w:abstractNumId="31" w15:restartNumberingAfterBreak="0">
    <w:nsid w:val="3251799B"/>
    <w:multiLevelType w:val="hybridMultilevel"/>
    <w:tmpl w:val="9DA8A920"/>
    <w:lvl w:ilvl="0" w:tplc="FFFFFFFF">
      <w:start w:val="1"/>
      <w:numFmt w:val="decimal"/>
      <w:lvlText w:val="(%1)"/>
      <w:lvlJc w:val="left"/>
      <w:pPr>
        <w:ind w:left="1130" w:hanging="360"/>
      </w:pPr>
      <w:rPr>
        <w:rFonts w:hint="default"/>
      </w:rPr>
    </w:lvl>
    <w:lvl w:ilvl="1" w:tplc="46D6F2A8">
      <w:start w:val="1"/>
      <w:numFmt w:val="lowerLetter"/>
      <w:lvlText w:val="(%2)"/>
      <w:lvlJc w:val="left"/>
      <w:pPr>
        <w:ind w:left="1850" w:hanging="360"/>
      </w:pPr>
      <w:rPr>
        <w:rFonts w:hint="default"/>
      </w:rPr>
    </w:lvl>
    <w:lvl w:ilvl="2" w:tplc="86E47BD8">
      <w:start w:val="1"/>
      <w:numFmt w:val="lowerRoman"/>
      <w:lvlText w:val="(%3)"/>
      <w:lvlJc w:val="left"/>
      <w:pPr>
        <w:ind w:left="2750" w:hanging="360"/>
      </w:pPr>
      <w:rPr>
        <w:rFonts w:hint="default"/>
      </w:rPr>
    </w:lvl>
    <w:lvl w:ilvl="3" w:tplc="FFFFFFFF" w:tentative="1">
      <w:start w:val="1"/>
      <w:numFmt w:val="decimal"/>
      <w:lvlText w:val="%4."/>
      <w:lvlJc w:val="left"/>
      <w:pPr>
        <w:ind w:left="3290" w:hanging="360"/>
      </w:pPr>
    </w:lvl>
    <w:lvl w:ilvl="4" w:tplc="FFFFFFFF" w:tentative="1">
      <w:start w:val="1"/>
      <w:numFmt w:val="lowerLetter"/>
      <w:lvlText w:val="%5."/>
      <w:lvlJc w:val="left"/>
      <w:pPr>
        <w:ind w:left="4010" w:hanging="360"/>
      </w:pPr>
    </w:lvl>
    <w:lvl w:ilvl="5" w:tplc="FFFFFFFF" w:tentative="1">
      <w:start w:val="1"/>
      <w:numFmt w:val="lowerRoman"/>
      <w:lvlText w:val="%6."/>
      <w:lvlJc w:val="right"/>
      <w:pPr>
        <w:ind w:left="4730" w:hanging="180"/>
      </w:pPr>
    </w:lvl>
    <w:lvl w:ilvl="6" w:tplc="FFFFFFFF" w:tentative="1">
      <w:start w:val="1"/>
      <w:numFmt w:val="decimal"/>
      <w:lvlText w:val="%7."/>
      <w:lvlJc w:val="left"/>
      <w:pPr>
        <w:ind w:left="5450" w:hanging="360"/>
      </w:pPr>
    </w:lvl>
    <w:lvl w:ilvl="7" w:tplc="FFFFFFFF" w:tentative="1">
      <w:start w:val="1"/>
      <w:numFmt w:val="lowerLetter"/>
      <w:lvlText w:val="%8."/>
      <w:lvlJc w:val="left"/>
      <w:pPr>
        <w:ind w:left="6170" w:hanging="360"/>
      </w:pPr>
    </w:lvl>
    <w:lvl w:ilvl="8" w:tplc="FFFFFFFF" w:tentative="1">
      <w:start w:val="1"/>
      <w:numFmt w:val="lowerRoman"/>
      <w:lvlText w:val="%9."/>
      <w:lvlJc w:val="right"/>
      <w:pPr>
        <w:ind w:left="6890" w:hanging="180"/>
      </w:pPr>
    </w:lvl>
  </w:abstractNum>
  <w:abstractNum w:abstractNumId="32" w15:restartNumberingAfterBreak="0">
    <w:nsid w:val="35292E5A"/>
    <w:multiLevelType w:val="hybridMultilevel"/>
    <w:tmpl w:val="B1E659C8"/>
    <w:lvl w:ilvl="0" w:tplc="77489710">
      <w:start w:val="1"/>
      <w:numFmt w:val="lowerLetter"/>
      <w:lvlText w:val="(%1)"/>
      <w:lvlJc w:val="left"/>
      <w:pPr>
        <w:ind w:left="1554" w:hanging="360"/>
      </w:pPr>
      <w:rPr>
        <w:rFonts w:hint="default"/>
      </w:rPr>
    </w:lvl>
    <w:lvl w:ilvl="1" w:tplc="0C090019" w:tentative="1">
      <w:start w:val="1"/>
      <w:numFmt w:val="lowerLetter"/>
      <w:lvlText w:val="%2."/>
      <w:lvlJc w:val="left"/>
      <w:pPr>
        <w:ind w:left="2274" w:hanging="360"/>
      </w:pPr>
    </w:lvl>
    <w:lvl w:ilvl="2" w:tplc="0C09001B" w:tentative="1">
      <w:start w:val="1"/>
      <w:numFmt w:val="lowerRoman"/>
      <w:lvlText w:val="%3."/>
      <w:lvlJc w:val="right"/>
      <w:pPr>
        <w:ind w:left="2994" w:hanging="180"/>
      </w:pPr>
    </w:lvl>
    <w:lvl w:ilvl="3" w:tplc="0C09000F" w:tentative="1">
      <w:start w:val="1"/>
      <w:numFmt w:val="decimal"/>
      <w:lvlText w:val="%4."/>
      <w:lvlJc w:val="left"/>
      <w:pPr>
        <w:ind w:left="3714" w:hanging="360"/>
      </w:pPr>
    </w:lvl>
    <w:lvl w:ilvl="4" w:tplc="0C090019" w:tentative="1">
      <w:start w:val="1"/>
      <w:numFmt w:val="lowerLetter"/>
      <w:lvlText w:val="%5."/>
      <w:lvlJc w:val="left"/>
      <w:pPr>
        <w:ind w:left="4434" w:hanging="360"/>
      </w:pPr>
    </w:lvl>
    <w:lvl w:ilvl="5" w:tplc="0C09001B" w:tentative="1">
      <w:start w:val="1"/>
      <w:numFmt w:val="lowerRoman"/>
      <w:lvlText w:val="%6."/>
      <w:lvlJc w:val="right"/>
      <w:pPr>
        <w:ind w:left="5154" w:hanging="180"/>
      </w:pPr>
    </w:lvl>
    <w:lvl w:ilvl="6" w:tplc="0C09000F" w:tentative="1">
      <w:start w:val="1"/>
      <w:numFmt w:val="decimal"/>
      <w:lvlText w:val="%7."/>
      <w:lvlJc w:val="left"/>
      <w:pPr>
        <w:ind w:left="5874" w:hanging="360"/>
      </w:pPr>
    </w:lvl>
    <w:lvl w:ilvl="7" w:tplc="0C090019" w:tentative="1">
      <w:start w:val="1"/>
      <w:numFmt w:val="lowerLetter"/>
      <w:lvlText w:val="%8."/>
      <w:lvlJc w:val="left"/>
      <w:pPr>
        <w:ind w:left="6594" w:hanging="360"/>
      </w:pPr>
    </w:lvl>
    <w:lvl w:ilvl="8" w:tplc="0C09001B" w:tentative="1">
      <w:start w:val="1"/>
      <w:numFmt w:val="lowerRoman"/>
      <w:lvlText w:val="%9."/>
      <w:lvlJc w:val="right"/>
      <w:pPr>
        <w:ind w:left="7314" w:hanging="180"/>
      </w:pPr>
    </w:lvl>
  </w:abstractNum>
  <w:abstractNum w:abstractNumId="33" w15:restartNumberingAfterBreak="0">
    <w:nsid w:val="36C6119D"/>
    <w:multiLevelType w:val="hybridMultilevel"/>
    <w:tmpl w:val="6B5C0A64"/>
    <w:lvl w:ilvl="0" w:tplc="FFFFFFFF">
      <w:start w:val="1"/>
      <w:numFmt w:val="decimal"/>
      <w:lvlText w:val="(%1)"/>
      <w:lvlJc w:val="left"/>
      <w:pPr>
        <w:ind w:left="720" w:hanging="360"/>
      </w:pPr>
      <w:rPr>
        <w:rFonts w:hint="default"/>
      </w:rPr>
    </w:lvl>
    <w:lvl w:ilvl="1" w:tplc="FFFFFFFF">
      <w:start w:val="1"/>
      <w:numFmt w:val="lowerLetter"/>
      <w:lvlText w:val="(%2)"/>
      <w:lvlJc w:val="left"/>
      <w:pPr>
        <w:ind w:left="1636" w:hanging="360"/>
      </w:pPr>
      <w:rPr>
        <w:rFonts w:ascii="Times New Roman" w:eastAsia="Times New Roman" w:hAnsi="Times New Roman" w:cs="Times New Roman"/>
      </w:rPr>
    </w:lvl>
    <w:lvl w:ilvl="2" w:tplc="FFFFFFFF">
      <w:start w:val="1"/>
      <w:numFmt w:val="lowerRoman"/>
      <w:lvlText w:val="(%3)"/>
      <w:lvlJc w:val="left"/>
      <w:pPr>
        <w:ind w:left="275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8BC3DE7"/>
    <w:multiLevelType w:val="hybridMultilevel"/>
    <w:tmpl w:val="6A7A3A40"/>
    <w:lvl w:ilvl="0" w:tplc="FFFFFFFF">
      <w:start w:val="1"/>
      <w:numFmt w:val="decimal"/>
      <w:lvlText w:val="(%1)"/>
      <w:lvlJc w:val="left"/>
      <w:pPr>
        <w:ind w:left="720" w:hanging="360"/>
      </w:pPr>
      <w:rPr>
        <w:rFonts w:hint="default"/>
      </w:rPr>
    </w:lvl>
    <w:lvl w:ilvl="1" w:tplc="2DAEE740">
      <w:start w:val="1"/>
      <w:numFmt w:val="lowerLetter"/>
      <w:lvlText w:val="(%2)"/>
      <w:lvlJc w:val="left"/>
      <w:pPr>
        <w:ind w:left="1636" w:hanging="360"/>
      </w:pPr>
      <w:rPr>
        <w:rFonts w:hint="default"/>
      </w:rPr>
    </w:lvl>
    <w:lvl w:ilvl="2" w:tplc="F54851F8">
      <w:start w:val="38"/>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6" w15:restartNumberingAfterBreak="0">
    <w:nsid w:val="3C2C2F55"/>
    <w:multiLevelType w:val="hybridMultilevel"/>
    <w:tmpl w:val="13E0C028"/>
    <w:lvl w:ilvl="0" w:tplc="129EA3CA">
      <w:start w:val="1"/>
      <w:numFmt w:val="lowerRoman"/>
      <w:lvlText w:val="(%1)"/>
      <w:lvlJc w:val="left"/>
      <w:pPr>
        <w:ind w:left="2210" w:hanging="720"/>
      </w:pPr>
      <w:rPr>
        <w:rFonts w:hint="default"/>
      </w:rPr>
    </w:lvl>
    <w:lvl w:ilvl="1" w:tplc="0C090019">
      <w:start w:val="1"/>
      <w:numFmt w:val="lowerLetter"/>
      <w:lvlText w:val="%2."/>
      <w:lvlJc w:val="left"/>
      <w:pPr>
        <w:ind w:left="2570" w:hanging="360"/>
      </w:p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37" w15:restartNumberingAfterBreak="0">
    <w:nsid w:val="3C873AB4"/>
    <w:multiLevelType w:val="hybridMultilevel"/>
    <w:tmpl w:val="CA3044E0"/>
    <w:lvl w:ilvl="0" w:tplc="A06851B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3CE84AB5"/>
    <w:multiLevelType w:val="hybridMultilevel"/>
    <w:tmpl w:val="C8BEBC90"/>
    <w:lvl w:ilvl="0" w:tplc="635E6874">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9" w15:restartNumberingAfterBreak="0">
    <w:nsid w:val="3F0608C1"/>
    <w:multiLevelType w:val="hybridMultilevel"/>
    <w:tmpl w:val="16A2A460"/>
    <w:lvl w:ilvl="0" w:tplc="FFFFFFFF">
      <w:start w:val="1"/>
      <w:numFmt w:val="decimal"/>
      <w:lvlText w:val="(%1)"/>
      <w:lvlJc w:val="left"/>
      <w:pPr>
        <w:ind w:left="1030" w:hanging="360"/>
      </w:pPr>
      <w:rPr>
        <w:rFonts w:hint="default"/>
      </w:rPr>
    </w:lvl>
    <w:lvl w:ilvl="1" w:tplc="0C090019" w:tentative="1">
      <w:start w:val="1"/>
      <w:numFmt w:val="lowerLetter"/>
      <w:lvlText w:val="%2."/>
      <w:lvlJc w:val="left"/>
      <w:pPr>
        <w:ind w:left="1390" w:hanging="360"/>
      </w:pPr>
    </w:lvl>
    <w:lvl w:ilvl="2" w:tplc="0C09001B" w:tentative="1">
      <w:start w:val="1"/>
      <w:numFmt w:val="lowerRoman"/>
      <w:lvlText w:val="%3."/>
      <w:lvlJc w:val="right"/>
      <w:pPr>
        <w:ind w:left="2110" w:hanging="180"/>
      </w:pPr>
    </w:lvl>
    <w:lvl w:ilvl="3" w:tplc="0C09000F" w:tentative="1">
      <w:start w:val="1"/>
      <w:numFmt w:val="decimal"/>
      <w:lvlText w:val="%4."/>
      <w:lvlJc w:val="left"/>
      <w:pPr>
        <w:ind w:left="2830" w:hanging="360"/>
      </w:pPr>
    </w:lvl>
    <w:lvl w:ilvl="4" w:tplc="0C090019" w:tentative="1">
      <w:start w:val="1"/>
      <w:numFmt w:val="lowerLetter"/>
      <w:lvlText w:val="%5."/>
      <w:lvlJc w:val="left"/>
      <w:pPr>
        <w:ind w:left="3550" w:hanging="360"/>
      </w:pPr>
    </w:lvl>
    <w:lvl w:ilvl="5" w:tplc="0C09001B" w:tentative="1">
      <w:start w:val="1"/>
      <w:numFmt w:val="lowerRoman"/>
      <w:lvlText w:val="%6."/>
      <w:lvlJc w:val="right"/>
      <w:pPr>
        <w:ind w:left="4270" w:hanging="180"/>
      </w:pPr>
    </w:lvl>
    <w:lvl w:ilvl="6" w:tplc="0C09000F" w:tentative="1">
      <w:start w:val="1"/>
      <w:numFmt w:val="decimal"/>
      <w:lvlText w:val="%7."/>
      <w:lvlJc w:val="left"/>
      <w:pPr>
        <w:ind w:left="4990" w:hanging="360"/>
      </w:pPr>
    </w:lvl>
    <w:lvl w:ilvl="7" w:tplc="0C090019" w:tentative="1">
      <w:start w:val="1"/>
      <w:numFmt w:val="lowerLetter"/>
      <w:lvlText w:val="%8."/>
      <w:lvlJc w:val="left"/>
      <w:pPr>
        <w:ind w:left="5710" w:hanging="360"/>
      </w:pPr>
    </w:lvl>
    <w:lvl w:ilvl="8" w:tplc="0C09001B" w:tentative="1">
      <w:start w:val="1"/>
      <w:numFmt w:val="lowerRoman"/>
      <w:lvlText w:val="%9."/>
      <w:lvlJc w:val="right"/>
      <w:pPr>
        <w:ind w:left="6430" w:hanging="180"/>
      </w:pPr>
    </w:lvl>
  </w:abstractNum>
  <w:abstractNum w:abstractNumId="40" w15:restartNumberingAfterBreak="0">
    <w:nsid w:val="3F0C79D4"/>
    <w:multiLevelType w:val="hybridMultilevel"/>
    <w:tmpl w:val="47B0BC74"/>
    <w:lvl w:ilvl="0" w:tplc="FFFFFFFF">
      <w:start w:val="1"/>
      <w:numFmt w:val="lowerLetter"/>
      <w:lvlText w:val="(%1)"/>
      <w:lvlJc w:val="left"/>
      <w:pPr>
        <w:ind w:left="2018" w:hanging="360"/>
      </w:pPr>
      <w:rPr>
        <w:rFonts w:hint="default"/>
      </w:rPr>
    </w:lvl>
    <w:lvl w:ilvl="1" w:tplc="FFFFFFFF" w:tentative="1">
      <w:start w:val="1"/>
      <w:numFmt w:val="lowerLetter"/>
      <w:lvlText w:val="%2."/>
      <w:lvlJc w:val="left"/>
      <w:pPr>
        <w:ind w:left="2738" w:hanging="360"/>
      </w:pPr>
    </w:lvl>
    <w:lvl w:ilvl="2" w:tplc="FFFFFFFF" w:tentative="1">
      <w:start w:val="1"/>
      <w:numFmt w:val="lowerRoman"/>
      <w:lvlText w:val="%3."/>
      <w:lvlJc w:val="right"/>
      <w:pPr>
        <w:ind w:left="3458" w:hanging="180"/>
      </w:pPr>
    </w:lvl>
    <w:lvl w:ilvl="3" w:tplc="FFFFFFFF" w:tentative="1">
      <w:start w:val="1"/>
      <w:numFmt w:val="decimal"/>
      <w:lvlText w:val="%4."/>
      <w:lvlJc w:val="left"/>
      <w:pPr>
        <w:ind w:left="4178" w:hanging="360"/>
      </w:pPr>
    </w:lvl>
    <w:lvl w:ilvl="4" w:tplc="FFFFFFFF" w:tentative="1">
      <w:start w:val="1"/>
      <w:numFmt w:val="lowerLetter"/>
      <w:lvlText w:val="%5."/>
      <w:lvlJc w:val="left"/>
      <w:pPr>
        <w:ind w:left="4898" w:hanging="360"/>
      </w:pPr>
    </w:lvl>
    <w:lvl w:ilvl="5" w:tplc="FFFFFFFF" w:tentative="1">
      <w:start w:val="1"/>
      <w:numFmt w:val="lowerRoman"/>
      <w:lvlText w:val="%6."/>
      <w:lvlJc w:val="right"/>
      <w:pPr>
        <w:ind w:left="5618" w:hanging="180"/>
      </w:pPr>
    </w:lvl>
    <w:lvl w:ilvl="6" w:tplc="FFFFFFFF" w:tentative="1">
      <w:start w:val="1"/>
      <w:numFmt w:val="decimal"/>
      <w:lvlText w:val="%7."/>
      <w:lvlJc w:val="left"/>
      <w:pPr>
        <w:ind w:left="6338" w:hanging="360"/>
      </w:pPr>
    </w:lvl>
    <w:lvl w:ilvl="7" w:tplc="FFFFFFFF" w:tentative="1">
      <w:start w:val="1"/>
      <w:numFmt w:val="lowerLetter"/>
      <w:lvlText w:val="%8."/>
      <w:lvlJc w:val="left"/>
      <w:pPr>
        <w:ind w:left="7058" w:hanging="360"/>
      </w:pPr>
    </w:lvl>
    <w:lvl w:ilvl="8" w:tplc="FFFFFFFF" w:tentative="1">
      <w:start w:val="1"/>
      <w:numFmt w:val="lowerRoman"/>
      <w:lvlText w:val="%9."/>
      <w:lvlJc w:val="right"/>
      <w:pPr>
        <w:ind w:left="7778" w:hanging="180"/>
      </w:pPr>
    </w:lvl>
  </w:abstractNum>
  <w:abstractNum w:abstractNumId="41" w15:restartNumberingAfterBreak="0">
    <w:nsid w:val="42253EC4"/>
    <w:multiLevelType w:val="hybridMultilevel"/>
    <w:tmpl w:val="AD0654B2"/>
    <w:lvl w:ilvl="0" w:tplc="9FCCC296">
      <w:start w:val="1"/>
      <w:numFmt w:val="lowerLetter"/>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42" w15:restartNumberingAfterBreak="0">
    <w:nsid w:val="430015BE"/>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43" w15:restartNumberingAfterBreak="0">
    <w:nsid w:val="432E0503"/>
    <w:multiLevelType w:val="hybridMultilevel"/>
    <w:tmpl w:val="D5E6602A"/>
    <w:lvl w:ilvl="0" w:tplc="21728384">
      <w:start w:val="1"/>
      <w:numFmt w:val="decimal"/>
      <w:lvlText w:val="(%1)"/>
      <w:lvlJc w:val="left"/>
      <w:pPr>
        <w:ind w:left="1130" w:hanging="360"/>
      </w:pPr>
      <w:rPr>
        <w:rFonts w:hint="default"/>
      </w:rPr>
    </w:lvl>
    <w:lvl w:ilvl="1" w:tplc="0C090019">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44" w15:restartNumberingAfterBreak="0">
    <w:nsid w:val="48D713D0"/>
    <w:multiLevelType w:val="hybridMultilevel"/>
    <w:tmpl w:val="C61E29CC"/>
    <w:lvl w:ilvl="0" w:tplc="4C12D3C4">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5" w15:restartNumberingAfterBreak="0">
    <w:nsid w:val="4B9A2297"/>
    <w:multiLevelType w:val="hybridMultilevel"/>
    <w:tmpl w:val="FBE658F8"/>
    <w:lvl w:ilvl="0" w:tplc="B64E43AE">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46" w15:restartNumberingAfterBreak="0">
    <w:nsid w:val="4CA93C06"/>
    <w:multiLevelType w:val="hybridMultilevel"/>
    <w:tmpl w:val="9B0EF8B4"/>
    <w:lvl w:ilvl="0" w:tplc="FFFFFFFF">
      <w:start w:val="1"/>
      <w:numFmt w:val="decimal"/>
      <w:lvlText w:val="(%1)"/>
      <w:lvlJc w:val="left"/>
      <w:pPr>
        <w:ind w:left="1490" w:hanging="360"/>
      </w:pPr>
      <w:rPr>
        <w:rFonts w:hint="default"/>
      </w:rPr>
    </w:lvl>
    <w:lvl w:ilvl="1" w:tplc="FFFFFFFF" w:tentative="1">
      <w:start w:val="1"/>
      <w:numFmt w:val="lowerLetter"/>
      <w:lvlText w:val="%2."/>
      <w:lvlJc w:val="left"/>
      <w:pPr>
        <w:ind w:left="2210" w:hanging="360"/>
      </w:pPr>
    </w:lvl>
    <w:lvl w:ilvl="2" w:tplc="FFFFFFFF" w:tentative="1">
      <w:start w:val="1"/>
      <w:numFmt w:val="lowerRoman"/>
      <w:lvlText w:val="%3."/>
      <w:lvlJc w:val="right"/>
      <w:pPr>
        <w:ind w:left="2930" w:hanging="180"/>
      </w:pPr>
    </w:lvl>
    <w:lvl w:ilvl="3" w:tplc="FFFFFFFF" w:tentative="1">
      <w:start w:val="1"/>
      <w:numFmt w:val="decimal"/>
      <w:lvlText w:val="%4."/>
      <w:lvlJc w:val="left"/>
      <w:pPr>
        <w:ind w:left="3650" w:hanging="360"/>
      </w:pPr>
    </w:lvl>
    <w:lvl w:ilvl="4" w:tplc="FFFFFFFF" w:tentative="1">
      <w:start w:val="1"/>
      <w:numFmt w:val="lowerLetter"/>
      <w:lvlText w:val="%5."/>
      <w:lvlJc w:val="left"/>
      <w:pPr>
        <w:ind w:left="4370" w:hanging="360"/>
      </w:pPr>
    </w:lvl>
    <w:lvl w:ilvl="5" w:tplc="FFFFFFFF" w:tentative="1">
      <w:start w:val="1"/>
      <w:numFmt w:val="lowerRoman"/>
      <w:lvlText w:val="%6."/>
      <w:lvlJc w:val="right"/>
      <w:pPr>
        <w:ind w:left="5090" w:hanging="180"/>
      </w:pPr>
    </w:lvl>
    <w:lvl w:ilvl="6" w:tplc="FFFFFFFF" w:tentative="1">
      <w:start w:val="1"/>
      <w:numFmt w:val="decimal"/>
      <w:lvlText w:val="%7."/>
      <w:lvlJc w:val="left"/>
      <w:pPr>
        <w:ind w:left="5810" w:hanging="360"/>
      </w:pPr>
    </w:lvl>
    <w:lvl w:ilvl="7" w:tplc="FFFFFFFF" w:tentative="1">
      <w:start w:val="1"/>
      <w:numFmt w:val="lowerLetter"/>
      <w:lvlText w:val="%8."/>
      <w:lvlJc w:val="left"/>
      <w:pPr>
        <w:ind w:left="6530" w:hanging="360"/>
      </w:pPr>
    </w:lvl>
    <w:lvl w:ilvl="8" w:tplc="FFFFFFFF" w:tentative="1">
      <w:start w:val="1"/>
      <w:numFmt w:val="lowerRoman"/>
      <w:lvlText w:val="%9."/>
      <w:lvlJc w:val="right"/>
      <w:pPr>
        <w:ind w:left="7250" w:hanging="180"/>
      </w:pPr>
    </w:lvl>
  </w:abstractNum>
  <w:abstractNum w:abstractNumId="47" w15:restartNumberingAfterBreak="0">
    <w:nsid w:val="4D4B6B4B"/>
    <w:multiLevelType w:val="hybridMultilevel"/>
    <w:tmpl w:val="0B9EEDB2"/>
    <w:lvl w:ilvl="0" w:tplc="BAF866E6">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8" w15:restartNumberingAfterBreak="0">
    <w:nsid w:val="4E1B25E8"/>
    <w:multiLevelType w:val="hybridMultilevel"/>
    <w:tmpl w:val="6D5275C0"/>
    <w:lvl w:ilvl="0" w:tplc="EED4F868">
      <w:start w:val="1"/>
      <w:numFmt w:val="decimal"/>
      <w:lvlText w:val="(%1)"/>
      <w:lvlJc w:val="left"/>
      <w:pPr>
        <w:ind w:left="1130" w:hanging="360"/>
      </w:pPr>
      <w:rPr>
        <w:rFonts w:hint="default"/>
        <w:color w:val="auto"/>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49" w15:restartNumberingAfterBreak="0">
    <w:nsid w:val="4EE03470"/>
    <w:multiLevelType w:val="hybridMultilevel"/>
    <w:tmpl w:val="6B6C735C"/>
    <w:lvl w:ilvl="0" w:tplc="39525A50">
      <w:start w:val="1"/>
      <w:numFmt w:val="decimal"/>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50" w15:restartNumberingAfterBreak="0">
    <w:nsid w:val="4F2926DE"/>
    <w:multiLevelType w:val="hybridMultilevel"/>
    <w:tmpl w:val="103E8C30"/>
    <w:lvl w:ilvl="0" w:tplc="5360FF5C">
      <w:start w:val="1"/>
      <w:numFmt w:val="decimal"/>
      <w:lvlText w:val="(%1)"/>
      <w:lvlJc w:val="left"/>
      <w:pPr>
        <w:ind w:left="1490" w:hanging="360"/>
      </w:pPr>
      <w:rPr>
        <w:rFonts w:hint="default"/>
      </w:rPr>
    </w:lvl>
    <w:lvl w:ilvl="1" w:tplc="2DAEE740">
      <w:start w:val="1"/>
      <w:numFmt w:val="lowerLetter"/>
      <w:lvlText w:val="(%2)"/>
      <w:lvlJc w:val="left"/>
      <w:pPr>
        <w:ind w:left="1636" w:hanging="360"/>
      </w:pPr>
      <w:rPr>
        <w:rFonts w:hint="default"/>
      </w:rPr>
    </w:lvl>
    <w:lvl w:ilvl="2" w:tplc="129EA3CA">
      <w:start w:val="1"/>
      <w:numFmt w:val="lowerRoman"/>
      <w:lvlText w:val="(%3)"/>
      <w:lvlJc w:val="left"/>
      <w:pPr>
        <w:ind w:left="1550" w:hanging="360"/>
      </w:pPr>
      <w:rPr>
        <w:rFonts w:hint="default"/>
      </w:r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51" w15:restartNumberingAfterBreak="0">
    <w:nsid w:val="4FC62B52"/>
    <w:multiLevelType w:val="hybridMultilevel"/>
    <w:tmpl w:val="23908FE4"/>
    <w:lvl w:ilvl="0" w:tplc="FFFFFFFF">
      <w:start w:val="1"/>
      <w:numFmt w:val="decimal"/>
      <w:lvlText w:val="(%1)"/>
      <w:lvlJc w:val="left"/>
      <w:pPr>
        <w:ind w:left="180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2" w15:restartNumberingAfterBreak="0">
    <w:nsid w:val="4FF4777C"/>
    <w:multiLevelType w:val="hybridMultilevel"/>
    <w:tmpl w:val="9DA8A920"/>
    <w:lvl w:ilvl="0" w:tplc="FFFFFFFF">
      <w:start w:val="1"/>
      <w:numFmt w:val="decimal"/>
      <w:lvlText w:val="(%1)"/>
      <w:lvlJc w:val="left"/>
      <w:pPr>
        <w:ind w:left="1130" w:hanging="360"/>
      </w:pPr>
      <w:rPr>
        <w:rFonts w:hint="default"/>
      </w:rPr>
    </w:lvl>
    <w:lvl w:ilvl="1" w:tplc="FFFFFFFF">
      <w:start w:val="1"/>
      <w:numFmt w:val="lowerLetter"/>
      <w:lvlText w:val="(%2)"/>
      <w:lvlJc w:val="left"/>
      <w:pPr>
        <w:ind w:left="1850" w:hanging="360"/>
      </w:pPr>
      <w:rPr>
        <w:rFonts w:hint="default"/>
      </w:rPr>
    </w:lvl>
    <w:lvl w:ilvl="2" w:tplc="FFFFFFFF">
      <w:start w:val="1"/>
      <w:numFmt w:val="lowerRoman"/>
      <w:lvlText w:val="(%3)"/>
      <w:lvlJc w:val="left"/>
      <w:pPr>
        <w:ind w:left="2750" w:hanging="360"/>
      </w:pPr>
      <w:rPr>
        <w:rFonts w:hint="default"/>
      </w:rPr>
    </w:lvl>
    <w:lvl w:ilvl="3" w:tplc="FFFFFFFF" w:tentative="1">
      <w:start w:val="1"/>
      <w:numFmt w:val="decimal"/>
      <w:lvlText w:val="%4."/>
      <w:lvlJc w:val="left"/>
      <w:pPr>
        <w:ind w:left="3290" w:hanging="360"/>
      </w:pPr>
    </w:lvl>
    <w:lvl w:ilvl="4" w:tplc="FFFFFFFF" w:tentative="1">
      <w:start w:val="1"/>
      <w:numFmt w:val="lowerLetter"/>
      <w:lvlText w:val="%5."/>
      <w:lvlJc w:val="left"/>
      <w:pPr>
        <w:ind w:left="4010" w:hanging="360"/>
      </w:pPr>
    </w:lvl>
    <w:lvl w:ilvl="5" w:tplc="FFFFFFFF" w:tentative="1">
      <w:start w:val="1"/>
      <w:numFmt w:val="lowerRoman"/>
      <w:lvlText w:val="%6."/>
      <w:lvlJc w:val="right"/>
      <w:pPr>
        <w:ind w:left="4730" w:hanging="180"/>
      </w:pPr>
    </w:lvl>
    <w:lvl w:ilvl="6" w:tplc="FFFFFFFF" w:tentative="1">
      <w:start w:val="1"/>
      <w:numFmt w:val="decimal"/>
      <w:lvlText w:val="%7."/>
      <w:lvlJc w:val="left"/>
      <w:pPr>
        <w:ind w:left="5450" w:hanging="360"/>
      </w:pPr>
    </w:lvl>
    <w:lvl w:ilvl="7" w:tplc="FFFFFFFF" w:tentative="1">
      <w:start w:val="1"/>
      <w:numFmt w:val="lowerLetter"/>
      <w:lvlText w:val="%8."/>
      <w:lvlJc w:val="left"/>
      <w:pPr>
        <w:ind w:left="6170" w:hanging="360"/>
      </w:pPr>
    </w:lvl>
    <w:lvl w:ilvl="8" w:tplc="FFFFFFFF" w:tentative="1">
      <w:start w:val="1"/>
      <w:numFmt w:val="lowerRoman"/>
      <w:lvlText w:val="%9."/>
      <w:lvlJc w:val="right"/>
      <w:pPr>
        <w:ind w:left="6890" w:hanging="180"/>
      </w:pPr>
    </w:lvl>
  </w:abstractNum>
  <w:abstractNum w:abstractNumId="53" w15:restartNumberingAfterBreak="0">
    <w:nsid w:val="54894227"/>
    <w:multiLevelType w:val="hybridMultilevel"/>
    <w:tmpl w:val="93C69C90"/>
    <w:lvl w:ilvl="0" w:tplc="6BE0C95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54" w15:restartNumberingAfterBreak="0">
    <w:nsid w:val="54C60957"/>
    <w:multiLevelType w:val="hybridMultilevel"/>
    <w:tmpl w:val="8B3E5986"/>
    <w:lvl w:ilvl="0" w:tplc="FFFFFFFF">
      <w:start w:val="1"/>
      <w:numFmt w:val="decimal"/>
      <w:lvlText w:val="(%1)"/>
      <w:lvlJc w:val="left"/>
      <w:pPr>
        <w:ind w:left="1130" w:hanging="360"/>
      </w:pPr>
      <w:rPr>
        <w:rFonts w:hint="default"/>
      </w:rPr>
    </w:lvl>
    <w:lvl w:ilvl="1" w:tplc="FFFFFFFF">
      <w:start w:val="1"/>
      <w:numFmt w:val="lowerLetter"/>
      <w:lvlText w:val="(%2)"/>
      <w:lvlJc w:val="left"/>
      <w:pPr>
        <w:ind w:left="1636" w:hanging="360"/>
      </w:pPr>
      <w:rPr>
        <w:rFonts w:hint="default"/>
      </w:rPr>
    </w:lvl>
    <w:lvl w:ilvl="2" w:tplc="09EABDF4">
      <w:start w:val="1"/>
      <w:numFmt w:val="lowerRoman"/>
      <w:lvlText w:val="(%3)"/>
      <w:lvlJc w:val="right"/>
      <w:pPr>
        <w:ind w:left="1550" w:hanging="360"/>
      </w:pPr>
      <w:rPr>
        <w:rFonts w:hint="default"/>
      </w:rPr>
    </w:lvl>
    <w:lvl w:ilvl="3" w:tplc="FFFFFFFF">
      <w:start w:val="1"/>
      <w:numFmt w:val="decimal"/>
      <w:lvlText w:val="%4."/>
      <w:lvlJc w:val="left"/>
      <w:pPr>
        <w:ind w:left="3290" w:hanging="360"/>
      </w:pPr>
    </w:lvl>
    <w:lvl w:ilvl="4" w:tplc="D5BAB980">
      <w:start w:val="16"/>
      <w:numFmt w:val="decimal"/>
      <w:lvlText w:val="%5"/>
      <w:lvlJc w:val="left"/>
      <w:pPr>
        <w:ind w:left="4010" w:hanging="360"/>
      </w:pPr>
      <w:rPr>
        <w:rFonts w:hint="default"/>
      </w:rPr>
    </w:lvl>
    <w:lvl w:ilvl="5" w:tplc="FFFFFFFF" w:tentative="1">
      <w:start w:val="1"/>
      <w:numFmt w:val="lowerRoman"/>
      <w:lvlText w:val="%6."/>
      <w:lvlJc w:val="right"/>
      <w:pPr>
        <w:ind w:left="4730" w:hanging="180"/>
      </w:pPr>
    </w:lvl>
    <w:lvl w:ilvl="6" w:tplc="FFFFFFFF" w:tentative="1">
      <w:start w:val="1"/>
      <w:numFmt w:val="decimal"/>
      <w:lvlText w:val="%7."/>
      <w:lvlJc w:val="left"/>
      <w:pPr>
        <w:ind w:left="5450" w:hanging="360"/>
      </w:pPr>
    </w:lvl>
    <w:lvl w:ilvl="7" w:tplc="FFFFFFFF" w:tentative="1">
      <w:start w:val="1"/>
      <w:numFmt w:val="lowerLetter"/>
      <w:lvlText w:val="%8."/>
      <w:lvlJc w:val="left"/>
      <w:pPr>
        <w:ind w:left="6170" w:hanging="360"/>
      </w:pPr>
    </w:lvl>
    <w:lvl w:ilvl="8" w:tplc="FFFFFFFF" w:tentative="1">
      <w:start w:val="1"/>
      <w:numFmt w:val="lowerRoman"/>
      <w:lvlText w:val="%9."/>
      <w:lvlJc w:val="right"/>
      <w:pPr>
        <w:ind w:left="6890" w:hanging="180"/>
      </w:pPr>
    </w:lvl>
  </w:abstractNum>
  <w:abstractNum w:abstractNumId="55" w15:restartNumberingAfterBreak="0">
    <w:nsid w:val="56030263"/>
    <w:multiLevelType w:val="hybridMultilevel"/>
    <w:tmpl w:val="3B48A1BC"/>
    <w:lvl w:ilvl="0" w:tplc="39525A50">
      <w:start w:val="1"/>
      <w:numFmt w:val="decimal"/>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56" w15:restartNumberingAfterBreak="0">
    <w:nsid w:val="5B576C0E"/>
    <w:multiLevelType w:val="hybridMultilevel"/>
    <w:tmpl w:val="A4F4B768"/>
    <w:lvl w:ilvl="0" w:tplc="D85CBD10">
      <w:start w:val="1"/>
      <w:numFmt w:val="lowerLetter"/>
      <w:lvlText w:val="(%1)"/>
      <w:lvlJc w:val="left"/>
      <w:pPr>
        <w:ind w:left="1800" w:hanging="360"/>
      </w:pPr>
      <w:rPr>
        <w:rFonts w:hint="default"/>
        <w:b/>
        <w:i/>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7" w15:restartNumberingAfterBreak="0">
    <w:nsid w:val="5C404FE7"/>
    <w:multiLevelType w:val="hybridMultilevel"/>
    <w:tmpl w:val="0C38186C"/>
    <w:lvl w:ilvl="0" w:tplc="CC06AF8C">
      <w:start w:val="1"/>
      <w:numFmt w:val="decimal"/>
      <w:lvlText w:val="(%1)"/>
      <w:lvlJc w:val="left"/>
      <w:pPr>
        <w:ind w:left="1130" w:hanging="360"/>
      </w:pPr>
      <w:rPr>
        <w:rFonts w:hint="default"/>
      </w:rPr>
    </w:lvl>
    <w:lvl w:ilvl="1" w:tplc="0C090019">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58" w15:restartNumberingAfterBreak="0">
    <w:nsid w:val="5C724156"/>
    <w:multiLevelType w:val="hybridMultilevel"/>
    <w:tmpl w:val="8646908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030" w:hanging="360"/>
      </w:pPr>
    </w:lvl>
    <w:lvl w:ilvl="2" w:tplc="FFFFFFFF" w:tentative="1">
      <w:start w:val="1"/>
      <w:numFmt w:val="lowerRoman"/>
      <w:lvlText w:val="%3."/>
      <w:lvlJc w:val="right"/>
      <w:pPr>
        <w:ind w:left="1750" w:hanging="180"/>
      </w:pPr>
    </w:lvl>
    <w:lvl w:ilvl="3" w:tplc="FFFFFFFF" w:tentative="1">
      <w:start w:val="1"/>
      <w:numFmt w:val="decimal"/>
      <w:lvlText w:val="%4."/>
      <w:lvlJc w:val="left"/>
      <w:pPr>
        <w:ind w:left="2470" w:hanging="360"/>
      </w:pPr>
    </w:lvl>
    <w:lvl w:ilvl="4" w:tplc="FFFFFFFF" w:tentative="1">
      <w:start w:val="1"/>
      <w:numFmt w:val="lowerLetter"/>
      <w:lvlText w:val="%5."/>
      <w:lvlJc w:val="left"/>
      <w:pPr>
        <w:ind w:left="3190" w:hanging="360"/>
      </w:pPr>
    </w:lvl>
    <w:lvl w:ilvl="5" w:tplc="FFFFFFFF" w:tentative="1">
      <w:start w:val="1"/>
      <w:numFmt w:val="lowerRoman"/>
      <w:lvlText w:val="%6."/>
      <w:lvlJc w:val="right"/>
      <w:pPr>
        <w:ind w:left="3910" w:hanging="180"/>
      </w:pPr>
    </w:lvl>
    <w:lvl w:ilvl="6" w:tplc="FFFFFFFF" w:tentative="1">
      <w:start w:val="1"/>
      <w:numFmt w:val="decimal"/>
      <w:lvlText w:val="%7."/>
      <w:lvlJc w:val="left"/>
      <w:pPr>
        <w:ind w:left="4630" w:hanging="360"/>
      </w:pPr>
    </w:lvl>
    <w:lvl w:ilvl="7" w:tplc="FFFFFFFF" w:tentative="1">
      <w:start w:val="1"/>
      <w:numFmt w:val="lowerLetter"/>
      <w:lvlText w:val="%8."/>
      <w:lvlJc w:val="left"/>
      <w:pPr>
        <w:ind w:left="5350" w:hanging="360"/>
      </w:pPr>
    </w:lvl>
    <w:lvl w:ilvl="8" w:tplc="FFFFFFFF" w:tentative="1">
      <w:start w:val="1"/>
      <w:numFmt w:val="lowerRoman"/>
      <w:lvlText w:val="%9."/>
      <w:lvlJc w:val="right"/>
      <w:pPr>
        <w:ind w:left="6070" w:hanging="180"/>
      </w:pPr>
    </w:lvl>
  </w:abstractNum>
  <w:abstractNum w:abstractNumId="59" w15:restartNumberingAfterBreak="0">
    <w:nsid w:val="5CEB65E4"/>
    <w:multiLevelType w:val="hybridMultilevel"/>
    <w:tmpl w:val="B084492A"/>
    <w:lvl w:ilvl="0" w:tplc="56E8880C">
      <w:start w:val="1"/>
      <w:numFmt w:val="lowerLetter"/>
      <w:lvlText w:val="(%1)"/>
      <w:lvlJc w:val="left"/>
      <w:pPr>
        <w:ind w:left="2000" w:hanging="360"/>
      </w:pPr>
      <w:rPr>
        <w:rFonts w:hint="default"/>
      </w:rPr>
    </w:lvl>
    <w:lvl w:ilvl="1" w:tplc="0C090019" w:tentative="1">
      <w:start w:val="1"/>
      <w:numFmt w:val="lowerLetter"/>
      <w:lvlText w:val="%2."/>
      <w:lvlJc w:val="left"/>
      <w:pPr>
        <w:ind w:left="2720" w:hanging="360"/>
      </w:pPr>
    </w:lvl>
    <w:lvl w:ilvl="2" w:tplc="0C09001B" w:tentative="1">
      <w:start w:val="1"/>
      <w:numFmt w:val="lowerRoman"/>
      <w:lvlText w:val="%3."/>
      <w:lvlJc w:val="right"/>
      <w:pPr>
        <w:ind w:left="3440" w:hanging="180"/>
      </w:pPr>
    </w:lvl>
    <w:lvl w:ilvl="3" w:tplc="0C09000F" w:tentative="1">
      <w:start w:val="1"/>
      <w:numFmt w:val="decimal"/>
      <w:lvlText w:val="%4."/>
      <w:lvlJc w:val="left"/>
      <w:pPr>
        <w:ind w:left="4160" w:hanging="360"/>
      </w:pPr>
    </w:lvl>
    <w:lvl w:ilvl="4" w:tplc="0C090019" w:tentative="1">
      <w:start w:val="1"/>
      <w:numFmt w:val="lowerLetter"/>
      <w:lvlText w:val="%5."/>
      <w:lvlJc w:val="left"/>
      <w:pPr>
        <w:ind w:left="4880" w:hanging="360"/>
      </w:pPr>
    </w:lvl>
    <w:lvl w:ilvl="5" w:tplc="0C09001B" w:tentative="1">
      <w:start w:val="1"/>
      <w:numFmt w:val="lowerRoman"/>
      <w:lvlText w:val="%6."/>
      <w:lvlJc w:val="right"/>
      <w:pPr>
        <w:ind w:left="5600" w:hanging="180"/>
      </w:pPr>
    </w:lvl>
    <w:lvl w:ilvl="6" w:tplc="0C09000F" w:tentative="1">
      <w:start w:val="1"/>
      <w:numFmt w:val="decimal"/>
      <w:lvlText w:val="%7."/>
      <w:lvlJc w:val="left"/>
      <w:pPr>
        <w:ind w:left="6320" w:hanging="360"/>
      </w:pPr>
    </w:lvl>
    <w:lvl w:ilvl="7" w:tplc="0C090019" w:tentative="1">
      <w:start w:val="1"/>
      <w:numFmt w:val="lowerLetter"/>
      <w:lvlText w:val="%8."/>
      <w:lvlJc w:val="left"/>
      <w:pPr>
        <w:ind w:left="7040" w:hanging="360"/>
      </w:pPr>
    </w:lvl>
    <w:lvl w:ilvl="8" w:tplc="0C09001B" w:tentative="1">
      <w:start w:val="1"/>
      <w:numFmt w:val="lowerRoman"/>
      <w:lvlText w:val="%9."/>
      <w:lvlJc w:val="right"/>
      <w:pPr>
        <w:ind w:left="7760" w:hanging="180"/>
      </w:pPr>
    </w:lvl>
  </w:abstractNum>
  <w:abstractNum w:abstractNumId="60" w15:restartNumberingAfterBreak="0">
    <w:nsid w:val="5DFD6D4C"/>
    <w:multiLevelType w:val="hybridMultilevel"/>
    <w:tmpl w:val="AB600A7E"/>
    <w:lvl w:ilvl="0" w:tplc="FFFFFFFF">
      <w:start w:val="1"/>
      <w:numFmt w:val="decimal"/>
      <w:lvlText w:val="(%1)"/>
      <w:lvlJc w:val="left"/>
      <w:pPr>
        <w:ind w:left="1080" w:hanging="360"/>
      </w:pPr>
      <w:rPr>
        <w:rFonts w:hint="default"/>
      </w:rPr>
    </w:lvl>
    <w:lvl w:ilvl="1" w:tplc="FFFFFFFF">
      <w:start w:val="1"/>
      <w:numFmt w:val="lowerLetter"/>
      <w:lvlText w:val="(%2)"/>
      <w:lvlJc w:val="left"/>
      <w:pPr>
        <w:ind w:left="2296" w:hanging="360"/>
      </w:pPr>
      <w:rPr>
        <w:rFonts w:ascii="Times New Roman" w:eastAsia="Times New Roman" w:hAnsi="Times New Roman" w:cs="Times New Roman"/>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5E006089"/>
    <w:multiLevelType w:val="hybridMultilevel"/>
    <w:tmpl w:val="5CBE5522"/>
    <w:lvl w:ilvl="0" w:tplc="FFFFFFFF">
      <w:start w:val="1"/>
      <w:numFmt w:val="decimal"/>
      <w:lvlText w:val="(%1)"/>
      <w:lvlJc w:val="left"/>
      <w:pPr>
        <w:ind w:left="1030" w:hanging="360"/>
      </w:pPr>
      <w:rPr>
        <w:rFonts w:hint="default"/>
      </w:rPr>
    </w:lvl>
    <w:lvl w:ilvl="1" w:tplc="0C090019" w:tentative="1">
      <w:start w:val="1"/>
      <w:numFmt w:val="lowerLetter"/>
      <w:lvlText w:val="%2."/>
      <w:lvlJc w:val="left"/>
      <w:pPr>
        <w:ind w:left="1390" w:hanging="360"/>
      </w:pPr>
    </w:lvl>
    <w:lvl w:ilvl="2" w:tplc="0C09001B" w:tentative="1">
      <w:start w:val="1"/>
      <w:numFmt w:val="lowerRoman"/>
      <w:lvlText w:val="%3."/>
      <w:lvlJc w:val="right"/>
      <w:pPr>
        <w:ind w:left="2110" w:hanging="180"/>
      </w:pPr>
    </w:lvl>
    <w:lvl w:ilvl="3" w:tplc="0C09000F" w:tentative="1">
      <w:start w:val="1"/>
      <w:numFmt w:val="decimal"/>
      <w:lvlText w:val="%4."/>
      <w:lvlJc w:val="left"/>
      <w:pPr>
        <w:ind w:left="2830" w:hanging="360"/>
      </w:pPr>
    </w:lvl>
    <w:lvl w:ilvl="4" w:tplc="0C090019" w:tentative="1">
      <w:start w:val="1"/>
      <w:numFmt w:val="lowerLetter"/>
      <w:lvlText w:val="%5."/>
      <w:lvlJc w:val="left"/>
      <w:pPr>
        <w:ind w:left="3550" w:hanging="360"/>
      </w:pPr>
    </w:lvl>
    <w:lvl w:ilvl="5" w:tplc="0C09001B" w:tentative="1">
      <w:start w:val="1"/>
      <w:numFmt w:val="lowerRoman"/>
      <w:lvlText w:val="%6."/>
      <w:lvlJc w:val="right"/>
      <w:pPr>
        <w:ind w:left="4270" w:hanging="180"/>
      </w:pPr>
    </w:lvl>
    <w:lvl w:ilvl="6" w:tplc="0C09000F" w:tentative="1">
      <w:start w:val="1"/>
      <w:numFmt w:val="decimal"/>
      <w:lvlText w:val="%7."/>
      <w:lvlJc w:val="left"/>
      <w:pPr>
        <w:ind w:left="4990" w:hanging="360"/>
      </w:pPr>
    </w:lvl>
    <w:lvl w:ilvl="7" w:tplc="0C090019" w:tentative="1">
      <w:start w:val="1"/>
      <w:numFmt w:val="lowerLetter"/>
      <w:lvlText w:val="%8."/>
      <w:lvlJc w:val="left"/>
      <w:pPr>
        <w:ind w:left="5710" w:hanging="360"/>
      </w:pPr>
    </w:lvl>
    <w:lvl w:ilvl="8" w:tplc="0C09001B" w:tentative="1">
      <w:start w:val="1"/>
      <w:numFmt w:val="lowerRoman"/>
      <w:lvlText w:val="%9."/>
      <w:lvlJc w:val="right"/>
      <w:pPr>
        <w:ind w:left="6430" w:hanging="180"/>
      </w:pPr>
    </w:lvl>
  </w:abstractNum>
  <w:abstractNum w:abstractNumId="62" w15:restartNumberingAfterBreak="0">
    <w:nsid w:val="616A7925"/>
    <w:multiLevelType w:val="hybridMultilevel"/>
    <w:tmpl w:val="34749A06"/>
    <w:lvl w:ilvl="0" w:tplc="BCE41956">
      <w:start w:val="1"/>
      <w:numFmt w:val="decimal"/>
      <w:lvlText w:val="(%1)"/>
      <w:lvlJc w:val="left"/>
      <w:pPr>
        <w:ind w:left="720" w:hanging="360"/>
      </w:pPr>
      <w:rPr>
        <w:rFonts w:hint="default"/>
      </w:rPr>
    </w:lvl>
    <w:lvl w:ilvl="1" w:tplc="2DAEE740">
      <w:start w:val="1"/>
      <w:numFmt w:val="lowerLetter"/>
      <w:lvlText w:val="(%2)"/>
      <w:lvlJc w:val="left"/>
      <w:pPr>
        <w:ind w:left="1636" w:hanging="360"/>
      </w:pPr>
      <w:rPr>
        <w:rFonts w:hint="default"/>
      </w:rPr>
    </w:lvl>
    <w:lvl w:ilvl="2" w:tplc="3E06CC10">
      <w:start w:val="22"/>
      <w:numFmt w:val="decimal"/>
      <w:lvlText w:val="%3"/>
      <w:lvlJc w:val="left"/>
      <w:pPr>
        <w:ind w:left="36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22A252E"/>
    <w:multiLevelType w:val="hybridMultilevel"/>
    <w:tmpl w:val="789A0C8C"/>
    <w:lvl w:ilvl="0" w:tplc="116EE8C4">
      <w:start w:val="1"/>
      <w:numFmt w:val="lowerLetter"/>
      <w:lvlText w:val="(%1)"/>
      <w:lvlJc w:val="left"/>
      <w:pPr>
        <w:ind w:left="1554" w:hanging="360"/>
      </w:pPr>
      <w:rPr>
        <w:rFonts w:hint="default"/>
      </w:rPr>
    </w:lvl>
    <w:lvl w:ilvl="1" w:tplc="86E47BD8">
      <w:start w:val="1"/>
      <w:numFmt w:val="lowerRoman"/>
      <w:lvlText w:val="(%2)"/>
      <w:lvlJc w:val="left"/>
      <w:pPr>
        <w:ind w:left="2750" w:hanging="360"/>
      </w:pPr>
      <w:rPr>
        <w:rFonts w:hint="default"/>
      </w:rPr>
    </w:lvl>
    <w:lvl w:ilvl="2" w:tplc="0C09001B" w:tentative="1">
      <w:start w:val="1"/>
      <w:numFmt w:val="lowerRoman"/>
      <w:lvlText w:val="%3."/>
      <w:lvlJc w:val="right"/>
      <w:pPr>
        <w:ind w:left="2994" w:hanging="180"/>
      </w:pPr>
    </w:lvl>
    <w:lvl w:ilvl="3" w:tplc="0C09000F" w:tentative="1">
      <w:start w:val="1"/>
      <w:numFmt w:val="decimal"/>
      <w:lvlText w:val="%4."/>
      <w:lvlJc w:val="left"/>
      <w:pPr>
        <w:ind w:left="3714" w:hanging="360"/>
      </w:pPr>
    </w:lvl>
    <w:lvl w:ilvl="4" w:tplc="0C090019" w:tentative="1">
      <w:start w:val="1"/>
      <w:numFmt w:val="lowerLetter"/>
      <w:lvlText w:val="%5."/>
      <w:lvlJc w:val="left"/>
      <w:pPr>
        <w:ind w:left="4434" w:hanging="360"/>
      </w:pPr>
    </w:lvl>
    <w:lvl w:ilvl="5" w:tplc="0C09001B" w:tentative="1">
      <w:start w:val="1"/>
      <w:numFmt w:val="lowerRoman"/>
      <w:lvlText w:val="%6."/>
      <w:lvlJc w:val="right"/>
      <w:pPr>
        <w:ind w:left="5154" w:hanging="180"/>
      </w:pPr>
    </w:lvl>
    <w:lvl w:ilvl="6" w:tplc="0C09000F" w:tentative="1">
      <w:start w:val="1"/>
      <w:numFmt w:val="decimal"/>
      <w:lvlText w:val="%7."/>
      <w:lvlJc w:val="left"/>
      <w:pPr>
        <w:ind w:left="5874" w:hanging="360"/>
      </w:pPr>
    </w:lvl>
    <w:lvl w:ilvl="7" w:tplc="0C090019" w:tentative="1">
      <w:start w:val="1"/>
      <w:numFmt w:val="lowerLetter"/>
      <w:lvlText w:val="%8."/>
      <w:lvlJc w:val="left"/>
      <w:pPr>
        <w:ind w:left="6594" w:hanging="360"/>
      </w:pPr>
    </w:lvl>
    <w:lvl w:ilvl="8" w:tplc="0C09001B" w:tentative="1">
      <w:start w:val="1"/>
      <w:numFmt w:val="lowerRoman"/>
      <w:lvlText w:val="%9."/>
      <w:lvlJc w:val="right"/>
      <w:pPr>
        <w:ind w:left="7314" w:hanging="180"/>
      </w:pPr>
    </w:lvl>
  </w:abstractNum>
  <w:abstractNum w:abstractNumId="64" w15:restartNumberingAfterBreak="0">
    <w:nsid w:val="62495030"/>
    <w:multiLevelType w:val="hybridMultilevel"/>
    <w:tmpl w:val="9C84F8FE"/>
    <w:lvl w:ilvl="0" w:tplc="0120A0E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7131BD9"/>
    <w:multiLevelType w:val="hybridMultilevel"/>
    <w:tmpl w:val="2E108CA4"/>
    <w:lvl w:ilvl="0" w:tplc="D688C548">
      <w:start w:val="1"/>
      <w:numFmt w:val="bullet"/>
      <w:lvlText w:val=""/>
      <w:lvlJc w:val="left"/>
      <w:pPr>
        <w:ind w:left="720" w:hanging="360"/>
      </w:pPr>
      <w:rPr>
        <w:rFonts w:ascii="Symbol" w:hAnsi="Symbol"/>
      </w:rPr>
    </w:lvl>
    <w:lvl w:ilvl="1" w:tplc="F6E0997A">
      <w:start w:val="1"/>
      <w:numFmt w:val="bullet"/>
      <w:lvlText w:val=""/>
      <w:lvlJc w:val="left"/>
      <w:pPr>
        <w:ind w:left="720" w:hanging="360"/>
      </w:pPr>
      <w:rPr>
        <w:rFonts w:ascii="Symbol" w:hAnsi="Symbol"/>
      </w:rPr>
    </w:lvl>
    <w:lvl w:ilvl="2" w:tplc="8522CDA0">
      <w:start w:val="1"/>
      <w:numFmt w:val="bullet"/>
      <w:lvlText w:val=""/>
      <w:lvlJc w:val="left"/>
      <w:pPr>
        <w:ind w:left="720" w:hanging="360"/>
      </w:pPr>
      <w:rPr>
        <w:rFonts w:ascii="Symbol" w:hAnsi="Symbol"/>
      </w:rPr>
    </w:lvl>
    <w:lvl w:ilvl="3" w:tplc="2C96DE7E">
      <w:start w:val="1"/>
      <w:numFmt w:val="bullet"/>
      <w:lvlText w:val=""/>
      <w:lvlJc w:val="left"/>
      <w:pPr>
        <w:ind w:left="720" w:hanging="360"/>
      </w:pPr>
      <w:rPr>
        <w:rFonts w:ascii="Symbol" w:hAnsi="Symbol"/>
      </w:rPr>
    </w:lvl>
    <w:lvl w:ilvl="4" w:tplc="25D4A324">
      <w:start w:val="1"/>
      <w:numFmt w:val="bullet"/>
      <w:lvlText w:val=""/>
      <w:lvlJc w:val="left"/>
      <w:pPr>
        <w:ind w:left="720" w:hanging="360"/>
      </w:pPr>
      <w:rPr>
        <w:rFonts w:ascii="Symbol" w:hAnsi="Symbol"/>
      </w:rPr>
    </w:lvl>
    <w:lvl w:ilvl="5" w:tplc="0E2603F4">
      <w:start w:val="1"/>
      <w:numFmt w:val="bullet"/>
      <w:lvlText w:val=""/>
      <w:lvlJc w:val="left"/>
      <w:pPr>
        <w:ind w:left="720" w:hanging="360"/>
      </w:pPr>
      <w:rPr>
        <w:rFonts w:ascii="Symbol" w:hAnsi="Symbol"/>
      </w:rPr>
    </w:lvl>
    <w:lvl w:ilvl="6" w:tplc="F97CCBA4">
      <w:start w:val="1"/>
      <w:numFmt w:val="bullet"/>
      <w:lvlText w:val=""/>
      <w:lvlJc w:val="left"/>
      <w:pPr>
        <w:ind w:left="720" w:hanging="360"/>
      </w:pPr>
      <w:rPr>
        <w:rFonts w:ascii="Symbol" w:hAnsi="Symbol"/>
      </w:rPr>
    </w:lvl>
    <w:lvl w:ilvl="7" w:tplc="C9288E78">
      <w:start w:val="1"/>
      <w:numFmt w:val="bullet"/>
      <w:lvlText w:val=""/>
      <w:lvlJc w:val="left"/>
      <w:pPr>
        <w:ind w:left="720" w:hanging="360"/>
      </w:pPr>
      <w:rPr>
        <w:rFonts w:ascii="Symbol" w:hAnsi="Symbol"/>
      </w:rPr>
    </w:lvl>
    <w:lvl w:ilvl="8" w:tplc="06381506">
      <w:start w:val="1"/>
      <w:numFmt w:val="bullet"/>
      <w:lvlText w:val=""/>
      <w:lvlJc w:val="left"/>
      <w:pPr>
        <w:ind w:left="720" w:hanging="360"/>
      </w:pPr>
      <w:rPr>
        <w:rFonts w:ascii="Symbol" w:hAnsi="Symbol"/>
      </w:rPr>
    </w:lvl>
  </w:abstractNum>
  <w:abstractNum w:abstractNumId="66" w15:restartNumberingAfterBreak="0">
    <w:nsid w:val="68734853"/>
    <w:multiLevelType w:val="hybridMultilevel"/>
    <w:tmpl w:val="D1D0C0BA"/>
    <w:lvl w:ilvl="0" w:tplc="2DAEE740">
      <w:start w:val="1"/>
      <w:numFmt w:val="lowerLetter"/>
      <w:lvlText w:val="(%1)"/>
      <w:lvlJc w:val="left"/>
      <w:pPr>
        <w:ind w:left="1636" w:hanging="360"/>
      </w:pPr>
      <w:rPr>
        <w:rFonts w:hint="default"/>
      </w:rPr>
    </w:lvl>
    <w:lvl w:ilvl="1" w:tplc="09EABDF4">
      <w:start w:val="1"/>
      <w:numFmt w:val="lowerRoman"/>
      <w:lvlText w:val="(%2)"/>
      <w:lvlJc w:val="right"/>
      <w:pPr>
        <w:ind w:left="2356" w:hanging="360"/>
      </w:pPr>
      <w:rPr>
        <w:rFonts w:hint="default"/>
      </w:r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67" w15:restartNumberingAfterBreak="0">
    <w:nsid w:val="6B7F3670"/>
    <w:multiLevelType w:val="hybridMultilevel"/>
    <w:tmpl w:val="BBECCA9C"/>
    <w:lvl w:ilvl="0" w:tplc="FFFFFFFF">
      <w:start w:val="1"/>
      <w:numFmt w:val="decimal"/>
      <w:lvlText w:val="(%1)"/>
      <w:lvlJc w:val="left"/>
      <w:pPr>
        <w:ind w:left="1130" w:hanging="360"/>
      </w:pPr>
      <w:rPr>
        <w:rFonts w:hint="default"/>
      </w:rPr>
    </w:lvl>
    <w:lvl w:ilvl="1" w:tplc="FFFFFFFF">
      <w:start w:val="1"/>
      <w:numFmt w:val="lowerLetter"/>
      <w:lvlText w:val="(%2)"/>
      <w:lvlJc w:val="left"/>
      <w:pPr>
        <w:ind w:left="1636" w:hanging="360"/>
      </w:pPr>
      <w:rPr>
        <w:rFonts w:hint="default"/>
      </w:rPr>
    </w:lvl>
    <w:lvl w:ilvl="2" w:tplc="FFFFFFFF" w:tentative="1">
      <w:start w:val="1"/>
      <w:numFmt w:val="lowerRoman"/>
      <w:lvlText w:val="%3."/>
      <w:lvlJc w:val="right"/>
      <w:pPr>
        <w:ind w:left="2570" w:hanging="180"/>
      </w:pPr>
    </w:lvl>
    <w:lvl w:ilvl="3" w:tplc="FFFFFFFF" w:tentative="1">
      <w:start w:val="1"/>
      <w:numFmt w:val="decimal"/>
      <w:lvlText w:val="%4."/>
      <w:lvlJc w:val="left"/>
      <w:pPr>
        <w:ind w:left="3290" w:hanging="360"/>
      </w:pPr>
    </w:lvl>
    <w:lvl w:ilvl="4" w:tplc="FFFFFFFF" w:tentative="1">
      <w:start w:val="1"/>
      <w:numFmt w:val="lowerLetter"/>
      <w:lvlText w:val="%5."/>
      <w:lvlJc w:val="left"/>
      <w:pPr>
        <w:ind w:left="4010" w:hanging="360"/>
      </w:pPr>
    </w:lvl>
    <w:lvl w:ilvl="5" w:tplc="FFFFFFFF" w:tentative="1">
      <w:start w:val="1"/>
      <w:numFmt w:val="lowerRoman"/>
      <w:lvlText w:val="%6."/>
      <w:lvlJc w:val="right"/>
      <w:pPr>
        <w:ind w:left="4730" w:hanging="180"/>
      </w:pPr>
    </w:lvl>
    <w:lvl w:ilvl="6" w:tplc="FFFFFFFF" w:tentative="1">
      <w:start w:val="1"/>
      <w:numFmt w:val="decimal"/>
      <w:lvlText w:val="%7."/>
      <w:lvlJc w:val="left"/>
      <w:pPr>
        <w:ind w:left="5450" w:hanging="360"/>
      </w:pPr>
    </w:lvl>
    <w:lvl w:ilvl="7" w:tplc="FFFFFFFF" w:tentative="1">
      <w:start w:val="1"/>
      <w:numFmt w:val="lowerLetter"/>
      <w:lvlText w:val="%8."/>
      <w:lvlJc w:val="left"/>
      <w:pPr>
        <w:ind w:left="6170" w:hanging="360"/>
      </w:pPr>
    </w:lvl>
    <w:lvl w:ilvl="8" w:tplc="FFFFFFFF" w:tentative="1">
      <w:start w:val="1"/>
      <w:numFmt w:val="lowerRoman"/>
      <w:lvlText w:val="%9."/>
      <w:lvlJc w:val="right"/>
      <w:pPr>
        <w:ind w:left="6890" w:hanging="180"/>
      </w:pPr>
    </w:lvl>
  </w:abstractNum>
  <w:abstractNum w:abstractNumId="68" w15:restartNumberingAfterBreak="0">
    <w:nsid w:val="6E6616FE"/>
    <w:multiLevelType w:val="hybridMultilevel"/>
    <w:tmpl w:val="8646908A"/>
    <w:lvl w:ilvl="0" w:tplc="32B823BA">
      <w:start w:val="1"/>
      <w:numFmt w:val="decimal"/>
      <w:lvlText w:val="(%1)"/>
      <w:lvlJc w:val="left"/>
      <w:pPr>
        <w:ind w:left="1080" w:hanging="360"/>
      </w:pPr>
      <w:rPr>
        <w:rFonts w:hint="default"/>
      </w:rPr>
    </w:lvl>
    <w:lvl w:ilvl="1" w:tplc="0C090019" w:tentative="1">
      <w:start w:val="1"/>
      <w:numFmt w:val="lowerLetter"/>
      <w:lvlText w:val="%2."/>
      <w:lvlJc w:val="left"/>
      <w:pPr>
        <w:ind w:left="1030" w:hanging="360"/>
      </w:pPr>
    </w:lvl>
    <w:lvl w:ilvl="2" w:tplc="0C09001B" w:tentative="1">
      <w:start w:val="1"/>
      <w:numFmt w:val="lowerRoman"/>
      <w:lvlText w:val="%3."/>
      <w:lvlJc w:val="right"/>
      <w:pPr>
        <w:ind w:left="1750" w:hanging="180"/>
      </w:pPr>
    </w:lvl>
    <w:lvl w:ilvl="3" w:tplc="0C09000F" w:tentative="1">
      <w:start w:val="1"/>
      <w:numFmt w:val="decimal"/>
      <w:lvlText w:val="%4."/>
      <w:lvlJc w:val="left"/>
      <w:pPr>
        <w:ind w:left="2470" w:hanging="360"/>
      </w:pPr>
    </w:lvl>
    <w:lvl w:ilvl="4" w:tplc="0C090019" w:tentative="1">
      <w:start w:val="1"/>
      <w:numFmt w:val="lowerLetter"/>
      <w:lvlText w:val="%5."/>
      <w:lvlJc w:val="left"/>
      <w:pPr>
        <w:ind w:left="3190" w:hanging="360"/>
      </w:pPr>
    </w:lvl>
    <w:lvl w:ilvl="5" w:tplc="0C09001B" w:tentative="1">
      <w:start w:val="1"/>
      <w:numFmt w:val="lowerRoman"/>
      <w:lvlText w:val="%6."/>
      <w:lvlJc w:val="right"/>
      <w:pPr>
        <w:ind w:left="3910" w:hanging="180"/>
      </w:pPr>
    </w:lvl>
    <w:lvl w:ilvl="6" w:tplc="0C09000F" w:tentative="1">
      <w:start w:val="1"/>
      <w:numFmt w:val="decimal"/>
      <w:lvlText w:val="%7."/>
      <w:lvlJc w:val="left"/>
      <w:pPr>
        <w:ind w:left="4630" w:hanging="360"/>
      </w:pPr>
    </w:lvl>
    <w:lvl w:ilvl="7" w:tplc="0C090019" w:tentative="1">
      <w:start w:val="1"/>
      <w:numFmt w:val="lowerLetter"/>
      <w:lvlText w:val="%8."/>
      <w:lvlJc w:val="left"/>
      <w:pPr>
        <w:ind w:left="5350" w:hanging="360"/>
      </w:pPr>
    </w:lvl>
    <w:lvl w:ilvl="8" w:tplc="0C09001B" w:tentative="1">
      <w:start w:val="1"/>
      <w:numFmt w:val="lowerRoman"/>
      <w:lvlText w:val="%9."/>
      <w:lvlJc w:val="right"/>
      <w:pPr>
        <w:ind w:left="6070" w:hanging="180"/>
      </w:pPr>
    </w:lvl>
  </w:abstractNum>
  <w:abstractNum w:abstractNumId="69" w15:restartNumberingAfterBreak="0">
    <w:nsid w:val="74886965"/>
    <w:multiLevelType w:val="hybridMultilevel"/>
    <w:tmpl w:val="4F1A0A24"/>
    <w:lvl w:ilvl="0" w:tplc="17B0FF9A">
      <w:start w:val="1"/>
      <w:numFmt w:val="lowerLetter"/>
      <w:lvlText w:val="(%1)"/>
      <w:lvlJc w:val="left"/>
      <w:pPr>
        <w:ind w:left="1494" w:hanging="360"/>
      </w:pPr>
      <w:rPr>
        <w:rFonts w:hint="default"/>
        <w:b/>
        <w:i/>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0" w15:restartNumberingAfterBreak="0">
    <w:nsid w:val="76851F11"/>
    <w:multiLevelType w:val="hybridMultilevel"/>
    <w:tmpl w:val="80665C20"/>
    <w:lvl w:ilvl="0" w:tplc="40D24A28">
      <w:start w:val="1"/>
      <w:numFmt w:val="lowerLetter"/>
      <w:lvlText w:val="(%1)"/>
      <w:lvlJc w:val="left"/>
      <w:pPr>
        <w:ind w:left="2000" w:hanging="360"/>
      </w:pPr>
      <w:rPr>
        <w:rFonts w:hint="default"/>
      </w:rPr>
    </w:lvl>
    <w:lvl w:ilvl="1" w:tplc="86E47BD8">
      <w:start w:val="1"/>
      <w:numFmt w:val="lowerRoman"/>
      <w:lvlText w:val="(%2)"/>
      <w:lvlJc w:val="left"/>
      <w:pPr>
        <w:ind w:left="2750" w:hanging="360"/>
      </w:pPr>
      <w:rPr>
        <w:rFonts w:hint="default"/>
      </w:rPr>
    </w:lvl>
    <w:lvl w:ilvl="2" w:tplc="0C09001B" w:tentative="1">
      <w:start w:val="1"/>
      <w:numFmt w:val="lowerRoman"/>
      <w:lvlText w:val="%3."/>
      <w:lvlJc w:val="right"/>
      <w:pPr>
        <w:ind w:left="3440" w:hanging="180"/>
      </w:pPr>
    </w:lvl>
    <w:lvl w:ilvl="3" w:tplc="0C09000F" w:tentative="1">
      <w:start w:val="1"/>
      <w:numFmt w:val="decimal"/>
      <w:lvlText w:val="%4."/>
      <w:lvlJc w:val="left"/>
      <w:pPr>
        <w:ind w:left="4160" w:hanging="360"/>
      </w:pPr>
    </w:lvl>
    <w:lvl w:ilvl="4" w:tplc="0C090019" w:tentative="1">
      <w:start w:val="1"/>
      <w:numFmt w:val="lowerLetter"/>
      <w:lvlText w:val="%5."/>
      <w:lvlJc w:val="left"/>
      <w:pPr>
        <w:ind w:left="4880" w:hanging="360"/>
      </w:pPr>
    </w:lvl>
    <w:lvl w:ilvl="5" w:tplc="0C09001B" w:tentative="1">
      <w:start w:val="1"/>
      <w:numFmt w:val="lowerRoman"/>
      <w:lvlText w:val="%6."/>
      <w:lvlJc w:val="right"/>
      <w:pPr>
        <w:ind w:left="5600" w:hanging="180"/>
      </w:pPr>
    </w:lvl>
    <w:lvl w:ilvl="6" w:tplc="0C09000F" w:tentative="1">
      <w:start w:val="1"/>
      <w:numFmt w:val="decimal"/>
      <w:lvlText w:val="%7."/>
      <w:lvlJc w:val="left"/>
      <w:pPr>
        <w:ind w:left="6320" w:hanging="360"/>
      </w:pPr>
    </w:lvl>
    <w:lvl w:ilvl="7" w:tplc="0C090019" w:tentative="1">
      <w:start w:val="1"/>
      <w:numFmt w:val="lowerLetter"/>
      <w:lvlText w:val="%8."/>
      <w:lvlJc w:val="left"/>
      <w:pPr>
        <w:ind w:left="7040" w:hanging="360"/>
      </w:pPr>
    </w:lvl>
    <w:lvl w:ilvl="8" w:tplc="0C09001B" w:tentative="1">
      <w:start w:val="1"/>
      <w:numFmt w:val="lowerRoman"/>
      <w:lvlText w:val="%9."/>
      <w:lvlJc w:val="right"/>
      <w:pPr>
        <w:ind w:left="7760" w:hanging="180"/>
      </w:pPr>
    </w:lvl>
  </w:abstractNum>
  <w:abstractNum w:abstractNumId="71" w15:restartNumberingAfterBreak="0">
    <w:nsid w:val="7883163F"/>
    <w:multiLevelType w:val="hybridMultilevel"/>
    <w:tmpl w:val="574EB1C8"/>
    <w:lvl w:ilvl="0" w:tplc="B2FE5F84">
      <w:start w:val="1"/>
      <w:numFmt w:val="lowerLetter"/>
      <w:lvlText w:val="(%1)"/>
      <w:lvlJc w:val="left"/>
      <w:pPr>
        <w:ind w:left="1636"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8AB0C8E"/>
    <w:multiLevelType w:val="hybridMultilevel"/>
    <w:tmpl w:val="A62A2722"/>
    <w:lvl w:ilvl="0" w:tplc="3CE0C5EC">
      <w:start w:val="1"/>
      <w:numFmt w:val="decimal"/>
      <w:lvlText w:val="(%1)"/>
      <w:lvlJc w:val="left"/>
      <w:pPr>
        <w:ind w:left="1130" w:hanging="360"/>
      </w:pPr>
      <w:rPr>
        <w:rFonts w:hint="default"/>
      </w:rPr>
    </w:lvl>
    <w:lvl w:ilvl="1" w:tplc="2DAEE740">
      <w:start w:val="1"/>
      <w:numFmt w:val="lowerLetter"/>
      <w:lvlText w:val="(%2)"/>
      <w:lvlJc w:val="left"/>
      <w:pPr>
        <w:ind w:left="1636" w:hanging="360"/>
      </w:pPr>
      <w:rPr>
        <w:rFonts w:hint="default"/>
      </w:r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73" w15:restartNumberingAfterBreak="0">
    <w:nsid w:val="79267417"/>
    <w:multiLevelType w:val="hybridMultilevel"/>
    <w:tmpl w:val="AC76D800"/>
    <w:lvl w:ilvl="0" w:tplc="A43C23E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4" w15:restartNumberingAfterBreak="0">
    <w:nsid w:val="79C54EBC"/>
    <w:multiLevelType w:val="hybridMultilevel"/>
    <w:tmpl w:val="7DC6A092"/>
    <w:lvl w:ilvl="0" w:tplc="8EBE9C2A">
      <w:start w:val="1"/>
      <w:numFmt w:val="lowerLetter"/>
      <w:lvlText w:val="(%1)"/>
      <w:lvlJc w:val="left"/>
      <w:pPr>
        <w:ind w:left="2000" w:hanging="360"/>
      </w:pPr>
      <w:rPr>
        <w:rFonts w:hint="default"/>
      </w:rPr>
    </w:lvl>
    <w:lvl w:ilvl="1" w:tplc="0C090019" w:tentative="1">
      <w:start w:val="1"/>
      <w:numFmt w:val="lowerLetter"/>
      <w:lvlText w:val="%2."/>
      <w:lvlJc w:val="left"/>
      <w:pPr>
        <w:ind w:left="2720" w:hanging="360"/>
      </w:pPr>
    </w:lvl>
    <w:lvl w:ilvl="2" w:tplc="0C09001B" w:tentative="1">
      <w:start w:val="1"/>
      <w:numFmt w:val="lowerRoman"/>
      <w:lvlText w:val="%3."/>
      <w:lvlJc w:val="right"/>
      <w:pPr>
        <w:ind w:left="3440" w:hanging="180"/>
      </w:pPr>
    </w:lvl>
    <w:lvl w:ilvl="3" w:tplc="0C09000F" w:tentative="1">
      <w:start w:val="1"/>
      <w:numFmt w:val="decimal"/>
      <w:lvlText w:val="%4."/>
      <w:lvlJc w:val="left"/>
      <w:pPr>
        <w:ind w:left="4160" w:hanging="360"/>
      </w:pPr>
    </w:lvl>
    <w:lvl w:ilvl="4" w:tplc="0C090019" w:tentative="1">
      <w:start w:val="1"/>
      <w:numFmt w:val="lowerLetter"/>
      <w:lvlText w:val="%5."/>
      <w:lvlJc w:val="left"/>
      <w:pPr>
        <w:ind w:left="4880" w:hanging="360"/>
      </w:pPr>
    </w:lvl>
    <w:lvl w:ilvl="5" w:tplc="0C09001B" w:tentative="1">
      <w:start w:val="1"/>
      <w:numFmt w:val="lowerRoman"/>
      <w:lvlText w:val="%6."/>
      <w:lvlJc w:val="right"/>
      <w:pPr>
        <w:ind w:left="5600" w:hanging="180"/>
      </w:pPr>
    </w:lvl>
    <w:lvl w:ilvl="6" w:tplc="0C09000F" w:tentative="1">
      <w:start w:val="1"/>
      <w:numFmt w:val="decimal"/>
      <w:lvlText w:val="%7."/>
      <w:lvlJc w:val="left"/>
      <w:pPr>
        <w:ind w:left="6320" w:hanging="360"/>
      </w:pPr>
    </w:lvl>
    <w:lvl w:ilvl="7" w:tplc="0C090019" w:tentative="1">
      <w:start w:val="1"/>
      <w:numFmt w:val="lowerLetter"/>
      <w:lvlText w:val="%8."/>
      <w:lvlJc w:val="left"/>
      <w:pPr>
        <w:ind w:left="7040" w:hanging="360"/>
      </w:pPr>
    </w:lvl>
    <w:lvl w:ilvl="8" w:tplc="0C09001B" w:tentative="1">
      <w:start w:val="1"/>
      <w:numFmt w:val="lowerRoman"/>
      <w:lvlText w:val="%9."/>
      <w:lvlJc w:val="right"/>
      <w:pPr>
        <w:ind w:left="7760" w:hanging="180"/>
      </w:pPr>
    </w:lvl>
  </w:abstractNum>
  <w:abstractNum w:abstractNumId="75" w15:restartNumberingAfterBreak="0">
    <w:nsid w:val="79CC673D"/>
    <w:multiLevelType w:val="hybridMultilevel"/>
    <w:tmpl w:val="4DE85660"/>
    <w:lvl w:ilvl="0" w:tplc="99DC186C">
      <w:start w:val="1"/>
      <w:numFmt w:val="lowerLetter"/>
      <w:lvlText w:val="(%1)"/>
      <w:lvlJc w:val="left"/>
      <w:pPr>
        <w:ind w:left="2000" w:hanging="360"/>
      </w:pPr>
      <w:rPr>
        <w:rFonts w:hint="default"/>
      </w:rPr>
    </w:lvl>
    <w:lvl w:ilvl="1" w:tplc="0C090019" w:tentative="1">
      <w:start w:val="1"/>
      <w:numFmt w:val="lowerLetter"/>
      <w:lvlText w:val="%2."/>
      <w:lvlJc w:val="left"/>
      <w:pPr>
        <w:ind w:left="2720" w:hanging="360"/>
      </w:pPr>
    </w:lvl>
    <w:lvl w:ilvl="2" w:tplc="0C09001B" w:tentative="1">
      <w:start w:val="1"/>
      <w:numFmt w:val="lowerRoman"/>
      <w:lvlText w:val="%3."/>
      <w:lvlJc w:val="right"/>
      <w:pPr>
        <w:ind w:left="3440" w:hanging="180"/>
      </w:pPr>
    </w:lvl>
    <w:lvl w:ilvl="3" w:tplc="0C09000F" w:tentative="1">
      <w:start w:val="1"/>
      <w:numFmt w:val="decimal"/>
      <w:lvlText w:val="%4."/>
      <w:lvlJc w:val="left"/>
      <w:pPr>
        <w:ind w:left="4160" w:hanging="360"/>
      </w:pPr>
    </w:lvl>
    <w:lvl w:ilvl="4" w:tplc="0C090019" w:tentative="1">
      <w:start w:val="1"/>
      <w:numFmt w:val="lowerLetter"/>
      <w:lvlText w:val="%5."/>
      <w:lvlJc w:val="left"/>
      <w:pPr>
        <w:ind w:left="4880" w:hanging="360"/>
      </w:pPr>
    </w:lvl>
    <w:lvl w:ilvl="5" w:tplc="0C09001B" w:tentative="1">
      <w:start w:val="1"/>
      <w:numFmt w:val="lowerRoman"/>
      <w:lvlText w:val="%6."/>
      <w:lvlJc w:val="right"/>
      <w:pPr>
        <w:ind w:left="5600" w:hanging="180"/>
      </w:pPr>
    </w:lvl>
    <w:lvl w:ilvl="6" w:tplc="0C09000F" w:tentative="1">
      <w:start w:val="1"/>
      <w:numFmt w:val="decimal"/>
      <w:lvlText w:val="%7."/>
      <w:lvlJc w:val="left"/>
      <w:pPr>
        <w:ind w:left="6320" w:hanging="360"/>
      </w:pPr>
    </w:lvl>
    <w:lvl w:ilvl="7" w:tplc="0C090019" w:tentative="1">
      <w:start w:val="1"/>
      <w:numFmt w:val="lowerLetter"/>
      <w:lvlText w:val="%8."/>
      <w:lvlJc w:val="left"/>
      <w:pPr>
        <w:ind w:left="7040" w:hanging="360"/>
      </w:pPr>
    </w:lvl>
    <w:lvl w:ilvl="8" w:tplc="0C09001B" w:tentative="1">
      <w:start w:val="1"/>
      <w:numFmt w:val="lowerRoman"/>
      <w:lvlText w:val="%9."/>
      <w:lvlJc w:val="right"/>
      <w:pPr>
        <w:ind w:left="7760" w:hanging="180"/>
      </w:pPr>
    </w:lvl>
  </w:abstractNum>
  <w:abstractNum w:abstractNumId="76" w15:restartNumberingAfterBreak="0">
    <w:nsid w:val="7D7F3AD7"/>
    <w:multiLevelType w:val="hybridMultilevel"/>
    <w:tmpl w:val="31EEE708"/>
    <w:lvl w:ilvl="0" w:tplc="39525A50">
      <w:start w:val="1"/>
      <w:numFmt w:val="decimal"/>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77" w15:restartNumberingAfterBreak="0">
    <w:nsid w:val="7DC12DBF"/>
    <w:multiLevelType w:val="hybridMultilevel"/>
    <w:tmpl w:val="BBECCA9C"/>
    <w:lvl w:ilvl="0" w:tplc="FFFFFFFF">
      <w:start w:val="1"/>
      <w:numFmt w:val="decimal"/>
      <w:lvlText w:val="(%1)"/>
      <w:lvlJc w:val="left"/>
      <w:pPr>
        <w:ind w:left="1130" w:hanging="360"/>
      </w:pPr>
      <w:rPr>
        <w:rFonts w:hint="default"/>
      </w:rPr>
    </w:lvl>
    <w:lvl w:ilvl="1" w:tplc="2DAEE740">
      <w:start w:val="1"/>
      <w:numFmt w:val="lowerLetter"/>
      <w:lvlText w:val="(%2)"/>
      <w:lvlJc w:val="left"/>
      <w:pPr>
        <w:ind w:left="1636" w:hanging="360"/>
      </w:pPr>
      <w:rPr>
        <w:rFonts w:hint="default"/>
      </w:r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num w:numId="1" w16cid:durableId="668404593">
    <w:abstractNumId w:val="35"/>
  </w:num>
  <w:num w:numId="2" w16cid:durableId="275796593">
    <w:abstractNumId w:val="8"/>
  </w:num>
  <w:num w:numId="3" w16cid:durableId="115216543">
    <w:abstractNumId w:val="57"/>
  </w:num>
  <w:num w:numId="4" w16cid:durableId="220988466">
    <w:abstractNumId w:val="66"/>
  </w:num>
  <w:num w:numId="5" w16cid:durableId="512571242">
    <w:abstractNumId w:val="30"/>
  </w:num>
  <w:num w:numId="6" w16cid:durableId="658769580">
    <w:abstractNumId w:val="53"/>
  </w:num>
  <w:num w:numId="7" w16cid:durableId="1173185218">
    <w:abstractNumId w:val="29"/>
  </w:num>
  <w:num w:numId="8" w16cid:durableId="4868788">
    <w:abstractNumId w:val="43"/>
  </w:num>
  <w:num w:numId="9" w16cid:durableId="980620695">
    <w:abstractNumId w:val="14"/>
  </w:num>
  <w:num w:numId="10" w16cid:durableId="443504918">
    <w:abstractNumId w:val="48"/>
  </w:num>
  <w:num w:numId="11" w16cid:durableId="1302535381">
    <w:abstractNumId w:val="23"/>
  </w:num>
  <w:num w:numId="12" w16cid:durableId="1808203997">
    <w:abstractNumId w:val="37"/>
  </w:num>
  <w:num w:numId="13" w16cid:durableId="1227951599">
    <w:abstractNumId w:val="38"/>
  </w:num>
  <w:num w:numId="14" w16cid:durableId="568885188">
    <w:abstractNumId w:val="45"/>
  </w:num>
  <w:num w:numId="15" w16cid:durableId="417361996">
    <w:abstractNumId w:val="62"/>
  </w:num>
  <w:num w:numId="16" w16cid:durableId="1380976791">
    <w:abstractNumId w:val="42"/>
  </w:num>
  <w:num w:numId="17" w16cid:durableId="1756902903">
    <w:abstractNumId w:val="64"/>
  </w:num>
  <w:num w:numId="18" w16cid:durableId="2007171447">
    <w:abstractNumId w:val="41"/>
  </w:num>
  <w:num w:numId="19" w16cid:durableId="1551190154">
    <w:abstractNumId w:val="36"/>
  </w:num>
  <w:num w:numId="20" w16cid:durableId="1187406571">
    <w:abstractNumId w:val="72"/>
  </w:num>
  <w:num w:numId="21" w16cid:durableId="1944074986">
    <w:abstractNumId w:val="54"/>
  </w:num>
  <w:num w:numId="22" w16cid:durableId="2057390019">
    <w:abstractNumId w:val="34"/>
  </w:num>
  <w:num w:numId="23" w16cid:durableId="1977098819">
    <w:abstractNumId w:val="3"/>
  </w:num>
  <w:num w:numId="24" w16cid:durableId="696078312">
    <w:abstractNumId w:val="6"/>
  </w:num>
  <w:num w:numId="25" w16cid:durableId="1756170396">
    <w:abstractNumId w:val="77"/>
  </w:num>
  <w:num w:numId="26" w16cid:durableId="1947151959">
    <w:abstractNumId w:val="31"/>
  </w:num>
  <w:num w:numId="27" w16cid:durableId="1876193465">
    <w:abstractNumId w:val="2"/>
  </w:num>
  <w:num w:numId="28" w16cid:durableId="1965236580">
    <w:abstractNumId w:val="5"/>
  </w:num>
  <w:num w:numId="29" w16cid:durableId="1748454211">
    <w:abstractNumId w:val="65"/>
  </w:num>
  <w:num w:numId="30" w16cid:durableId="158346506">
    <w:abstractNumId w:val="24"/>
  </w:num>
  <w:num w:numId="31" w16cid:durableId="1109933038">
    <w:abstractNumId w:val="18"/>
  </w:num>
  <w:num w:numId="32" w16cid:durableId="1538008994">
    <w:abstractNumId w:val="70"/>
  </w:num>
  <w:num w:numId="33" w16cid:durableId="63334412">
    <w:abstractNumId w:val="28"/>
  </w:num>
  <w:num w:numId="34" w16cid:durableId="885992974">
    <w:abstractNumId w:val="55"/>
  </w:num>
  <w:num w:numId="35" w16cid:durableId="1952275917">
    <w:abstractNumId w:val="32"/>
  </w:num>
  <w:num w:numId="36" w16cid:durableId="451747936">
    <w:abstractNumId w:val="49"/>
  </w:num>
  <w:num w:numId="37" w16cid:durableId="623847430">
    <w:abstractNumId w:val="76"/>
  </w:num>
  <w:num w:numId="38" w16cid:durableId="663820816">
    <w:abstractNumId w:val="20"/>
  </w:num>
  <w:num w:numId="39" w16cid:durableId="1488785135">
    <w:abstractNumId w:val="63"/>
  </w:num>
  <w:num w:numId="40" w16cid:durableId="1813711318">
    <w:abstractNumId w:val="46"/>
  </w:num>
  <w:num w:numId="41" w16cid:durableId="1473130310">
    <w:abstractNumId w:val="74"/>
  </w:num>
  <w:num w:numId="42" w16cid:durableId="1890069580">
    <w:abstractNumId w:val="59"/>
  </w:num>
  <w:num w:numId="43" w16cid:durableId="429811062">
    <w:abstractNumId w:val="44"/>
  </w:num>
  <w:num w:numId="44" w16cid:durableId="2142921498">
    <w:abstractNumId w:val="50"/>
  </w:num>
  <w:num w:numId="45" w16cid:durableId="677778880">
    <w:abstractNumId w:val="67"/>
  </w:num>
  <w:num w:numId="46" w16cid:durableId="1576937680">
    <w:abstractNumId w:val="19"/>
  </w:num>
  <w:num w:numId="47" w16cid:durableId="1208227839">
    <w:abstractNumId w:val="4"/>
  </w:num>
  <w:num w:numId="48" w16cid:durableId="1727685825">
    <w:abstractNumId w:val="9"/>
  </w:num>
  <w:num w:numId="49" w16cid:durableId="2044986107">
    <w:abstractNumId w:val="21"/>
  </w:num>
  <w:num w:numId="50" w16cid:durableId="258950871">
    <w:abstractNumId w:val="52"/>
  </w:num>
  <w:num w:numId="51" w16cid:durableId="1653025261">
    <w:abstractNumId w:val="22"/>
  </w:num>
  <w:num w:numId="52" w16cid:durableId="2129934391">
    <w:abstractNumId w:val="75"/>
  </w:num>
  <w:num w:numId="53" w16cid:durableId="186020484">
    <w:abstractNumId w:val="40"/>
  </w:num>
  <w:num w:numId="54" w16cid:durableId="216358211">
    <w:abstractNumId w:val="26"/>
  </w:num>
  <w:num w:numId="55" w16cid:durableId="1988704632">
    <w:abstractNumId w:val="71"/>
  </w:num>
  <w:num w:numId="56" w16cid:durableId="620113143">
    <w:abstractNumId w:val="25"/>
  </w:num>
  <w:num w:numId="57" w16cid:durableId="475683484">
    <w:abstractNumId w:val="13"/>
  </w:num>
  <w:num w:numId="58" w16cid:durableId="556551957">
    <w:abstractNumId w:val="69"/>
  </w:num>
  <w:num w:numId="59" w16cid:durableId="2100371422">
    <w:abstractNumId w:val="73"/>
  </w:num>
  <w:num w:numId="60" w16cid:durableId="1712417089">
    <w:abstractNumId w:val="33"/>
  </w:num>
  <w:num w:numId="61" w16cid:durableId="846987823">
    <w:abstractNumId w:val="56"/>
  </w:num>
  <w:num w:numId="62" w16cid:durableId="1385789763">
    <w:abstractNumId w:val="47"/>
  </w:num>
  <w:num w:numId="63" w16cid:durableId="2082872915">
    <w:abstractNumId w:val="0"/>
  </w:num>
  <w:num w:numId="64" w16cid:durableId="1964799371">
    <w:abstractNumId w:val="15"/>
  </w:num>
  <w:num w:numId="65" w16cid:durableId="1087732664">
    <w:abstractNumId w:val="10"/>
  </w:num>
  <w:num w:numId="66" w16cid:durableId="1376857755">
    <w:abstractNumId w:val="17"/>
  </w:num>
  <w:num w:numId="67" w16cid:durableId="1065681830">
    <w:abstractNumId w:val="11"/>
  </w:num>
  <w:num w:numId="68" w16cid:durableId="759184356">
    <w:abstractNumId w:val="1"/>
  </w:num>
  <w:num w:numId="69" w16cid:durableId="602108642">
    <w:abstractNumId w:val="16"/>
  </w:num>
  <w:num w:numId="70" w16cid:durableId="1567033797">
    <w:abstractNumId w:val="60"/>
  </w:num>
  <w:num w:numId="71" w16cid:durableId="155655622">
    <w:abstractNumId w:val="68"/>
  </w:num>
  <w:num w:numId="72" w16cid:durableId="1248080118">
    <w:abstractNumId w:val="58"/>
  </w:num>
  <w:num w:numId="73" w16cid:durableId="500513661">
    <w:abstractNumId w:val="12"/>
  </w:num>
  <w:num w:numId="74" w16cid:durableId="1260674493">
    <w:abstractNumId w:val="61"/>
  </w:num>
  <w:num w:numId="75" w16cid:durableId="100298900">
    <w:abstractNumId w:val="39"/>
  </w:num>
  <w:num w:numId="76" w16cid:durableId="1029140399">
    <w:abstractNumId w:val="51"/>
  </w:num>
  <w:num w:numId="77" w16cid:durableId="1274094903">
    <w:abstractNumId w:val="27"/>
  </w:num>
  <w:num w:numId="78" w16cid:durableId="2086031022">
    <w:abstractNumId w:val="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88"/>
    <w:rsid w:val="00000552"/>
    <w:rsid w:val="00000776"/>
    <w:rsid w:val="000020F6"/>
    <w:rsid w:val="00002669"/>
    <w:rsid w:val="00002A2A"/>
    <w:rsid w:val="00003976"/>
    <w:rsid w:val="00003D6A"/>
    <w:rsid w:val="00004174"/>
    <w:rsid w:val="00004470"/>
    <w:rsid w:val="00004C33"/>
    <w:rsid w:val="0000598B"/>
    <w:rsid w:val="00007300"/>
    <w:rsid w:val="00007739"/>
    <w:rsid w:val="000079D3"/>
    <w:rsid w:val="000106B4"/>
    <w:rsid w:val="0001203D"/>
    <w:rsid w:val="000133DE"/>
    <w:rsid w:val="000136AF"/>
    <w:rsid w:val="00013A87"/>
    <w:rsid w:val="00014CF1"/>
    <w:rsid w:val="000165AD"/>
    <w:rsid w:val="0001757F"/>
    <w:rsid w:val="0001768D"/>
    <w:rsid w:val="0002181E"/>
    <w:rsid w:val="00022628"/>
    <w:rsid w:val="00024944"/>
    <w:rsid w:val="000258B1"/>
    <w:rsid w:val="000258D6"/>
    <w:rsid w:val="00025A9E"/>
    <w:rsid w:val="00026B2B"/>
    <w:rsid w:val="000272AA"/>
    <w:rsid w:val="00030054"/>
    <w:rsid w:val="00030145"/>
    <w:rsid w:val="00031729"/>
    <w:rsid w:val="000331A4"/>
    <w:rsid w:val="0003358F"/>
    <w:rsid w:val="0003412A"/>
    <w:rsid w:val="00035436"/>
    <w:rsid w:val="000357C4"/>
    <w:rsid w:val="0003588C"/>
    <w:rsid w:val="00036330"/>
    <w:rsid w:val="0003735C"/>
    <w:rsid w:val="0004042E"/>
    <w:rsid w:val="00040A89"/>
    <w:rsid w:val="000434CF"/>
    <w:rsid w:val="000436AA"/>
    <w:rsid w:val="000437C1"/>
    <w:rsid w:val="00043BC4"/>
    <w:rsid w:val="0004455A"/>
    <w:rsid w:val="00044700"/>
    <w:rsid w:val="00044FD1"/>
    <w:rsid w:val="00045AFE"/>
    <w:rsid w:val="00047DF7"/>
    <w:rsid w:val="00047F26"/>
    <w:rsid w:val="000502C3"/>
    <w:rsid w:val="000523BB"/>
    <w:rsid w:val="00052CF5"/>
    <w:rsid w:val="00053317"/>
    <w:rsid w:val="0005365D"/>
    <w:rsid w:val="0005418E"/>
    <w:rsid w:val="000548F2"/>
    <w:rsid w:val="00054C01"/>
    <w:rsid w:val="000553BB"/>
    <w:rsid w:val="00056E91"/>
    <w:rsid w:val="00056F09"/>
    <w:rsid w:val="00057D91"/>
    <w:rsid w:val="000614BF"/>
    <w:rsid w:val="00061583"/>
    <w:rsid w:val="00062C89"/>
    <w:rsid w:val="00062DFB"/>
    <w:rsid w:val="00064AFB"/>
    <w:rsid w:val="0006709C"/>
    <w:rsid w:val="00067158"/>
    <w:rsid w:val="00067D32"/>
    <w:rsid w:val="00070055"/>
    <w:rsid w:val="00072688"/>
    <w:rsid w:val="00074376"/>
    <w:rsid w:val="000749CE"/>
    <w:rsid w:val="0007512C"/>
    <w:rsid w:val="000751FD"/>
    <w:rsid w:val="00076672"/>
    <w:rsid w:val="00076CE0"/>
    <w:rsid w:val="00083416"/>
    <w:rsid w:val="0008488F"/>
    <w:rsid w:val="00084937"/>
    <w:rsid w:val="000867EE"/>
    <w:rsid w:val="00086F60"/>
    <w:rsid w:val="00087009"/>
    <w:rsid w:val="0008718D"/>
    <w:rsid w:val="000878FA"/>
    <w:rsid w:val="00090EF4"/>
    <w:rsid w:val="00091A98"/>
    <w:rsid w:val="00091EE4"/>
    <w:rsid w:val="00093346"/>
    <w:rsid w:val="00093C3F"/>
    <w:rsid w:val="00094D71"/>
    <w:rsid w:val="00095290"/>
    <w:rsid w:val="000954E5"/>
    <w:rsid w:val="0009786C"/>
    <w:rsid w:val="000978F5"/>
    <w:rsid w:val="00097946"/>
    <w:rsid w:val="00097F79"/>
    <w:rsid w:val="000A09D8"/>
    <w:rsid w:val="000A3210"/>
    <w:rsid w:val="000A35C0"/>
    <w:rsid w:val="000A3636"/>
    <w:rsid w:val="000A4B40"/>
    <w:rsid w:val="000A54BE"/>
    <w:rsid w:val="000A58D6"/>
    <w:rsid w:val="000A6DDB"/>
    <w:rsid w:val="000A7731"/>
    <w:rsid w:val="000A7AEB"/>
    <w:rsid w:val="000B15CD"/>
    <w:rsid w:val="000B1ADA"/>
    <w:rsid w:val="000B3413"/>
    <w:rsid w:val="000B35EB"/>
    <w:rsid w:val="000B3652"/>
    <w:rsid w:val="000B4292"/>
    <w:rsid w:val="000B4C6B"/>
    <w:rsid w:val="000B5AD5"/>
    <w:rsid w:val="000B7856"/>
    <w:rsid w:val="000C0232"/>
    <w:rsid w:val="000C06D7"/>
    <w:rsid w:val="000C37A8"/>
    <w:rsid w:val="000C4609"/>
    <w:rsid w:val="000C4BB7"/>
    <w:rsid w:val="000C64BF"/>
    <w:rsid w:val="000C660D"/>
    <w:rsid w:val="000C7A3A"/>
    <w:rsid w:val="000D04E3"/>
    <w:rsid w:val="000D05EF"/>
    <w:rsid w:val="000D1044"/>
    <w:rsid w:val="000D18C8"/>
    <w:rsid w:val="000D19EF"/>
    <w:rsid w:val="000D31D3"/>
    <w:rsid w:val="000D4EAF"/>
    <w:rsid w:val="000D5A52"/>
    <w:rsid w:val="000D5B7C"/>
    <w:rsid w:val="000D5D13"/>
    <w:rsid w:val="000D631C"/>
    <w:rsid w:val="000D70C4"/>
    <w:rsid w:val="000D7456"/>
    <w:rsid w:val="000D7648"/>
    <w:rsid w:val="000D7759"/>
    <w:rsid w:val="000E0C7A"/>
    <w:rsid w:val="000E11BF"/>
    <w:rsid w:val="000E1D96"/>
    <w:rsid w:val="000E2261"/>
    <w:rsid w:val="000E27D6"/>
    <w:rsid w:val="000E3A67"/>
    <w:rsid w:val="000E3E0E"/>
    <w:rsid w:val="000E4FE4"/>
    <w:rsid w:val="000E56B8"/>
    <w:rsid w:val="000E57CB"/>
    <w:rsid w:val="000E63C7"/>
    <w:rsid w:val="000E78B7"/>
    <w:rsid w:val="000F05D3"/>
    <w:rsid w:val="000F0705"/>
    <w:rsid w:val="000F0721"/>
    <w:rsid w:val="000F1601"/>
    <w:rsid w:val="000F1BB5"/>
    <w:rsid w:val="000F21C1"/>
    <w:rsid w:val="000F4744"/>
    <w:rsid w:val="000F537A"/>
    <w:rsid w:val="000F58A5"/>
    <w:rsid w:val="000F648C"/>
    <w:rsid w:val="000F6B58"/>
    <w:rsid w:val="000F7625"/>
    <w:rsid w:val="000F782C"/>
    <w:rsid w:val="00101ABC"/>
    <w:rsid w:val="00103507"/>
    <w:rsid w:val="001039BF"/>
    <w:rsid w:val="00103D72"/>
    <w:rsid w:val="00104E61"/>
    <w:rsid w:val="00105781"/>
    <w:rsid w:val="00105D2E"/>
    <w:rsid w:val="0010601C"/>
    <w:rsid w:val="00106E0A"/>
    <w:rsid w:val="0010745C"/>
    <w:rsid w:val="00107573"/>
    <w:rsid w:val="001077AF"/>
    <w:rsid w:val="00107E17"/>
    <w:rsid w:val="001126DD"/>
    <w:rsid w:val="00112BFF"/>
    <w:rsid w:val="0011342A"/>
    <w:rsid w:val="00113AAF"/>
    <w:rsid w:val="001145BA"/>
    <w:rsid w:val="00115CA5"/>
    <w:rsid w:val="00115F37"/>
    <w:rsid w:val="0011602F"/>
    <w:rsid w:val="0011763E"/>
    <w:rsid w:val="00120252"/>
    <w:rsid w:val="0012059A"/>
    <w:rsid w:val="001214D5"/>
    <w:rsid w:val="001217BB"/>
    <w:rsid w:val="00121DA4"/>
    <w:rsid w:val="00122605"/>
    <w:rsid w:val="001227AE"/>
    <w:rsid w:val="00122F72"/>
    <w:rsid w:val="00123624"/>
    <w:rsid w:val="00125062"/>
    <w:rsid w:val="00125313"/>
    <w:rsid w:val="00126532"/>
    <w:rsid w:val="001268E8"/>
    <w:rsid w:val="00127782"/>
    <w:rsid w:val="00127E94"/>
    <w:rsid w:val="00127F98"/>
    <w:rsid w:val="00130F99"/>
    <w:rsid w:val="0013101C"/>
    <w:rsid w:val="00131028"/>
    <w:rsid w:val="00132552"/>
    <w:rsid w:val="00132CEB"/>
    <w:rsid w:val="001334F8"/>
    <w:rsid w:val="001339B0"/>
    <w:rsid w:val="001350C8"/>
    <w:rsid w:val="00137FDB"/>
    <w:rsid w:val="00142923"/>
    <w:rsid w:val="00142B62"/>
    <w:rsid w:val="00142D23"/>
    <w:rsid w:val="001441B7"/>
    <w:rsid w:val="00144C83"/>
    <w:rsid w:val="0014509E"/>
    <w:rsid w:val="0014519F"/>
    <w:rsid w:val="00145B71"/>
    <w:rsid w:val="00147733"/>
    <w:rsid w:val="00150B71"/>
    <w:rsid w:val="001510B3"/>
    <w:rsid w:val="00151167"/>
    <w:rsid w:val="001516CB"/>
    <w:rsid w:val="00152336"/>
    <w:rsid w:val="001523BE"/>
    <w:rsid w:val="001523E0"/>
    <w:rsid w:val="001528F2"/>
    <w:rsid w:val="00152F63"/>
    <w:rsid w:val="0015381E"/>
    <w:rsid w:val="00154959"/>
    <w:rsid w:val="00155794"/>
    <w:rsid w:val="00157B8B"/>
    <w:rsid w:val="00160D1F"/>
    <w:rsid w:val="0016158E"/>
    <w:rsid w:val="001619C1"/>
    <w:rsid w:val="001620D1"/>
    <w:rsid w:val="001622DE"/>
    <w:rsid w:val="00163009"/>
    <w:rsid w:val="001632FF"/>
    <w:rsid w:val="00166C2F"/>
    <w:rsid w:val="00167232"/>
    <w:rsid w:val="00170194"/>
    <w:rsid w:val="00171F41"/>
    <w:rsid w:val="00171F6A"/>
    <w:rsid w:val="00171F8D"/>
    <w:rsid w:val="00172B55"/>
    <w:rsid w:val="0017311D"/>
    <w:rsid w:val="00173D07"/>
    <w:rsid w:val="001745D1"/>
    <w:rsid w:val="001747A6"/>
    <w:rsid w:val="00175973"/>
    <w:rsid w:val="00175ADE"/>
    <w:rsid w:val="00176231"/>
    <w:rsid w:val="0018021D"/>
    <w:rsid w:val="001809D7"/>
    <w:rsid w:val="001821E0"/>
    <w:rsid w:val="0018265E"/>
    <w:rsid w:val="0018316C"/>
    <w:rsid w:val="0018630F"/>
    <w:rsid w:val="00187378"/>
    <w:rsid w:val="00187406"/>
    <w:rsid w:val="001877AB"/>
    <w:rsid w:val="00190158"/>
    <w:rsid w:val="0019169B"/>
    <w:rsid w:val="001924A9"/>
    <w:rsid w:val="001924BE"/>
    <w:rsid w:val="001939E1"/>
    <w:rsid w:val="00194C3E"/>
    <w:rsid w:val="00195382"/>
    <w:rsid w:val="0019613C"/>
    <w:rsid w:val="001A0DAE"/>
    <w:rsid w:val="001A0E93"/>
    <w:rsid w:val="001A14F4"/>
    <w:rsid w:val="001A3657"/>
    <w:rsid w:val="001A376D"/>
    <w:rsid w:val="001A3F08"/>
    <w:rsid w:val="001A5824"/>
    <w:rsid w:val="001A6647"/>
    <w:rsid w:val="001A7498"/>
    <w:rsid w:val="001A7CF1"/>
    <w:rsid w:val="001A7EB2"/>
    <w:rsid w:val="001B0603"/>
    <w:rsid w:val="001B0EE5"/>
    <w:rsid w:val="001B0FAF"/>
    <w:rsid w:val="001B168B"/>
    <w:rsid w:val="001B2A75"/>
    <w:rsid w:val="001B2CB6"/>
    <w:rsid w:val="001B39A5"/>
    <w:rsid w:val="001B424A"/>
    <w:rsid w:val="001B50DF"/>
    <w:rsid w:val="001C070A"/>
    <w:rsid w:val="001C15FB"/>
    <w:rsid w:val="001C1AB0"/>
    <w:rsid w:val="001C1B2B"/>
    <w:rsid w:val="001C33B7"/>
    <w:rsid w:val="001C34CF"/>
    <w:rsid w:val="001C3EA1"/>
    <w:rsid w:val="001C401B"/>
    <w:rsid w:val="001C4A97"/>
    <w:rsid w:val="001C50FF"/>
    <w:rsid w:val="001C61C5"/>
    <w:rsid w:val="001C69C4"/>
    <w:rsid w:val="001C69CF"/>
    <w:rsid w:val="001C6FD6"/>
    <w:rsid w:val="001C7403"/>
    <w:rsid w:val="001C7BB9"/>
    <w:rsid w:val="001D268C"/>
    <w:rsid w:val="001D301E"/>
    <w:rsid w:val="001D32FB"/>
    <w:rsid w:val="001D37EF"/>
    <w:rsid w:val="001D5AE3"/>
    <w:rsid w:val="001D6DD8"/>
    <w:rsid w:val="001D7426"/>
    <w:rsid w:val="001D75A1"/>
    <w:rsid w:val="001D7B4E"/>
    <w:rsid w:val="001E0592"/>
    <w:rsid w:val="001E3590"/>
    <w:rsid w:val="001E41D5"/>
    <w:rsid w:val="001E468D"/>
    <w:rsid w:val="001E4DC6"/>
    <w:rsid w:val="001E5508"/>
    <w:rsid w:val="001E6374"/>
    <w:rsid w:val="001E698E"/>
    <w:rsid w:val="001E6CE3"/>
    <w:rsid w:val="001E7407"/>
    <w:rsid w:val="001E7AFF"/>
    <w:rsid w:val="001E7BE4"/>
    <w:rsid w:val="001F1FAB"/>
    <w:rsid w:val="001F282D"/>
    <w:rsid w:val="001F2F95"/>
    <w:rsid w:val="001F32B9"/>
    <w:rsid w:val="001F3796"/>
    <w:rsid w:val="001F3CDA"/>
    <w:rsid w:val="001F3D64"/>
    <w:rsid w:val="001F4ECE"/>
    <w:rsid w:val="001F5D5E"/>
    <w:rsid w:val="001F6219"/>
    <w:rsid w:val="001F661A"/>
    <w:rsid w:val="001F6CD4"/>
    <w:rsid w:val="00200134"/>
    <w:rsid w:val="0020054C"/>
    <w:rsid w:val="00200A15"/>
    <w:rsid w:val="002014C6"/>
    <w:rsid w:val="00201E90"/>
    <w:rsid w:val="00202CA5"/>
    <w:rsid w:val="00203469"/>
    <w:rsid w:val="00204B49"/>
    <w:rsid w:val="002058CF"/>
    <w:rsid w:val="0020616C"/>
    <w:rsid w:val="002062CC"/>
    <w:rsid w:val="00206A3B"/>
    <w:rsid w:val="00206C4D"/>
    <w:rsid w:val="00210F1A"/>
    <w:rsid w:val="00211381"/>
    <w:rsid w:val="0021162E"/>
    <w:rsid w:val="002116BA"/>
    <w:rsid w:val="002129A1"/>
    <w:rsid w:val="00213A79"/>
    <w:rsid w:val="00213E71"/>
    <w:rsid w:val="00214612"/>
    <w:rsid w:val="0021492A"/>
    <w:rsid w:val="00215774"/>
    <w:rsid w:val="00215AF1"/>
    <w:rsid w:val="00216106"/>
    <w:rsid w:val="002172D6"/>
    <w:rsid w:val="002176C4"/>
    <w:rsid w:val="00221965"/>
    <w:rsid w:val="00221D9D"/>
    <w:rsid w:val="00222D5F"/>
    <w:rsid w:val="00223228"/>
    <w:rsid w:val="002239A8"/>
    <w:rsid w:val="00225101"/>
    <w:rsid w:val="00225643"/>
    <w:rsid w:val="0022672A"/>
    <w:rsid w:val="00227B7A"/>
    <w:rsid w:val="00230B02"/>
    <w:rsid w:val="002321E8"/>
    <w:rsid w:val="00232451"/>
    <w:rsid w:val="002327D2"/>
    <w:rsid w:val="00232984"/>
    <w:rsid w:val="00233A1A"/>
    <w:rsid w:val="00234B19"/>
    <w:rsid w:val="00235007"/>
    <w:rsid w:val="00235AE1"/>
    <w:rsid w:val="0024010F"/>
    <w:rsid w:val="0024054D"/>
    <w:rsid w:val="00240749"/>
    <w:rsid w:val="00241C8E"/>
    <w:rsid w:val="00242EC7"/>
    <w:rsid w:val="00243018"/>
    <w:rsid w:val="002430D5"/>
    <w:rsid w:val="00243B09"/>
    <w:rsid w:val="002446C9"/>
    <w:rsid w:val="00245C61"/>
    <w:rsid w:val="00246574"/>
    <w:rsid w:val="00247BA1"/>
    <w:rsid w:val="002500A5"/>
    <w:rsid w:val="0025104F"/>
    <w:rsid w:val="002519A8"/>
    <w:rsid w:val="00252855"/>
    <w:rsid w:val="00252ABA"/>
    <w:rsid w:val="0025447C"/>
    <w:rsid w:val="00254839"/>
    <w:rsid w:val="002564A4"/>
    <w:rsid w:val="00261A2C"/>
    <w:rsid w:val="00262A2E"/>
    <w:rsid w:val="002645CE"/>
    <w:rsid w:val="00264CBD"/>
    <w:rsid w:val="00264F0D"/>
    <w:rsid w:val="00265144"/>
    <w:rsid w:val="002661A7"/>
    <w:rsid w:val="0026736C"/>
    <w:rsid w:val="00267A6F"/>
    <w:rsid w:val="00270161"/>
    <w:rsid w:val="002704C7"/>
    <w:rsid w:val="002711D9"/>
    <w:rsid w:val="0027330B"/>
    <w:rsid w:val="00273B1F"/>
    <w:rsid w:val="00273E68"/>
    <w:rsid w:val="002750AF"/>
    <w:rsid w:val="00275AED"/>
    <w:rsid w:val="00275FE9"/>
    <w:rsid w:val="002769EB"/>
    <w:rsid w:val="00277BD6"/>
    <w:rsid w:val="002801F4"/>
    <w:rsid w:val="00281308"/>
    <w:rsid w:val="00282FB9"/>
    <w:rsid w:val="00284719"/>
    <w:rsid w:val="00284A90"/>
    <w:rsid w:val="002852AB"/>
    <w:rsid w:val="002854AE"/>
    <w:rsid w:val="002859B8"/>
    <w:rsid w:val="002872B5"/>
    <w:rsid w:val="002878FA"/>
    <w:rsid w:val="00290014"/>
    <w:rsid w:val="00290B90"/>
    <w:rsid w:val="0029187A"/>
    <w:rsid w:val="00291C9E"/>
    <w:rsid w:val="00291FF0"/>
    <w:rsid w:val="002931E1"/>
    <w:rsid w:val="00293853"/>
    <w:rsid w:val="002938CD"/>
    <w:rsid w:val="0029400F"/>
    <w:rsid w:val="00294106"/>
    <w:rsid w:val="00294954"/>
    <w:rsid w:val="00294E35"/>
    <w:rsid w:val="00295484"/>
    <w:rsid w:val="00297B1E"/>
    <w:rsid w:val="00297ECB"/>
    <w:rsid w:val="002A0806"/>
    <w:rsid w:val="002A0A38"/>
    <w:rsid w:val="002A166E"/>
    <w:rsid w:val="002A1AAA"/>
    <w:rsid w:val="002A1BDF"/>
    <w:rsid w:val="002A2BEC"/>
    <w:rsid w:val="002A4C55"/>
    <w:rsid w:val="002A5F26"/>
    <w:rsid w:val="002A67DF"/>
    <w:rsid w:val="002A77C0"/>
    <w:rsid w:val="002A7BCF"/>
    <w:rsid w:val="002B00A0"/>
    <w:rsid w:val="002B1A33"/>
    <w:rsid w:val="002B1EA9"/>
    <w:rsid w:val="002B2B3F"/>
    <w:rsid w:val="002B343B"/>
    <w:rsid w:val="002B3F5B"/>
    <w:rsid w:val="002B4F75"/>
    <w:rsid w:val="002B6218"/>
    <w:rsid w:val="002B68B8"/>
    <w:rsid w:val="002B6C06"/>
    <w:rsid w:val="002B70E2"/>
    <w:rsid w:val="002C09E3"/>
    <w:rsid w:val="002C0FE4"/>
    <w:rsid w:val="002C1317"/>
    <w:rsid w:val="002C2D39"/>
    <w:rsid w:val="002C2EB6"/>
    <w:rsid w:val="002C3FD1"/>
    <w:rsid w:val="002C61D2"/>
    <w:rsid w:val="002C6C88"/>
    <w:rsid w:val="002C77A4"/>
    <w:rsid w:val="002C7937"/>
    <w:rsid w:val="002D043A"/>
    <w:rsid w:val="002D18E6"/>
    <w:rsid w:val="002D266B"/>
    <w:rsid w:val="002D2B55"/>
    <w:rsid w:val="002D328B"/>
    <w:rsid w:val="002D3E3E"/>
    <w:rsid w:val="002D4C00"/>
    <w:rsid w:val="002D5540"/>
    <w:rsid w:val="002D5E21"/>
    <w:rsid w:val="002D6224"/>
    <w:rsid w:val="002D6428"/>
    <w:rsid w:val="002D765A"/>
    <w:rsid w:val="002E0162"/>
    <w:rsid w:val="002E0185"/>
    <w:rsid w:val="002E1CDF"/>
    <w:rsid w:val="002E1D7A"/>
    <w:rsid w:val="002E1F0D"/>
    <w:rsid w:val="002E372A"/>
    <w:rsid w:val="002E51B8"/>
    <w:rsid w:val="002E55DF"/>
    <w:rsid w:val="002E6B90"/>
    <w:rsid w:val="002E6D8C"/>
    <w:rsid w:val="002E6E0D"/>
    <w:rsid w:val="002E70C0"/>
    <w:rsid w:val="002E789F"/>
    <w:rsid w:val="002F01FA"/>
    <w:rsid w:val="002F0591"/>
    <w:rsid w:val="002F0ACD"/>
    <w:rsid w:val="002F1B2C"/>
    <w:rsid w:val="002F1CC4"/>
    <w:rsid w:val="002F1D68"/>
    <w:rsid w:val="002F2708"/>
    <w:rsid w:val="002F2FE8"/>
    <w:rsid w:val="002F3340"/>
    <w:rsid w:val="002F46C9"/>
    <w:rsid w:val="002F683A"/>
    <w:rsid w:val="002F6C2F"/>
    <w:rsid w:val="002F6FB1"/>
    <w:rsid w:val="002F7D8B"/>
    <w:rsid w:val="003000E4"/>
    <w:rsid w:val="00300D0A"/>
    <w:rsid w:val="003014CD"/>
    <w:rsid w:val="0030171D"/>
    <w:rsid w:val="0030486B"/>
    <w:rsid w:val="00304F8B"/>
    <w:rsid w:val="003068C8"/>
    <w:rsid w:val="00306C4B"/>
    <w:rsid w:val="00306F1D"/>
    <w:rsid w:val="0030732C"/>
    <w:rsid w:val="003120AC"/>
    <w:rsid w:val="003164CA"/>
    <w:rsid w:val="003176FE"/>
    <w:rsid w:val="00317A5D"/>
    <w:rsid w:val="003201AC"/>
    <w:rsid w:val="00320616"/>
    <w:rsid w:val="00320807"/>
    <w:rsid w:val="00320857"/>
    <w:rsid w:val="00321F3A"/>
    <w:rsid w:val="00322BC1"/>
    <w:rsid w:val="00323E8D"/>
    <w:rsid w:val="00324BD1"/>
    <w:rsid w:val="00325304"/>
    <w:rsid w:val="00325BE5"/>
    <w:rsid w:val="003272EF"/>
    <w:rsid w:val="003277FF"/>
    <w:rsid w:val="00330829"/>
    <w:rsid w:val="00331F4A"/>
    <w:rsid w:val="00331FFE"/>
    <w:rsid w:val="003320F1"/>
    <w:rsid w:val="0033246C"/>
    <w:rsid w:val="00333207"/>
    <w:rsid w:val="003334AA"/>
    <w:rsid w:val="00333E36"/>
    <w:rsid w:val="00333EBD"/>
    <w:rsid w:val="00333FF9"/>
    <w:rsid w:val="0033403A"/>
    <w:rsid w:val="0033407A"/>
    <w:rsid w:val="003348CD"/>
    <w:rsid w:val="00334B32"/>
    <w:rsid w:val="00334BEE"/>
    <w:rsid w:val="0033583E"/>
    <w:rsid w:val="00335910"/>
    <w:rsid w:val="00335A76"/>
    <w:rsid w:val="00335BC6"/>
    <w:rsid w:val="00336FD7"/>
    <w:rsid w:val="003415D3"/>
    <w:rsid w:val="00341730"/>
    <w:rsid w:val="003419B0"/>
    <w:rsid w:val="00341AD5"/>
    <w:rsid w:val="00344338"/>
    <w:rsid w:val="00344701"/>
    <w:rsid w:val="00347E97"/>
    <w:rsid w:val="00347F1A"/>
    <w:rsid w:val="00351E23"/>
    <w:rsid w:val="00352B0F"/>
    <w:rsid w:val="00352B15"/>
    <w:rsid w:val="00353B6C"/>
    <w:rsid w:val="00354E6A"/>
    <w:rsid w:val="00355323"/>
    <w:rsid w:val="00356123"/>
    <w:rsid w:val="0035619F"/>
    <w:rsid w:val="003570BC"/>
    <w:rsid w:val="00357623"/>
    <w:rsid w:val="00360459"/>
    <w:rsid w:val="00362F9F"/>
    <w:rsid w:val="003634D0"/>
    <w:rsid w:val="00364F33"/>
    <w:rsid w:val="003661A0"/>
    <w:rsid w:val="003708E6"/>
    <w:rsid w:val="00370DA2"/>
    <w:rsid w:val="00371115"/>
    <w:rsid w:val="003714DB"/>
    <w:rsid w:val="0037198A"/>
    <w:rsid w:val="00371D65"/>
    <w:rsid w:val="003726F7"/>
    <w:rsid w:val="00373377"/>
    <w:rsid w:val="00373578"/>
    <w:rsid w:val="00373BB6"/>
    <w:rsid w:val="00373C25"/>
    <w:rsid w:val="0037441F"/>
    <w:rsid w:val="00374C31"/>
    <w:rsid w:val="0037603E"/>
    <w:rsid w:val="0037662C"/>
    <w:rsid w:val="00376B28"/>
    <w:rsid w:val="0038016D"/>
    <w:rsid w:val="003802E7"/>
    <w:rsid w:val="00380437"/>
    <w:rsid w:val="0038049F"/>
    <w:rsid w:val="00380874"/>
    <w:rsid w:val="00381411"/>
    <w:rsid w:val="00382807"/>
    <w:rsid w:val="00382AAA"/>
    <w:rsid w:val="00384456"/>
    <w:rsid w:val="003847B3"/>
    <w:rsid w:val="0038565A"/>
    <w:rsid w:val="0038651D"/>
    <w:rsid w:val="00386709"/>
    <w:rsid w:val="00386CA4"/>
    <w:rsid w:val="003874F2"/>
    <w:rsid w:val="0038773B"/>
    <w:rsid w:val="00387CBF"/>
    <w:rsid w:val="00390A98"/>
    <w:rsid w:val="00392AB4"/>
    <w:rsid w:val="00393DC9"/>
    <w:rsid w:val="00395731"/>
    <w:rsid w:val="00396950"/>
    <w:rsid w:val="00397CB0"/>
    <w:rsid w:val="003A05EE"/>
    <w:rsid w:val="003A079E"/>
    <w:rsid w:val="003A07D8"/>
    <w:rsid w:val="003A0C3D"/>
    <w:rsid w:val="003A173C"/>
    <w:rsid w:val="003A1D71"/>
    <w:rsid w:val="003A2236"/>
    <w:rsid w:val="003A2C29"/>
    <w:rsid w:val="003A351A"/>
    <w:rsid w:val="003A4291"/>
    <w:rsid w:val="003A60C3"/>
    <w:rsid w:val="003A6C0F"/>
    <w:rsid w:val="003A6E3F"/>
    <w:rsid w:val="003A72C4"/>
    <w:rsid w:val="003A7A64"/>
    <w:rsid w:val="003B0FAD"/>
    <w:rsid w:val="003B135A"/>
    <w:rsid w:val="003B1FBC"/>
    <w:rsid w:val="003B21FF"/>
    <w:rsid w:val="003B2677"/>
    <w:rsid w:val="003B2BC2"/>
    <w:rsid w:val="003B350F"/>
    <w:rsid w:val="003B63D1"/>
    <w:rsid w:val="003C02AC"/>
    <w:rsid w:val="003C17B8"/>
    <w:rsid w:val="003C1CC9"/>
    <w:rsid w:val="003C1CE4"/>
    <w:rsid w:val="003C1EDF"/>
    <w:rsid w:val="003C2F26"/>
    <w:rsid w:val="003C4505"/>
    <w:rsid w:val="003C45A3"/>
    <w:rsid w:val="003C4E4B"/>
    <w:rsid w:val="003C55B6"/>
    <w:rsid w:val="003C57AF"/>
    <w:rsid w:val="003C6231"/>
    <w:rsid w:val="003C7BEC"/>
    <w:rsid w:val="003D0BFE"/>
    <w:rsid w:val="003D1EB1"/>
    <w:rsid w:val="003D3ECD"/>
    <w:rsid w:val="003D431C"/>
    <w:rsid w:val="003D51B3"/>
    <w:rsid w:val="003D5700"/>
    <w:rsid w:val="003D5B7C"/>
    <w:rsid w:val="003D6858"/>
    <w:rsid w:val="003D6979"/>
    <w:rsid w:val="003D714C"/>
    <w:rsid w:val="003D750F"/>
    <w:rsid w:val="003E03AB"/>
    <w:rsid w:val="003E0AC5"/>
    <w:rsid w:val="003E1F3F"/>
    <w:rsid w:val="003E22EE"/>
    <w:rsid w:val="003E341B"/>
    <w:rsid w:val="003E4D00"/>
    <w:rsid w:val="003E5704"/>
    <w:rsid w:val="003E5C71"/>
    <w:rsid w:val="003E7FF7"/>
    <w:rsid w:val="003F01D2"/>
    <w:rsid w:val="003F081B"/>
    <w:rsid w:val="003F0D64"/>
    <w:rsid w:val="003F145A"/>
    <w:rsid w:val="003F1645"/>
    <w:rsid w:val="003F1881"/>
    <w:rsid w:val="003F1BB4"/>
    <w:rsid w:val="003F21A4"/>
    <w:rsid w:val="003F2C3E"/>
    <w:rsid w:val="003F3198"/>
    <w:rsid w:val="003F375D"/>
    <w:rsid w:val="003F3E04"/>
    <w:rsid w:val="003F4C52"/>
    <w:rsid w:val="003F4FD5"/>
    <w:rsid w:val="003F593A"/>
    <w:rsid w:val="003F6CEF"/>
    <w:rsid w:val="003F7415"/>
    <w:rsid w:val="003F7526"/>
    <w:rsid w:val="003F7DDD"/>
    <w:rsid w:val="004017DD"/>
    <w:rsid w:val="00403A19"/>
    <w:rsid w:val="00405705"/>
    <w:rsid w:val="00406943"/>
    <w:rsid w:val="00407A79"/>
    <w:rsid w:val="00407B64"/>
    <w:rsid w:val="00410A71"/>
    <w:rsid w:val="00410ED5"/>
    <w:rsid w:val="004116CD"/>
    <w:rsid w:val="00411EE7"/>
    <w:rsid w:val="004128C9"/>
    <w:rsid w:val="00412EE4"/>
    <w:rsid w:val="00413F43"/>
    <w:rsid w:val="004140E0"/>
    <w:rsid w:val="00415C85"/>
    <w:rsid w:val="00417EB9"/>
    <w:rsid w:val="004215FB"/>
    <w:rsid w:val="004230AB"/>
    <w:rsid w:val="00423479"/>
    <w:rsid w:val="00423CFA"/>
    <w:rsid w:val="00424CA9"/>
    <w:rsid w:val="00424DF1"/>
    <w:rsid w:val="00424E97"/>
    <w:rsid w:val="00425317"/>
    <w:rsid w:val="0042658F"/>
    <w:rsid w:val="00426721"/>
    <w:rsid w:val="004276DF"/>
    <w:rsid w:val="00427E0A"/>
    <w:rsid w:val="00430683"/>
    <w:rsid w:val="00430E90"/>
    <w:rsid w:val="00431E9B"/>
    <w:rsid w:val="00435588"/>
    <w:rsid w:val="00436CA8"/>
    <w:rsid w:val="004379E3"/>
    <w:rsid w:val="00437FD6"/>
    <w:rsid w:val="0044015E"/>
    <w:rsid w:val="004409CA"/>
    <w:rsid w:val="00440EA3"/>
    <w:rsid w:val="0044165F"/>
    <w:rsid w:val="00441B04"/>
    <w:rsid w:val="0044291A"/>
    <w:rsid w:val="00442A27"/>
    <w:rsid w:val="00443356"/>
    <w:rsid w:val="00443627"/>
    <w:rsid w:val="00445872"/>
    <w:rsid w:val="00445EF5"/>
    <w:rsid w:val="00446FE0"/>
    <w:rsid w:val="0044771E"/>
    <w:rsid w:val="00447BDA"/>
    <w:rsid w:val="00447DFE"/>
    <w:rsid w:val="004507DE"/>
    <w:rsid w:val="0045124E"/>
    <w:rsid w:val="004530C9"/>
    <w:rsid w:val="004536C4"/>
    <w:rsid w:val="00455C54"/>
    <w:rsid w:val="00457777"/>
    <w:rsid w:val="00460A90"/>
    <w:rsid w:val="004628F2"/>
    <w:rsid w:val="004633AD"/>
    <w:rsid w:val="00463536"/>
    <w:rsid w:val="0046415A"/>
    <w:rsid w:val="00465C6A"/>
    <w:rsid w:val="004661D9"/>
    <w:rsid w:val="00466FDC"/>
    <w:rsid w:val="00467661"/>
    <w:rsid w:val="0047020B"/>
    <w:rsid w:val="004707B5"/>
    <w:rsid w:val="004717E9"/>
    <w:rsid w:val="0047263D"/>
    <w:rsid w:val="00472DBE"/>
    <w:rsid w:val="00472EC1"/>
    <w:rsid w:val="00474A19"/>
    <w:rsid w:val="0047531B"/>
    <w:rsid w:val="00475C45"/>
    <w:rsid w:val="0047601F"/>
    <w:rsid w:val="00477369"/>
    <w:rsid w:val="00477591"/>
    <w:rsid w:val="00477830"/>
    <w:rsid w:val="00477F60"/>
    <w:rsid w:val="00480CEC"/>
    <w:rsid w:val="00480E67"/>
    <w:rsid w:val="00480E72"/>
    <w:rsid w:val="00480F1E"/>
    <w:rsid w:val="00480F6C"/>
    <w:rsid w:val="00482179"/>
    <w:rsid w:val="004821BD"/>
    <w:rsid w:val="0048237C"/>
    <w:rsid w:val="004826F7"/>
    <w:rsid w:val="00483B33"/>
    <w:rsid w:val="00483B8C"/>
    <w:rsid w:val="00483DF4"/>
    <w:rsid w:val="00484D55"/>
    <w:rsid w:val="00485081"/>
    <w:rsid w:val="004851C4"/>
    <w:rsid w:val="00485893"/>
    <w:rsid w:val="00487764"/>
    <w:rsid w:val="00490B58"/>
    <w:rsid w:val="004923E3"/>
    <w:rsid w:val="00492D57"/>
    <w:rsid w:val="00496359"/>
    <w:rsid w:val="00496F97"/>
    <w:rsid w:val="004A1C9C"/>
    <w:rsid w:val="004A311B"/>
    <w:rsid w:val="004A3273"/>
    <w:rsid w:val="004A3B78"/>
    <w:rsid w:val="004A5FDB"/>
    <w:rsid w:val="004A6F62"/>
    <w:rsid w:val="004A7133"/>
    <w:rsid w:val="004A71EC"/>
    <w:rsid w:val="004A78A7"/>
    <w:rsid w:val="004B0400"/>
    <w:rsid w:val="004B1802"/>
    <w:rsid w:val="004B1DA7"/>
    <w:rsid w:val="004B1E17"/>
    <w:rsid w:val="004B3339"/>
    <w:rsid w:val="004B3E4F"/>
    <w:rsid w:val="004B4C0E"/>
    <w:rsid w:val="004B52E6"/>
    <w:rsid w:val="004B659B"/>
    <w:rsid w:val="004B6C48"/>
    <w:rsid w:val="004B6EDC"/>
    <w:rsid w:val="004C0133"/>
    <w:rsid w:val="004C0D90"/>
    <w:rsid w:val="004C11A5"/>
    <w:rsid w:val="004C138A"/>
    <w:rsid w:val="004C1589"/>
    <w:rsid w:val="004C185F"/>
    <w:rsid w:val="004C4531"/>
    <w:rsid w:val="004C4755"/>
    <w:rsid w:val="004C4E59"/>
    <w:rsid w:val="004C4FCE"/>
    <w:rsid w:val="004C5F35"/>
    <w:rsid w:val="004C667E"/>
    <w:rsid w:val="004C6809"/>
    <w:rsid w:val="004D07C9"/>
    <w:rsid w:val="004D0D70"/>
    <w:rsid w:val="004D0E03"/>
    <w:rsid w:val="004D11C4"/>
    <w:rsid w:val="004D1647"/>
    <w:rsid w:val="004D1BBB"/>
    <w:rsid w:val="004D1EB3"/>
    <w:rsid w:val="004D1F09"/>
    <w:rsid w:val="004D2DFA"/>
    <w:rsid w:val="004D3806"/>
    <w:rsid w:val="004D412E"/>
    <w:rsid w:val="004D609D"/>
    <w:rsid w:val="004D6810"/>
    <w:rsid w:val="004D6EA4"/>
    <w:rsid w:val="004D72D3"/>
    <w:rsid w:val="004E045D"/>
    <w:rsid w:val="004E063A"/>
    <w:rsid w:val="004E0D62"/>
    <w:rsid w:val="004E1307"/>
    <w:rsid w:val="004E18AC"/>
    <w:rsid w:val="004E18D6"/>
    <w:rsid w:val="004E239E"/>
    <w:rsid w:val="004E24C6"/>
    <w:rsid w:val="004E468B"/>
    <w:rsid w:val="004E7BEC"/>
    <w:rsid w:val="004F0130"/>
    <w:rsid w:val="004F0359"/>
    <w:rsid w:val="004F088C"/>
    <w:rsid w:val="004F0DE1"/>
    <w:rsid w:val="004F27E1"/>
    <w:rsid w:val="004F2FAC"/>
    <w:rsid w:val="004F39C6"/>
    <w:rsid w:val="004F495D"/>
    <w:rsid w:val="004F54BD"/>
    <w:rsid w:val="004F5C33"/>
    <w:rsid w:val="004F69D1"/>
    <w:rsid w:val="005000F2"/>
    <w:rsid w:val="00500ADC"/>
    <w:rsid w:val="00500CB9"/>
    <w:rsid w:val="00501681"/>
    <w:rsid w:val="00501F9D"/>
    <w:rsid w:val="005026C9"/>
    <w:rsid w:val="00502FB1"/>
    <w:rsid w:val="0050429A"/>
    <w:rsid w:val="00504346"/>
    <w:rsid w:val="00504A1E"/>
    <w:rsid w:val="00505A55"/>
    <w:rsid w:val="00505D3D"/>
    <w:rsid w:val="00506AF6"/>
    <w:rsid w:val="00510A44"/>
    <w:rsid w:val="00511904"/>
    <w:rsid w:val="005124F0"/>
    <w:rsid w:val="00512D4E"/>
    <w:rsid w:val="00513474"/>
    <w:rsid w:val="00514542"/>
    <w:rsid w:val="00516B8D"/>
    <w:rsid w:val="00517920"/>
    <w:rsid w:val="00517DCF"/>
    <w:rsid w:val="00520A34"/>
    <w:rsid w:val="00520FDE"/>
    <w:rsid w:val="00521652"/>
    <w:rsid w:val="0052184B"/>
    <w:rsid w:val="0052486C"/>
    <w:rsid w:val="00525793"/>
    <w:rsid w:val="005257CD"/>
    <w:rsid w:val="00525B72"/>
    <w:rsid w:val="00525E85"/>
    <w:rsid w:val="0052651C"/>
    <w:rsid w:val="00526EC7"/>
    <w:rsid w:val="00527900"/>
    <w:rsid w:val="005303C8"/>
    <w:rsid w:val="0053040B"/>
    <w:rsid w:val="00531550"/>
    <w:rsid w:val="0053220D"/>
    <w:rsid w:val="005335F1"/>
    <w:rsid w:val="00534C5D"/>
    <w:rsid w:val="005357D4"/>
    <w:rsid w:val="00535E31"/>
    <w:rsid w:val="00536910"/>
    <w:rsid w:val="0053722F"/>
    <w:rsid w:val="00537FBC"/>
    <w:rsid w:val="005400E8"/>
    <w:rsid w:val="005402A5"/>
    <w:rsid w:val="00544178"/>
    <w:rsid w:val="005442D6"/>
    <w:rsid w:val="00544BED"/>
    <w:rsid w:val="005453A3"/>
    <w:rsid w:val="00545BD5"/>
    <w:rsid w:val="00545D3B"/>
    <w:rsid w:val="005501EF"/>
    <w:rsid w:val="005505FC"/>
    <w:rsid w:val="00550D10"/>
    <w:rsid w:val="0055100A"/>
    <w:rsid w:val="00553397"/>
    <w:rsid w:val="00553FC0"/>
    <w:rsid w:val="00554407"/>
    <w:rsid w:val="00554826"/>
    <w:rsid w:val="0055489D"/>
    <w:rsid w:val="00554A41"/>
    <w:rsid w:val="00556201"/>
    <w:rsid w:val="005564A1"/>
    <w:rsid w:val="00556B8A"/>
    <w:rsid w:val="00556EAB"/>
    <w:rsid w:val="00557488"/>
    <w:rsid w:val="0056079B"/>
    <w:rsid w:val="005608ED"/>
    <w:rsid w:val="00562877"/>
    <w:rsid w:val="00563338"/>
    <w:rsid w:val="00563586"/>
    <w:rsid w:val="00563822"/>
    <w:rsid w:val="0056443E"/>
    <w:rsid w:val="00565EDB"/>
    <w:rsid w:val="00565F50"/>
    <w:rsid w:val="0056647D"/>
    <w:rsid w:val="005670EE"/>
    <w:rsid w:val="0057085B"/>
    <w:rsid w:val="00570BC6"/>
    <w:rsid w:val="00570FEC"/>
    <w:rsid w:val="005713E5"/>
    <w:rsid w:val="00571CAD"/>
    <w:rsid w:val="00571F5F"/>
    <w:rsid w:val="00574A5C"/>
    <w:rsid w:val="00580E88"/>
    <w:rsid w:val="00582BAD"/>
    <w:rsid w:val="0058390C"/>
    <w:rsid w:val="00584811"/>
    <w:rsid w:val="00584CC6"/>
    <w:rsid w:val="00585784"/>
    <w:rsid w:val="005858B7"/>
    <w:rsid w:val="00585F77"/>
    <w:rsid w:val="0058702A"/>
    <w:rsid w:val="005873F8"/>
    <w:rsid w:val="00587683"/>
    <w:rsid w:val="005935E2"/>
    <w:rsid w:val="00593AA6"/>
    <w:rsid w:val="00593BAA"/>
    <w:rsid w:val="00593E70"/>
    <w:rsid w:val="00594161"/>
    <w:rsid w:val="005941E8"/>
    <w:rsid w:val="00594749"/>
    <w:rsid w:val="00594D8F"/>
    <w:rsid w:val="00595114"/>
    <w:rsid w:val="0059598C"/>
    <w:rsid w:val="0059693C"/>
    <w:rsid w:val="005A0866"/>
    <w:rsid w:val="005A12E2"/>
    <w:rsid w:val="005A1593"/>
    <w:rsid w:val="005A23F6"/>
    <w:rsid w:val="005A415A"/>
    <w:rsid w:val="005A4418"/>
    <w:rsid w:val="005A4482"/>
    <w:rsid w:val="005A4E8E"/>
    <w:rsid w:val="005A59BF"/>
    <w:rsid w:val="005A65D5"/>
    <w:rsid w:val="005A680A"/>
    <w:rsid w:val="005A6DCA"/>
    <w:rsid w:val="005B0283"/>
    <w:rsid w:val="005B37F0"/>
    <w:rsid w:val="005B4067"/>
    <w:rsid w:val="005B50C3"/>
    <w:rsid w:val="005B51D8"/>
    <w:rsid w:val="005B5364"/>
    <w:rsid w:val="005B5C54"/>
    <w:rsid w:val="005B672D"/>
    <w:rsid w:val="005B77DF"/>
    <w:rsid w:val="005B7D70"/>
    <w:rsid w:val="005C10D4"/>
    <w:rsid w:val="005C1619"/>
    <w:rsid w:val="005C30FC"/>
    <w:rsid w:val="005C3B1E"/>
    <w:rsid w:val="005C3F41"/>
    <w:rsid w:val="005C4061"/>
    <w:rsid w:val="005C44D9"/>
    <w:rsid w:val="005C4D36"/>
    <w:rsid w:val="005C5483"/>
    <w:rsid w:val="005C6394"/>
    <w:rsid w:val="005C74BF"/>
    <w:rsid w:val="005C7758"/>
    <w:rsid w:val="005D01B9"/>
    <w:rsid w:val="005D069D"/>
    <w:rsid w:val="005D06A2"/>
    <w:rsid w:val="005D12DF"/>
    <w:rsid w:val="005D1724"/>
    <w:rsid w:val="005D1D92"/>
    <w:rsid w:val="005D272C"/>
    <w:rsid w:val="005D2A2F"/>
    <w:rsid w:val="005D2D09"/>
    <w:rsid w:val="005D3C0C"/>
    <w:rsid w:val="005D3CBA"/>
    <w:rsid w:val="005D45DA"/>
    <w:rsid w:val="005D66F8"/>
    <w:rsid w:val="005D674A"/>
    <w:rsid w:val="005D7B9A"/>
    <w:rsid w:val="005E12E4"/>
    <w:rsid w:val="005E1CF0"/>
    <w:rsid w:val="005E1D3E"/>
    <w:rsid w:val="005E26D1"/>
    <w:rsid w:val="005E399E"/>
    <w:rsid w:val="005E4D9E"/>
    <w:rsid w:val="005E62AA"/>
    <w:rsid w:val="005E6933"/>
    <w:rsid w:val="005E70E8"/>
    <w:rsid w:val="005E77E1"/>
    <w:rsid w:val="005E7BC1"/>
    <w:rsid w:val="005E7EE5"/>
    <w:rsid w:val="005F153A"/>
    <w:rsid w:val="005F321B"/>
    <w:rsid w:val="005F3407"/>
    <w:rsid w:val="005F3901"/>
    <w:rsid w:val="005F4685"/>
    <w:rsid w:val="005F5666"/>
    <w:rsid w:val="005F7892"/>
    <w:rsid w:val="005F78ED"/>
    <w:rsid w:val="005F7AC1"/>
    <w:rsid w:val="00600219"/>
    <w:rsid w:val="00600DA7"/>
    <w:rsid w:val="00601C06"/>
    <w:rsid w:val="0060215A"/>
    <w:rsid w:val="00602FA4"/>
    <w:rsid w:val="00603ABB"/>
    <w:rsid w:val="00603B07"/>
    <w:rsid w:val="00603DA7"/>
    <w:rsid w:val="00604DB5"/>
    <w:rsid w:val="00604F2A"/>
    <w:rsid w:val="00605880"/>
    <w:rsid w:val="00605DF5"/>
    <w:rsid w:val="00606E1B"/>
    <w:rsid w:val="006103B3"/>
    <w:rsid w:val="00610995"/>
    <w:rsid w:val="00611CA8"/>
    <w:rsid w:val="00613922"/>
    <w:rsid w:val="00613B23"/>
    <w:rsid w:val="00614B99"/>
    <w:rsid w:val="0061561E"/>
    <w:rsid w:val="00615D37"/>
    <w:rsid w:val="006162E3"/>
    <w:rsid w:val="00616AFB"/>
    <w:rsid w:val="00616EFC"/>
    <w:rsid w:val="00620076"/>
    <w:rsid w:val="00620458"/>
    <w:rsid w:val="00620937"/>
    <w:rsid w:val="00621CD2"/>
    <w:rsid w:val="006232EA"/>
    <w:rsid w:val="00623E31"/>
    <w:rsid w:val="00624662"/>
    <w:rsid w:val="0062511C"/>
    <w:rsid w:val="00627E0A"/>
    <w:rsid w:val="00630DA1"/>
    <w:rsid w:val="00630DC4"/>
    <w:rsid w:val="0063186B"/>
    <w:rsid w:val="00632592"/>
    <w:rsid w:val="006325D1"/>
    <w:rsid w:val="006329C1"/>
    <w:rsid w:val="00632A4F"/>
    <w:rsid w:val="00632EC3"/>
    <w:rsid w:val="00633623"/>
    <w:rsid w:val="00633698"/>
    <w:rsid w:val="00633709"/>
    <w:rsid w:val="00634660"/>
    <w:rsid w:val="00634E40"/>
    <w:rsid w:val="00635180"/>
    <w:rsid w:val="00636689"/>
    <w:rsid w:val="00637CDC"/>
    <w:rsid w:val="0064039A"/>
    <w:rsid w:val="006403F9"/>
    <w:rsid w:val="006409CB"/>
    <w:rsid w:val="006414AD"/>
    <w:rsid w:val="00641779"/>
    <w:rsid w:val="006421BC"/>
    <w:rsid w:val="00642BBA"/>
    <w:rsid w:val="00643202"/>
    <w:rsid w:val="00643C85"/>
    <w:rsid w:val="00644378"/>
    <w:rsid w:val="0064573E"/>
    <w:rsid w:val="006460E0"/>
    <w:rsid w:val="0064623F"/>
    <w:rsid w:val="006462FC"/>
    <w:rsid w:val="006469BC"/>
    <w:rsid w:val="00646D08"/>
    <w:rsid w:val="00650B73"/>
    <w:rsid w:val="006510D3"/>
    <w:rsid w:val="0065174F"/>
    <w:rsid w:val="00651954"/>
    <w:rsid w:val="0065488B"/>
    <w:rsid w:val="00654C8A"/>
    <w:rsid w:val="006552E1"/>
    <w:rsid w:val="00655DD7"/>
    <w:rsid w:val="00656CB2"/>
    <w:rsid w:val="006571B1"/>
    <w:rsid w:val="00660C75"/>
    <w:rsid w:val="006617E8"/>
    <w:rsid w:val="006617ED"/>
    <w:rsid w:val="006628DC"/>
    <w:rsid w:val="006633F5"/>
    <w:rsid w:val="00663A4E"/>
    <w:rsid w:val="00663DDD"/>
    <w:rsid w:val="00664F3F"/>
    <w:rsid w:val="006665AA"/>
    <w:rsid w:val="00666629"/>
    <w:rsid w:val="00667AC7"/>
    <w:rsid w:val="00667B29"/>
    <w:rsid w:val="00667E39"/>
    <w:rsid w:val="00670EA1"/>
    <w:rsid w:val="0067150E"/>
    <w:rsid w:val="00671F4E"/>
    <w:rsid w:val="006725CC"/>
    <w:rsid w:val="006735CF"/>
    <w:rsid w:val="00673FD1"/>
    <w:rsid w:val="00677B77"/>
    <w:rsid w:val="00677CC2"/>
    <w:rsid w:val="00680A44"/>
    <w:rsid w:val="00681778"/>
    <w:rsid w:val="00682702"/>
    <w:rsid w:val="00682B9D"/>
    <w:rsid w:val="00682D7E"/>
    <w:rsid w:val="00682EC7"/>
    <w:rsid w:val="00686092"/>
    <w:rsid w:val="006861D8"/>
    <w:rsid w:val="006862FF"/>
    <w:rsid w:val="00686D5B"/>
    <w:rsid w:val="0068744B"/>
    <w:rsid w:val="006874CC"/>
    <w:rsid w:val="00687B20"/>
    <w:rsid w:val="00687E92"/>
    <w:rsid w:val="00690416"/>
    <w:rsid w:val="006905DE"/>
    <w:rsid w:val="00690E4E"/>
    <w:rsid w:val="0069207B"/>
    <w:rsid w:val="006924E5"/>
    <w:rsid w:val="0069300A"/>
    <w:rsid w:val="0069352F"/>
    <w:rsid w:val="00693DEF"/>
    <w:rsid w:val="00694563"/>
    <w:rsid w:val="00696E62"/>
    <w:rsid w:val="00697818"/>
    <w:rsid w:val="00697E39"/>
    <w:rsid w:val="006A154F"/>
    <w:rsid w:val="006A1975"/>
    <w:rsid w:val="006A1A12"/>
    <w:rsid w:val="006A23E3"/>
    <w:rsid w:val="006A2669"/>
    <w:rsid w:val="006A2FCB"/>
    <w:rsid w:val="006A40DD"/>
    <w:rsid w:val="006A4266"/>
    <w:rsid w:val="006A437B"/>
    <w:rsid w:val="006A6008"/>
    <w:rsid w:val="006A6857"/>
    <w:rsid w:val="006A6E07"/>
    <w:rsid w:val="006A7FEB"/>
    <w:rsid w:val="006B1C77"/>
    <w:rsid w:val="006B21E4"/>
    <w:rsid w:val="006B27C7"/>
    <w:rsid w:val="006B2E7E"/>
    <w:rsid w:val="006B3657"/>
    <w:rsid w:val="006B3E96"/>
    <w:rsid w:val="006B5620"/>
    <w:rsid w:val="006B5789"/>
    <w:rsid w:val="006B5A46"/>
    <w:rsid w:val="006B600F"/>
    <w:rsid w:val="006B7788"/>
    <w:rsid w:val="006C03B0"/>
    <w:rsid w:val="006C12E8"/>
    <w:rsid w:val="006C2616"/>
    <w:rsid w:val="006C263C"/>
    <w:rsid w:val="006C30C5"/>
    <w:rsid w:val="006C338B"/>
    <w:rsid w:val="006C37E8"/>
    <w:rsid w:val="006C38A4"/>
    <w:rsid w:val="006C446A"/>
    <w:rsid w:val="006C5557"/>
    <w:rsid w:val="006C5608"/>
    <w:rsid w:val="006C5A25"/>
    <w:rsid w:val="006C5E81"/>
    <w:rsid w:val="006C66EA"/>
    <w:rsid w:val="006C6CAB"/>
    <w:rsid w:val="006C7F8C"/>
    <w:rsid w:val="006D22D8"/>
    <w:rsid w:val="006D3C2A"/>
    <w:rsid w:val="006D406E"/>
    <w:rsid w:val="006D5137"/>
    <w:rsid w:val="006D5167"/>
    <w:rsid w:val="006D5485"/>
    <w:rsid w:val="006D5490"/>
    <w:rsid w:val="006D5948"/>
    <w:rsid w:val="006D6FD8"/>
    <w:rsid w:val="006E0B98"/>
    <w:rsid w:val="006E137C"/>
    <w:rsid w:val="006E1558"/>
    <w:rsid w:val="006E17A5"/>
    <w:rsid w:val="006E1A3B"/>
    <w:rsid w:val="006E249D"/>
    <w:rsid w:val="006E2E1C"/>
    <w:rsid w:val="006E2EE4"/>
    <w:rsid w:val="006E33A2"/>
    <w:rsid w:val="006E3B74"/>
    <w:rsid w:val="006E3F6A"/>
    <w:rsid w:val="006E41E9"/>
    <w:rsid w:val="006E4565"/>
    <w:rsid w:val="006E531D"/>
    <w:rsid w:val="006E6246"/>
    <w:rsid w:val="006E69C2"/>
    <w:rsid w:val="006E6DCC"/>
    <w:rsid w:val="006E7284"/>
    <w:rsid w:val="006F1F09"/>
    <w:rsid w:val="006F2429"/>
    <w:rsid w:val="006F307C"/>
    <w:rsid w:val="006F318F"/>
    <w:rsid w:val="006F32D8"/>
    <w:rsid w:val="006F457A"/>
    <w:rsid w:val="006F4B4A"/>
    <w:rsid w:val="006F4B8D"/>
    <w:rsid w:val="006F591A"/>
    <w:rsid w:val="006F5922"/>
    <w:rsid w:val="006F5F72"/>
    <w:rsid w:val="006F6F56"/>
    <w:rsid w:val="006F7DFC"/>
    <w:rsid w:val="0070017E"/>
    <w:rsid w:val="00700459"/>
    <w:rsid w:val="00700B07"/>
    <w:rsid w:val="00700B2C"/>
    <w:rsid w:val="00700ECB"/>
    <w:rsid w:val="00701009"/>
    <w:rsid w:val="007013B1"/>
    <w:rsid w:val="0070198B"/>
    <w:rsid w:val="00701EBB"/>
    <w:rsid w:val="00702016"/>
    <w:rsid w:val="007050A2"/>
    <w:rsid w:val="00705C17"/>
    <w:rsid w:val="0070742B"/>
    <w:rsid w:val="007105C8"/>
    <w:rsid w:val="00712148"/>
    <w:rsid w:val="007129BC"/>
    <w:rsid w:val="007129F1"/>
    <w:rsid w:val="00713084"/>
    <w:rsid w:val="00713A58"/>
    <w:rsid w:val="00714CB9"/>
    <w:rsid w:val="00714F20"/>
    <w:rsid w:val="0071590F"/>
    <w:rsid w:val="00715914"/>
    <w:rsid w:val="00716AAB"/>
    <w:rsid w:val="00720526"/>
    <w:rsid w:val="0072147A"/>
    <w:rsid w:val="00722A68"/>
    <w:rsid w:val="00722B7A"/>
    <w:rsid w:val="00723791"/>
    <w:rsid w:val="00724302"/>
    <w:rsid w:val="0072491E"/>
    <w:rsid w:val="00727578"/>
    <w:rsid w:val="00730036"/>
    <w:rsid w:val="00730868"/>
    <w:rsid w:val="0073119B"/>
    <w:rsid w:val="00731752"/>
    <w:rsid w:val="00731E00"/>
    <w:rsid w:val="00734A2F"/>
    <w:rsid w:val="00737FF6"/>
    <w:rsid w:val="00740733"/>
    <w:rsid w:val="0074093D"/>
    <w:rsid w:val="00742879"/>
    <w:rsid w:val="00742C96"/>
    <w:rsid w:val="00743202"/>
    <w:rsid w:val="0074356D"/>
    <w:rsid w:val="007440B7"/>
    <w:rsid w:val="007443AE"/>
    <w:rsid w:val="0074488F"/>
    <w:rsid w:val="00745AC7"/>
    <w:rsid w:val="00745C77"/>
    <w:rsid w:val="007500C8"/>
    <w:rsid w:val="00750AD7"/>
    <w:rsid w:val="0075109E"/>
    <w:rsid w:val="007510F5"/>
    <w:rsid w:val="007516B5"/>
    <w:rsid w:val="00751B9D"/>
    <w:rsid w:val="00753461"/>
    <w:rsid w:val="00754729"/>
    <w:rsid w:val="00755BC4"/>
    <w:rsid w:val="00756272"/>
    <w:rsid w:val="00756CA4"/>
    <w:rsid w:val="00756D4D"/>
    <w:rsid w:val="00757196"/>
    <w:rsid w:val="00757B50"/>
    <w:rsid w:val="00760E02"/>
    <w:rsid w:val="00761A3A"/>
    <w:rsid w:val="00761B00"/>
    <w:rsid w:val="0076282B"/>
    <w:rsid w:val="00762D38"/>
    <w:rsid w:val="00764978"/>
    <w:rsid w:val="007659D4"/>
    <w:rsid w:val="00765CD5"/>
    <w:rsid w:val="00767701"/>
    <w:rsid w:val="00767980"/>
    <w:rsid w:val="00767D9A"/>
    <w:rsid w:val="007715C9"/>
    <w:rsid w:val="00771613"/>
    <w:rsid w:val="0077293C"/>
    <w:rsid w:val="00772970"/>
    <w:rsid w:val="007730A9"/>
    <w:rsid w:val="00774EDD"/>
    <w:rsid w:val="007757EC"/>
    <w:rsid w:val="00775E66"/>
    <w:rsid w:val="00776279"/>
    <w:rsid w:val="0077674D"/>
    <w:rsid w:val="00777FE1"/>
    <w:rsid w:val="007810F5"/>
    <w:rsid w:val="007825E3"/>
    <w:rsid w:val="00783BCB"/>
    <w:rsid w:val="00783E89"/>
    <w:rsid w:val="00784063"/>
    <w:rsid w:val="0078441D"/>
    <w:rsid w:val="00784770"/>
    <w:rsid w:val="00785B05"/>
    <w:rsid w:val="0078781D"/>
    <w:rsid w:val="007903A0"/>
    <w:rsid w:val="007904A2"/>
    <w:rsid w:val="0079278E"/>
    <w:rsid w:val="00792E60"/>
    <w:rsid w:val="00793915"/>
    <w:rsid w:val="00793DD6"/>
    <w:rsid w:val="007948DE"/>
    <w:rsid w:val="00794EBC"/>
    <w:rsid w:val="00796912"/>
    <w:rsid w:val="0079700E"/>
    <w:rsid w:val="007A0280"/>
    <w:rsid w:val="007A0AC7"/>
    <w:rsid w:val="007A1BA4"/>
    <w:rsid w:val="007A1C32"/>
    <w:rsid w:val="007A1EE3"/>
    <w:rsid w:val="007A23DE"/>
    <w:rsid w:val="007A3BF9"/>
    <w:rsid w:val="007A3E20"/>
    <w:rsid w:val="007A44B3"/>
    <w:rsid w:val="007A6BB1"/>
    <w:rsid w:val="007B15CF"/>
    <w:rsid w:val="007B2195"/>
    <w:rsid w:val="007B270E"/>
    <w:rsid w:val="007B2786"/>
    <w:rsid w:val="007B29AF"/>
    <w:rsid w:val="007B37E5"/>
    <w:rsid w:val="007B49B8"/>
    <w:rsid w:val="007B596D"/>
    <w:rsid w:val="007B67B6"/>
    <w:rsid w:val="007B6905"/>
    <w:rsid w:val="007B7B2E"/>
    <w:rsid w:val="007B7DE0"/>
    <w:rsid w:val="007C18C4"/>
    <w:rsid w:val="007C1EA5"/>
    <w:rsid w:val="007C2253"/>
    <w:rsid w:val="007C22AB"/>
    <w:rsid w:val="007C2482"/>
    <w:rsid w:val="007C26C5"/>
    <w:rsid w:val="007C279C"/>
    <w:rsid w:val="007C305A"/>
    <w:rsid w:val="007C41A2"/>
    <w:rsid w:val="007C4A2E"/>
    <w:rsid w:val="007C4DBC"/>
    <w:rsid w:val="007C541B"/>
    <w:rsid w:val="007C5C12"/>
    <w:rsid w:val="007C61B1"/>
    <w:rsid w:val="007C62A3"/>
    <w:rsid w:val="007C683C"/>
    <w:rsid w:val="007C7891"/>
    <w:rsid w:val="007D107E"/>
    <w:rsid w:val="007D14D7"/>
    <w:rsid w:val="007D1FD9"/>
    <w:rsid w:val="007D24DE"/>
    <w:rsid w:val="007D3C39"/>
    <w:rsid w:val="007D5157"/>
    <w:rsid w:val="007D5205"/>
    <w:rsid w:val="007D53DC"/>
    <w:rsid w:val="007D577D"/>
    <w:rsid w:val="007D6E36"/>
    <w:rsid w:val="007D78EE"/>
    <w:rsid w:val="007D7911"/>
    <w:rsid w:val="007D7DC7"/>
    <w:rsid w:val="007D7EBB"/>
    <w:rsid w:val="007E0160"/>
    <w:rsid w:val="007E03DA"/>
    <w:rsid w:val="007E0433"/>
    <w:rsid w:val="007E1101"/>
    <w:rsid w:val="007E149A"/>
    <w:rsid w:val="007E1612"/>
    <w:rsid w:val="007E163D"/>
    <w:rsid w:val="007E20E5"/>
    <w:rsid w:val="007E3912"/>
    <w:rsid w:val="007E3E96"/>
    <w:rsid w:val="007E4144"/>
    <w:rsid w:val="007E4770"/>
    <w:rsid w:val="007E501D"/>
    <w:rsid w:val="007E667A"/>
    <w:rsid w:val="007F1116"/>
    <w:rsid w:val="007F1183"/>
    <w:rsid w:val="007F1811"/>
    <w:rsid w:val="007F1FCD"/>
    <w:rsid w:val="007F2048"/>
    <w:rsid w:val="007F28C9"/>
    <w:rsid w:val="007F2D3E"/>
    <w:rsid w:val="007F51B2"/>
    <w:rsid w:val="007F5666"/>
    <w:rsid w:val="007F6E6D"/>
    <w:rsid w:val="007F7230"/>
    <w:rsid w:val="007F7499"/>
    <w:rsid w:val="00800135"/>
    <w:rsid w:val="0080031C"/>
    <w:rsid w:val="00800DDF"/>
    <w:rsid w:val="00801A69"/>
    <w:rsid w:val="00801F28"/>
    <w:rsid w:val="00802940"/>
    <w:rsid w:val="00803215"/>
    <w:rsid w:val="00803349"/>
    <w:rsid w:val="008039EA"/>
    <w:rsid w:val="00803A28"/>
    <w:rsid w:val="00803A5C"/>
    <w:rsid w:val="008040DD"/>
    <w:rsid w:val="00804F8F"/>
    <w:rsid w:val="00806E81"/>
    <w:rsid w:val="00807EF4"/>
    <w:rsid w:val="00810295"/>
    <w:rsid w:val="008104A1"/>
    <w:rsid w:val="00810D2C"/>
    <w:rsid w:val="008117E9"/>
    <w:rsid w:val="00811C70"/>
    <w:rsid w:val="0081246F"/>
    <w:rsid w:val="00813BCF"/>
    <w:rsid w:val="00814DBA"/>
    <w:rsid w:val="00816020"/>
    <w:rsid w:val="00816D80"/>
    <w:rsid w:val="00816DE8"/>
    <w:rsid w:val="00820C66"/>
    <w:rsid w:val="00821FAA"/>
    <w:rsid w:val="00822C0A"/>
    <w:rsid w:val="008231C7"/>
    <w:rsid w:val="00823239"/>
    <w:rsid w:val="0082377D"/>
    <w:rsid w:val="00824498"/>
    <w:rsid w:val="00824D06"/>
    <w:rsid w:val="00826009"/>
    <w:rsid w:val="00826BD1"/>
    <w:rsid w:val="0082744A"/>
    <w:rsid w:val="00827E7A"/>
    <w:rsid w:val="008309FC"/>
    <w:rsid w:val="00831847"/>
    <w:rsid w:val="00831B1D"/>
    <w:rsid w:val="00832AA4"/>
    <w:rsid w:val="00834585"/>
    <w:rsid w:val="0083508E"/>
    <w:rsid w:val="00835421"/>
    <w:rsid w:val="008354B1"/>
    <w:rsid w:val="008364D5"/>
    <w:rsid w:val="0083745D"/>
    <w:rsid w:val="008448BC"/>
    <w:rsid w:val="00844E7B"/>
    <w:rsid w:val="008461CD"/>
    <w:rsid w:val="0084622B"/>
    <w:rsid w:val="00847544"/>
    <w:rsid w:val="00850C5E"/>
    <w:rsid w:val="00850EBA"/>
    <w:rsid w:val="00851050"/>
    <w:rsid w:val="00853538"/>
    <w:rsid w:val="008539E7"/>
    <w:rsid w:val="00853BC9"/>
    <w:rsid w:val="00853D94"/>
    <w:rsid w:val="00854D0B"/>
    <w:rsid w:val="00855144"/>
    <w:rsid w:val="008557B8"/>
    <w:rsid w:val="00856A31"/>
    <w:rsid w:val="00857BF4"/>
    <w:rsid w:val="00860B4E"/>
    <w:rsid w:val="00862EDD"/>
    <w:rsid w:val="00862F3D"/>
    <w:rsid w:val="0086341A"/>
    <w:rsid w:val="00864853"/>
    <w:rsid w:val="00864DB7"/>
    <w:rsid w:val="00865574"/>
    <w:rsid w:val="00865BC9"/>
    <w:rsid w:val="00865F3A"/>
    <w:rsid w:val="00865F6A"/>
    <w:rsid w:val="0086782C"/>
    <w:rsid w:val="00867A6B"/>
    <w:rsid w:val="00867B37"/>
    <w:rsid w:val="008710DD"/>
    <w:rsid w:val="0087111B"/>
    <w:rsid w:val="008737E6"/>
    <w:rsid w:val="00874AA1"/>
    <w:rsid w:val="00874B06"/>
    <w:rsid w:val="00874B87"/>
    <w:rsid w:val="008754D0"/>
    <w:rsid w:val="00875D13"/>
    <w:rsid w:val="00876558"/>
    <w:rsid w:val="0087684B"/>
    <w:rsid w:val="00876E75"/>
    <w:rsid w:val="00882603"/>
    <w:rsid w:val="00883522"/>
    <w:rsid w:val="00883D54"/>
    <w:rsid w:val="00884DC1"/>
    <w:rsid w:val="008855C9"/>
    <w:rsid w:val="00886456"/>
    <w:rsid w:val="00886D87"/>
    <w:rsid w:val="00887320"/>
    <w:rsid w:val="00887FC6"/>
    <w:rsid w:val="00890952"/>
    <w:rsid w:val="00891048"/>
    <w:rsid w:val="00892360"/>
    <w:rsid w:val="0089255D"/>
    <w:rsid w:val="00892750"/>
    <w:rsid w:val="0089306E"/>
    <w:rsid w:val="00893FA1"/>
    <w:rsid w:val="0089454F"/>
    <w:rsid w:val="00894A25"/>
    <w:rsid w:val="00894F66"/>
    <w:rsid w:val="008950AC"/>
    <w:rsid w:val="00896176"/>
    <w:rsid w:val="00896225"/>
    <w:rsid w:val="00896B94"/>
    <w:rsid w:val="00896D52"/>
    <w:rsid w:val="00897123"/>
    <w:rsid w:val="008974B7"/>
    <w:rsid w:val="00897DA9"/>
    <w:rsid w:val="008A1531"/>
    <w:rsid w:val="008A1E13"/>
    <w:rsid w:val="008A24C7"/>
    <w:rsid w:val="008A25FD"/>
    <w:rsid w:val="008A2E82"/>
    <w:rsid w:val="008A3362"/>
    <w:rsid w:val="008A46E1"/>
    <w:rsid w:val="008A4F43"/>
    <w:rsid w:val="008B0A88"/>
    <w:rsid w:val="008B1710"/>
    <w:rsid w:val="008B2706"/>
    <w:rsid w:val="008B27FA"/>
    <w:rsid w:val="008B46C9"/>
    <w:rsid w:val="008B4FD4"/>
    <w:rsid w:val="008B5994"/>
    <w:rsid w:val="008B5C01"/>
    <w:rsid w:val="008B5F3F"/>
    <w:rsid w:val="008B76F2"/>
    <w:rsid w:val="008B7D88"/>
    <w:rsid w:val="008C1011"/>
    <w:rsid w:val="008C2EAC"/>
    <w:rsid w:val="008C2ED0"/>
    <w:rsid w:val="008C30E8"/>
    <w:rsid w:val="008C35F7"/>
    <w:rsid w:val="008C5FCE"/>
    <w:rsid w:val="008C7A9B"/>
    <w:rsid w:val="008D0EE0"/>
    <w:rsid w:val="008D1AC7"/>
    <w:rsid w:val="008D24CE"/>
    <w:rsid w:val="008D2A95"/>
    <w:rsid w:val="008D3979"/>
    <w:rsid w:val="008D3E6E"/>
    <w:rsid w:val="008D4868"/>
    <w:rsid w:val="008D4AB0"/>
    <w:rsid w:val="008D4C1A"/>
    <w:rsid w:val="008D5861"/>
    <w:rsid w:val="008D7F8F"/>
    <w:rsid w:val="008E0027"/>
    <w:rsid w:val="008E0453"/>
    <w:rsid w:val="008E0819"/>
    <w:rsid w:val="008E2517"/>
    <w:rsid w:val="008E283C"/>
    <w:rsid w:val="008E37D3"/>
    <w:rsid w:val="008E3EB8"/>
    <w:rsid w:val="008E6047"/>
    <w:rsid w:val="008E6067"/>
    <w:rsid w:val="008E663B"/>
    <w:rsid w:val="008E6C10"/>
    <w:rsid w:val="008E76D7"/>
    <w:rsid w:val="008F2E71"/>
    <w:rsid w:val="008F44AE"/>
    <w:rsid w:val="008F4DE4"/>
    <w:rsid w:val="008F5021"/>
    <w:rsid w:val="008F54E7"/>
    <w:rsid w:val="00900047"/>
    <w:rsid w:val="00901212"/>
    <w:rsid w:val="00901897"/>
    <w:rsid w:val="00902CBD"/>
    <w:rsid w:val="00903305"/>
    <w:rsid w:val="00903422"/>
    <w:rsid w:val="009038EF"/>
    <w:rsid w:val="00903979"/>
    <w:rsid w:val="00903FBC"/>
    <w:rsid w:val="00904681"/>
    <w:rsid w:val="0090541E"/>
    <w:rsid w:val="00905705"/>
    <w:rsid w:val="00905CC8"/>
    <w:rsid w:val="00906352"/>
    <w:rsid w:val="00906898"/>
    <w:rsid w:val="009102DA"/>
    <w:rsid w:val="00910D38"/>
    <w:rsid w:val="00911789"/>
    <w:rsid w:val="00911CC3"/>
    <w:rsid w:val="0091222D"/>
    <w:rsid w:val="00912681"/>
    <w:rsid w:val="00913896"/>
    <w:rsid w:val="009146DA"/>
    <w:rsid w:val="00915440"/>
    <w:rsid w:val="00915CF2"/>
    <w:rsid w:val="00915E37"/>
    <w:rsid w:val="00915E45"/>
    <w:rsid w:val="00917450"/>
    <w:rsid w:val="00920E87"/>
    <w:rsid w:val="00921CA2"/>
    <w:rsid w:val="00922818"/>
    <w:rsid w:val="0092418C"/>
    <w:rsid w:val="00924466"/>
    <w:rsid w:val="009244DA"/>
    <w:rsid w:val="009254C3"/>
    <w:rsid w:val="00926A33"/>
    <w:rsid w:val="00927DCC"/>
    <w:rsid w:val="00930419"/>
    <w:rsid w:val="009307E8"/>
    <w:rsid w:val="00932377"/>
    <w:rsid w:val="00932DEF"/>
    <w:rsid w:val="009334A5"/>
    <w:rsid w:val="0093442B"/>
    <w:rsid w:val="009349DE"/>
    <w:rsid w:val="00935BD6"/>
    <w:rsid w:val="00935D1A"/>
    <w:rsid w:val="009366F7"/>
    <w:rsid w:val="00936A64"/>
    <w:rsid w:val="00940E04"/>
    <w:rsid w:val="00941236"/>
    <w:rsid w:val="00942049"/>
    <w:rsid w:val="0094250E"/>
    <w:rsid w:val="0094272E"/>
    <w:rsid w:val="00943FD5"/>
    <w:rsid w:val="00944522"/>
    <w:rsid w:val="009449E3"/>
    <w:rsid w:val="00944BDD"/>
    <w:rsid w:val="0094513E"/>
    <w:rsid w:val="009468F6"/>
    <w:rsid w:val="00947341"/>
    <w:rsid w:val="009473E7"/>
    <w:rsid w:val="00947D5A"/>
    <w:rsid w:val="009516E3"/>
    <w:rsid w:val="009518A0"/>
    <w:rsid w:val="009525FF"/>
    <w:rsid w:val="009532A5"/>
    <w:rsid w:val="00953492"/>
    <w:rsid w:val="00953911"/>
    <w:rsid w:val="00953C41"/>
    <w:rsid w:val="009545BD"/>
    <w:rsid w:val="00955891"/>
    <w:rsid w:val="00955B0C"/>
    <w:rsid w:val="00957032"/>
    <w:rsid w:val="009602B9"/>
    <w:rsid w:val="009623CB"/>
    <w:rsid w:val="009625A8"/>
    <w:rsid w:val="00962EE3"/>
    <w:rsid w:val="00963063"/>
    <w:rsid w:val="009631E1"/>
    <w:rsid w:val="0096338D"/>
    <w:rsid w:val="009638CE"/>
    <w:rsid w:val="00963CEB"/>
    <w:rsid w:val="00964CF0"/>
    <w:rsid w:val="00970367"/>
    <w:rsid w:val="009714D4"/>
    <w:rsid w:val="00972E48"/>
    <w:rsid w:val="0097372A"/>
    <w:rsid w:val="00973A72"/>
    <w:rsid w:val="00973D13"/>
    <w:rsid w:val="0097504B"/>
    <w:rsid w:val="00975AB1"/>
    <w:rsid w:val="0097633D"/>
    <w:rsid w:val="00976CC3"/>
    <w:rsid w:val="00977806"/>
    <w:rsid w:val="00977DB1"/>
    <w:rsid w:val="0098185E"/>
    <w:rsid w:val="00982242"/>
    <w:rsid w:val="0098285A"/>
    <w:rsid w:val="00982BC1"/>
    <w:rsid w:val="00982EA0"/>
    <w:rsid w:val="00983C40"/>
    <w:rsid w:val="00984D39"/>
    <w:rsid w:val="009858D6"/>
    <w:rsid w:val="00985F20"/>
    <w:rsid w:val="009866BD"/>
    <w:rsid w:val="00986796"/>
    <w:rsid w:val="009868E9"/>
    <w:rsid w:val="009869EA"/>
    <w:rsid w:val="0098716A"/>
    <w:rsid w:val="00987565"/>
    <w:rsid w:val="009900A3"/>
    <w:rsid w:val="009902AD"/>
    <w:rsid w:val="00992CD4"/>
    <w:rsid w:val="00993442"/>
    <w:rsid w:val="00995125"/>
    <w:rsid w:val="0099667D"/>
    <w:rsid w:val="009971ED"/>
    <w:rsid w:val="00997806"/>
    <w:rsid w:val="00997884"/>
    <w:rsid w:val="009A02DD"/>
    <w:rsid w:val="009A0BAB"/>
    <w:rsid w:val="009A4107"/>
    <w:rsid w:val="009A5358"/>
    <w:rsid w:val="009A5516"/>
    <w:rsid w:val="009A65A2"/>
    <w:rsid w:val="009A7789"/>
    <w:rsid w:val="009B02A2"/>
    <w:rsid w:val="009B0CA8"/>
    <w:rsid w:val="009B1312"/>
    <w:rsid w:val="009B35BB"/>
    <w:rsid w:val="009B45B1"/>
    <w:rsid w:val="009B46A0"/>
    <w:rsid w:val="009B57D8"/>
    <w:rsid w:val="009B6334"/>
    <w:rsid w:val="009B726E"/>
    <w:rsid w:val="009B764A"/>
    <w:rsid w:val="009C26F7"/>
    <w:rsid w:val="009C2CAB"/>
    <w:rsid w:val="009C2FBD"/>
    <w:rsid w:val="009C3413"/>
    <w:rsid w:val="009C48B5"/>
    <w:rsid w:val="009C4993"/>
    <w:rsid w:val="009C4DD5"/>
    <w:rsid w:val="009C5EE3"/>
    <w:rsid w:val="009C718A"/>
    <w:rsid w:val="009C7437"/>
    <w:rsid w:val="009C7ED8"/>
    <w:rsid w:val="009D1403"/>
    <w:rsid w:val="009D24EF"/>
    <w:rsid w:val="009D2A77"/>
    <w:rsid w:val="009D34C3"/>
    <w:rsid w:val="009D3946"/>
    <w:rsid w:val="009D3C4E"/>
    <w:rsid w:val="009D695B"/>
    <w:rsid w:val="009D6E62"/>
    <w:rsid w:val="009D7EA1"/>
    <w:rsid w:val="009E00F6"/>
    <w:rsid w:val="009E0B12"/>
    <w:rsid w:val="009E29D4"/>
    <w:rsid w:val="009E3A50"/>
    <w:rsid w:val="009E3B41"/>
    <w:rsid w:val="009E47DD"/>
    <w:rsid w:val="009E4D59"/>
    <w:rsid w:val="009E6193"/>
    <w:rsid w:val="009E6B2E"/>
    <w:rsid w:val="009E76D2"/>
    <w:rsid w:val="009E7759"/>
    <w:rsid w:val="009F09D3"/>
    <w:rsid w:val="009F0A80"/>
    <w:rsid w:val="009F0AF4"/>
    <w:rsid w:val="009F14B8"/>
    <w:rsid w:val="009F3BC2"/>
    <w:rsid w:val="009F3DB3"/>
    <w:rsid w:val="009F3F94"/>
    <w:rsid w:val="009F4193"/>
    <w:rsid w:val="009F7091"/>
    <w:rsid w:val="009F72E8"/>
    <w:rsid w:val="00A000EF"/>
    <w:rsid w:val="00A0077F"/>
    <w:rsid w:val="00A01E1C"/>
    <w:rsid w:val="00A02C73"/>
    <w:rsid w:val="00A03580"/>
    <w:rsid w:val="00A041DC"/>
    <w:rsid w:val="00A0441E"/>
    <w:rsid w:val="00A05498"/>
    <w:rsid w:val="00A05558"/>
    <w:rsid w:val="00A07388"/>
    <w:rsid w:val="00A07B0D"/>
    <w:rsid w:val="00A10A97"/>
    <w:rsid w:val="00A113F1"/>
    <w:rsid w:val="00A12128"/>
    <w:rsid w:val="00A13D61"/>
    <w:rsid w:val="00A13F1A"/>
    <w:rsid w:val="00A1453F"/>
    <w:rsid w:val="00A167E9"/>
    <w:rsid w:val="00A1740E"/>
    <w:rsid w:val="00A1761F"/>
    <w:rsid w:val="00A17ABB"/>
    <w:rsid w:val="00A205DF"/>
    <w:rsid w:val="00A20744"/>
    <w:rsid w:val="00A22561"/>
    <w:rsid w:val="00A22C98"/>
    <w:rsid w:val="00A231E2"/>
    <w:rsid w:val="00A233ED"/>
    <w:rsid w:val="00A235B7"/>
    <w:rsid w:val="00A2392B"/>
    <w:rsid w:val="00A23EA7"/>
    <w:rsid w:val="00A26038"/>
    <w:rsid w:val="00A267E9"/>
    <w:rsid w:val="00A26A11"/>
    <w:rsid w:val="00A271DF"/>
    <w:rsid w:val="00A277A6"/>
    <w:rsid w:val="00A30192"/>
    <w:rsid w:val="00A310B0"/>
    <w:rsid w:val="00A318AF"/>
    <w:rsid w:val="00A31E8D"/>
    <w:rsid w:val="00A32BEF"/>
    <w:rsid w:val="00A33722"/>
    <w:rsid w:val="00A343D0"/>
    <w:rsid w:val="00A34655"/>
    <w:rsid w:val="00A3610C"/>
    <w:rsid w:val="00A3628E"/>
    <w:rsid w:val="00A369E3"/>
    <w:rsid w:val="00A36B05"/>
    <w:rsid w:val="00A36E76"/>
    <w:rsid w:val="00A37C78"/>
    <w:rsid w:val="00A403A9"/>
    <w:rsid w:val="00A425F0"/>
    <w:rsid w:val="00A43890"/>
    <w:rsid w:val="00A44CD6"/>
    <w:rsid w:val="00A453B0"/>
    <w:rsid w:val="00A45C19"/>
    <w:rsid w:val="00A47C66"/>
    <w:rsid w:val="00A47C77"/>
    <w:rsid w:val="00A47CB2"/>
    <w:rsid w:val="00A50046"/>
    <w:rsid w:val="00A526EC"/>
    <w:rsid w:val="00A53A18"/>
    <w:rsid w:val="00A54181"/>
    <w:rsid w:val="00A563F9"/>
    <w:rsid w:val="00A56AD4"/>
    <w:rsid w:val="00A56B6B"/>
    <w:rsid w:val="00A5722E"/>
    <w:rsid w:val="00A57600"/>
    <w:rsid w:val="00A61BFE"/>
    <w:rsid w:val="00A63EB3"/>
    <w:rsid w:val="00A644DE"/>
    <w:rsid w:val="00A64912"/>
    <w:rsid w:val="00A64D50"/>
    <w:rsid w:val="00A65A2D"/>
    <w:rsid w:val="00A65DAC"/>
    <w:rsid w:val="00A67790"/>
    <w:rsid w:val="00A70387"/>
    <w:rsid w:val="00A70A74"/>
    <w:rsid w:val="00A72A91"/>
    <w:rsid w:val="00A72C9A"/>
    <w:rsid w:val="00A736C9"/>
    <w:rsid w:val="00A743A4"/>
    <w:rsid w:val="00A74457"/>
    <w:rsid w:val="00A759AF"/>
    <w:rsid w:val="00A75E01"/>
    <w:rsid w:val="00A75FE9"/>
    <w:rsid w:val="00A761DF"/>
    <w:rsid w:val="00A771C1"/>
    <w:rsid w:val="00A772C0"/>
    <w:rsid w:val="00A77EB2"/>
    <w:rsid w:val="00A77FF5"/>
    <w:rsid w:val="00A80205"/>
    <w:rsid w:val="00A82971"/>
    <w:rsid w:val="00A8395B"/>
    <w:rsid w:val="00A83F67"/>
    <w:rsid w:val="00A8522C"/>
    <w:rsid w:val="00A85E7F"/>
    <w:rsid w:val="00A87092"/>
    <w:rsid w:val="00A87333"/>
    <w:rsid w:val="00A91460"/>
    <w:rsid w:val="00A930BC"/>
    <w:rsid w:val="00A93DAA"/>
    <w:rsid w:val="00A94B74"/>
    <w:rsid w:val="00A9503A"/>
    <w:rsid w:val="00A96777"/>
    <w:rsid w:val="00A97E48"/>
    <w:rsid w:val="00AA0DBF"/>
    <w:rsid w:val="00AA3200"/>
    <w:rsid w:val="00AA3BC7"/>
    <w:rsid w:val="00AA512B"/>
    <w:rsid w:val="00AA5488"/>
    <w:rsid w:val="00AA7327"/>
    <w:rsid w:val="00AA7636"/>
    <w:rsid w:val="00AA79ED"/>
    <w:rsid w:val="00AA7B81"/>
    <w:rsid w:val="00AA7EC2"/>
    <w:rsid w:val="00AB1063"/>
    <w:rsid w:val="00AB156A"/>
    <w:rsid w:val="00AB19C0"/>
    <w:rsid w:val="00AB1B06"/>
    <w:rsid w:val="00AB23EC"/>
    <w:rsid w:val="00AB2C67"/>
    <w:rsid w:val="00AB490A"/>
    <w:rsid w:val="00AB50C1"/>
    <w:rsid w:val="00AB5C93"/>
    <w:rsid w:val="00AB654A"/>
    <w:rsid w:val="00AB6C51"/>
    <w:rsid w:val="00AB75CE"/>
    <w:rsid w:val="00AB7938"/>
    <w:rsid w:val="00AC1E60"/>
    <w:rsid w:val="00AC4044"/>
    <w:rsid w:val="00AC49AD"/>
    <w:rsid w:val="00AC6225"/>
    <w:rsid w:val="00AC66ED"/>
    <w:rsid w:val="00AC6C55"/>
    <w:rsid w:val="00AC7423"/>
    <w:rsid w:val="00AD26AC"/>
    <w:rsid w:val="00AD3692"/>
    <w:rsid w:val="00AD52BE"/>
    <w:rsid w:val="00AD53CC"/>
    <w:rsid w:val="00AD5641"/>
    <w:rsid w:val="00AD6B3A"/>
    <w:rsid w:val="00AD6C0D"/>
    <w:rsid w:val="00AE1D1A"/>
    <w:rsid w:val="00AE2F5F"/>
    <w:rsid w:val="00AE3403"/>
    <w:rsid w:val="00AE45CC"/>
    <w:rsid w:val="00AE504B"/>
    <w:rsid w:val="00AE517D"/>
    <w:rsid w:val="00AE6863"/>
    <w:rsid w:val="00AE6F8E"/>
    <w:rsid w:val="00AE751D"/>
    <w:rsid w:val="00AF0515"/>
    <w:rsid w:val="00AF06CF"/>
    <w:rsid w:val="00AF0F0C"/>
    <w:rsid w:val="00AF22DB"/>
    <w:rsid w:val="00AF2391"/>
    <w:rsid w:val="00AF2A45"/>
    <w:rsid w:val="00AF3430"/>
    <w:rsid w:val="00AF3D06"/>
    <w:rsid w:val="00AF3D80"/>
    <w:rsid w:val="00AF404C"/>
    <w:rsid w:val="00AF4483"/>
    <w:rsid w:val="00AF4970"/>
    <w:rsid w:val="00AF71DB"/>
    <w:rsid w:val="00AF7650"/>
    <w:rsid w:val="00B01CDF"/>
    <w:rsid w:val="00B0241F"/>
    <w:rsid w:val="00B02714"/>
    <w:rsid w:val="00B05E47"/>
    <w:rsid w:val="00B06866"/>
    <w:rsid w:val="00B07CDB"/>
    <w:rsid w:val="00B10973"/>
    <w:rsid w:val="00B113AD"/>
    <w:rsid w:val="00B13A7C"/>
    <w:rsid w:val="00B13AA0"/>
    <w:rsid w:val="00B15C5D"/>
    <w:rsid w:val="00B15C9F"/>
    <w:rsid w:val="00B16A31"/>
    <w:rsid w:val="00B170E2"/>
    <w:rsid w:val="00B17DFD"/>
    <w:rsid w:val="00B17F92"/>
    <w:rsid w:val="00B20747"/>
    <w:rsid w:val="00B20C2D"/>
    <w:rsid w:val="00B21CE9"/>
    <w:rsid w:val="00B23AA6"/>
    <w:rsid w:val="00B23F4C"/>
    <w:rsid w:val="00B25306"/>
    <w:rsid w:val="00B26007"/>
    <w:rsid w:val="00B26F2A"/>
    <w:rsid w:val="00B27831"/>
    <w:rsid w:val="00B27977"/>
    <w:rsid w:val="00B3003A"/>
    <w:rsid w:val="00B306BC"/>
    <w:rsid w:val="00B307AB"/>
    <w:rsid w:val="00B308FE"/>
    <w:rsid w:val="00B312AA"/>
    <w:rsid w:val="00B323B1"/>
    <w:rsid w:val="00B32789"/>
    <w:rsid w:val="00B327DB"/>
    <w:rsid w:val="00B32CCD"/>
    <w:rsid w:val="00B33709"/>
    <w:rsid w:val="00B33B3C"/>
    <w:rsid w:val="00B34586"/>
    <w:rsid w:val="00B348C7"/>
    <w:rsid w:val="00B36392"/>
    <w:rsid w:val="00B36CDD"/>
    <w:rsid w:val="00B37173"/>
    <w:rsid w:val="00B4167C"/>
    <w:rsid w:val="00B418CB"/>
    <w:rsid w:val="00B422E9"/>
    <w:rsid w:val="00B45B16"/>
    <w:rsid w:val="00B45CE3"/>
    <w:rsid w:val="00B47444"/>
    <w:rsid w:val="00B474AC"/>
    <w:rsid w:val="00B47820"/>
    <w:rsid w:val="00B47AD2"/>
    <w:rsid w:val="00B47B16"/>
    <w:rsid w:val="00B505DA"/>
    <w:rsid w:val="00B50ADC"/>
    <w:rsid w:val="00B50C81"/>
    <w:rsid w:val="00B526F8"/>
    <w:rsid w:val="00B52967"/>
    <w:rsid w:val="00B52D29"/>
    <w:rsid w:val="00B54787"/>
    <w:rsid w:val="00B54AAB"/>
    <w:rsid w:val="00B566B1"/>
    <w:rsid w:val="00B56799"/>
    <w:rsid w:val="00B56B6B"/>
    <w:rsid w:val="00B572B0"/>
    <w:rsid w:val="00B574B6"/>
    <w:rsid w:val="00B57BD3"/>
    <w:rsid w:val="00B60C51"/>
    <w:rsid w:val="00B6169D"/>
    <w:rsid w:val="00B616DC"/>
    <w:rsid w:val="00B619E9"/>
    <w:rsid w:val="00B61BEF"/>
    <w:rsid w:val="00B628AD"/>
    <w:rsid w:val="00B63834"/>
    <w:rsid w:val="00B640A4"/>
    <w:rsid w:val="00B65018"/>
    <w:rsid w:val="00B65948"/>
    <w:rsid w:val="00B66F78"/>
    <w:rsid w:val="00B711EC"/>
    <w:rsid w:val="00B720F5"/>
    <w:rsid w:val="00B73254"/>
    <w:rsid w:val="00B737A0"/>
    <w:rsid w:val="00B73C4F"/>
    <w:rsid w:val="00B74140"/>
    <w:rsid w:val="00B746D9"/>
    <w:rsid w:val="00B774FB"/>
    <w:rsid w:val="00B80199"/>
    <w:rsid w:val="00B821D4"/>
    <w:rsid w:val="00B83204"/>
    <w:rsid w:val="00B84281"/>
    <w:rsid w:val="00B8428B"/>
    <w:rsid w:val="00B85656"/>
    <w:rsid w:val="00B856E7"/>
    <w:rsid w:val="00B85B59"/>
    <w:rsid w:val="00B875AC"/>
    <w:rsid w:val="00B911D9"/>
    <w:rsid w:val="00B91A82"/>
    <w:rsid w:val="00B9250A"/>
    <w:rsid w:val="00B92BC5"/>
    <w:rsid w:val="00B92CFD"/>
    <w:rsid w:val="00B9483E"/>
    <w:rsid w:val="00B950A4"/>
    <w:rsid w:val="00B95607"/>
    <w:rsid w:val="00B96B17"/>
    <w:rsid w:val="00B97010"/>
    <w:rsid w:val="00BA04F2"/>
    <w:rsid w:val="00BA0CAA"/>
    <w:rsid w:val="00BA10FB"/>
    <w:rsid w:val="00BA217D"/>
    <w:rsid w:val="00BA220B"/>
    <w:rsid w:val="00BA279F"/>
    <w:rsid w:val="00BA35F4"/>
    <w:rsid w:val="00BA3A57"/>
    <w:rsid w:val="00BA3AB9"/>
    <w:rsid w:val="00BA44EC"/>
    <w:rsid w:val="00BA4592"/>
    <w:rsid w:val="00BA4912"/>
    <w:rsid w:val="00BA5B81"/>
    <w:rsid w:val="00BA6A28"/>
    <w:rsid w:val="00BA6DE7"/>
    <w:rsid w:val="00BA7601"/>
    <w:rsid w:val="00BB0107"/>
    <w:rsid w:val="00BB02FE"/>
    <w:rsid w:val="00BB1307"/>
    <w:rsid w:val="00BB1533"/>
    <w:rsid w:val="00BB2714"/>
    <w:rsid w:val="00BB2A3B"/>
    <w:rsid w:val="00BB4037"/>
    <w:rsid w:val="00BB44FC"/>
    <w:rsid w:val="00BB4E04"/>
    <w:rsid w:val="00BB4E1A"/>
    <w:rsid w:val="00BB6156"/>
    <w:rsid w:val="00BB68FB"/>
    <w:rsid w:val="00BB6D00"/>
    <w:rsid w:val="00BB6E8B"/>
    <w:rsid w:val="00BC015E"/>
    <w:rsid w:val="00BC01C8"/>
    <w:rsid w:val="00BC04DB"/>
    <w:rsid w:val="00BC0D60"/>
    <w:rsid w:val="00BC16BB"/>
    <w:rsid w:val="00BC1DC3"/>
    <w:rsid w:val="00BC1E70"/>
    <w:rsid w:val="00BC30CA"/>
    <w:rsid w:val="00BC3168"/>
    <w:rsid w:val="00BC4A31"/>
    <w:rsid w:val="00BC53FF"/>
    <w:rsid w:val="00BC5BF4"/>
    <w:rsid w:val="00BC76AC"/>
    <w:rsid w:val="00BD0ECB"/>
    <w:rsid w:val="00BD1E75"/>
    <w:rsid w:val="00BD1EA7"/>
    <w:rsid w:val="00BD2008"/>
    <w:rsid w:val="00BD26F4"/>
    <w:rsid w:val="00BD334E"/>
    <w:rsid w:val="00BD395E"/>
    <w:rsid w:val="00BD3D4B"/>
    <w:rsid w:val="00BD427E"/>
    <w:rsid w:val="00BD442A"/>
    <w:rsid w:val="00BD4767"/>
    <w:rsid w:val="00BD511F"/>
    <w:rsid w:val="00BD6C6C"/>
    <w:rsid w:val="00BE0CCC"/>
    <w:rsid w:val="00BE1AA0"/>
    <w:rsid w:val="00BE2155"/>
    <w:rsid w:val="00BE34E6"/>
    <w:rsid w:val="00BE3CFC"/>
    <w:rsid w:val="00BE3D9A"/>
    <w:rsid w:val="00BE420A"/>
    <w:rsid w:val="00BE4D49"/>
    <w:rsid w:val="00BE54AC"/>
    <w:rsid w:val="00BE612B"/>
    <w:rsid w:val="00BE6E41"/>
    <w:rsid w:val="00BE719A"/>
    <w:rsid w:val="00BE720A"/>
    <w:rsid w:val="00BE7BD8"/>
    <w:rsid w:val="00BF05B2"/>
    <w:rsid w:val="00BF0D73"/>
    <w:rsid w:val="00BF2085"/>
    <w:rsid w:val="00BF2465"/>
    <w:rsid w:val="00BF2A33"/>
    <w:rsid w:val="00BF33A4"/>
    <w:rsid w:val="00BF4421"/>
    <w:rsid w:val="00BF50B5"/>
    <w:rsid w:val="00BF5696"/>
    <w:rsid w:val="00C0112A"/>
    <w:rsid w:val="00C01FE1"/>
    <w:rsid w:val="00C021EE"/>
    <w:rsid w:val="00C028B7"/>
    <w:rsid w:val="00C032DD"/>
    <w:rsid w:val="00C03A09"/>
    <w:rsid w:val="00C04881"/>
    <w:rsid w:val="00C0654E"/>
    <w:rsid w:val="00C06DD1"/>
    <w:rsid w:val="00C0796D"/>
    <w:rsid w:val="00C103D2"/>
    <w:rsid w:val="00C10E46"/>
    <w:rsid w:val="00C15048"/>
    <w:rsid w:val="00C16619"/>
    <w:rsid w:val="00C1711A"/>
    <w:rsid w:val="00C175A0"/>
    <w:rsid w:val="00C2293E"/>
    <w:rsid w:val="00C23477"/>
    <w:rsid w:val="00C24FB6"/>
    <w:rsid w:val="00C25E7F"/>
    <w:rsid w:val="00C25F68"/>
    <w:rsid w:val="00C26FA0"/>
    <w:rsid w:val="00C2746F"/>
    <w:rsid w:val="00C27E88"/>
    <w:rsid w:val="00C31CB7"/>
    <w:rsid w:val="00C31F14"/>
    <w:rsid w:val="00C31F9E"/>
    <w:rsid w:val="00C323D6"/>
    <w:rsid w:val="00C324A0"/>
    <w:rsid w:val="00C32C8E"/>
    <w:rsid w:val="00C3387C"/>
    <w:rsid w:val="00C34851"/>
    <w:rsid w:val="00C34CD9"/>
    <w:rsid w:val="00C362CE"/>
    <w:rsid w:val="00C37DDE"/>
    <w:rsid w:val="00C40A51"/>
    <w:rsid w:val="00C40EB1"/>
    <w:rsid w:val="00C41084"/>
    <w:rsid w:val="00C41E96"/>
    <w:rsid w:val="00C42BF8"/>
    <w:rsid w:val="00C4319C"/>
    <w:rsid w:val="00C4388C"/>
    <w:rsid w:val="00C45A8C"/>
    <w:rsid w:val="00C464EC"/>
    <w:rsid w:val="00C46E51"/>
    <w:rsid w:val="00C50043"/>
    <w:rsid w:val="00C50904"/>
    <w:rsid w:val="00C50CDD"/>
    <w:rsid w:val="00C522EC"/>
    <w:rsid w:val="00C5238E"/>
    <w:rsid w:val="00C5429C"/>
    <w:rsid w:val="00C545C3"/>
    <w:rsid w:val="00C556A3"/>
    <w:rsid w:val="00C5603E"/>
    <w:rsid w:val="00C56225"/>
    <w:rsid w:val="00C56370"/>
    <w:rsid w:val="00C56968"/>
    <w:rsid w:val="00C56B68"/>
    <w:rsid w:val="00C56F5C"/>
    <w:rsid w:val="00C570B3"/>
    <w:rsid w:val="00C57261"/>
    <w:rsid w:val="00C60965"/>
    <w:rsid w:val="00C60B16"/>
    <w:rsid w:val="00C61013"/>
    <w:rsid w:val="00C610A0"/>
    <w:rsid w:val="00C63036"/>
    <w:rsid w:val="00C6331F"/>
    <w:rsid w:val="00C63BD3"/>
    <w:rsid w:val="00C63FF8"/>
    <w:rsid w:val="00C649AD"/>
    <w:rsid w:val="00C665D5"/>
    <w:rsid w:val="00C71865"/>
    <w:rsid w:val="00C73BFA"/>
    <w:rsid w:val="00C74979"/>
    <w:rsid w:val="00C7573B"/>
    <w:rsid w:val="00C76740"/>
    <w:rsid w:val="00C77A76"/>
    <w:rsid w:val="00C77EC2"/>
    <w:rsid w:val="00C77FCB"/>
    <w:rsid w:val="00C80023"/>
    <w:rsid w:val="00C80E6A"/>
    <w:rsid w:val="00C81631"/>
    <w:rsid w:val="00C81CDE"/>
    <w:rsid w:val="00C82B50"/>
    <w:rsid w:val="00C831D5"/>
    <w:rsid w:val="00C84A31"/>
    <w:rsid w:val="00C8504D"/>
    <w:rsid w:val="00C85359"/>
    <w:rsid w:val="00C85738"/>
    <w:rsid w:val="00C85FCE"/>
    <w:rsid w:val="00C87D72"/>
    <w:rsid w:val="00C87DF1"/>
    <w:rsid w:val="00C90DEF"/>
    <w:rsid w:val="00C9111D"/>
    <w:rsid w:val="00C92012"/>
    <w:rsid w:val="00C929D7"/>
    <w:rsid w:val="00C93C84"/>
    <w:rsid w:val="00C93C89"/>
    <w:rsid w:val="00C93DBA"/>
    <w:rsid w:val="00C94954"/>
    <w:rsid w:val="00C96430"/>
    <w:rsid w:val="00C96CC3"/>
    <w:rsid w:val="00C975D6"/>
    <w:rsid w:val="00C97845"/>
    <w:rsid w:val="00C97A54"/>
    <w:rsid w:val="00CA0A09"/>
    <w:rsid w:val="00CA1264"/>
    <w:rsid w:val="00CA22A5"/>
    <w:rsid w:val="00CA22BD"/>
    <w:rsid w:val="00CA31EC"/>
    <w:rsid w:val="00CA437C"/>
    <w:rsid w:val="00CA5B23"/>
    <w:rsid w:val="00CA713A"/>
    <w:rsid w:val="00CA7228"/>
    <w:rsid w:val="00CB00E5"/>
    <w:rsid w:val="00CB0E0B"/>
    <w:rsid w:val="00CB2048"/>
    <w:rsid w:val="00CB57E7"/>
    <w:rsid w:val="00CB602E"/>
    <w:rsid w:val="00CB6DF3"/>
    <w:rsid w:val="00CB7E90"/>
    <w:rsid w:val="00CC0A68"/>
    <w:rsid w:val="00CC25C8"/>
    <w:rsid w:val="00CC36F4"/>
    <w:rsid w:val="00CC3EC6"/>
    <w:rsid w:val="00CC5008"/>
    <w:rsid w:val="00CC57C7"/>
    <w:rsid w:val="00CC72CC"/>
    <w:rsid w:val="00CC7472"/>
    <w:rsid w:val="00CC7E50"/>
    <w:rsid w:val="00CD0FEA"/>
    <w:rsid w:val="00CD1116"/>
    <w:rsid w:val="00CD1D6B"/>
    <w:rsid w:val="00CD512C"/>
    <w:rsid w:val="00CD542B"/>
    <w:rsid w:val="00CD5CF4"/>
    <w:rsid w:val="00CD684D"/>
    <w:rsid w:val="00CD70CF"/>
    <w:rsid w:val="00CD78DD"/>
    <w:rsid w:val="00CE051D"/>
    <w:rsid w:val="00CE1335"/>
    <w:rsid w:val="00CE296E"/>
    <w:rsid w:val="00CE35BE"/>
    <w:rsid w:val="00CE3B3D"/>
    <w:rsid w:val="00CE493D"/>
    <w:rsid w:val="00CE5415"/>
    <w:rsid w:val="00CE6F57"/>
    <w:rsid w:val="00CF0685"/>
    <w:rsid w:val="00CF07FA"/>
    <w:rsid w:val="00CF0BB2"/>
    <w:rsid w:val="00CF116D"/>
    <w:rsid w:val="00CF3EE8"/>
    <w:rsid w:val="00CF46BE"/>
    <w:rsid w:val="00CF4E53"/>
    <w:rsid w:val="00CF617C"/>
    <w:rsid w:val="00CF7248"/>
    <w:rsid w:val="00CF72D0"/>
    <w:rsid w:val="00CF7A36"/>
    <w:rsid w:val="00D0069C"/>
    <w:rsid w:val="00D0173D"/>
    <w:rsid w:val="00D01B4C"/>
    <w:rsid w:val="00D036B4"/>
    <w:rsid w:val="00D04754"/>
    <w:rsid w:val="00D049E9"/>
    <w:rsid w:val="00D04FEB"/>
    <w:rsid w:val="00D05AEA"/>
    <w:rsid w:val="00D10203"/>
    <w:rsid w:val="00D1232A"/>
    <w:rsid w:val="00D12A6F"/>
    <w:rsid w:val="00D12E71"/>
    <w:rsid w:val="00D13441"/>
    <w:rsid w:val="00D150E7"/>
    <w:rsid w:val="00D152D0"/>
    <w:rsid w:val="00D15AC0"/>
    <w:rsid w:val="00D15E3D"/>
    <w:rsid w:val="00D160CA"/>
    <w:rsid w:val="00D16BEE"/>
    <w:rsid w:val="00D17902"/>
    <w:rsid w:val="00D17CB5"/>
    <w:rsid w:val="00D218EA"/>
    <w:rsid w:val="00D22E59"/>
    <w:rsid w:val="00D249A4"/>
    <w:rsid w:val="00D24E9C"/>
    <w:rsid w:val="00D27A78"/>
    <w:rsid w:val="00D30211"/>
    <w:rsid w:val="00D30F39"/>
    <w:rsid w:val="00D3196C"/>
    <w:rsid w:val="00D31D6C"/>
    <w:rsid w:val="00D31EDA"/>
    <w:rsid w:val="00D33074"/>
    <w:rsid w:val="00D3367A"/>
    <w:rsid w:val="00D3440C"/>
    <w:rsid w:val="00D36616"/>
    <w:rsid w:val="00D401E4"/>
    <w:rsid w:val="00D420EB"/>
    <w:rsid w:val="00D432C3"/>
    <w:rsid w:val="00D43BEA"/>
    <w:rsid w:val="00D451A8"/>
    <w:rsid w:val="00D45726"/>
    <w:rsid w:val="00D459F2"/>
    <w:rsid w:val="00D45A10"/>
    <w:rsid w:val="00D45ACD"/>
    <w:rsid w:val="00D462A8"/>
    <w:rsid w:val="00D51B49"/>
    <w:rsid w:val="00D5290F"/>
    <w:rsid w:val="00D52DC2"/>
    <w:rsid w:val="00D5373E"/>
    <w:rsid w:val="00D53BCC"/>
    <w:rsid w:val="00D540E8"/>
    <w:rsid w:val="00D54C9E"/>
    <w:rsid w:val="00D552C4"/>
    <w:rsid w:val="00D60689"/>
    <w:rsid w:val="00D60850"/>
    <w:rsid w:val="00D60898"/>
    <w:rsid w:val="00D6209F"/>
    <w:rsid w:val="00D635F1"/>
    <w:rsid w:val="00D63E2A"/>
    <w:rsid w:val="00D64286"/>
    <w:rsid w:val="00D6537E"/>
    <w:rsid w:val="00D65811"/>
    <w:rsid w:val="00D664AF"/>
    <w:rsid w:val="00D67B3C"/>
    <w:rsid w:val="00D67D75"/>
    <w:rsid w:val="00D70726"/>
    <w:rsid w:val="00D70CEE"/>
    <w:rsid w:val="00D70DFB"/>
    <w:rsid w:val="00D7472A"/>
    <w:rsid w:val="00D75E22"/>
    <w:rsid w:val="00D763E6"/>
    <w:rsid w:val="00D7659D"/>
    <w:rsid w:val="00D766DF"/>
    <w:rsid w:val="00D77663"/>
    <w:rsid w:val="00D80087"/>
    <w:rsid w:val="00D811A7"/>
    <w:rsid w:val="00D8206C"/>
    <w:rsid w:val="00D8244E"/>
    <w:rsid w:val="00D828CA"/>
    <w:rsid w:val="00D83685"/>
    <w:rsid w:val="00D837A5"/>
    <w:rsid w:val="00D83993"/>
    <w:rsid w:val="00D83CFE"/>
    <w:rsid w:val="00D840E2"/>
    <w:rsid w:val="00D846D3"/>
    <w:rsid w:val="00D8499A"/>
    <w:rsid w:val="00D85658"/>
    <w:rsid w:val="00D85E43"/>
    <w:rsid w:val="00D87988"/>
    <w:rsid w:val="00D9092B"/>
    <w:rsid w:val="00D9137B"/>
    <w:rsid w:val="00D91F10"/>
    <w:rsid w:val="00D92AC0"/>
    <w:rsid w:val="00D92D34"/>
    <w:rsid w:val="00D93756"/>
    <w:rsid w:val="00D93EF9"/>
    <w:rsid w:val="00D94286"/>
    <w:rsid w:val="00D944C1"/>
    <w:rsid w:val="00D9558C"/>
    <w:rsid w:val="00D95BFD"/>
    <w:rsid w:val="00D95F3C"/>
    <w:rsid w:val="00D966D5"/>
    <w:rsid w:val="00DA0E7A"/>
    <w:rsid w:val="00DA186E"/>
    <w:rsid w:val="00DA19FD"/>
    <w:rsid w:val="00DA1B58"/>
    <w:rsid w:val="00DA1CBA"/>
    <w:rsid w:val="00DA233E"/>
    <w:rsid w:val="00DA2371"/>
    <w:rsid w:val="00DA23A9"/>
    <w:rsid w:val="00DA34C0"/>
    <w:rsid w:val="00DA3A43"/>
    <w:rsid w:val="00DA4116"/>
    <w:rsid w:val="00DA510F"/>
    <w:rsid w:val="00DA5857"/>
    <w:rsid w:val="00DA59E2"/>
    <w:rsid w:val="00DA6062"/>
    <w:rsid w:val="00DA6A78"/>
    <w:rsid w:val="00DB041C"/>
    <w:rsid w:val="00DB1642"/>
    <w:rsid w:val="00DB1C60"/>
    <w:rsid w:val="00DB251C"/>
    <w:rsid w:val="00DB4630"/>
    <w:rsid w:val="00DB4914"/>
    <w:rsid w:val="00DB6DC4"/>
    <w:rsid w:val="00DB7932"/>
    <w:rsid w:val="00DC0895"/>
    <w:rsid w:val="00DC0AB6"/>
    <w:rsid w:val="00DC0CF1"/>
    <w:rsid w:val="00DC128A"/>
    <w:rsid w:val="00DC145C"/>
    <w:rsid w:val="00DC3236"/>
    <w:rsid w:val="00DC3569"/>
    <w:rsid w:val="00DC35CB"/>
    <w:rsid w:val="00DC4B21"/>
    <w:rsid w:val="00DC4F88"/>
    <w:rsid w:val="00DC579C"/>
    <w:rsid w:val="00DC71D1"/>
    <w:rsid w:val="00DD015E"/>
    <w:rsid w:val="00DD295D"/>
    <w:rsid w:val="00DD34D1"/>
    <w:rsid w:val="00DD435C"/>
    <w:rsid w:val="00DD544F"/>
    <w:rsid w:val="00DD5906"/>
    <w:rsid w:val="00DD695A"/>
    <w:rsid w:val="00DD6A32"/>
    <w:rsid w:val="00DD6DBE"/>
    <w:rsid w:val="00DD6E5D"/>
    <w:rsid w:val="00DD784D"/>
    <w:rsid w:val="00DD7E3F"/>
    <w:rsid w:val="00DE107C"/>
    <w:rsid w:val="00DE14C9"/>
    <w:rsid w:val="00DE2ACA"/>
    <w:rsid w:val="00DE4A94"/>
    <w:rsid w:val="00DE4C86"/>
    <w:rsid w:val="00DE4F44"/>
    <w:rsid w:val="00DE5103"/>
    <w:rsid w:val="00DE5E56"/>
    <w:rsid w:val="00DE68F0"/>
    <w:rsid w:val="00DF0014"/>
    <w:rsid w:val="00DF0249"/>
    <w:rsid w:val="00DF03D2"/>
    <w:rsid w:val="00DF15BD"/>
    <w:rsid w:val="00DF18C6"/>
    <w:rsid w:val="00DF1D37"/>
    <w:rsid w:val="00DF2388"/>
    <w:rsid w:val="00DF2F10"/>
    <w:rsid w:val="00DF4044"/>
    <w:rsid w:val="00DF6832"/>
    <w:rsid w:val="00DF776D"/>
    <w:rsid w:val="00DF7BE6"/>
    <w:rsid w:val="00E00179"/>
    <w:rsid w:val="00E00846"/>
    <w:rsid w:val="00E0149F"/>
    <w:rsid w:val="00E02201"/>
    <w:rsid w:val="00E0436D"/>
    <w:rsid w:val="00E04709"/>
    <w:rsid w:val="00E05704"/>
    <w:rsid w:val="00E05BD6"/>
    <w:rsid w:val="00E06EF1"/>
    <w:rsid w:val="00E06F76"/>
    <w:rsid w:val="00E11B6B"/>
    <w:rsid w:val="00E11ECA"/>
    <w:rsid w:val="00E11FA6"/>
    <w:rsid w:val="00E1379A"/>
    <w:rsid w:val="00E14AC0"/>
    <w:rsid w:val="00E15D59"/>
    <w:rsid w:val="00E17841"/>
    <w:rsid w:val="00E207F8"/>
    <w:rsid w:val="00E209E5"/>
    <w:rsid w:val="00E20CB5"/>
    <w:rsid w:val="00E21526"/>
    <w:rsid w:val="00E216BC"/>
    <w:rsid w:val="00E216E2"/>
    <w:rsid w:val="00E22DC8"/>
    <w:rsid w:val="00E245C4"/>
    <w:rsid w:val="00E24F8A"/>
    <w:rsid w:val="00E2567F"/>
    <w:rsid w:val="00E26A4B"/>
    <w:rsid w:val="00E27103"/>
    <w:rsid w:val="00E3043B"/>
    <w:rsid w:val="00E30D2D"/>
    <w:rsid w:val="00E315A8"/>
    <w:rsid w:val="00E31CDD"/>
    <w:rsid w:val="00E32283"/>
    <w:rsid w:val="00E3248B"/>
    <w:rsid w:val="00E3383F"/>
    <w:rsid w:val="00E338EF"/>
    <w:rsid w:val="00E342E8"/>
    <w:rsid w:val="00E36CEF"/>
    <w:rsid w:val="00E37E03"/>
    <w:rsid w:val="00E41967"/>
    <w:rsid w:val="00E41CE6"/>
    <w:rsid w:val="00E426FA"/>
    <w:rsid w:val="00E46551"/>
    <w:rsid w:val="00E46C2B"/>
    <w:rsid w:val="00E50A82"/>
    <w:rsid w:val="00E52FF7"/>
    <w:rsid w:val="00E5380F"/>
    <w:rsid w:val="00E53EDD"/>
    <w:rsid w:val="00E544BB"/>
    <w:rsid w:val="00E5515E"/>
    <w:rsid w:val="00E55835"/>
    <w:rsid w:val="00E56045"/>
    <w:rsid w:val="00E56418"/>
    <w:rsid w:val="00E5677B"/>
    <w:rsid w:val="00E576A9"/>
    <w:rsid w:val="00E62C0B"/>
    <w:rsid w:val="00E6410A"/>
    <w:rsid w:val="00E648EC"/>
    <w:rsid w:val="00E64906"/>
    <w:rsid w:val="00E64FDA"/>
    <w:rsid w:val="00E65B16"/>
    <w:rsid w:val="00E673D5"/>
    <w:rsid w:val="00E674EE"/>
    <w:rsid w:val="00E71520"/>
    <w:rsid w:val="00E71B00"/>
    <w:rsid w:val="00E73515"/>
    <w:rsid w:val="00E74DC7"/>
    <w:rsid w:val="00E7519F"/>
    <w:rsid w:val="00E757C9"/>
    <w:rsid w:val="00E768E2"/>
    <w:rsid w:val="00E8075A"/>
    <w:rsid w:val="00E830A6"/>
    <w:rsid w:val="00E835DD"/>
    <w:rsid w:val="00E8379B"/>
    <w:rsid w:val="00E83B24"/>
    <w:rsid w:val="00E83C0A"/>
    <w:rsid w:val="00E83DEA"/>
    <w:rsid w:val="00E8637F"/>
    <w:rsid w:val="00E863D2"/>
    <w:rsid w:val="00E86B5A"/>
    <w:rsid w:val="00E90C2F"/>
    <w:rsid w:val="00E91140"/>
    <w:rsid w:val="00E911A0"/>
    <w:rsid w:val="00E91F36"/>
    <w:rsid w:val="00E9338A"/>
    <w:rsid w:val="00E93474"/>
    <w:rsid w:val="00E940D8"/>
    <w:rsid w:val="00E9431B"/>
    <w:rsid w:val="00E94918"/>
    <w:rsid w:val="00E94D5E"/>
    <w:rsid w:val="00E9564F"/>
    <w:rsid w:val="00E959A2"/>
    <w:rsid w:val="00E9624D"/>
    <w:rsid w:val="00E967AB"/>
    <w:rsid w:val="00E96D24"/>
    <w:rsid w:val="00E97191"/>
    <w:rsid w:val="00E97874"/>
    <w:rsid w:val="00EA07AA"/>
    <w:rsid w:val="00EA0B8C"/>
    <w:rsid w:val="00EA0CA9"/>
    <w:rsid w:val="00EA13AA"/>
    <w:rsid w:val="00EA35F2"/>
    <w:rsid w:val="00EA5903"/>
    <w:rsid w:val="00EA6EA4"/>
    <w:rsid w:val="00EA7100"/>
    <w:rsid w:val="00EA7F9F"/>
    <w:rsid w:val="00EB1274"/>
    <w:rsid w:val="00EB1DBF"/>
    <w:rsid w:val="00EB260E"/>
    <w:rsid w:val="00EB29CF"/>
    <w:rsid w:val="00EB4337"/>
    <w:rsid w:val="00EB439D"/>
    <w:rsid w:val="00EB4538"/>
    <w:rsid w:val="00EB5A58"/>
    <w:rsid w:val="00EB5C15"/>
    <w:rsid w:val="00EB73A0"/>
    <w:rsid w:val="00EC09C0"/>
    <w:rsid w:val="00EC09FD"/>
    <w:rsid w:val="00EC2856"/>
    <w:rsid w:val="00EC3C0B"/>
    <w:rsid w:val="00EC3D04"/>
    <w:rsid w:val="00EC4AC2"/>
    <w:rsid w:val="00EC4B4E"/>
    <w:rsid w:val="00EC4B6B"/>
    <w:rsid w:val="00EC4D54"/>
    <w:rsid w:val="00EC51AF"/>
    <w:rsid w:val="00EC59E3"/>
    <w:rsid w:val="00EC6652"/>
    <w:rsid w:val="00EC666C"/>
    <w:rsid w:val="00EC6707"/>
    <w:rsid w:val="00EC67DC"/>
    <w:rsid w:val="00EC6B4C"/>
    <w:rsid w:val="00EC7194"/>
    <w:rsid w:val="00EC7426"/>
    <w:rsid w:val="00EC763B"/>
    <w:rsid w:val="00ED131D"/>
    <w:rsid w:val="00ED244F"/>
    <w:rsid w:val="00ED29EE"/>
    <w:rsid w:val="00ED2BB6"/>
    <w:rsid w:val="00ED34E1"/>
    <w:rsid w:val="00ED350E"/>
    <w:rsid w:val="00ED3B8D"/>
    <w:rsid w:val="00ED3D97"/>
    <w:rsid w:val="00ED3E36"/>
    <w:rsid w:val="00ED40FA"/>
    <w:rsid w:val="00ED6192"/>
    <w:rsid w:val="00ED65D6"/>
    <w:rsid w:val="00ED6A5C"/>
    <w:rsid w:val="00ED78BA"/>
    <w:rsid w:val="00EE19FA"/>
    <w:rsid w:val="00EE2660"/>
    <w:rsid w:val="00EE2A88"/>
    <w:rsid w:val="00EE32F0"/>
    <w:rsid w:val="00EE3531"/>
    <w:rsid w:val="00EE40D0"/>
    <w:rsid w:val="00EE5B84"/>
    <w:rsid w:val="00EE5BFC"/>
    <w:rsid w:val="00EE5E36"/>
    <w:rsid w:val="00EE6FB6"/>
    <w:rsid w:val="00EE7A9A"/>
    <w:rsid w:val="00EF07DE"/>
    <w:rsid w:val="00EF0C8D"/>
    <w:rsid w:val="00EF0D3F"/>
    <w:rsid w:val="00EF1839"/>
    <w:rsid w:val="00EF2300"/>
    <w:rsid w:val="00EF2D9F"/>
    <w:rsid w:val="00EF2E3A"/>
    <w:rsid w:val="00EF464A"/>
    <w:rsid w:val="00EF5289"/>
    <w:rsid w:val="00EF5431"/>
    <w:rsid w:val="00EF692E"/>
    <w:rsid w:val="00EF70D4"/>
    <w:rsid w:val="00EF77DB"/>
    <w:rsid w:val="00EF7C8C"/>
    <w:rsid w:val="00F023F5"/>
    <w:rsid w:val="00F02C7C"/>
    <w:rsid w:val="00F0309E"/>
    <w:rsid w:val="00F0435D"/>
    <w:rsid w:val="00F04F84"/>
    <w:rsid w:val="00F05331"/>
    <w:rsid w:val="00F054B5"/>
    <w:rsid w:val="00F05A01"/>
    <w:rsid w:val="00F072A7"/>
    <w:rsid w:val="00F078DC"/>
    <w:rsid w:val="00F07C46"/>
    <w:rsid w:val="00F07F32"/>
    <w:rsid w:val="00F110AA"/>
    <w:rsid w:val="00F1197D"/>
    <w:rsid w:val="00F122D2"/>
    <w:rsid w:val="00F13AE8"/>
    <w:rsid w:val="00F1403B"/>
    <w:rsid w:val="00F14089"/>
    <w:rsid w:val="00F149C0"/>
    <w:rsid w:val="00F16A2A"/>
    <w:rsid w:val="00F16DD7"/>
    <w:rsid w:val="00F1746F"/>
    <w:rsid w:val="00F202A6"/>
    <w:rsid w:val="00F254E4"/>
    <w:rsid w:val="00F25A29"/>
    <w:rsid w:val="00F26B1F"/>
    <w:rsid w:val="00F273EE"/>
    <w:rsid w:val="00F30A37"/>
    <w:rsid w:val="00F32133"/>
    <w:rsid w:val="00F32BA8"/>
    <w:rsid w:val="00F32EE0"/>
    <w:rsid w:val="00F33715"/>
    <w:rsid w:val="00F33E3D"/>
    <w:rsid w:val="00F349F1"/>
    <w:rsid w:val="00F35999"/>
    <w:rsid w:val="00F3625E"/>
    <w:rsid w:val="00F371F2"/>
    <w:rsid w:val="00F40ED7"/>
    <w:rsid w:val="00F41271"/>
    <w:rsid w:val="00F417B5"/>
    <w:rsid w:val="00F41A2A"/>
    <w:rsid w:val="00F41C00"/>
    <w:rsid w:val="00F42A88"/>
    <w:rsid w:val="00F42ACA"/>
    <w:rsid w:val="00F4320A"/>
    <w:rsid w:val="00F433E4"/>
    <w:rsid w:val="00F4350D"/>
    <w:rsid w:val="00F479C4"/>
    <w:rsid w:val="00F50552"/>
    <w:rsid w:val="00F50553"/>
    <w:rsid w:val="00F50E39"/>
    <w:rsid w:val="00F512C4"/>
    <w:rsid w:val="00F51C12"/>
    <w:rsid w:val="00F54D2F"/>
    <w:rsid w:val="00F55FEE"/>
    <w:rsid w:val="00F567F7"/>
    <w:rsid w:val="00F56887"/>
    <w:rsid w:val="00F576D9"/>
    <w:rsid w:val="00F60435"/>
    <w:rsid w:val="00F60DB1"/>
    <w:rsid w:val="00F61B4F"/>
    <w:rsid w:val="00F61C35"/>
    <w:rsid w:val="00F63166"/>
    <w:rsid w:val="00F63986"/>
    <w:rsid w:val="00F63E34"/>
    <w:rsid w:val="00F65FAD"/>
    <w:rsid w:val="00F66653"/>
    <w:rsid w:val="00F6696E"/>
    <w:rsid w:val="00F67D47"/>
    <w:rsid w:val="00F67E2F"/>
    <w:rsid w:val="00F7035B"/>
    <w:rsid w:val="00F703E2"/>
    <w:rsid w:val="00F7254A"/>
    <w:rsid w:val="00F73BD6"/>
    <w:rsid w:val="00F741AC"/>
    <w:rsid w:val="00F741B8"/>
    <w:rsid w:val="00F74F22"/>
    <w:rsid w:val="00F75A4D"/>
    <w:rsid w:val="00F7646E"/>
    <w:rsid w:val="00F76BE5"/>
    <w:rsid w:val="00F77929"/>
    <w:rsid w:val="00F802E9"/>
    <w:rsid w:val="00F81FD2"/>
    <w:rsid w:val="00F83518"/>
    <w:rsid w:val="00F83989"/>
    <w:rsid w:val="00F83B98"/>
    <w:rsid w:val="00F83D7E"/>
    <w:rsid w:val="00F84670"/>
    <w:rsid w:val="00F85099"/>
    <w:rsid w:val="00F858E8"/>
    <w:rsid w:val="00F87D9A"/>
    <w:rsid w:val="00F87DDD"/>
    <w:rsid w:val="00F91970"/>
    <w:rsid w:val="00F931EC"/>
    <w:rsid w:val="00F9379C"/>
    <w:rsid w:val="00F9632C"/>
    <w:rsid w:val="00F97168"/>
    <w:rsid w:val="00F978F8"/>
    <w:rsid w:val="00F979FB"/>
    <w:rsid w:val="00F97F37"/>
    <w:rsid w:val="00FA0416"/>
    <w:rsid w:val="00FA1E52"/>
    <w:rsid w:val="00FA2194"/>
    <w:rsid w:val="00FA3177"/>
    <w:rsid w:val="00FA4108"/>
    <w:rsid w:val="00FA5F6D"/>
    <w:rsid w:val="00FA6097"/>
    <w:rsid w:val="00FA76A8"/>
    <w:rsid w:val="00FA7FA5"/>
    <w:rsid w:val="00FB036F"/>
    <w:rsid w:val="00FB1FA1"/>
    <w:rsid w:val="00FB20F1"/>
    <w:rsid w:val="00FB2DBF"/>
    <w:rsid w:val="00FB3E08"/>
    <w:rsid w:val="00FB5224"/>
    <w:rsid w:val="00FB5A08"/>
    <w:rsid w:val="00FB6CD2"/>
    <w:rsid w:val="00FC00D5"/>
    <w:rsid w:val="00FC0317"/>
    <w:rsid w:val="00FC1038"/>
    <w:rsid w:val="00FC1AE2"/>
    <w:rsid w:val="00FC1C4C"/>
    <w:rsid w:val="00FC2CBE"/>
    <w:rsid w:val="00FC4ABF"/>
    <w:rsid w:val="00FC5B01"/>
    <w:rsid w:val="00FC5C6F"/>
    <w:rsid w:val="00FC6963"/>
    <w:rsid w:val="00FC6A80"/>
    <w:rsid w:val="00FD1137"/>
    <w:rsid w:val="00FD1467"/>
    <w:rsid w:val="00FD1F70"/>
    <w:rsid w:val="00FD4D3E"/>
    <w:rsid w:val="00FD4D4A"/>
    <w:rsid w:val="00FD5246"/>
    <w:rsid w:val="00FD651D"/>
    <w:rsid w:val="00FD6A3B"/>
    <w:rsid w:val="00FD72EF"/>
    <w:rsid w:val="00FE2192"/>
    <w:rsid w:val="00FE2EDF"/>
    <w:rsid w:val="00FE3DB0"/>
    <w:rsid w:val="00FE4688"/>
    <w:rsid w:val="00FE4E0B"/>
    <w:rsid w:val="00FE4F73"/>
    <w:rsid w:val="00FE67C6"/>
    <w:rsid w:val="00FE757B"/>
    <w:rsid w:val="00FE7D71"/>
    <w:rsid w:val="00FF0315"/>
    <w:rsid w:val="00FF093C"/>
    <w:rsid w:val="00FF0ED9"/>
    <w:rsid w:val="00FF1AD5"/>
    <w:rsid w:val="00FF2211"/>
    <w:rsid w:val="00FF2236"/>
    <w:rsid w:val="00FF2DFC"/>
    <w:rsid w:val="00FF376A"/>
    <w:rsid w:val="00FF3C9A"/>
    <w:rsid w:val="00FF3FE2"/>
    <w:rsid w:val="00FF437F"/>
    <w:rsid w:val="00FF4658"/>
    <w:rsid w:val="00FF4C15"/>
    <w:rsid w:val="00FF4E24"/>
    <w:rsid w:val="00FF5704"/>
    <w:rsid w:val="00FF6F00"/>
    <w:rsid w:val="1909FEAD"/>
    <w:rsid w:val="1C12A2DC"/>
    <w:rsid w:val="1E35CD9A"/>
    <w:rsid w:val="1F6BF70F"/>
    <w:rsid w:val="256C5B6B"/>
    <w:rsid w:val="2AB2FD19"/>
    <w:rsid w:val="342BC568"/>
    <w:rsid w:val="34DEFE6C"/>
    <w:rsid w:val="4926B954"/>
    <w:rsid w:val="5A638519"/>
    <w:rsid w:val="5CAF7FA9"/>
    <w:rsid w:val="657174A6"/>
    <w:rsid w:val="7393182A"/>
    <w:rsid w:val="76E16887"/>
    <w:rsid w:val="77DC2EF6"/>
    <w:rsid w:val="7B00A10A"/>
    <w:rsid w:val="7E3D638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6AB9F3C"/>
  <w15:docId w15:val="{7FC7F121-8EBB-4C01-9A2A-F845526D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5B72"/>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t_Main,Subsection"/>
    <w:basedOn w:val="OPCParaBase"/>
    <w:link w:val="subsectionChar"/>
    <w:qFormat/>
    <w:rsid w:val="00600219"/>
    <w:pPr>
      <w:tabs>
        <w:tab w:val="right" w:pos="1021"/>
      </w:tabs>
      <w:spacing w:before="180" w:line="240" w:lineRule="auto"/>
      <w:ind w:left="1134" w:hanging="1134"/>
    </w:pPr>
  </w:style>
  <w:style w:type="paragraph" w:customStyle="1" w:styleId="Definition">
    <w:name w:val="Definition"/>
    <w:aliases w:val="dd,t_Defn"/>
    <w:basedOn w:val="OPCParaBase"/>
    <w:uiPriority w:val="99"/>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qFormat/>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qFormat/>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h6_Subsec"/>
    <w:basedOn w:val="OPCParaBase"/>
    <w:next w:val="subsection"/>
    <w:qFormat/>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main">
    <w:name w:val="tmain"/>
    <w:basedOn w:val="Normal"/>
    <w:rsid w:val="00A20744"/>
    <w:pPr>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basedOn w:val="Normal"/>
    <w:uiPriority w:val="34"/>
    <w:qFormat/>
    <w:rsid w:val="00A20744"/>
    <w:pPr>
      <w:ind w:left="720"/>
      <w:contextualSpacing/>
    </w:pPr>
  </w:style>
  <w:style w:type="character" w:styleId="CommentReference">
    <w:name w:val="annotation reference"/>
    <w:basedOn w:val="DefaultParagraphFont"/>
    <w:uiPriority w:val="99"/>
    <w:semiHidden/>
    <w:unhideWhenUsed/>
    <w:rsid w:val="00682D7E"/>
    <w:rPr>
      <w:sz w:val="16"/>
      <w:szCs w:val="16"/>
    </w:rPr>
  </w:style>
  <w:style w:type="paragraph" w:styleId="CommentText">
    <w:name w:val="annotation text"/>
    <w:basedOn w:val="Normal"/>
    <w:link w:val="CommentTextChar"/>
    <w:uiPriority w:val="99"/>
    <w:unhideWhenUsed/>
    <w:rsid w:val="00682D7E"/>
    <w:pPr>
      <w:spacing w:line="240" w:lineRule="auto"/>
    </w:pPr>
    <w:rPr>
      <w:sz w:val="20"/>
    </w:rPr>
  </w:style>
  <w:style w:type="character" w:customStyle="1" w:styleId="CommentTextChar">
    <w:name w:val="Comment Text Char"/>
    <w:basedOn w:val="DefaultParagraphFont"/>
    <w:link w:val="CommentText"/>
    <w:uiPriority w:val="99"/>
    <w:rsid w:val="00682D7E"/>
  </w:style>
  <w:style w:type="paragraph" w:styleId="CommentSubject">
    <w:name w:val="annotation subject"/>
    <w:basedOn w:val="CommentText"/>
    <w:next w:val="CommentText"/>
    <w:link w:val="CommentSubjectChar"/>
    <w:uiPriority w:val="99"/>
    <w:semiHidden/>
    <w:unhideWhenUsed/>
    <w:rsid w:val="00682D7E"/>
    <w:rPr>
      <w:b/>
      <w:bCs/>
    </w:rPr>
  </w:style>
  <w:style w:type="character" w:customStyle="1" w:styleId="CommentSubjectChar">
    <w:name w:val="Comment Subject Char"/>
    <w:basedOn w:val="CommentTextChar"/>
    <w:link w:val="CommentSubject"/>
    <w:uiPriority w:val="99"/>
    <w:semiHidden/>
    <w:rsid w:val="00682D7E"/>
    <w:rPr>
      <w:b/>
      <w:bCs/>
    </w:rPr>
  </w:style>
  <w:style w:type="paragraph" w:customStyle="1" w:styleId="tdefn">
    <w:name w:val="tdefn"/>
    <w:basedOn w:val="Normal"/>
    <w:rsid w:val="00AF71DB"/>
    <w:pPr>
      <w:spacing w:before="100" w:beforeAutospacing="1" w:after="100" w:afterAutospacing="1" w:line="240" w:lineRule="auto"/>
    </w:pPr>
    <w:rPr>
      <w:rFonts w:eastAsia="Times New Roman" w:cs="Times New Roman"/>
      <w:sz w:val="24"/>
      <w:szCs w:val="24"/>
      <w:lang w:eastAsia="en-AU"/>
    </w:rPr>
  </w:style>
  <w:style w:type="paragraph" w:customStyle="1" w:styleId="tpara">
    <w:name w:val="tpara"/>
    <w:basedOn w:val="Normal"/>
    <w:rsid w:val="00AF71DB"/>
    <w:pPr>
      <w:spacing w:before="100" w:beforeAutospacing="1" w:after="100" w:afterAutospacing="1" w:line="240" w:lineRule="auto"/>
    </w:pPr>
    <w:rPr>
      <w:rFonts w:eastAsia="Times New Roman" w:cs="Times New Roman"/>
      <w:sz w:val="24"/>
      <w:szCs w:val="24"/>
      <w:lang w:eastAsia="en-AU"/>
    </w:rPr>
  </w:style>
  <w:style w:type="paragraph" w:customStyle="1" w:styleId="h3div">
    <w:name w:val="h3div"/>
    <w:basedOn w:val="Normal"/>
    <w:rsid w:val="006A2669"/>
    <w:pPr>
      <w:spacing w:before="100" w:beforeAutospacing="1" w:after="100" w:afterAutospacing="1" w:line="240" w:lineRule="auto"/>
    </w:pPr>
    <w:rPr>
      <w:rFonts w:eastAsia="Times New Roman" w:cs="Times New Roman"/>
      <w:sz w:val="24"/>
      <w:szCs w:val="24"/>
      <w:lang w:eastAsia="en-AU"/>
    </w:rPr>
  </w:style>
  <w:style w:type="paragraph" w:customStyle="1" w:styleId="nmain">
    <w:name w:val="nmain"/>
    <w:basedOn w:val="Normal"/>
    <w:rsid w:val="00827E7A"/>
    <w:pPr>
      <w:spacing w:before="100" w:beforeAutospacing="1" w:after="100" w:afterAutospacing="1" w:line="240" w:lineRule="auto"/>
    </w:pPr>
    <w:rPr>
      <w:rFonts w:eastAsia="Times New Roman" w:cs="Times New Roman"/>
      <w:sz w:val="24"/>
      <w:szCs w:val="24"/>
      <w:lang w:eastAsia="en-AU"/>
    </w:rPr>
  </w:style>
  <w:style w:type="paragraph" w:customStyle="1" w:styleId="tsubpara">
    <w:name w:val="tsubpara"/>
    <w:basedOn w:val="Normal"/>
    <w:rsid w:val="00827E7A"/>
    <w:pPr>
      <w:spacing w:before="100" w:beforeAutospacing="1" w:after="100" w:afterAutospacing="1" w:line="240" w:lineRule="auto"/>
    </w:pPr>
    <w:rPr>
      <w:rFonts w:eastAsia="Times New Roman" w:cs="Times New Roman"/>
      <w:sz w:val="24"/>
      <w:szCs w:val="24"/>
      <w:lang w:eastAsia="en-AU"/>
    </w:rPr>
  </w:style>
  <w:style w:type="paragraph" w:customStyle="1" w:styleId="tsubsub">
    <w:name w:val="tsubsub"/>
    <w:basedOn w:val="Normal"/>
    <w:rsid w:val="00827E7A"/>
    <w:pPr>
      <w:spacing w:before="100" w:beforeAutospacing="1" w:after="100" w:afterAutospacing="1" w:line="240" w:lineRule="auto"/>
    </w:pPr>
    <w:rPr>
      <w:rFonts w:eastAsia="Times New Roman" w:cs="Times New Roman"/>
      <w:sz w:val="24"/>
      <w:szCs w:val="24"/>
      <w:lang w:eastAsia="en-AU"/>
    </w:rPr>
  </w:style>
  <w:style w:type="paragraph" w:customStyle="1" w:styleId="npara">
    <w:name w:val="npara"/>
    <w:basedOn w:val="Normal"/>
    <w:rsid w:val="00827E7A"/>
    <w:pPr>
      <w:spacing w:before="100" w:beforeAutospacing="1" w:after="100" w:afterAutospacing="1" w:line="240" w:lineRule="auto"/>
    </w:pPr>
    <w:rPr>
      <w:rFonts w:eastAsia="Times New Roman" w:cs="Times New Roman"/>
      <w:sz w:val="24"/>
      <w:szCs w:val="24"/>
      <w:lang w:eastAsia="en-AU"/>
    </w:rPr>
  </w:style>
  <w:style w:type="paragraph" w:customStyle="1" w:styleId="h5section">
    <w:name w:val="h5section"/>
    <w:basedOn w:val="Normal"/>
    <w:rsid w:val="00132552"/>
    <w:pPr>
      <w:spacing w:before="100" w:beforeAutospacing="1" w:after="100" w:afterAutospacing="1" w:line="240" w:lineRule="auto"/>
    </w:pPr>
    <w:rPr>
      <w:rFonts w:eastAsia="Times New Roman" w:cs="Times New Roman"/>
      <w:sz w:val="24"/>
      <w:szCs w:val="24"/>
      <w:lang w:eastAsia="en-AU"/>
    </w:rPr>
  </w:style>
  <w:style w:type="paragraph" w:customStyle="1" w:styleId="subsectionsandwich">
    <w:name w:val="subsectionsandwich"/>
    <w:basedOn w:val="Normal"/>
    <w:rsid w:val="00132552"/>
    <w:pPr>
      <w:spacing w:before="100" w:beforeAutospacing="1" w:after="100" w:afterAutospacing="1" w:line="240" w:lineRule="auto"/>
    </w:pPr>
    <w:rPr>
      <w:rFonts w:eastAsia="Times New Roman" w:cs="Times New Roman"/>
      <w:sz w:val="24"/>
      <w:szCs w:val="24"/>
      <w:lang w:eastAsia="en-AU"/>
    </w:rPr>
  </w:style>
  <w:style w:type="paragraph" w:customStyle="1" w:styleId="h6subsec">
    <w:name w:val="h6subsec"/>
    <w:basedOn w:val="Normal"/>
    <w:rsid w:val="003F21A4"/>
    <w:pPr>
      <w:spacing w:before="100" w:beforeAutospacing="1" w:after="100" w:afterAutospacing="1" w:line="240" w:lineRule="auto"/>
    </w:pPr>
    <w:rPr>
      <w:rFonts w:eastAsia="Times New Roman" w:cs="Times New Roman"/>
      <w:sz w:val="24"/>
      <w:szCs w:val="24"/>
      <w:lang w:eastAsia="en-AU"/>
    </w:rPr>
  </w:style>
  <w:style w:type="paragraph" w:customStyle="1" w:styleId="subsectionsandwich0">
    <w:name w:val="subsection_sandwich"/>
    <w:basedOn w:val="subsection"/>
    <w:rsid w:val="00862EDD"/>
    <w:pPr>
      <w:spacing w:before="40"/>
    </w:pPr>
  </w:style>
  <w:style w:type="character" w:customStyle="1" w:styleId="paragraphChar">
    <w:name w:val="paragraph Char"/>
    <w:aliases w:val="a Char"/>
    <w:basedOn w:val="DefaultParagraphFont"/>
    <w:link w:val="paragraph"/>
    <w:locked/>
    <w:rsid w:val="00862EDD"/>
    <w:rPr>
      <w:rFonts w:eastAsia="Times New Roman" w:cs="Times New Roman"/>
      <w:sz w:val="22"/>
      <w:lang w:eastAsia="en-AU"/>
    </w:rPr>
  </w:style>
  <w:style w:type="paragraph" w:customStyle="1" w:styleId="sotext0">
    <w:name w:val="sotext"/>
    <w:basedOn w:val="Normal"/>
    <w:rsid w:val="00963063"/>
    <w:pPr>
      <w:spacing w:before="100" w:beforeAutospacing="1" w:after="100" w:afterAutospacing="1" w:line="240" w:lineRule="auto"/>
    </w:pPr>
    <w:rPr>
      <w:rFonts w:eastAsia="Times New Roman" w:cs="Times New Roman"/>
      <w:sz w:val="24"/>
      <w:szCs w:val="24"/>
      <w:lang w:eastAsia="en-AU"/>
    </w:rPr>
  </w:style>
  <w:style w:type="paragraph" w:customStyle="1" w:styleId="ntoheading">
    <w:name w:val="ntoheading"/>
    <w:basedOn w:val="Normal"/>
    <w:rsid w:val="000079D3"/>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6A4266"/>
    <w:rPr>
      <w:sz w:val="22"/>
    </w:rPr>
  </w:style>
  <w:style w:type="character" w:styleId="Mention">
    <w:name w:val="Mention"/>
    <w:basedOn w:val="DefaultParagraphFont"/>
    <w:uiPriority w:val="99"/>
    <w:unhideWhenUsed/>
    <w:rsid w:val="003733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8707">
      <w:bodyDiv w:val="1"/>
      <w:marLeft w:val="0"/>
      <w:marRight w:val="0"/>
      <w:marTop w:val="0"/>
      <w:marBottom w:val="0"/>
      <w:divBdr>
        <w:top w:val="none" w:sz="0" w:space="0" w:color="auto"/>
        <w:left w:val="none" w:sz="0" w:space="0" w:color="auto"/>
        <w:bottom w:val="none" w:sz="0" w:space="0" w:color="auto"/>
        <w:right w:val="none" w:sz="0" w:space="0" w:color="auto"/>
      </w:divBdr>
    </w:div>
    <w:div w:id="24138341">
      <w:bodyDiv w:val="1"/>
      <w:marLeft w:val="0"/>
      <w:marRight w:val="0"/>
      <w:marTop w:val="0"/>
      <w:marBottom w:val="0"/>
      <w:divBdr>
        <w:top w:val="none" w:sz="0" w:space="0" w:color="auto"/>
        <w:left w:val="none" w:sz="0" w:space="0" w:color="auto"/>
        <w:bottom w:val="none" w:sz="0" w:space="0" w:color="auto"/>
        <w:right w:val="none" w:sz="0" w:space="0" w:color="auto"/>
      </w:divBdr>
    </w:div>
    <w:div w:id="56125437">
      <w:bodyDiv w:val="1"/>
      <w:marLeft w:val="0"/>
      <w:marRight w:val="0"/>
      <w:marTop w:val="0"/>
      <w:marBottom w:val="0"/>
      <w:divBdr>
        <w:top w:val="none" w:sz="0" w:space="0" w:color="auto"/>
        <w:left w:val="none" w:sz="0" w:space="0" w:color="auto"/>
        <w:bottom w:val="none" w:sz="0" w:space="0" w:color="auto"/>
        <w:right w:val="none" w:sz="0" w:space="0" w:color="auto"/>
      </w:divBdr>
    </w:div>
    <w:div w:id="69735311">
      <w:bodyDiv w:val="1"/>
      <w:marLeft w:val="0"/>
      <w:marRight w:val="0"/>
      <w:marTop w:val="0"/>
      <w:marBottom w:val="0"/>
      <w:divBdr>
        <w:top w:val="none" w:sz="0" w:space="0" w:color="auto"/>
        <w:left w:val="none" w:sz="0" w:space="0" w:color="auto"/>
        <w:bottom w:val="none" w:sz="0" w:space="0" w:color="auto"/>
        <w:right w:val="none" w:sz="0" w:space="0" w:color="auto"/>
      </w:divBdr>
    </w:div>
    <w:div w:id="73165192">
      <w:bodyDiv w:val="1"/>
      <w:marLeft w:val="0"/>
      <w:marRight w:val="0"/>
      <w:marTop w:val="0"/>
      <w:marBottom w:val="0"/>
      <w:divBdr>
        <w:top w:val="none" w:sz="0" w:space="0" w:color="auto"/>
        <w:left w:val="none" w:sz="0" w:space="0" w:color="auto"/>
        <w:bottom w:val="none" w:sz="0" w:space="0" w:color="auto"/>
        <w:right w:val="none" w:sz="0" w:space="0" w:color="auto"/>
      </w:divBdr>
    </w:div>
    <w:div w:id="74278548">
      <w:bodyDiv w:val="1"/>
      <w:marLeft w:val="0"/>
      <w:marRight w:val="0"/>
      <w:marTop w:val="0"/>
      <w:marBottom w:val="0"/>
      <w:divBdr>
        <w:top w:val="none" w:sz="0" w:space="0" w:color="auto"/>
        <w:left w:val="none" w:sz="0" w:space="0" w:color="auto"/>
        <w:bottom w:val="none" w:sz="0" w:space="0" w:color="auto"/>
        <w:right w:val="none" w:sz="0" w:space="0" w:color="auto"/>
      </w:divBdr>
      <w:divsChild>
        <w:div w:id="1059983661">
          <w:marLeft w:val="1019"/>
          <w:marRight w:val="0"/>
          <w:marTop w:val="240"/>
          <w:marBottom w:val="0"/>
          <w:divBdr>
            <w:top w:val="single" w:sz="6" w:space="0" w:color="000000"/>
            <w:left w:val="single" w:sz="6" w:space="0" w:color="000000"/>
            <w:bottom w:val="single" w:sz="6" w:space="0" w:color="000000"/>
            <w:right w:val="single" w:sz="6" w:space="0" w:color="000000"/>
          </w:divBdr>
        </w:div>
      </w:divsChild>
    </w:div>
    <w:div w:id="85228447">
      <w:bodyDiv w:val="1"/>
      <w:marLeft w:val="0"/>
      <w:marRight w:val="0"/>
      <w:marTop w:val="0"/>
      <w:marBottom w:val="0"/>
      <w:divBdr>
        <w:top w:val="none" w:sz="0" w:space="0" w:color="auto"/>
        <w:left w:val="none" w:sz="0" w:space="0" w:color="auto"/>
        <w:bottom w:val="none" w:sz="0" w:space="0" w:color="auto"/>
        <w:right w:val="none" w:sz="0" w:space="0" w:color="auto"/>
      </w:divBdr>
    </w:div>
    <w:div w:id="106392632">
      <w:bodyDiv w:val="1"/>
      <w:marLeft w:val="0"/>
      <w:marRight w:val="0"/>
      <w:marTop w:val="0"/>
      <w:marBottom w:val="0"/>
      <w:divBdr>
        <w:top w:val="none" w:sz="0" w:space="0" w:color="auto"/>
        <w:left w:val="none" w:sz="0" w:space="0" w:color="auto"/>
        <w:bottom w:val="none" w:sz="0" w:space="0" w:color="auto"/>
        <w:right w:val="none" w:sz="0" w:space="0" w:color="auto"/>
      </w:divBdr>
    </w:div>
    <w:div w:id="106781984">
      <w:bodyDiv w:val="1"/>
      <w:marLeft w:val="0"/>
      <w:marRight w:val="0"/>
      <w:marTop w:val="0"/>
      <w:marBottom w:val="0"/>
      <w:divBdr>
        <w:top w:val="none" w:sz="0" w:space="0" w:color="auto"/>
        <w:left w:val="none" w:sz="0" w:space="0" w:color="auto"/>
        <w:bottom w:val="none" w:sz="0" w:space="0" w:color="auto"/>
        <w:right w:val="none" w:sz="0" w:space="0" w:color="auto"/>
      </w:divBdr>
    </w:div>
    <w:div w:id="111024239">
      <w:bodyDiv w:val="1"/>
      <w:marLeft w:val="0"/>
      <w:marRight w:val="0"/>
      <w:marTop w:val="0"/>
      <w:marBottom w:val="0"/>
      <w:divBdr>
        <w:top w:val="none" w:sz="0" w:space="0" w:color="auto"/>
        <w:left w:val="none" w:sz="0" w:space="0" w:color="auto"/>
        <w:bottom w:val="none" w:sz="0" w:space="0" w:color="auto"/>
        <w:right w:val="none" w:sz="0" w:space="0" w:color="auto"/>
      </w:divBdr>
    </w:div>
    <w:div w:id="126515187">
      <w:bodyDiv w:val="1"/>
      <w:marLeft w:val="0"/>
      <w:marRight w:val="0"/>
      <w:marTop w:val="0"/>
      <w:marBottom w:val="0"/>
      <w:divBdr>
        <w:top w:val="none" w:sz="0" w:space="0" w:color="auto"/>
        <w:left w:val="none" w:sz="0" w:space="0" w:color="auto"/>
        <w:bottom w:val="none" w:sz="0" w:space="0" w:color="auto"/>
        <w:right w:val="none" w:sz="0" w:space="0" w:color="auto"/>
      </w:divBdr>
    </w:div>
    <w:div w:id="146556947">
      <w:bodyDiv w:val="1"/>
      <w:marLeft w:val="0"/>
      <w:marRight w:val="0"/>
      <w:marTop w:val="0"/>
      <w:marBottom w:val="0"/>
      <w:divBdr>
        <w:top w:val="none" w:sz="0" w:space="0" w:color="auto"/>
        <w:left w:val="none" w:sz="0" w:space="0" w:color="auto"/>
        <w:bottom w:val="none" w:sz="0" w:space="0" w:color="auto"/>
        <w:right w:val="none" w:sz="0" w:space="0" w:color="auto"/>
      </w:divBdr>
    </w:div>
    <w:div w:id="165632841">
      <w:bodyDiv w:val="1"/>
      <w:marLeft w:val="0"/>
      <w:marRight w:val="0"/>
      <w:marTop w:val="0"/>
      <w:marBottom w:val="0"/>
      <w:divBdr>
        <w:top w:val="none" w:sz="0" w:space="0" w:color="auto"/>
        <w:left w:val="none" w:sz="0" w:space="0" w:color="auto"/>
        <w:bottom w:val="none" w:sz="0" w:space="0" w:color="auto"/>
        <w:right w:val="none" w:sz="0" w:space="0" w:color="auto"/>
      </w:divBdr>
    </w:div>
    <w:div w:id="174464556">
      <w:bodyDiv w:val="1"/>
      <w:marLeft w:val="0"/>
      <w:marRight w:val="0"/>
      <w:marTop w:val="0"/>
      <w:marBottom w:val="0"/>
      <w:divBdr>
        <w:top w:val="none" w:sz="0" w:space="0" w:color="auto"/>
        <w:left w:val="none" w:sz="0" w:space="0" w:color="auto"/>
        <w:bottom w:val="none" w:sz="0" w:space="0" w:color="auto"/>
        <w:right w:val="none" w:sz="0" w:space="0" w:color="auto"/>
      </w:divBdr>
    </w:div>
    <w:div w:id="211237544">
      <w:bodyDiv w:val="1"/>
      <w:marLeft w:val="0"/>
      <w:marRight w:val="0"/>
      <w:marTop w:val="0"/>
      <w:marBottom w:val="0"/>
      <w:divBdr>
        <w:top w:val="none" w:sz="0" w:space="0" w:color="auto"/>
        <w:left w:val="none" w:sz="0" w:space="0" w:color="auto"/>
        <w:bottom w:val="none" w:sz="0" w:space="0" w:color="auto"/>
        <w:right w:val="none" w:sz="0" w:space="0" w:color="auto"/>
      </w:divBdr>
    </w:div>
    <w:div w:id="218789034">
      <w:bodyDiv w:val="1"/>
      <w:marLeft w:val="0"/>
      <w:marRight w:val="0"/>
      <w:marTop w:val="0"/>
      <w:marBottom w:val="0"/>
      <w:divBdr>
        <w:top w:val="none" w:sz="0" w:space="0" w:color="auto"/>
        <w:left w:val="none" w:sz="0" w:space="0" w:color="auto"/>
        <w:bottom w:val="none" w:sz="0" w:space="0" w:color="auto"/>
        <w:right w:val="none" w:sz="0" w:space="0" w:color="auto"/>
      </w:divBdr>
    </w:div>
    <w:div w:id="274800334">
      <w:bodyDiv w:val="1"/>
      <w:marLeft w:val="0"/>
      <w:marRight w:val="0"/>
      <w:marTop w:val="0"/>
      <w:marBottom w:val="0"/>
      <w:divBdr>
        <w:top w:val="none" w:sz="0" w:space="0" w:color="auto"/>
        <w:left w:val="none" w:sz="0" w:space="0" w:color="auto"/>
        <w:bottom w:val="none" w:sz="0" w:space="0" w:color="auto"/>
        <w:right w:val="none" w:sz="0" w:space="0" w:color="auto"/>
      </w:divBdr>
    </w:div>
    <w:div w:id="279185458">
      <w:bodyDiv w:val="1"/>
      <w:marLeft w:val="0"/>
      <w:marRight w:val="0"/>
      <w:marTop w:val="0"/>
      <w:marBottom w:val="0"/>
      <w:divBdr>
        <w:top w:val="none" w:sz="0" w:space="0" w:color="auto"/>
        <w:left w:val="none" w:sz="0" w:space="0" w:color="auto"/>
        <w:bottom w:val="none" w:sz="0" w:space="0" w:color="auto"/>
        <w:right w:val="none" w:sz="0" w:space="0" w:color="auto"/>
      </w:divBdr>
      <w:divsChild>
        <w:div w:id="1579946144">
          <w:marLeft w:val="1019"/>
          <w:marRight w:val="0"/>
          <w:marTop w:val="240"/>
          <w:marBottom w:val="0"/>
          <w:divBdr>
            <w:top w:val="single" w:sz="6" w:space="0" w:color="000000"/>
            <w:left w:val="single" w:sz="6" w:space="0" w:color="000000"/>
            <w:bottom w:val="single" w:sz="6" w:space="0" w:color="000000"/>
            <w:right w:val="single" w:sz="6" w:space="0" w:color="000000"/>
          </w:divBdr>
        </w:div>
      </w:divsChild>
    </w:div>
    <w:div w:id="283312297">
      <w:bodyDiv w:val="1"/>
      <w:marLeft w:val="0"/>
      <w:marRight w:val="0"/>
      <w:marTop w:val="0"/>
      <w:marBottom w:val="0"/>
      <w:divBdr>
        <w:top w:val="none" w:sz="0" w:space="0" w:color="auto"/>
        <w:left w:val="none" w:sz="0" w:space="0" w:color="auto"/>
        <w:bottom w:val="none" w:sz="0" w:space="0" w:color="auto"/>
        <w:right w:val="none" w:sz="0" w:space="0" w:color="auto"/>
      </w:divBdr>
    </w:div>
    <w:div w:id="314602820">
      <w:bodyDiv w:val="1"/>
      <w:marLeft w:val="0"/>
      <w:marRight w:val="0"/>
      <w:marTop w:val="0"/>
      <w:marBottom w:val="0"/>
      <w:divBdr>
        <w:top w:val="none" w:sz="0" w:space="0" w:color="auto"/>
        <w:left w:val="none" w:sz="0" w:space="0" w:color="auto"/>
        <w:bottom w:val="none" w:sz="0" w:space="0" w:color="auto"/>
        <w:right w:val="none" w:sz="0" w:space="0" w:color="auto"/>
      </w:divBdr>
    </w:div>
    <w:div w:id="327752848">
      <w:bodyDiv w:val="1"/>
      <w:marLeft w:val="0"/>
      <w:marRight w:val="0"/>
      <w:marTop w:val="0"/>
      <w:marBottom w:val="0"/>
      <w:divBdr>
        <w:top w:val="none" w:sz="0" w:space="0" w:color="auto"/>
        <w:left w:val="none" w:sz="0" w:space="0" w:color="auto"/>
        <w:bottom w:val="none" w:sz="0" w:space="0" w:color="auto"/>
        <w:right w:val="none" w:sz="0" w:space="0" w:color="auto"/>
      </w:divBdr>
    </w:div>
    <w:div w:id="345059259">
      <w:bodyDiv w:val="1"/>
      <w:marLeft w:val="0"/>
      <w:marRight w:val="0"/>
      <w:marTop w:val="0"/>
      <w:marBottom w:val="0"/>
      <w:divBdr>
        <w:top w:val="none" w:sz="0" w:space="0" w:color="auto"/>
        <w:left w:val="none" w:sz="0" w:space="0" w:color="auto"/>
        <w:bottom w:val="none" w:sz="0" w:space="0" w:color="auto"/>
        <w:right w:val="none" w:sz="0" w:space="0" w:color="auto"/>
      </w:divBdr>
    </w:div>
    <w:div w:id="357317929">
      <w:bodyDiv w:val="1"/>
      <w:marLeft w:val="0"/>
      <w:marRight w:val="0"/>
      <w:marTop w:val="0"/>
      <w:marBottom w:val="0"/>
      <w:divBdr>
        <w:top w:val="none" w:sz="0" w:space="0" w:color="auto"/>
        <w:left w:val="none" w:sz="0" w:space="0" w:color="auto"/>
        <w:bottom w:val="none" w:sz="0" w:space="0" w:color="auto"/>
        <w:right w:val="none" w:sz="0" w:space="0" w:color="auto"/>
      </w:divBdr>
    </w:div>
    <w:div w:id="371464543">
      <w:bodyDiv w:val="1"/>
      <w:marLeft w:val="0"/>
      <w:marRight w:val="0"/>
      <w:marTop w:val="0"/>
      <w:marBottom w:val="0"/>
      <w:divBdr>
        <w:top w:val="none" w:sz="0" w:space="0" w:color="auto"/>
        <w:left w:val="none" w:sz="0" w:space="0" w:color="auto"/>
        <w:bottom w:val="none" w:sz="0" w:space="0" w:color="auto"/>
        <w:right w:val="none" w:sz="0" w:space="0" w:color="auto"/>
      </w:divBdr>
    </w:div>
    <w:div w:id="383607629">
      <w:bodyDiv w:val="1"/>
      <w:marLeft w:val="0"/>
      <w:marRight w:val="0"/>
      <w:marTop w:val="0"/>
      <w:marBottom w:val="0"/>
      <w:divBdr>
        <w:top w:val="none" w:sz="0" w:space="0" w:color="auto"/>
        <w:left w:val="none" w:sz="0" w:space="0" w:color="auto"/>
        <w:bottom w:val="none" w:sz="0" w:space="0" w:color="auto"/>
        <w:right w:val="none" w:sz="0" w:space="0" w:color="auto"/>
      </w:divBdr>
    </w:div>
    <w:div w:id="405424701">
      <w:bodyDiv w:val="1"/>
      <w:marLeft w:val="0"/>
      <w:marRight w:val="0"/>
      <w:marTop w:val="0"/>
      <w:marBottom w:val="0"/>
      <w:divBdr>
        <w:top w:val="none" w:sz="0" w:space="0" w:color="auto"/>
        <w:left w:val="none" w:sz="0" w:space="0" w:color="auto"/>
        <w:bottom w:val="none" w:sz="0" w:space="0" w:color="auto"/>
        <w:right w:val="none" w:sz="0" w:space="0" w:color="auto"/>
      </w:divBdr>
    </w:div>
    <w:div w:id="423109404">
      <w:bodyDiv w:val="1"/>
      <w:marLeft w:val="0"/>
      <w:marRight w:val="0"/>
      <w:marTop w:val="0"/>
      <w:marBottom w:val="0"/>
      <w:divBdr>
        <w:top w:val="none" w:sz="0" w:space="0" w:color="auto"/>
        <w:left w:val="none" w:sz="0" w:space="0" w:color="auto"/>
        <w:bottom w:val="none" w:sz="0" w:space="0" w:color="auto"/>
        <w:right w:val="none" w:sz="0" w:space="0" w:color="auto"/>
      </w:divBdr>
    </w:div>
    <w:div w:id="434903710">
      <w:bodyDiv w:val="1"/>
      <w:marLeft w:val="0"/>
      <w:marRight w:val="0"/>
      <w:marTop w:val="0"/>
      <w:marBottom w:val="0"/>
      <w:divBdr>
        <w:top w:val="none" w:sz="0" w:space="0" w:color="auto"/>
        <w:left w:val="none" w:sz="0" w:space="0" w:color="auto"/>
        <w:bottom w:val="none" w:sz="0" w:space="0" w:color="auto"/>
        <w:right w:val="none" w:sz="0" w:space="0" w:color="auto"/>
      </w:divBdr>
    </w:div>
    <w:div w:id="455098521">
      <w:bodyDiv w:val="1"/>
      <w:marLeft w:val="0"/>
      <w:marRight w:val="0"/>
      <w:marTop w:val="0"/>
      <w:marBottom w:val="0"/>
      <w:divBdr>
        <w:top w:val="none" w:sz="0" w:space="0" w:color="auto"/>
        <w:left w:val="none" w:sz="0" w:space="0" w:color="auto"/>
        <w:bottom w:val="none" w:sz="0" w:space="0" w:color="auto"/>
        <w:right w:val="none" w:sz="0" w:space="0" w:color="auto"/>
      </w:divBdr>
    </w:div>
    <w:div w:id="457459763">
      <w:bodyDiv w:val="1"/>
      <w:marLeft w:val="0"/>
      <w:marRight w:val="0"/>
      <w:marTop w:val="0"/>
      <w:marBottom w:val="0"/>
      <w:divBdr>
        <w:top w:val="none" w:sz="0" w:space="0" w:color="auto"/>
        <w:left w:val="none" w:sz="0" w:space="0" w:color="auto"/>
        <w:bottom w:val="none" w:sz="0" w:space="0" w:color="auto"/>
        <w:right w:val="none" w:sz="0" w:space="0" w:color="auto"/>
      </w:divBdr>
    </w:div>
    <w:div w:id="457920832">
      <w:bodyDiv w:val="1"/>
      <w:marLeft w:val="0"/>
      <w:marRight w:val="0"/>
      <w:marTop w:val="0"/>
      <w:marBottom w:val="0"/>
      <w:divBdr>
        <w:top w:val="none" w:sz="0" w:space="0" w:color="auto"/>
        <w:left w:val="none" w:sz="0" w:space="0" w:color="auto"/>
        <w:bottom w:val="none" w:sz="0" w:space="0" w:color="auto"/>
        <w:right w:val="none" w:sz="0" w:space="0" w:color="auto"/>
      </w:divBdr>
    </w:div>
    <w:div w:id="465512027">
      <w:bodyDiv w:val="1"/>
      <w:marLeft w:val="0"/>
      <w:marRight w:val="0"/>
      <w:marTop w:val="0"/>
      <w:marBottom w:val="0"/>
      <w:divBdr>
        <w:top w:val="none" w:sz="0" w:space="0" w:color="auto"/>
        <w:left w:val="none" w:sz="0" w:space="0" w:color="auto"/>
        <w:bottom w:val="none" w:sz="0" w:space="0" w:color="auto"/>
        <w:right w:val="none" w:sz="0" w:space="0" w:color="auto"/>
      </w:divBdr>
    </w:div>
    <w:div w:id="479463306">
      <w:bodyDiv w:val="1"/>
      <w:marLeft w:val="0"/>
      <w:marRight w:val="0"/>
      <w:marTop w:val="0"/>
      <w:marBottom w:val="0"/>
      <w:divBdr>
        <w:top w:val="none" w:sz="0" w:space="0" w:color="auto"/>
        <w:left w:val="none" w:sz="0" w:space="0" w:color="auto"/>
        <w:bottom w:val="none" w:sz="0" w:space="0" w:color="auto"/>
        <w:right w:val="none" w:sz="0" w:space="0" w:color="auto"/>
      </w:divBdr>
    </w:div>
    <w:div w:id="499009786">
      <w:bodyDiv w:val="1"/>
      <w:marLeft w:val="0"/>
      <w:marRight w:val="0"/>
      <w:marTop w:val="0"/>
      <w:marBottom w:val="0"/>
      <w:divBdr>
        <w:top w:val="none" w:sz="0" w:space="0" w:color="auto"/>
        <w:left w:val="none" w:sz="0" w:space="0" w:color="auto"/>
        <w:bottom w:val="none" w:sz="0" w:space="0" w:color="auto"/>
        <w:right w:val="none" w:sz="0" w:space="0" w:color="auto"/>
      </w:divBdr>
    </w:div>
    <w:div w:id="506406593">
      <w:bodyDiv w:val="1"/>
      <w:marLeft w:val="0"/>
      <w:marRight w:val="0"/>
      <w:marTop w:val="0"/>
      <w:marBottom w:val="0"/>
      <w:divBdr>
        <w:top w:val="none" w:sz="0" w:space="0" w:color="auto"/>
        <w:left w:val="none" w:sz="0" w:space="0" w:color="auto"/>
        <w:bottom w:val="none" w:sz="0" w:space="0" w:color="auto"/>
        <w:right w:val="none" w:sz="0" w:space="0" w:color="auto"/>
      </w:divBdr>
    </w:div>
    <w:div w:id="514853712">
      <w:bodyDiv w:val="1"/>
      <w:marLeft w:val="0"/>
      <w:marRight w:val="0"/>
      <w:marTop w:val="0"/>
      <w:marBottom w:val="0"/>
      <w:divBdr>
        <w:top w:val="none" w:sz="0" w:space="0" w:color="auto"/>
        <w:left w:val="none" w:sz="0" w:space="0" w:color="auto"/>
        <w:bottom w:val="none" w:sz="0" w:space="0" w:color="auto"/>
        <w:right w:val="none" w:sz="0" w:space="0" w:color="auto"/>
      </w:divBdr>
    </w:div>
    <w:div w:id="556624639">
      <w:bodyDiv w:val="1"/>
      <w:marLeft w:val="0"/>
      <w:marRight w:val="0"/>
      <w:marTop w:val="0"/>
      <w:marBottom w:val="0"/>
      <w:divBdr>
        <w:top w:val="none" w:sz="0" w:space="0" w:color="auto"/>
        <w:left w:val="none" w:sz="0" w:space="0" w:color="auto"/>
        <w:bottom w:val="none" w:sz="0" w:space="0" w:color="auto"/>
        <w:right w:val="none" w:sz="0" w:space="0" w:color="auto"/>
      </w:divBdr>
    </w:div>
    <w:div w:id="590234933">
      <w:bodyDiv w:val="1"/>
      <w:marLeft w:val="0"/>
      <w:marRight w:val="0"/>
      <w:marTop w:val="0"/>
      <w:marBottom w:val="0"/>
      <w:divBdr>
        <w:top w:val="none" w:sz="0" w:space="0" w:color="auto"/>
        <w:left w:val="none" w:sz="0" w:space="0" w:color="auto"/>
        <w:bottom w:val="none" w:sz="0" w:space="0" w:color="auto"/>
        <w:right w:val="none" w:sz="0" w:space="0" w:color="auto"/>
      </w:divBdr>
    </w:div>
    <w:div w:id="630021715">
      <w:bodyDiv w:val="1"/>
      <w:marLeft w:val="0"/>
      <w:marRight w:val="0"/>
      <w:marTop w:val="0"/>
      <w:marBottom w:val="0"/>
      <w:divBdr>
        <w:top w:val="none" w:sz="0" w:space="0" w:color="auto"/>
        <w:left w:val="none" w:sz="0" w:space="0" w:color="auto"/>
        <w:bottom w:val="none" w:sz="0" w:space="0" w:color="auto"/>
        <w:right w:val="none" w:sz="0" w:space="0" w:color="auto"/>
      </w:divBdr>
    </w:div>
    <w:div w:id="632175556">
      <w:bodyDiv w:val="1"/>
      <w:marLeft w:val="0"/>
      <w:marRight w:val="0"/>
      <w:marTop w:val="0"/>
      <w:marBottom w:val="0"/>
      <w:divBdr>
        <w:top w:val="none" w:sz="0" w:space="0" w:color="auto"/>
        <w:left w:val="none" w:sz="0" w:space="0" w:color="auto"/>
        <w:bottom w:val="none" w:sz="0" w:space="0" w:color="auto"/>
        <w:right w:val="none" w:sz="0" w:space="0" w:color="auto"/>
      </w:divBdr>
    </w:div>
    <w:div w:id="659233808">
      <w:bodyDiv w:val="1"/>
      <w:marLeft w:val="0"/>
      <w:marRight w:val="0"/>
      <w:marTop w:val="0"/>
      <w:marBottom w:val="0"/>
      <w:divBdr>
        <w:top w:val="none" w:sz="0" w:space="0" w:color="auto"/>
        <w:left w:val="none" w:sz="0" w:space="0" w:color="auto"/>
        <w:bottom w:val="none" w:sz="0" w:space="0" w:color="auto"/>
        <w:right w:val="none" w:sz="0" w:space="0" w:color="auto"/>
      </w:divBdr>
    </w:div>
    <w:div w:id="666439441">
      <w:bodyDiv w:val="1"/>
      <w:marLeft w:val="0"/>
      <w:marRight w:val="0"/>
      <w:marTop w:val="0"/>
      <w:marBottom w:val="0"/>
      <w:divBdr>
        <w:top w:val="none" w:sz="0" w:space="0" w:color="auto"/>
        <w:left w:val="none" w:sz="0" w:space="0" w:color="auto"/>
        <w:bottom w:val="none" w:sz="0" w:space="0" w:color="auto"/>
        <w:right w:val="none" w:sz="0" w:space="0" w:color="auto"/>
      </w:divBdr>
    </w:div>
    <w:div w:id="713699913">
      <w:bodyDiv w:val="1"/>
      <w:marLeft w:val="0"/>
      <w:marRight w:val="0"/>
      <w:marTop w:val="0"/>
      <w:marBottom w:val="0"/>
      <w:divBdr>
        <w:top w:val="none" w:sz="0" w:space="0" w:color="auto"/>
        <w:left w:val="none" w:sz="0" w:space="0" w:color="auto"/>
        <w:bottom w:val="none" w:sz="0" w:space="0" w:color="auto"/>
        <w:right w:val="none" w:sz="0" w:space="0" w:color="auto"/>
      </w:divBdr>
    </w:div>
    <w:div w:id="717700803">
      <w:bodyDiv w:val="1"/>
      <w:marLeft w:val="0"/>
      <w:marRight w:val="0"/>
      <w:marTop w:val="0"/>
      <w:marBottom w:val="0"/>
      <w:divBdr>
        <w:top w:val="none" w:sz="0" w:space="0" w:color="auto"/>
        <w:left w:val="none" w:sz="0" w:space="0" w:color="auto"/>
        <w:bottom w:val="none" w:sz="0" w:space="0" w:color="auto"/>
        <w:right w:val="none" w:sz="0" w:space="0" w:color="auto"/>
      </w:divBdr>
    </w:div>
    <w:div w:id="743526342">
      <w:bodyDiv w:val="1"/>
      <w:marLeft w:val="0"/>
      <w:marRight w:val="0"/>
      <w:marTop w:val="0"/>
      <w:marBottom w:val="0"/>
      <w:divBdr>
        <w:top w:val="none" w:sz="0" w:space="0" w:color="auto"/>
        <w:left w:val="none" w:sz="0" w:space="0" w:color="auto"/>
        <w:bottom w:val="none" w:sz="0" w:space="0" w:color="auto"/>
        <w:right w:val="none" w:sz="0" w:space="0" w:color="auto"/>
      </w:divBdr>
    </w:div>
    <w:div w:id="754520675">
      <w:bodyDiv w:val="1"/>
      <w:marLeft w:val="0"/>
      <w:marRight w:val="0"/>
      <w:marTop w:val="0"/>
      <w:marBottom w:val="0"/>
      <w:divBdr>
        <w:top w:val="none" w:sz="0" w:space="0" w:color="auto"/>
        <w:left w:val="none" w:sz="0" w:space="0" w:color="auto"/>
        <w:bottom w:val="none" w:sz="0" w:space="0" w:color="auto"/>
        <w:right w:val="none" w:sz="0" w:space="0" w:color="auto"/>
      </w:divBdr>
    </w:div>
    <w:div w:id="767314682">
      <w:bodyDiv w:val="1"/>
      <w:marLeft w:val="0"/>
      <w:marRight w:val="0"/>
      <w:marTop w:val="0"/>
      <w:marBottom w:val="0"/>
      <w:divBdr>
        <w:top w:val="none" w:sz="0" w:space="0" w:color="auto"/>
        <w:left w:val="none" w:sz="0" w:space="0" w:color="auto"/>
        <w:bottom w:val="none" w:sz="0" w:space="0" w:color="auto"/>
        <w:right w:val="none" w:sz="0" w:space="0" w:color="auto"/>
      </w:divBdr>
    </w:div>
    <w:div w:id="787774596">
      <w:bodyDiv w:val="1"/>
      <w:marLeft w:val="0"/>
      <w:marRight w:val="0"/>
      <w:marTop w:val="0"/>
      <w:marBottom w:val="0"/>
      <w:divBdr>
        <w:top w:val="none" w:sz="0" w:space="0" w:color="auto"/>
        <w:left w:val="none" w:sz="0" w:space="0" w:color="auto"/>
        <w:bottom w:val="none" w:sz="0" w:space="0" w:color="auto"/>
        <w:right w:val="none" w:sz="0" w:space="0" w:color="auto"/>
      </w:divBdr>
    </w:div>
    <w:div w:id="790588263">
      <w:bodyDiv w:val="1"/>
      <w:marLeft w:val="0"/>
      <w:marRight w:val="0"/>
      <w:marTop w:val="0"/>
      <w:marBottom w:val="0"/>
      <w:divBdr>
        <w:top w:val="none" w:sz="0" w:space="0" w:color="auto"/>
        <w:left w:val="none" w:sz="0" w:space="0" w:color="auto"/>
        <w:bottom w:val="none" w:sz="0" w:space="0" w:color="auto"/>
        <w:right w:val="none" w:sz="0" w:space="0" w:color="auto"/>
      </w:divBdr>
    </w:div>
    <w:div w:id="800272923">
      <w:bodyDiv w:val="1"/>
      <w:marLeft w:val="0"/>
      <w:marRight w:val="0"/>
      <w:marTop w:val="0"/>
      <w:marBottom w:val="0"/>
      <w:divBdr>
        <w:top w:val="none" w:sz="0" w:space="0" w:color="auto"/>
        <w:left w:val="none" w:sz="0" w:space="0" w:color="auto"/>
        <w:bottom w:val="none" w:sz="0" w:space="0" w:color="auto"/>
        <w:right w:val="none" w:sz="0" w:space="0" w:color="auto"/>
      </w:divBdr>
    </w:div>
    <w:div w:id="807744503">
      <w:bodyDiv w:val="1"/>
      <w:marLeft w:val="0"/>
      <w:marRight w:val="0"/>
      <w:marTop w:val="0"/>
      <w:marBottom w:val="0"/>
      <w:divBdr>
        <w:top w:val="none" w:sz="0" w:space="0" w:color="auto"/>
        <w:left w:val="none" w:sz="0" w:space="0" w:color="auto"/>
        <w:bottom w:val="none" w:sz="0" w:space="0" w:color="auto"/>
        <w:right w:val="none" w:sz="0" w:space="0" w:color="auto"/>
      </w:divBdr>
    </w:div>
    <w:div w:id="826097575">
      <w:bodyDiv w:val="1"/>
      <w:marLeft w:val="0"/>
      <w:marRight w:val="0"/>
      <w:marTop w:val="0"/>
      <w:marBottom w:val="0"/>
      <w:divBdr>
        <w:top w:val="none" w:sz="0" w:space="0" w:color="auto"/>
        <w:left w:val="none" w:sz="0" w:space="0" w:color="auto"/>
        <w:bottom w:val="none" w:sz="0" w:space="0" w:color="auto"/>
        <w:right w:val="none" w:sz="0" w:space="0" w:color="auto"/>
      </w:divBdr>
    </w:div>
    <w:div w:id="830752434">
      <w:bodyDiv w:val="1"/>
      <w:marLeft w:val="0"/>
      <w:marRight w:val="0"/>
      <w:marTop w:val="0"/>
      <w:marBottom w:val="0"/>
      <w:divBdr>
        <w:top w:val="none" w:sz="0" w:space="0" w:color="auto"/>
        <w:left w:val="none" w:sz="0" w:space="0" w:color="auto"/>
        <w:bottom w:val="none" w:sz="0" w:space="0" w:color="auto"/>
        <w:right w:val="none" w:sz="0" w:space="0" w:color="auto"/>
      </w:divBdr>
    </w:div>
    <w:div w:id="830945422">
      <w:bodyDiv w:val="1"/>
      <w:marLeft w:val="0"/>
      <w:marRight w:val="0"/>
      <w:marTop w:val="0"/>
      <w:marBottom w:val="0"/>
      <w:divBdr>
        <w:top w:val="none" w:sz="0" w:space="0" w:color="auto"/>
        <w:left w:val="none" w:sz="0" w:space="0" w:color="auto"/>
        <w:bottom w:val="none" w:sz="0" w:space="0" w:color="auto"/>
        <w:right w:val="none" w:sz="0" w:space="0" w:color="auto"/>
      </w:divBdr>
    </w:div>
    <w:div w:id="858591161">
      <w:bodyDiv w:val="1"/>
      <w:marLeft w:val="0"/>
      <w:marRight w:val="0"/>
      <w:marTop w:val="0"/>
      <w:marBottom w:val="0"/>
      <w:divBdr>
        <w:top w:val="none" w:sz="0" w:space="0" w:color="auto"/>
        <w:left w:val="none" w:sz="0" w:space="0" w:color="auto"/>
        <w:bottom w:val="none" w:sz="0" w:space="0" w:color="auto"/>
        <w:right w:val="none" w:sz="0" w:space="0" w:color="auto"/>
      </w:divBdr>
    </w:div>
    <w:div w:id="864945564">
      <w:bodyDiv w:val="1"/>
      <w:marLeft w:val="0"/>
      <w:marRight w:val="0"/>
      <w:marTop w:val="0"/>
      <w:marBottom w:val="0"/>
      <w:divBdr>
        <w:top w:val="none" w:sz="0" w:space="0" w:color="auto"/>
        <w:left w:val="none" w:sz="0" w:space="0" w:color="auto"/>
        <w:bottom w:val="none" w:sz="0" w:space="0" w:color="auto"/>
        <w:right w:val="none" w:sz="0" w:space="0" w:color="auto"/>
      </w:divBdr>
    </w:div>
    <w:div w:id="869344738">
      <w:bodyDiv w:val="1"/>
      <w:marLeft w:val="0"/>
      <w:marRight w:val="0"/>
      <w:marTop w:val="0"/>
      <w:marBottom w:val="0"/>
      <w:divBdr>
        <w:top w:val="none" w:sz="0" w:space="0" w:color="auto"/>
        <w:left w:val="none" w:sz="0" w:space="0" w:color="auto"/>
        <w:bottom w:val="none" w:sz="0" w:space="0" w:color="auto"/>
        <w:right w:val="none" w:sz="0" w:space="0" w:color="auto"/>
      </w:divBdr>
    </w:div>
    <w:div w:id="878972859">
      <w:bodyDiv w:val="1"/>
      <w:marLeft w:val="0"/>
      <w:marRight w:val="0"/>
      <w:marTop w:val="0"/>
      <w:marBottom w:val="0"/>
      <w:divBdr>
        <w:top w:val="none" w:sz="0" w:space="0" w:color="auto"/>
        <w:left w:val="none" w:sz="0" w:space="0" w:color="auto"/>
        <w:bottom w:val="none" w:sz="0" w:space="0" w:color="auto"/>
        <w:right w:val="none" w:sz="0" w:space="0" w:color="auto"/>
      </w:divBdr>
    </w:div>
    <w:div w:id="894201161">
      <w:bodyDiv w:val="1"/>
      <w:marLeft w:val="0"/>
      <w:marRight w:val="0"/>
      <w:marTop w:val="0"/>
      <w:marBottom w:val="0"/>
      <w:divBdr>
        <w:top w:val="none" w:sz="0" w:space="0" w:color="auto"/>
        <w:left w:val="none" w:sz="0" w:space="0" w:color="auto"/>
        <w:bottom w:val="none" w:sz="0" w:space="0" w:color="auto"/>
        <w:right w:val="none" w:sz="0" w:space="0" w:color="auto"/>
      </w:divBdr>
    </w:div>
    <w:div w:id="898790200">
      <w:bodyDiv w:val="1"/>
      <w:marLeft w:val="0"/>
      <w:marRight w:val="0"/>
      <w:marTop w:val="0"/>
      <w:marBottom w:val="0"/>
      <w:divBdr>
        <w:top w:val="none" w:sz="0" w:space="0" w:color="auto"/>
        <w:left w:val="none" w:sz="0" w:space="0" w:color="auto"/>
        <w:bottom w:val="none" w:sz="0" w:space="0" w:color="auto"/>
        <w:right w:val="none" w:sz="0" w:space="0" w:color="auto"/>
      </w:divBdr>
    </w:div>
    <w:div w:id="899905057">
      <w:bodyDiv w:val="1"/>
      <w:marLeft w:val="0"/>
      <w:marRight w:val="0"/>
      <w:marTop w:val="0"/>
      <w:marBottom w:val="0"/>
      <w:divBdr>
        <w:top w:val="none" w:sz="0" w:space="0" w:color="auto"/>
        <w:left w:val="none" w:sz="0" w:space="0" w:color="auto"/>
        <w:bottom w:val="none" w:sz="0" w:space="0" w:color="auto"/>
        <w:right w:val="none" w:sz="0" w:space="0" w:color="auto"/>
      </w:divBdr>
    </w:div>
    <w:div w:id="901062179">
      <w:bodyDiv w:val="1"/>
      <w:marLeft w:val="0"/>
      <w:marRight w:val="0"/>
      <w:marTop w:val="0"/>
      <w:marBottom w:val="0"/>
      <w:divBdr>
        <w:top w:val="none" w:sz="0" w:space="0" w:color="auto"/>
        <w:left w:val="none" w:sz="0" w:space="0" w:color="auto"/>
        <w:bottom w:val="none" w:sz="0" w:space="0" w:color="auto"/>
        <w:right w:val="none" w:sz="0" w:space="0" w:color="auto"/>
      </w:divBdr>
    </w:div>
    <w:div w:id="915361250">
      <w:bodyDiv w:val="1"/>
      <w:marLeft w:val="0"/>
      <w:marRight w:val="0"/>
      <w:marTop w:val="0"/>
      <w:marBottom w:val="0"/>
      <w:divBdr>
        <w:top w:val="none" w:sz="0" w:space="0" w:color="auto"/>
        <w:left w:val="none" w:sz="0" w:space="0" w:color="auto"/>
        <w:bottom w:val="none" w:sz="0" w:space="0" w:color="auto"/>
        <w:right w:val="none" w:sz="0" w:space="0" w:color="auto"/>
      </w:divBdr>
    </w:div>
    <w:div w:id="925505486">
      <w:bodyDiv w:val="1"/>
      <w:marLeft w:val="0"/>
      <w:marRight w:val="0"/>
      <w:marTop w:val="0"/>
      <w:marBottom w:val="0"/>
      <w:divBdr>
        <w:top w:val="none" w:sz="0" w:space="0" w:color="auto"/>
        <w:left w:val="none" w:sz="0" w:space="0" w:color="auto"/>
        <w:bottom w:val="none" w:sz="0" w:space="0" w:color="auto"/>
        <w:right w:val="none" w:sz="0" w:space="0" w:color="auto"/>
      </w:divBdr>
    </w:div>
    <w:div w:id="950816296">
      <w:bodyDiv w:val="1"/>
      <w:marLeft w:val="0"/>
      <w:marRight w:val="0"/>
      <w:marTop w:val="0"/>
      <w:marBottom w:val="0"/>
      <w:divBdr>
        <w:top w:val="none" w:sz="0" w:space="0" w:color="auto"/>
        <w:left w:val="none" w:sz="0" w:space="0" w:color="auto"/>
        <w:bottom w:val="none" w:sz="0" w:space="0" w:color="auto"/>
        <w:right w:val="none" w:sz="0" w:space="0" w:color="auto"/>
      </w:divBdr>
    </w:div>
    <w:div w:id="968121374">
      <w:bodyDiv w:val="1"/>
      <w:marLeft w:val="0"/>
      <w:marRight w:val="0"/>
      <w:marTop w:val="0"/>
      <w:marBottom w:val="0"/>
      <w:divBdr>
        <w:top w:val="none" w:sz="0" w:space="0" w:color="auto"/>
        <w:left w:val="none" w:sz="0" w:space="0" w:color="auto"/>
        <w:bottom w:val="none" w:sz="0" w:space="0" w:color="auto"/>
        <w:right w:val="none" w:sz="0" w:space="0" w:color="auto"/>
      </w:divBdr>
    </w:div>
    <w:div w:id="1038815584">
      <w:bodyDiv w:val="1"/>
      <w:marLeft w:val="0"/>
      <w:marRight w:val="0"/>
      <w:marTop w:val="0"/>
      <w:marBottom w:val="0"/>
      <w:divBdr>
        <w:top w:val="none" w:sz="0" w:space="0" w:color="auto"/>
        <w:left w:val="none" w:sz="0" w:space="0" w:color="auto"/>
        <w:bottom w:val="none" w:sz="0" w:space="0" w:color="auto"/>
        <w:right w:val="none" w:sz="0" w:space="0" w:color="auto"/>
      </w:divBdr>
    </w:div>
    <w:div w:id="1093084861">
      <w:bodyDiv w:val="1"/>
      <w:marLeft w:val="0"/>
      <w:marRight w:val="0"/>
      <w:marTop w:val="0"/>
      <w:marBottom w:val="0"/>
      <w:divBdr>
        <w:top w:val="none" w:sz="0" w:space="0" w:color="auto"/>
        <w:left w:val="none" w:sz="0" w:space="0" w:color="auto"/>
        <w:bottom w:val="none" w:sz="0" w:space="0" w:color="auto"/>
        <w:right w:val="none" w:sz="0" w:space="0" w:color="auto"/>
      </w:divBdr>
    </w:div>
    <w:div w:id="1120956013">
      <w:bodyDiv w:val="1"/>
      <w:marLeft w:val="0"/>
      <w:marRight w:val="0"/>
      <w:marTop w:val="0"/>
      <w:marBottom w:val="0"/>
      <w:divBdr>
        <w:top w:val="none" w:sz="0" w:space="0" w:color="auto"/>
        <w:left w:val="none" w:sz="0" w:space="0" w:color="auto"/>
        <w:bottom w:val="none" w:sz="0" w:space="0" w:color="auto"/>
        <w:right w:val="none" w:sz="0" w:space="0" w:color="auto"/>
      </w:divBdr>
    </w:div>
    <w:div w:id="1143429514">
      <w:bodyDiv w:val="1"/>
      <w:marLeft w:val="0"/>
      <w:marRight w:val="0"/>
      <w:marTop w:val="0"/>
      <w:marBottom w:val="0"/>
      <w:divBdr>
        <w:top w:val="none" w:sz="0" w:space="0" w:color="auto"/>
        <w:left w:val="none" w:sz="0" w:space="0" w:color="auto"/>
        <w:bottom w:val="none" w:sz="0" w:space="0" w:color="auto"/>
        <w:right w:val="none" w:sz="0" w:space="0" w:color="auto"/>
      </w:divBdr>
    </w:div>
    <w:div w:id="1149901496">
      <w:bodyDiv w:val="1"/>
      <w:marLeft w:val="0"/>
      <w:marRight w:val="0"/>
      <w:marTop w:val="0"/>
      <w:marBottom w:val="0"/>
      <w:divBdr>
        <w:top w:val="none" w:sz="0" w:space="0" w:color="auto"/>
        <w:left w:val="none" w:sz="0" w:space="0" w:color="auto"/>
        <w:bottom w:val="none" w:sz="0" w:space="0" w:color="auto"/>
        <w:right w:val="none" w:sz="0" w:space="0" w:color="auto"/>
      </w:divBdr>
    </w:div>
    <w:div w:id="1169248521">
      <w:bodyDiv w:val="1"/>
      <w:marLeft w:val="0"/>
      <w:marRight w:val="0"/>
      <w:marTop w:val="0"/>
      <w:marBottom w:val="0"/>
      <w:divBdr>
        <w:top w:val="none" w:sz="0" w:space="0" w:color="auto"/>
        <w:left w:val="none" w:sz="0" w:space="0" w:color="auto"/>
        <w:bottom w:val="none" w:sz="0" w:space="0" w:color="auto"/>
        <w:right w:val="none" w:sz="0" w:space="0" w:color="auto"/>
      </w:divBdr>
    </w:div>
    <w:div w:id="1179730591">
      <w:bodyDiv w:val="1"/>
      <w:marLeft w:val="0"/>
      <w:marRight w:val="0"/>
      <w:marTop w:val="0"/>
      <w:marBottom w:val="0"/>
      <w:divBdr>
        <w:top w:val="none" w:sz="0" w:space="0" w:color="auto"/>
        <w:left w:val="none" w:sz="0" w:space="0" w:color="auto"/>
        <w:bottom w:val="none" w:sz="0" w:space="0" w:color="auto"/>
        <w:right w:val="none" w:sz="0" w:space="0" w:color="auto"/>
      </w:divBdr>
    </w:div>
    <w:div w:id="1183519149">
      <w:bodyDiv w:val="1"/>
      <w:marLeft w:val="0"/>
      <w:marRight w:val="0"/>
      <w:marTop w:val="0"/>
      <w:marBottom w:val="0"/>
      <w:divBdr>
        <w:top w:val="none" w:sz="0" w:space="0" w:color="auto"/>
        <w:left w:val="none" w:sz="0" w:space="0" w:color="auto"/>
        <w:bottom w:val="none" w:sz="0" w:space="0" w:color="auto"/>
        <w:right w:val="none" w:sz="0" w:space="0" w:color="auto"/>
      </w:divBdr>
    </w:div>
    <w:div w:id="1204438083">
      <w:bodyDiv w:val="1"/>
      <w:marLeft w:val="0"/>
      <w:marRight w:val="0"/>
      <w:marTop w:val="0"/>
      <w:marBottom w:val="0"/>
      <w:divBdr>
        <w:top w:val="none" w:sz="0" w:space="0" w:color="auto"/>
        <w:left w:val="none" w:sz="0" w:space="0" w:color="auto"/>
        <w:bottom w:val="none" w:sz="0" w:space="0" w:color="auto"/>
        <w:right w:val="none" w:sz="0" w:space="0" w:color="auto"/>
      </w:divBdr>
    </w:div>
    <w:div w:id="1223710704">
      <w:bodyDiv w:val="1"/>
      <w:marLeft w:val="0"/>
      <w:marRight w:val="0"/>
      <w:marTop w:val="0"/>
      <w:marBottom w:val="0"/>
      <w:divBdr>
        <w:top w:val="none" w:sz="0" w:space="0" w:color="auto"/>
        <w:left w:val="none" w:sz="0" w:space="0" w:color="auto"/>
        <w:bottom w:val="none" w:sz="0" w:space="0" w:color="auto"/>
        <w:right w:val="none" w:sz="0" w:space="0" w:color="auto"/>
      </w:divBdr>
    </w:div>
    <w:div w:id="1242062333">
      <w:bodyDiv w:val="1"/>
      <w:marLeft w:val="0"/>
      <w:marRight w:val="0"/>
      <w:marTop w:val="0"/>
      <w:marBottom w:val="0"/>
      <w:divBdr>
        <w:top w:val="none" w:sz="0" w:space="0" w:color="auto"/>
        <w:left w:val="none" w:sz="0" w:space="0" w:color="auto"/>
        <w:bottom w:val="none" w:sz="0" w:space="0" w:color="auto"/>
        <w:right w:val="none" w:sz="0" w:space="0" w:color="auto"/>
      </w:divBdr>
    </w:div>
    <w:div w:id="1265965087">
      <w:bodyDiv w:val="1"/>
      <w:marLeft w:val="0"/>
      <w:marRight w:val="0"/>
      <w:marTop w:val="0"/>
      <w:marBottom w:val="0"/>
      <w:divBdr>
        <w:top w:val="none" w:sz="0" w:space="0" w:color="auto"/>
        <w:left w:val="none" w:sz="0" w:space="0" w:color="auto"/>
        <w:bottom w:val="none" w:sz="0" w:space="0" w:color="auto"/>
        <w:right w:val="none" w:sz="0" w:space="0" w:color="auto"/>
      </w:divBdr>
    </w:div>
    <w:div w:id="1289892103">
      <w:bodyDiv w:val="1"/>
      <w:marLeft w:val="0"/>
      <w:marRight w:val="0"/>
      <w:marTop w:val="0"/>
      <w:marBottom w:val="0"/>
      <w:divBdr>
        <w:top w:val="none" w:sz="0" w:space="0" w:color="auto"/>
        <w:left w:val="none" w:sz="0" w:space="0" w:color="auto"/>
        <w:bottom w:val="none" w:sz="0" w:space="0" w:color="auto"/>
        <w:right w:val="none" w:sz="0" w:space="0" w:color="auto"/>
      </w:divBdr>
    </w:div>
    <w:div w:id="1290360211">
      <w:bodyDiv w:val="1"/>
      <w:marLeft w:val="0"/>
      <w:marRight w:val="0"/>
      <w:marTop w:val="0"/>
      <w:marBottom w:val="0"/>
      <w:divBdr>
        <w:top w:val="none" w:sz="0" w:space="0" w:color="auto"/>
        <w:left w:val="none" w:sz="0" w:space="0" w:color="auto"/>
        <w:bottom w:val="none" w:sz="0" w:space="0" w:color="auto"/>
        <w:right w:val="none" w:sz="0" w:space="0" w:color="auto"/>
      </w:divBdr>
      <w:divsChild>
        <w:div w:id="840000546">
          <w:marLeft w:val="1019"/>
          <w:marRight w:val="0"/>
          <w:marTop w:val="240"/>
          <w:marBottom w:val="0"/>
          <w:divBdr>
            <w:top w:val="single" w:sz="6" w:space="0" w:color="000000"/>
            <w:left w:val="single" w:sz="6" w:space="0" w:color="000000"/>
            <w:bottom w:val="single" w:sz="6" w:space="0" w:color="000000"/>
            <w:right w:val="single" w:sz="6" w:space="0" w:color="000000"/>
          </w:divBdr>
        </w:div>
      </w:divsChild>
    </w:div>
    <w:div w:id="1297447836">
      <w:bodyDiv w:val="1"/>
      <w:marLeft w:val="0"/>
      <w:marRight w:val="0"/>
      <w:marTop w:val="0"/>
      <w:marBottom w:val="0"/>
      <w:divBdr>
        <w:top w:val="none" w:sz="0" w:space="0" w:color="auto"/>
        <w:left w:val="none" w:sz="0" w:space="0" w:color="auto"/>
        <w:bottom w:val="none" w:sz="0" w:space="0" w:color="auto"/>
        <w:right w:val="none" w:sz="0" w:space="0" w:color="auto"/>
      </w:divBdr>
    </w:div>
    <w:div w:id="1303578207">
      <w:bodyDiv w:val="1"/>
      <w:marLeft w:val="0"/>
      <w:marRight w:val="0"/>
      <w:marTop w:val="0"/>
      <w:marBottom w:val="0"/>
      <w:divBdr>
        <w:top w:val="none" w:sz="0" w:space="0" w:color="auto"/>
        <w:left w:val="none" w:sz="0" w:space="0" w:color="auto"/>
        <w:bottom w:val="none" w:sz="0" w:space="0" w:color="auto"/>
        <w:right w:val="none" w:sz="0" w:space="0" w:color="auto"/>
      </w:divBdr>
    </w:div>
    <w:div w:id="1323122013">
      <w:bodyDiv w:val="1"/>
      <w:marLeft w:val="0"/>
      <w:marRight w:val="0"/>
      <w:marTop w:val="0"/>
      <w:marBottom w:val="0"/>
      <w:divBdr>
        <w:top w:val="none" w:sz="0" w:space="0" w:color="auto"/>
        <w:left w:val="none" w:sz="0" w:space="0" w:color="auto"/>
        <w:bottom w:val="none" w:sz="0" w:space="0" w:color="auto"/>
        <w:right w:val="none" w:sz="0" w:space="0" w:color="auto"/>
      </w:divBdr>
    </w:div>
    <w:div w:id="1325282662">
      <w:bodyDiv w:val="1"/>
      <w:marLeft w:val="0"/>
      <w:marRight w:val="0"/>
      <w:marTop w:val="0"/>
      <w:marBottom w:val="0"/>
      <w:divBdr>
        <w:top w:val="none" w:sz="0" w:space="0" w:color="auto"/>
        <w:left w:val="none" w:sz="0" w:space="0" w:color="auto"/>
        <w:bottom w:val="none" w:sz="0" w:space="0" w:color="auto"/>
        <w:right w:val="none" w:sz="0" w:space="0" w:color="auto"/>
      </w:divBdr>
    </w:div>
    <w:div w:id="1333411086">
      <w:bodyDiv w:val="1"/>
      <w:marLeft w:val="0"/>
      <w:marRight w:val="0"/>
      <w:marTop w:val="0"/>
      <w:marBottom w:val="0"/>
      <w:divBdr>
        <w:top w:val="none" w:sz="0" w:space="0" w:color="auto"/>
        <w:left w:val="none" w:sz="0" w:space="0" w:color="auto"/>
        <w:bottom w:val="none" w:sz="0" w:space="0" w:color="auto"/>
        <w:right w:val="none" w:sz="0" w:space="0" w:color="auto"/>
      </w:divBdr>
    </w:div>
    <w:div w:id="1339774770">
      <w:bodyDiv w:val="1"/>
      <w:marLeft w:val="0"/>
      <w:marRight w:val="0"/>
      <w:marTop w:val="0"/>
      <w:marBottom w:val="0"/>
      <w:divBdr>
        <w:top w:val="none" w:sz="0" w:space="0" w:color="auto"/>
        <w:left w:val="none" w:sz="0" w:space="0" w:color="auto"/>
        <w:bottom w:val="none" w:sz="0" w:space="0" w:color="auto"/>
        <w:right w:val="none" w:sz="0" w:space="0" w:color="auto"/>
      </w:divBdr>
      <w:divsChild>
        <w:div w:id="400063553">
          <w:marLeft w:val="1019"/>
          <w:marRight w:val="0"/>
          <w:marTop w:val="240"/>
          <w:marBottom w:val="0"/>
          <w:divBdr>
            <w:top w:val="single" w:sz="6" w:space="0" w:color="000000"/>
            <w:left w:val="single" w:sz="6" w:space="0" w:color="000000"/>
            <w:bottom w:val="single" w:sz="6" w:space="0" w:color="000000"/>
            <w:right w:val="single" w:sz="6" w:space="0" w:color="000000"/>
          </w:divBdr>
        </w:div>
      </w:divsChild>
    </w:div>
    <w:div w:id="1366099167">
      <w:bodyDiv w:val="1"/>
      <w:marLeft w:val="0"/>
      <w:marRight w:val="0"/>
      <w:marTop w:val="0"/>
      <w:marBottom w:val="0"/>
      <w:divBdr>
        <w:top w:val="none" w:sz="0" w:space="0" w:color="auto"/>
        <w:left w:val="none" w:sz="0" w:space="0" w:color="auto"/>
        <w:bottom w:val="none" w:sz="0" w:space="0" w:color="auto"/>
        <w:right w:val="none" w:sz="0" w:space="0" w:color="auto"/>
      </w:divBdr>
    </w:div>
    <w:div w:id="1371302440">
      <w:bodyDiv w:val="1"/>
      <w:marLeft w:val="0"/>
      <w:marRight w:val="0"/>
      <w:marTop w:val="0"/>
      <w:marBottom w:val="0"/>
      <w:divBdr>
        <w:top w:val="none" w:sz="0" w:space="0" w:color="auto"/>
        <w:left w:val="none" w:sz="0" w:space="0" w:color="auto"/>
        <w:bottom w:val="none" w:sz="0" w:space="0" w:color="auto"/>
        <w:right w:val="none" w:sz="0" w:space="0" w:color="auto"/>
      </w:divBdr>
    </w:div>
    <w:div w:id="1379476438">
      <w:bodyDiv w:val="1"/>
      <w:marLeft w:val="0"/>
      <w:marRight w:val="0"/>
      <w:marTop w:val="0"/>
      <w:marBottom w:val="0"/>
      <w:divBdr>
        <w:top w:val="none" w:sz="0" w:space="0" w:color="auto"/>
        <w:left w:val="none" w:sz="0" w:space="0" w:color="auto"/>
        <w:bottom w:val="none" w:sz="0" w:space="0" w:color="auto"/>
        <w:right w:val="none" w:sz="0" w:space="0" w:color="auto"/>
      </w:divBdr>
    </w:div>
    <w:div w:id="1416784865">
      <w:bodyDiv w:val="1"/>
      <w:marLeft w:val="0"/>
      <w:marRight w:val="0"/>
      <w:marTop w:val="0"/>
      <w:marBottom w:val="0"/>
      <w:divBdr>
        <w:top w:val="none" w:sz="0" w:space="0" w:color="auto"/>
        <w:left w:val="none" w:sz="0" w:space="0" w:color="auto"/>
        <w:bottom w:val="none" w:sz="0" w:space="0" w:color="auto"/>
        <w:right w:val="none" w:sz="0" w:space="0" w:color="auto"/>
      </w:divBdr>
    </w:div>
    <w:div w:id="1433738932">
      <w:bodyDiv w:val="1"/>
      <w:marLeft w:val="0"/>
      <w:marRight w:val="0"/>
      <w:marTop w:val="0"/>
      <w:marBottom w:val="0"/>
      <w:divBdr>
        <w:top w:val="none" w:sz="0" w:space="0" w:color="auto"/>
        <w:left w:val="none" w:sz="0" w:space="0" w:color="auto"/>
        <w:bottom w:val="none" w:sz="0" w:space="0" w:color="auto"/>
        <w:right w:val="none" w:sz="0" w:space="0" w:color="auto"/>
      </w:divBdr>
      <w:divsChild>
        <w:div w:id="1525704063">
          <w:marLeft w:val="1019"/>
          <w:marRight w:val="0"/>
          <w:marTop w:val="240"/>
          <w:marBottom w:val="0"/>
          <w:divBdr>
            <w:top w:val="single" w:sz="6" w:space="0" w:color="000000"/>
            <w:left w:val="single" w:sz="6" w:space="0" w:color="000000"/>
            <w:bottom w:val="single" w:sz="6" w:space="0" w:color="000000"/>
            <w:right w:val="single" w:sz="6" w:space="0" w:color="000000"/>
          </w:divBdr>
        </w:div>
      </w:divsChild>
    </w:div>
    <w:div w:id="1442913476">
      <w:bodyDiv w:val="1"/>
      <w:marLeft w:val="0"/>
      <w:marRight w:val="0"/>
      <w:marTop w:val="0"/>
      <w:marBottom w:val="0"/>
      <w:divBdr>
        <w:top w:val="none" w:sz="0" w:space="0" w:color="auto"/>
        <w:left w:val="none" w:sz="0" w:space="0" w:color="auto"/>
        <w:bottom w:val="none" w:sz="0" w:space="0" w:color="auto"/>
        <w:right w:val="none" w:sz="0" w:space="0" w:color="auto"/>
      </w:divBdr>
    </w:div>
    <w:div w:id="1446656611">
      <w:bodyDiv w:val="1"/>
      <w:marLeft w:val="0"/>
      <w:marRight w:val="0"/>
      <w:marTop w:val="0"/>
      <w:marBottom w:val="0"/>
      <w:divBdr>
        <w:top w:val="none" w:sz="0" w:space="0" w:color="auto"/>
        <w:left w:val="none" w:sz="0" w:space="0" w:color="auto"/>
        <w:bottom w:val="none" w:sz="0" w:space="0" w:color="auto"/>
        <w:right w:val="none" w:sz="0" w:space="0" w:color="auto"/>
      </w:divBdr>
    </w:div>
    <w:div w:id="1457521832">
      <w:bodyDiv w:val="1"/>
      <w:marLeft w:val="0"/>
      <w:marRight w:val="0"/>
      <w:marTop w:val="0"/>
      <w:marBottom w:val="0"/>
      <w:divBdr>
        <w:top w:val="none" w:sz="0" w:space="0" w:color="auto"/>
        <w:left w:val="none" w:sz="0" w:space="0" w:color="auto"/>
        <w:bottom w:val="none" w:sz="0" w:space="0" w:color="auto"/>
        <w:right w:val="none" w:sz="0" w:space="0" w:color="auto"/>
      </w:divBdr>
    </w:div>
    <w:div w:id="1466696255">
      <w:bodyDiv w:val="1"/>
      <w:marLeft w:val="0"/>
      <w:marRight w:val="0"/>
      <w:marTop w:val="0"/>
      <w:marBottom w:val="0"/>
      <w:divBdr>
        <w:top w:val="none" w:sz="0" w:space="0" w:color="auto"/>
        <w:left w:val="none" w:sz="0" w:space="0" w:color="auto"/>
        <w:bottom w:val="none" w:sz="0" w:space="0" w:color="auto"/>
        <w:right w:val="none" w:sz="0" w:space="0" w:color="auto"/>
      </w:divBdr>
    </w:div>
    <w:div w:id="1485851080">
      <w:bodyDiv w:val="1"/>
      <w:marLeft w:val="0"/>
      <w:marRight w:val="0"/>
      <w:marTop w:val="0"/>
      <w:marBottom w:val="0"/>
      <w:divBdr>
        <w:top w:val="none" w:sz="0" w:space="0" w:color="auto"/>
        <w:left w:val="none" w:sz="0" w:space="0" w:color="auto"/>
        <w:bottom w:val="none" w:sz="0" w:space="0" w:color="auto"/>
        <w:right w:val="none" w:sz="0" w:space="0" w:color="auto"/>
      </w:divBdr>
    </w:div>
    <w:div w:id="1509171524">
      <w:bodyDiv w:val="1"/>
      <w:marLeft w:val="0"/>
      <w:marRight w:val="0"/>
      <w:marTop w:val="0"/>
      <w:marBottom w:val="0"/>
      <w:divBdr>
        <w:top w:val="none" w:sz="0" w:space="0" w:color="auto"/>
        <w:left w:val="none" w:sz="0" w:space="0" w:color="auto"/>
        <w:bottom w:val="none" w:sz="0" w:space="0" w:color="auto"/>
        <w:right w:val="none" w:sz="0" w:space="0" w:color="auto"/>
      </w:divBdr>
    </w:div>
    <w:div w:id="1512719911">
      <w:bodyDiv w:val="1"/>
      <w:marLeft w:val="0"/>
      <w:marRight w:val="0"/>
      <w:marTop w:val="0"/>
      <w:marBottom w:val="0"/>
      <w:divBdr>
        <w:top w:val="none" w:sz="0" w:space="0" w:color="auto"/>
        <w:left w:val="none" w:sz="0" w:space="0" w:color="auto"/>
        <w:bottom w:val="none" w:sz="0" w:space="0" w:color="auto"/>
        <w:right w:val="none" w:sz="0" w:space="0" w:color="auto"/>
      </w:divBdr>
    </w:div>
    <w:div w:id="1525243468">
      <w:bodyDiv w:val="1"/>
      <w:marLeft w:val="0"/>
      <w:marRight w:val="0"/>
      <w:marTop w:val="0"/>
      <w:marBottom w:val="0"/>
      <w:divBdr>
        <w:top w:val="none" w:sz="0" w:space="0" w:color="auto"/>
        <w:left w:val="none" w:sz="0" w:space="0" w:color="auto"/>
        <w:bottom w:val="none" w:sz="0" w:space="0" w:color="auto"/>
        <w:right w:val="none" w:sz="0" w:space="0" w:color="auto"/>
      </w:divBdr>
    </w:div>
    <w:div w:id="1545824215">
      <w:bodyDiv w:val="1"/>
      <w:marLeft w:val="0"/>
      <w:marRight w:val="0"/>
      <w:marTop w:val="0"/>
      <w:marBottom w:val="0"/>
      <w:divBdr>
        <w:top w:val="none" w:sz="0" w:space="0" w:color="auto"/>
        <w:left w:val="none" w:sz="0" w:space="0" w:color="auto"/>
        <w:bottom w:val="none" w:sz="0" w:space="0" w:color="auto"/>
        <w:right w:val="none" w:sz="0" w:space="0" w:color="auto"/>
      </w:divBdr>
    </w:div>
    <w:div w:id="1549562485">
      <w:bodyDiv w:val="1"/>
      <w:marLeft w:val="0"/>
      <w:marRight w:val="0"/>
      <w:marTop w:val="0"/>
      <w:marBottom w:val="0"/>
      <w:divBdr>
        <w:top w:val="none" w:sz="0" w:space="0" w:color="auto"/>
        <w:left w:val="none" w:sz="0" w:space="0" w:color="auto"/>
        <w:bottom w:val="none" w:sz="0" w:space="0" w:color="auto"/>
        <w:right w:val="none" w:sz="0" w:space="0" w:color="auto"/>
      </w:divBdr>
    </w:div>
    <w:div w:id="1570652097">
      <w:bodyDiv w:val="1"/>
      <w:marLeft w:val="0"/>
      <w:marRight w:val="0"/>
      <w:marTop w:val="0"/>
      <w:marBottom w:val="0"/>
      <w:divBdr>
        <w:top w:val="none" w:sz="0" w:space="0" w:color="auto"/>
        <w:left w:val="none" w:sz="0" w:space="0" w:color="auto"/>
        <w:bottom w:val="none" w:sz="0" w:space="0" w:color="auto"/>
        <w:right w:val="none" w:sz="0" w:space="0" w:color="auto"/>
      </w:divBdr>
    </w:div>
    <w:div w:id="1579821466">
      <w:bodyDiv w:val="1"/>
      <w:marLeft w:val="0"/>
      <w:marRight w:val="0"/>
      <w:marTop w:val="0"/>
      <w:marBottom w:val="0"/>
      <w:divBdr>
        <w:top w:val="none" w:sz="0" w:space="0" w:color="auto"/>
        <w:left w:val="none" w:sz="0" w:space="0" w:color="auto"/>
        <w:bottom w:val="none" w:sz="0" w:space="0" w:color="auto"/>
        <w:right w:val="none" w:sz="0" w:space="0" w:color="auto"/>
      </w:divBdr>
    </w:div>
    <w:div w:id="1588224229">
      <w:bodyDiv w:val="1"/>
      <w:marLeft w:val="0"/>
      <w:marRight w:val="0"/>
      <w:marTop w:val="0"/>
      <w:marBottom w:val="0"/>
      <w:divBdr>
        <w:top w:val="none" w:sz="0" w:space="0" w:color="auto"/>
        <w:left w:val="none" w:sz="0" w:space="0" w:color="auto"/>
        <w:bottom w:val="none" w:sz="0" w:space="0" w:color="auto"/>
        <w:right w:val="none" w:sz="0" w:space="0" w:color="auto"/>
      </w:divBdr>
    </w:div>
    <w:div w:id="1592078448">
      <w:bodyDiv w:val="1"/>
      <w:marLeft w:val="0"/>
      <w:marRight w:val="0"/>
      <w:marTop w:val="0"/>
      <w:marBottom w:val="0"/>
      <w:divBdr>
        <w:top w:val="none" w:sz="0" w:space="0" w:color="auto"/>
        <w:left w:val="none" w:sz="0" w:space="0" w:color="auto"/>
        <w:bottom w:val="none" w:sz="0" w:space="0" w:color="auto"/>
        <w:right w:val="none" w:sz="0" w:space="0" w:color="auto"/>
      </w:divBdr>
      <w:divsChild>
        <w:div w:id="983854146">
          <w:marLeft w:val="1019"/>
          <w:marRight w:val="0"/>
          <w:marTop w:val="240"/>
          <w:marBottom w:val="0"/>
          <w:divBdr>
            <w:top w:val="single" w:sz="6" w:space="0" w:color="000000"/>
            <w:left w:val="single" w:sz="6" w:space="0" w:color="000000"/>
            <w:bottom w:val="single" w:sz="6" w:space="0" w:color="000000"/>
            <w:right w:val="single" w:sz="6" w:space="0" w:color="000000"/>
          </w:divBdr>
        </w:div>
      </w:divsChild>
    </w:div>
    <w:div w:id="1608346336">
      <w:bodyDiv w:val="1"/>
      <w:marLeft w:val="0"/>
      <w:marRight w:val="0"/>
      <w:marTop w:val="0"/>
      <w:marBottom w:val="0"/>
      <w:divBdr>
        <w:top w:val="none" w:sz="0" w:space="0" w:color="auto"/>
        <w:left w:val="none" w:sz="0" w:space="0" w:color="auto"/>
        <w:bottom w:val="none" w:sz="0" w:space="0" w:color="auto"/>
        <w:right w:val="none" w:sz="0" w:space="0" w:color="auto"/>
      </w:divBdr>
    </w:div>
    <w:div w:id="1631747371">
      <w:bodyDiv w:val="1"/>
      <w:marLeft w:val="0"/>
      <w:marRight w:val="0"/>
      <w:marTop w:val="0"/>
      <w:marBottom w:val="0"/>
      <w:divBdr>
        <w:top w:val="none" w:sz="0" w:space="0" w:color="auto"/>
        <w:left w:val="none" w:sz="0" w:space="0" w:color="auto"/>
        <w:bottom w:val="none" w:sz="0" w:space="0" w:color="auto"/>
        <w:right w:val="none" w:sz="0" w:space="0" w:color="auto"/>
      </w:divBdr>
    </w:div>
    <w:div w:id="1652980872">
      <w:bodyDiv w:val="1"/>
      <w:marLeft w:val="0"/>
      <w:marRight w:val="0"/>
      <w:marTop w:val="0"/>
      <w:marBottom w:val="0"/>
      <w:divBdr>
        <w:top w:val="none" w:sz="0" w:space="0" w:color="auto"/>
        <w:left w:val="none" w:sz="0" w:space="0" w:color="auto"/>
        <w:bottom w:val="none" w:sz="0" w:space="0" w:color="auto"/>
        <w:right w:val="none" w:sz="0" w:space="0" w:color="auto"/>
      </w:divBdr>
    </w:div>
    <w:div w:id="1655335086">
      <w:bodyDiv w:val="1"/>
      <w:marLeft w:val="0"/>
      <w:marRight w:val="0"/>
      <w:marTop w:val="0"/>
      <w:marBottom w:val="0"/>
      <w:divBdr>
        <w:top w:val="none" w:sz="0" w:space="0" w:color="auto"/>
        <w:left w:val="none" w:sz="0" w:space="0" w:color="auto"/>
        <w:bottom w:val="none" w:sz="0" w:space="0" w:color="auto"/>
        <w:right w:val="none" w:sz="0" w:space="0" w:color="auto"/>
      </w:divBdr>
    </w:div>
    <w:div w:id="1667518349">
      <w:bodyDiv w:val="1"/>
      <w:marLeft w:val="0"/>
      <w:marRight w:val="0"/>
      <w:marTop w:val="0"/>
      <w:marBottom w:val="0"/>
      <w:divBdr>
        <w:top w:val="none" w:sz="0" w:space="0" w:color="auto"/>
        <w:left w:val="none" w:sz="0" w:space="0" w:color="auto"/>
        <w:bottom w:val="none" w:sz="0" w:space="0" w:color="auto"/>
        <w:right w:val="none" w:sz="0" w:space="0" w:color="auto"/>
      </w:divBdr>
    </w:div>
    <w:div w:id="1670208563">
      <w:bodyDiv w:val="1"/>
      <w:marLeft w:val="0"/>
      <w:marRight w:val="0"/>
      <w:marTop w:val="0"/>
      <w:marBottom w:val="0"/>
      <w:divBdr>
        <w:top w:val="none" w:sz="0" w:space="0" w:color="auto"/>
        <w:left w:val="none" w:sz="0" w:space="0" w:color="auto"/>
        <w:bottom w:val="none" w:sz="0" w:space="0" w:color="auto"/>
        <w:right w:val="none" w:sz="0" w:space="0" w:color="auto"/>
      </w:divBdr>
    </w:div>
    <w:div w:id="1680044255">
      <w:bodyDiv w:val="1"/>
      <w:marLeft w:val="0"/>
      <w:marRight w:val="0"/>
      <w:marTop w:val="0"/>
      <w:marBottom w:val="0"/>
      <w:divBdr>
        <w:top w:val="none" w:sz="0" w:space="0" w:color="auto"/>
        <w:left w:val="none" w:sz="0" w:space="0" w:color="auto"/>
        <w:bottom w:val="none" w:sz="0" w:space="0" w:color="auto"/>
        <w:right w:val="none" w:sz="0" w:space="0" w:color="auto"/>
      </w:divBdr>
    </w:div>
    <w:div w:id="1683554714">
      <w:bodyDiv w:val="1"/>
      <w:marLeft w:val="0"/>
      <w:marRight w:val="0"/>
      <w:marTop w:val="0"/>
      <w:marBottom w:val="0"/>
      <w:divBdr>
        <w:top w:val="none" w:sz="0" w:space="0" w:color="auto"/>
        <w:left w:val="none" w:sz="0" w:space="0" w:color="auto"/>
        <w:bottom w:val="none" w:sz="0" w:space="0" w:color="auto"/>
        <w:right w:val="none" w:sz="0" w:space="0" w:color="auto"/>
      </w:divBdr>
    </w:div>
    <w:div w:id="1703090637">
      <w:bodyDiv w:val="1"/>
      <w:marLeft w:val="0"/>
      <w:marRight w:val="0"/>
      <w:marTop w:val="0"/>
      <w:marBottom w:val="0"/>
      <w:divBdr>
        <w:top w:val="none" w:sz="0" w:space="0" w:color="auto"/>
        <w:left w:val="none" w:sz="0" w:space="0" w:color="auto"/>
        <w:bottom w:val="none" w:sz="0" w:space="0" w:color="auto"/>
        <w:right w:val="none" w:sz="0" w:space="0" w:color="auto"/>
      </w:divBdr>
    </w:div>
    <w:div w:id="1704860815">
      <w:bodyDiv w:val="1"/>
      <w:marLeft w:val="0"/>
      <w:marRight w:val="0"/>
      <w:marTop w:val="0"/>
      <w:marBottom w:val="0"/>
      <w:divBdr>
        <w:top w:val="none" w:sz="0" w:space="0" w:color="auto"/>
        <w:left w:val="none" w:sz="0" w:space="0" w:color="auto"/>
        <w:bottom w:val="none" w:sz="0" w:space="0" w:color="auto"/>
        <w:right w:val="none" w:sz="0" w:space="0" w:color="auto"/>
      </w:divBdr>
      <w:divsChild>
        <w:div w:id="810633850">
          <w:marLeft w:val="1019"/>
          <w:marRight w:val="0"/>
          <w:marTop w:val="240"/>
          <w:marBottom w:val="0"/>
          <w:divBdr>
            <w:top w:val="single" w:sz="6" w:space="0" w:color="000000"/>
            <w:left w:val="single" w:sz="6" w:space="0" w:color="000000"/>
            <w:bottom w:val="single" w:sz="6" w:space="0" w:color="000000"/>
            <w:right w:val="single" w:sz="6" w:space="0" w:color="000000"/>
          </w:divBdr>
        </w:div>
      </w:divsChild>
    </w:div>
    <w:div w:id="1741177756">
      <w:bodyDiv w:val="1"/>
      <w:marLeft w:val="0"/>
      <w:marRight w:val="0"/>
      <w:marTop w:val="0"/>
      <w:marBottom w:val="0"/>
      <w:divBdr>
        <w:top w:val="none" w:sz="0" w:space="0" w:color="auto"/>
        <w:left w:val="none" w:sz="0" w:space="0" w:color="auto"/>
        <w:bottom w:val="none" w:sz="0" w:space="0" w:color="auto"/>
        <w:right w:val="none" w:sz="0" w:space="0" w:color="auto"/>
      </w:divBdr>
    </w:div>
    <w:div w:id="1767845671">
      <w:bodyDiv w:val="1"/>
      <w:marLeft w:val="0"/>
      <w:marRight w:val="0"/>
      <w:marTop w:val="0"/>
      <w:marBottom w:val="0"/>
      <w:divBdr>
        <w:top w:val="none" w:sz="0" w:space="0" w:color="auto"/>
        <w:left w:val="none" w:sz="0" w:space="0" w:color="auto"/>
        <w:bottom w:val="none" w:sz="0" w:space="0" w:color="auto"/>
        <w:right w:val="none" w:sz="0" w:space="0" w:color="auto"/>
      </w:divBdr>
    </w:div>
    <w:div w:id="1770736135">
      <w:bodyDiv w:val="1"/>
      <w:marLeft w:val="0"/>
      <w:marRight w:val="0"/>
      <w:marTop w:val="0"/>
      <w:marBottom w:val="0"/>
      <w:divBdr>
        <w:top w:val="none" w:sz="0" w:space="0" w:color="auto"/>
        <w:left w:val="none" w:sz="0" w:space="0" w:color="auto"/>
        <w:bottom w:val="none" w:sz="0" w:space="0" w:color="auto"/>
        <w:right w:val="none" w:sz="0" w:space="0" w:color="auto"/>
      </w:divBdr>
    </w:div>
    <w:div w:id="1775973807">
      <w:bodyDiv w:val="1"/>
      <w:marLeft w:val="0"/>
      <w:marRight w:val="0"/>
      <w:marTop w:val="0"/>
      <w:marBottom w:val="0"/>
      <w:divBdr>
        <w:top w:val="none" w:sz="0" w:space="0" w:color="auto"/>
        <w:left w:val="none" w:sz="0" w:space="0" w:color="auto"/>
        <w:bottom w:val="none" w:sz="0" w:space="0" w:color="auto"/>
        <w:right w:val="none" w:sz="0" w:space="0" w:color="auto"/>
      </w:divBdr>
    </w:div>
    <w:div w:id="1788163560">
      <w:bodyDiv w:val="1"/>
      <w:marLeft w:val="0"/>
      <w:marRight w:val="0"/>
      <w:marTop w:val="0"/>
      <w:marBottom w:val="0"/>
      <w:divBdr>
        <w:top w:val="none" w:sz="0" w:space="0" w:color="auto"/>
        <w:left w:val="none" w:sz="0" w:space="0" w:color="auto"/>
        <w:bottom w:val="none" w:sz="0" w:space="0" w:color="auto"/>
        <w:right w:val="none" w:sz="0" w:space="0" w:color="auto"/>
      </w:divBdr>
    </w:div>
    <w:div w:id="1805660412">
      <w:bodyDiv w:val="1"/>
      <w:marLeft w:val="0"/>
      <w:marRight w:val="0"/>
      <w:marTop w:val="0"/>
      <w:marBottom w:val="0"/>
      <w:divBdr>
        <w:top w:val="none" w:sz="0" w:space="0" w:color="auto"/>
        <w:left w:val="none" w:sz="0" w:space="0" w:color="auto"/>
        <w:bottom w:val="none" w:sz="0" w:space="0" w:color="auto"/>
        <w:right w:val="none" w:sz="0" w:space="0" w:color="auto"/>
      </w:divBdr>
    </w:div>
    <w:div w:id="1815634141">
      <w:bodyDiv w:val="1"/>
      <w:marLeft w:val="0"/>
      <w:marRight w:val="0"/>
      <w:marTop w:val="0"/>
      <w:marBottom w:val="0"/>
      <w:divBdr>
        <w:top w:val="none" w:sz="0" w:space="0" w:color="auto"/>
        <w:left w:val="none" w:sz="0" w:space="0" w:color="auto"/>
        <w:bottom w:val="none" w:sz="0" w:space="0" w:color="auto"/>
        <w:right w:val="none" w:sz="0" w:space="0" w:color="auto"/>
      </w:divBdr>
    </w:div>
    <w:div w:id="1829319525">
      <w:bodyDiv w:val="1"/>
      <w:marLeft w:val="0"/>
      <w:marRight w:val="0"/>
      <w:marTop w:val="0"/>
      <w:marBottom w:val="0"/>
      <w:divBdr>
        <w:top w:val="none" w:sz="0" w:space="0" w:color="auto"/>
        <w:left w:val="none" w:sz="0" w:space="0" w:color="auto"/>
        <w:bottom w:val="none" w:sz="0" w:space="0" w:color="auto"/>
        <w:right w:val="none" w:sz="0" w:space="0" w:color="auto"/>
      </w:divBdr>
    </w:div>
    <w:div w:id="1832871136">
      <w:bodyDiv w:val="1"/>
      <w:marLeft w:val="0"/>
      <w:marRight w:val="0"/>
      <w:marTop w:val="0"/>
      <w:marBottom w:val="0"/>
      <w:divBdr>
        <w:top w:val="none" w:sz="0" w:space="0" w:color="auto"/>
        <w:left w:val="none" w:sz="0" w:space="0" w:color="auto"/>
        <w:bottom w:val="none" w:sz="0" w:space="0" w:color="auto"/>
        <w:right w:val="none" w:sz="0" w:space="0" w:color="auto"/>
      </w:divBdr>
    </w:div>
    <w:div w:id="1837308884">
      <w:bodyDiv w:val="1"/>
      <w:marLeft w:val="0"/>
      <w:marRight w:val="0"/>
      <w:marTop w:val="0"/>
      <w:marBottom w:val="0"/>
      <w:divBdr>
        <w:top w:val="none" w:sz="0" w:space="0" w:color="auto"/>
        <w:left w:val="none" w:sz="0" w:space="0" w:color="auto"/>
        <w:bottom w:val="none" w:sz="0" w:space="0" w:color="auto"/>
        <w:right w:val="none" w:sz="0" w:space="0" w:color="auto"/>
      </w:divBdr>
    </w:div>
    <w:div w:id="1848862668">
      <w:bodyDiv w:val="1"/>
      <w:marLeft w:val="0"/>
      <w:marRight w:val="0"/>
      <w:marTop w:val="0"/>
      <w:marBottom w:val="0"/>
      <w:divBdr>
        <w:top w:val="none" w:sz="0" w:space="0" w:color="auto"/>
        <w:left w:val="none" w:sz="0" w:space="0" w:color="auto"/>
        <w:bottom w:val="none" w:sz="0" w:space="0" w:color="auto"/>
        <w:right w:val="none" w:sz="0" w:space="0" w:color="auto"/>
      </w:divBdr>
    </w:div>
    <w:div w:id="1860850129">
      <w:bodyDiv w:val="1"/>
      <w:marLeft w:val="0"/>
      <w:marRight w:val="0"/>
      <w:marTop w:val="0"/>
      <w:marBottom w:val="0"/>
      <w:divBdr>
        <w:top w:val="none" w:sz="0" w:space="0" w:color="auto"/>
        <w:left w:val="none" w:sz="0" w:space="0" w:color="auto"/>
        <w:bottom w:val="none" w:sz="0" w:space="0" w:color="auto"/>
        <w:right w:val="none" w:sz="0" w:space="0" w:color="auto"/>
      </w:divBdr>
    </w:div>
    <w:div w:id="1870679429">
      <w:bodyDiv w:val="1"/>
      <w:marLeft w:val="0"/>
      <w:marRight w:val="0"/>
      <w:marTop w:val="0"/>
      <w:marBottom w:val="0"/>
      <w:divBdr>
        <w:top w:val="none" w:sz="0" w:space="0" w:color="auto"/>
        <w:left w:val="none" w:sz="0" w:space="0" w:color="auto"/>
        <w:bottom w:val="none" w:sz="0" w:space="0" w:color="auto"/>
        <w:right w:val="none" w:sz="0" w:space="0" w:color="auto"/>
      </w:divBdr>
    </w:div>
    <w:div w:id="1908761912">
      <w:bodyDiv w:val="1"/>
      <w:marLeft w:val="0"/>
      <w:marRight w:val="0"/>
      <w:marTop w:val="0"/>
      <w:marBottom w:val="0"/>
      <w:divBdr>
        <w:top w:val="none" w:sz="0" w:space="0" w:color="auto"/>
        <w:left w:val="none" w:sz="0" w:space="0" w:color="auto"/>
        <w:bottom w:val="none" w:sz="0" w:space="0" w:color="auto"/>
        <w:right w:val="none" w:sz="0" w:space="0" w:color="auto"/>
      </w:divBdr>
    </w:div>
    <w:div w:id="1914925939">
      <w:bodyDiv w:val="1"/>
      <w:marLeft w:val="0"/>
      <w:marRight w:val="0"/>
      <w:marTop w:val="0"/>
      <w:marBottom w:val="0"/>
      <w:divBdr>
        <w:top w:val="none" w:sz="0" w:space="0" w:color="auto"/>
        <w:left w:val="none" w:sz="0" w:space="0" w:color="auto"/>
        <w:bottom w:val="none" w:sz="0" w:space="0" w:color="auto"/>
        <w:right w:val="none" w:sz="0" w:space="0" w:color="auto"/>
      </w:divBdr>
    </w:div>
    <w:div w:id="1925872976">
      <w:bodyDiv w:val="1"/>
      <w:marLeft w:val="0"/>
      <w:marRight w:val="0"/>
      <w:marTop w:val="0"/>
      <w:marBottom w:val="0"/>
      <w:divBdr>
        <w:top w:val="none" w:sz="0" w:space="0" w:color="auto"/>
        <w:left w:val="none" w:sz="0" w:space="0" w:color="auto"/>
        <w:bottom w:val="none" w:sz="0" w:space="0" w:color="auto"/>
        <w:right w:val="none" w:sz="0" w:space="0" w:color="auto"/>
      </w:divBdr>
    </w:div>
    <w:div w:id="1941336027">
      <w:bodyDiv w:val="1"/>
      <w:marLeft w:val="0"/>
      <w:marRight w:val="0"/>
      <w:marTop w:val="0"/>
      <w:marBottom w:val="0"/>
      <w:divBdr>
        <w:top w:val="none" w:sz="0" w:space="0" w:color="auto"/>
        <w:left w:val="none" w:sz="0" w:space="0" w:color="auto"/>
        <w:bottom w:val="none" w:sz="0" w:space="0" w:color="auto"/>
        <w:right w:val="none" w:sz="0" w:space="0" w:color="auto"/>
      </w:divBdr>
    </w:div>
    <w:div w:id="1946502484">
      <w:bodyDiv w:val="1"/>
      <w:marLeft w:val="0"/>
      <w:marRight w:val="0"/>
      <w:marTop w:val="0"/>
      <w:marBottom w:val="0"/>
      <w:divBdr>
        <w:top w:val="none" w:sz="0" w:space="0" w:color="auto"/>
        <w:left w:val="none" w:sz="0" w:space="0" w:color="auto"/>
        <w:bottom w:val="none" w:sz="0" w:space="0" w:color="auto"/>
        <w:right w:val="none" w:sz="0" w:space="0" w:color="auto"/>
      </w:divBdr>
      <w:divsChild>
        <w:div w:id="887760905">
          <w:marLeft w:val="1019"/>
          <w:marRight w:val="0"/>
          <w:marTop w:val="240"/>
          <w:marBottom w:val="0"/>
          <w:divBdr>
            <w:top w:val="single" w:sz="6" w:space="0" w:color="000000"/>
            <w:left w:val="single" w:sz="6" w:space="0" w:color="000000"/>
            <w:bottom w:val="single" w:sz="6" w:space="0" w:color="000000"/>
            <w:right w:val="single" w:sz="6" w:space="0" w:color="000000"/>
          </w:divBdr>
        </w:div>
      </w:divsChild>
    </w:div>
    <w:div w:id="1947806335">
      <w:bodyDiv w:val="1"/>
      <w:marLeft w:val="0"/>
      <w:marRight w:val="0"/>
      <w:marTop w:val="0"/>
      <w:marBottom w:val="0"/>
      <w:divBdr>
        <w:top w:val="none" w:sz="0" w:space="0" w:color="auto"/>
        <w:left w:val="none" w:sz="0" w:space="0" w:color="auto"/>
        <w:bottom w:val="none" w:sz="0" w:space="0" w:color="auto"/>
        <w:right w:val="none" w:sz="0" w:space="0" w:color="auto"/>
      </w:divBdr>
    </w:div>
    <w:div w:id="1952280786">
      <w:bodyDiv w:val="1"/>
      <w:marLeft w:val="0"/>
      <w:marRight w:val="0"/>
      <w:marTop w:val="0"/>
      <w:marBottom w:val="0"/>
      <w:divBdr>
        <w:top w:val="none" w:sz="0" w:space="0" w:color="auto"/>
        <w:left w:val="none" w:sz="0" w:space="0" w:color="auto"/>
        <w:bottom w:val="none" w:sz="0" w:space="0" w:color="auto"/>
        <w:right w:val="none" w:sz="0" w:space="0" w:color="auto"/>
      </w:divBdr>
    </w:div>
    <w:div w:id="1954827087">
      <w:bodyDiv w:val="1"/>
      <w:marLeft w:val="0"/>
      <w:marRight w:val="0"/>
      <w:marTop w:val="0"/>
      <w:marBottom w:val="0"/>
      <w:divBdr>
        <w:top w:val="none" w:sz="0" w:space="0" w:color="auto"/>
        <w:left w:val="none" w:sz="0" w:space="0" w:color="auto"/>
        <w:bottom w:val="none" w:sz="0" w:space="0" w:color="auto"/>
        <w:right w:val="none" w:sz="0" w:space="0" w:color="auto"/>
      </w:divBdr>
    </w:div>
    <w:div w:id="1955361443">
      <w:bodyDiv w:val="1"/>
      <w:marLeft w:val="0"/>
      <w:marRight w:val="0"/>
      <w:marTop w:val="0"/>
      <w:marBottom w:val="0"/>
      <w:divBdr>
        <w:top w:val="none" w:sz="0" w:space="0" w:color="auto"/>
        <w:left w:val="none" w:sz="0" w:space="0" w:color="auto"/>
        <w:bottom w:val="none" w:sz="0" w:space="0" w:color="auto"/>
        <w:right w:val="none" w:sz="0" w:space="0" w:color="auto"/>
      </w:divBdr>
    </w:div>
    <w:div w:id="1963224535">
      <w:bodyDiv w:val="1"/>
      <w:marLeft w:val="0"/>
      <w:marRight w:val="0"/>
      <w:marTop w:val="0"/>
      <w:marBottom w:val="0"/>
      <w:divBdr>
        <w:top w:val="none" w:sz="0" w:space="0" w:color="auto"/>
        <w:left w:val="none" w:sz="0" w:space="0" w:color="auto"/>
        <w:bottom w:val="none" w:sz="0" w:space="0" w:color="auto"/>
        <w:right w:val="none" w:sz="0" w:space="0" w:color="auto"/>
      </w:divBdr>
    </w:div>
    <w:div w:id="1963609193">
      <w:bodyDiv w:val="1"/>
      <w:marLeft w:val="0"/>
      <w:marRight w:val="0"/>
      <w:marTop w:val="0"/>
      <w:marBottom w:val="0"/>
      <w:divBdr>
        <w:top w:val="none" w:sz="0" w:space="0" w:color="auto"/>
        <w:left w:val="none" w:sz="0" w:space="0" w:color="auto"/>
        <w:bottom w:val="none" w:sz="0" w:space="0" w:color="auto"/>
        <w:right w:val="none" w:sz="0" w:space="0" w:color="auto"/>
      </w:divBdr>
    </w:div>
    <w:div w:id="1968467671">
      <w:bodyDiv w:val="1"/>
      <w:marLeft w:val="0"/>
      <w:marRight w:val="0"/>
      <w:marTop w:val="0"/>
      <w:marBottom w:val="0"/>
      <w:divBdr>
        <w:top w:val="none" w:sz="0" w:space="0" w:color="auto"/>
        <w:left w:val="none" w:sz="0" w:space="0" w:color="auto"/>
        <w:bottom w:val="none" w:sz="0" w:space="0" w:color="auto"/>
        <w:right w:val="none" w:sz="0" w:space="0" w:color="auto"/>
      </w:divBdr>
    </w:div>
    <w:div w:id="2002347297">
      <w:bodyDiv w:val="1"/>
      <w:marLeft w:val="0"/>
      <w:marRight w:val="0"/>
      <w:marTop w:val="0"/>
      <w:marBottom w:val="0"/>
      <w:divBdr>
        <w:top w:val="none" w:sz="0" w:space="0" w:color="auto"/>
        <w:left w:val="none" w:sz="0" w:space="0" w:color="auto"/>
        <w:bottom w:val="none" w:sz="0" w:space="0" w:color="auto"/>
        <w:right w:val="none" w:sz="0" w:space="0" w:color="auto"/>
      </w:divBdr>
    </w:div>
    <w:div w:id="2004314209">
      <w:bodyDiv w:val="1"/>
      <w:marLeft w:val="0"/>
      <w:marRight w:val="0"/>
      <w:marTop w:val="0"/>
      <w:marBottom w:val="0"/>
      <w:divBdr>
        <w:top w:val="none" w:sz="0" w:space="0" w:color="auto"/>
        <w:left w:val="none" w:sz="0" w:space="0" w:color="auto"/>
        <w:bottom w:val="none" w:sz="0" w:space="0" w:color="auto"/>
        <w:right w:val="none" w:sz="0" w:space="0" w:color="auto"/>
      </w:divBdr>
    </w:div>
    <w:div w:id="2004971998">
      <w:bodyDiv w:val="1"/>
      <w:marLeft w:val="0"/>
      <w:marRight w:val="0"/>
      <w:marTop w:val="0"/>
      <w:marBottom w:val="0"/>
      <w:divBdr>
        <w:top w:val="none" w:sz="0" w:space="0" w:color="auto"/>
        <w:left w:val="none" w:sz="0" w:space="0" w:color="auto"/>
        <w:bottom w:val="none" w:sz="0" w:space="0" w:color="auto"/>
        <w:right w:val="none" w:sz="0" w:space="0" w:color="auto"/>
      </w:divBdr>
    </w:div>
    <w:div w:id="2013296504">
      <w:bodyDiv w:val="1"/>
      <w:marLeft w:val="0"/>
      <w:marRight w:val="0"/>
      <w:marTop w:val="0"/>
      <w:marBottom w:val="0"/>
      <w:divBdr>
        <w:top w:val="none" w:sz="0" w:space="0" w:color="auto"/>
        <w:left w:val="none" w:sz="0" w:space="0" w:color="auto"/>
        <w:bottom w:val="none" w:sz="0" w:space="0" w:color="auto"/>
        <w:right w:val="none" w:sz="0" w:space="0" w:color="auto"/>
      </w:divBdr>
    </w:div>
    <w:div w:id="2018727383">
      <w:bodyDiv w:val="1"/>
      <w:marLeft w:val="0"/>
      <w:marRight w:val="0"/>
      <w:marTop w:val="0"/>
      <w:marBottom w:val="0"/>
      <w:divBdr>
        <w:top w:val="none" w:sz="0" w:space="0" w:color="auto"/>
        <w:left w:val="none" w:sz="0" w:space="0" w:color="auto"/>
        <w:bottom w:val="none" w:sz="0" w:space="0" w:color="auto"/>
        <w:right w:val="none" w:sz="0" w:space="0" w:color="auto"/>
      </w:divBdr>
    </w:div>
    <w:div w:id="2042434151">
      <w:bodyDiv w:val="1"/>
      <w:marLeft w:val="0"/>
      <w:marRight w:val="0"/>
      <w:marTop w:val="0"/>
      <w:marBottom w:val="0"/>
      <w:divBdr>
        <w:top w:val="none" w:sz="0" w:space="0" w:color="auto"/>
        <w:left w:val="none" w:sz="0" w:space="0" w:color="auto"/>
        <w:bottom w:val="none" w:sz="0" w:space="0" w:color="auto"/>
        <w:right w:val="none" w:sz="0" w:space="0" w:color="auto"/>
      </w:divBdr>
    </w:div>
    <w:div w:id="2059236418">
      <w:bodyDiv w:val="1"/>
      <w:marLeft w:val="0"/>
      <w:marRight w:val="0"/>
      <w:marTop w:val="0"/>
      <w:marBottom w:val="0"/>
      <w:divBdr>
        <w:top w:val="none" w:sz="0" w:space="0" w:color="auto"/>
        <w:left w:val="none" w:sz="0" w:space="0" w:color="auto"/>
        <w:bottom w:val="none" w:sz="0" w:space="0" w:color="auto"/>
        <w:right w:val="none" w:sz="0" w:space="0" w:color="auto"/>
      </w:divBdr>
    </w:div>
    <w:div w:id="2074499435">
      <w:bodyDiv w:val="1"/>
      <w:marLeft w:val="0"/>
      <w:marRight w:val="0"/>
      <w:marTop w:val="0"/>
      <w:marBottom w:val="0"/>
      <w:divBdr>
        <w:top w:val="none" w:sz="0" w:space="0" w:color="auto"/>
        <w:left w:val="none" w:sz="0" w:space="0" w:color="auto"/>
        <w:bottom w:val="none" w:sz="0" w:space="0" w:color="auto"/>
        <w:right w:val="none" w:sz="0" w:space="0" w:color="auto"/>
      </w:divBdr>
    </w:div>
    <w:div w:id="2075422952">
      <w:bodyDiv w:val="1"/>
      <w:marLeft w:val="0"/>
      <w:marRight w:val="0"/>
      <w:marTop w:val="0"/>
      <w:marBottom w:val="0"/>
      <w:divBdr>
        <w:top w:val="none" w:sz="0" w:space="0" w:color="auto"/>
        <w:left w:val="none" w:sz="0" w:space="0" w:color="auto"/>
        <w:bottom w:val="none" w:sz="0" w:space="0" w:color="auto"/>
        <w:right w:val="none" w:sz="0" w:space="0" w:color="auto"/>
      </w:divBdr>
      <w:divsChild>
        <w:div w:id="979767344">
          <w:marLeft w:val="1019"/>
          <w:marRight w:val="0"/>
          <w:marTop w:val="240"/>
          <w:marBottom w:val="0"/>
          <w:divBdr>
            <w:top w:val="single" w:sz="6" w:space="0" w:color="000000"/>
            <w:left w:val="single" w:sz="6" w:space="0" w:color="000000"/>
            <w:bottom w:val="single" w:sz="6" w:space="0" w:color="000000"/>
            <w:right w:val="single" w:sz="6" w:space="0" w:color="000000"/>
          </w:divBdr>
        </w:div>
      </w:divsChild>
    </w:div>
    <w:div w:id="2083091751">
      <w:bodyDiv w:val="1"/>
      <w:marLeft w:val="0"/>
      <w:marRight w:val="0"/>
      <w:marTop w:val="0"/>
      <w:marBottom w:val="0"/>
      <w:divBdr>
        <w:top w:val="none" w:sz="0" w:space="0" w:color="auto"/>
        <w:left w:val="none" w:sz="0" w:space="0" w:color="auto"/>
        <w:bottom w:val="none" w:sz="0" w:space="0" w:color="auto"/>
        <w:right w:val="none" w:sz="0" w:space="0" w:color="auto"/>
      </w:divBdr>
    </w:div>
    <w:div w:id="2083481367">
      <w:bodyDiv w:val="1"/>
      <w:marLeft w:val="0"/>
      <w:marRight w:val="0"/>
      <w:marTop w:val="0"/>
      <w:marBottom w:val="0"/>
      <w:divBdr>
        <w:top w:val="none" w:sz="0" w:space="0" w:color="auto"/>
        <w:left w:val="none" w:sz="0" w:space="0" w:color="auto"/>
        <w:bottom w:val="none" w:sz="0" w:space="0" w:color="auto"/>
        <w:right w:val="none" w:sz="0" w:space="0" w:color="auto"/>
      </w:divBdr>
    </w:div>
    <w:div w:id="2106686670">
      <w:bodyDiv w:val="1"/>
      <w:marLeft w:val="0"/>
      <w:marRight w:val="0"/>
      <w:marTop w:val="0"/>
      <w:marBottom w:val="0"/>
      <w:divBdr>
        <w:top w:val="none" w:sz="0" w:space="0" w:color="auto"/>
        <w:left w:val="none" w:sz="0" w:space="0" w:color="auto"/>
        <w:bottom w:val="none" w:sz="0" w:space="0" w:color="auto"/>
        <w:right w:val="none" w:sz="0" w:space="0" w:color="auto"/>
      </w:divBdr>
    </w:div>
    <w:div w:id="2111311101">
      <w:bodyDiv w:val="1"/>
      <w:marLeft w:val="0"/>
      <w:marRight w:val="0"/>
      <w:marTop w:val="0"/>
      <w:marBottom w:val="0"/>
      <w:divBdr>
        <w:top w:val="none" w:sz="0" w:space="0" w:color="auto"/>
        <w:left w:val="none" w:sz="0" w:space="0" w:color="auto"/>
        <w:bottom w:val="none" w:sz="0" w:space="0" w:color="auto"/>
        <w:right w:val="none" w:sz="0" w:space="0" w:color="auto"/>
      </w:divBdr>
      <w:divsChild>
        <w:div w:id="1082263806">
          <w:marLeft w:val="1019"/>
          <w:marRight w:val="0"/>
          <w:marTop w:val="240"/>
          <w:marBottom w:val="0"/>
          <w:divBdr>
            <w:top w:val="single" w:sz="6" w:space="0" w:color="000000"/>
            <w:left w:val="single" w:sz="6" w:space="0" w:color="000000"/>
            <w:bottom w:val="single" w:sz="6" w:space="0" w:color="000000"/>
            <w:right w:val="single" w:sz="6" w:space="0" w:color="000000"/>
          </w:divBdr>
        </w:div>
      </w:divsChild>
    </w:div>
    <w:div w:id="2128044665">
      <w:bodyDiv w:val="1"/>
      <w:marLeft w:val="0"/>
      <w:marRight w:val="0"/>
      <w:marTop w:val="0"/>
      <w:marBottom w:val="0"/>
      <w:divBdr>
        <w:top w:val="none" w:sz="0" w:space="0" w:color="auto"/>
        <w:left w:val="none" w:sz="0" w:space="0" w:color="auto"/>
        <w:bottom w:val="none" w:sz="0" w:space="0" w:color="auto"/>
        <w:right w:val="none" w:sz="0" w:space="0" w:color="auto"/>
      </w:divBdr>
    </w:div>
    <w:div w:id="213405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footer" Target="footer5.xml"/><Relationship Id="rId42" Type="http://schemas.openxmlformats.org/officeDocument/2006/relationships/image" Target="media/image20.png"/><Relationship Id="rId47" Type="http://schemas.openxmlformats.org/officeDocument/2006/relationships/image" Target="media/image25.png"/><Relationship Id="rId63" Type="http://schemas.openxmlformats.org/officeDocument/2006/relationships/header" Target="header7.xml"/><Relationship Id="rId68" Type="http://schemas.openxmlformats.org/officeDocument/2006/relationships/footer" Target="footer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7.png"/><Relationship Id="rId11" Type="http://schemas.openxmlformats.org/officeDocument/2006/relationships/image" Target="media/image1.jpg"/><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image" Target="media/image31.png"/><Relationship Id="rId58" Type="http://schemas.openxmlformats.org/officeDocument/2006/relationships/image" Target="media/image36.png"/><Relationship Id="rId66" Type="http://schemas.openxmlformats.org/officeDocument/2006/relationships/footer" Target="footer8.xml"/><Relationship Id="rId5" Type="http://schemas.openxmlformats.org/officeDocument/2006/relationships/numbering" Target="numbering.xml"/><Relationship Id="rId61" Type="http://schemas.openxmlformats.org/officeDocument/2006/relationships/image" Target="media/image39.png"/><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image" Target="media/image26.png"/><Relationship Id="rId56" Type="http://schemas.openxmlformats.org/officeDocument/2006/relationships/image" Target="media/image34.png"/><Relationship Id="rId64" Type="http://schemas.openxmlformats.org/officeDocument/2006/relationships/header" Target="header8.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9.pn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image" Target="media/image24.png"/><Relationship Id="rId59" Type="http://schemas.openxmlformats.org/officeDocument/2006/relationships/image" Target="media/image37.png"/><Relationship Id="rId67" Type="http://schemas.openxmlformats.org/officeDocument/2006/relationships/header" Target="header9.xml"/><Relationship Id="rId20" Type="http://schemas.openxmlformats.org/officeDocument/2006/relationships/footer" Target="footer4.xml"/><Relationship Id="rId41" Type="http://schemas.openxmlformats.org/officeDocument/2006/relationships/image" Target="media/image19.png"/><Relationship Id="rId54" Type="http://schemas.openxmlformats.org/officeDocument/2006/relationships/image" Target="media/image32.png"/><Relationship Id="rId62" Type="http://schemas.openxmlformats.org/officeDocument/2006/relationships/image" Target="media/image40.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image" Target="media/image27.png"/><Relationship Id="rId57" Type="http://schemas.openxmlformats.org/officeDocument/2006/relationships/image" Target="media/image35.png"/><Relationship Id="rId10" Type="http://schemas.openxmlformats.org/officeDocument/2006/relationships/endnotes" Target="endnotes.xml"/><Relationship Id="rId31" Type="http://schemas.openxmlformats.org/officeDocument/2006/relationships/image" Target="media/image9.png"/><Relationship Id="rId44" Type="http://schemas.openxmlformats.org/officeDocument/2006/relationships/image" Target="media/image22.png"/><Relationship Id="rId52" Type="http://schemas.openxmlformats.org/officeDocument/2006/relationships/image" Target="media/image30.png"/><Relationship Id="rId60" Type="http://schemas.openxmlformats.org/officeDocument/2006/relationships/image" Target="media/image38.png"/><Relationship Id="rId65"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image" Target="media/image17.png"/><Relationship Id="rId34" Type="http://schemas.openxmlformats.org/officeDocument/2006/relationships/image" Target="media/image12.png"/><Relationship Id="rId50" Type="http://schemas.openxmlformats.org/officeDocument/2006/relationships/image" Target="media/image28.png"/><Relationship Id="rId55" Type="http://schemas.openxmlformats.org/officeDocument/2006/relationships/image" Target="media/image33.pn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byHAKIM\Downloads\template_-_principal_instrumen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95247a4-6a6b-40fb-87b6-0fb2f012c536" xsi:nil="true"/>
    <lcf76f155ced4ddcb4097134ff3c332f xmlns="33864d81-0e7d-42cc-b679-620ae13cfe5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FBFD73CF21D64D83DD0F1D704C5864" ma:contentTypeVersion="6" ma:contentTypeDescription="Create a new document." ma:contentTypeScope="" ma:versionID="7e2b02e22489ccdce5a39760dff7969d">
  <xsd:schema xmlns:xsd="http://www.w3.org/2001/XMLSchema" xmlns:xs="http://www.w3.org/2001/XMLSchema" xmlns:p="http://schemas.microsoft.com/office/2006/metadata/properties" xmlns:ns1="http://schemas.microsoft.com/sharepoint/v3" xmlns:ns2="e8957c0a-88f0-48d8-84e6-1717e1b58c1a" xmlns:ns3="0802d0eb-7bad-4cd2-a72b-adb0d3226537" xmlns:ns4="33864d81-0e7d-42cc-b679-620ae13cfe5e" xmlns:ns5="a95247a4-6a6b-40fb-87b6-0fb2f012c536" targetNamespace="http://schemas.microsoft.com/office/2006/metadata/properties" ma:root="true" ma:fieldsID="7c52ff43481d9b10f667fd29741296af" ns1:_="" ns2:_="" ns3:_="" ns4:_="" ns5:_="">
    <xsd:import namespace="http://schemas.microsoft.com/sharepoint/v3"/>
    <xsd:import namespace="e8957c0a-88f0-48d8-84e6-1717e1b58c1a"/>
    <xsd:import namespace="0802d0eb-7bad-4cd2-a72b-adb0d3226537"/>
    <xsd:import namespace="33864d81-0e7d-42cc-b679-620ae13cfe5e"/>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4:lcf76f155ced4ddcb4097134ff3c332f" minOccurs="0"/>
                <xsd:element ref="ns5: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957c0a-88f0-48d8-84e6-1717e1b58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02d0eb-7bad-4cd2-a72b-adb0d32265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64d81-0e7d-42cc-b679-620ae13cfe5e"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6ea3b9d-704c-401e-861c-cb41707da411}"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713C6-F433-4772-80E9-6EA307806B78}">
  <ds:schemaRefs>
    <ds:schemaRef ds:uri="http://schemas.microsoft.com/sharepoint/v3/contenttype/forms"/>
  </ds:schemaRefs>
</ds:datastoreItem>
</file>

<file path=customXml/itemProps2.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customXml/itemProps3.xml><?xml version="1.0" encoding="utf-8"?>
<ds:datastoreItem xmlns:ds="http://schemas.openxmlformats.org/officeDocument/2006/customXml" ds:itemID="{63C36342-61F7-4192-92D8-4B7DFEEC1774}">
  <ds:schemaRefs>
    <ds:schemaRef ds:uri="http://purl.org/dc/terms/"/>
    <ds:schemaRef ds:uri="http://purl.org/dc/elements/1.1/"/>
    <ds:schemaRef ds:uri="http://purl.org/dc/dcmitype/"/>
    <ds:schemaRef ds:uri="http://schemas.microsoft.com/office/2006/metadata/properties"/>
    <ds:schemaRef ds:uri="http://www.w3.org/XML/1998/namespace"/>
    <ds:schemaRef ds:uri="e8957c0a-88f0-48d8-84e6-1717e1b58c1a"/>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a95247a4-6a6b-40fb-87b6-0fb2f012c536"/>
    <ds:schemaRef ds:uri="33864d81-0e7d-42cc-b679-620ae13cfe5e"/>
    <ds:schemaRef ds:uri="0802d0eb-7bad-4cd2-a72b-adb0d3226537"/>
  </ds:schemaRefs>
</ds:datastoreItem>
</file>

<file path=customXml/itemProps4.xml><?xml version="1.0" encoding="utf-8"?>
<ds:datastoreItem xmlns:ds="http://schemas.openxmlformats.org/officeDocument/2006/customXml" ds:itemID="{B26BADD9-8EEF-4F98-A268-EA4E37452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957c0a-88f0-48d8-84e6-1717e1b58c1a"/>
    <ds:schemaRef ds:uri="0802d0eb-7bad-4cd2-a72b-adb0d3226537"/>
    <ds:schemaRef ds:uri="33864d81-0e7d-42cc-b679-620ae13cfe5e"/>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378bd7c-d1a7-464b-a6ca-81dd9df9ed2e}"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template_-_principal_instrument (1)</Template>
  <TotalTime>2</TotalTime>
  <Pages>45</Pages>
  <Words>12353</Words>
  <Characters>70414</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HAKIM</dc:creator>
  <cp:keywords/>
  <cp:lastModifiedBy>Verena PICHLER</cp:lastModifiedBy>
  <cp:revision>3</cp:revision>
  <cp:lastPrinted>2025-07-11T05:35:00Z</cp:lastPrinted>
  <dcterms:created xsi:type="dcterms:W3CDTF">2025-08-08T05:12:00Z</dcterms:created>
  <dcterms:modified xsi:type="dcterms:W3CDTF">2025-08-08T05:13:00Z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0x0101006EFBFD73CF21D64D83DD0F1D704C5864</vt:lpwstr>
  </property>
  <property fmtid="{D5CDD505-2E9C-101B-9397-08002B2CF9AE}" pid="3" name="ClassificationContentMarkingHeaderShapeIds">
    <vt:lpwstr>f9a3c0f,48aab572,6154ec7d,2fc30282,734ce890,5381663e,467af6f5,1a5f5640,76bdb24f</vt:lpwstr>
  </property>
  <property fmtid="{D5CDD505-2E9C-101B-9397-08002B2CF9AE}" pid="4" name="ClassificationContentMarkingHeaderFontProps">
    <vt:lpwstr>#ff0000,12,Calibri</vt:lpwstr>
  </property>
  <property fmtid="{D5CDD505-2E9C-101B-9397-08002B2CF9AE}" pid="5" name="ClassificationContentMarkingHeaderText">
    <vt:lpwstr>OFFICIAL: Sensitive Legal-Privilege</vt:lpwstr>
  </property>
  <property fmtid="{D5CDD505-2E9C-101B-9397-08002B2CF9AE}" pid="6" name="ClassificationContentMarkingFooterShapeIds">
    <vt:lpwstr>44fc5eb4,1018f672,18dbf73,29b503df,1aedb067,200f04f1,152772ff,64c33970,6aa87411</vt:lpwstr>
  </property>
  <property fmtid="{D5CDD505-2E9C-101B-9397-08002B2CF9AE}" pid="7" name="ClassificationContentMarkingFooterFontProps">
    <vt:lpwstr>#ff0000,12,Calibri</vt:lpwstr>
  </property>
  <property fmtid="{D5CDD505-2E9C-101B-9397-08002B2CF9AE}" pid="8" name="ClassificationContentMarkingFooterText">
    <vt:lpwstr>OFFICIAL: Sensitive Legal-Privilege</vt:lpwstr>
  </property>
  <property fmtid="{D5CDD505-2E9C-101B-9397-08002B2CF9AE}" pid="9" name="MediaServiceImageTags">
    <vt:lpwstr/>
  </property>
</Properties>
</file>