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E88D" w14:textId="77777777" w:rsidR="001D2768" w:rsidRDefault="001D2768">
      <w:pPr>
        <w:widowControl/>
        <w:spacing w:after="240"/>
        <w:jc w:val="center"/>
        <w:rPr>
          <w:b/>
          <w:sz w:val="28"/>
          <w:szCs w:val="28"/>
          <w:lang w:val="en-GB"/>
        </w:rPr>
      </w:pPr>
      <w:r>
        <w:rPr>
          <w:b/>
          <w:sz w:val="28"/>
          <w:szCs w:val="28"/>
          <w:lang w:val="en-GB"/>
        </w:rPr>
        <w:t>Wildlife Trade Operation Application</w:t>
      </w:r>
    </w:p>
    <w:p w14:paraId="4C1540F7" w14:textId="77777777" w:rsidR="001D2768" w:rsidRPr="00B45F1D" w:rsidRDefault="001D2768">
      <w:pPr>
        <w:widowControl/>
        <w:spacing w:after="240"/>
        <w:jc w:val="center"/>
        <w:rPr>
          <w:sz w:val="24"/>
          <w:szCs w:val="24"/>
          <w:lang w:val="en-GB"/>
        </w:rPr>
      </w:pPr>
    </w:p>
    <w:p w14:paraId="666A121A" w14:textId="77777777" w:rsidR="001D2768" w:rsidRDefault="001D2768">
      <w:pPr>
        <w:widowControl/>
        <w:spacing w:after="240"/>
        <w:jc w:val="center"/>
        <w:rPr>
          <w:b/>
          <w:sz w:val="32"/>
          <w:szCs w:val="32"/>
          <w:lang w:val="en-GB"/>
        </w:rPr>
      </w:pPr>
      <w:r>
        <w:rPr>
          <w:b/>
          <w:sz w:val="32"/>
          <w:szCs w:val="32"/>
          <w:lang w:val="en-GB"/>
        </w:rPr>
        <w:t>Management Plan for the Commercial Harvest a</w:t>
      </w:r>
      <w:r w:rsidR="005E22D5">
        <w:rPr>
          <w:b/>
          <w:sz w:val="32"/>
          <w:szCs w:val="32"/>
          <w:lang w:val="en-GB"/>
        </w:rPr>
        <w:t xml:space="preserve">nd Export of </w:t>
      </w:r>
      <w:r w:rsidR="009737E0">
        <w:rPr>
          <w:b/>
          <w:sz w:val="32"/>
          <w:szCs w:val="32"/>
          <w:lang w:val="en-GB"/>
        </w:rPr>
        <w:t>Wallaby</w:t>
      </w:r>
      <w:r>
        <w:rPr>
          <w:b/>
          <w:sz w:val="32"/>
          <w:szCs w:val="32"/>
          <w:lang w:val="en-GB"/>
        </w:rPr>
        <w:t xml:space="preserve"> from Tasmania</w:t>
      </w:r>
    </w:p>
    <w:p w14:paraId="0E456F80" w14:textId="77777777" w:rsidR="001D2768" w:rsidRDefault="004665AE" w:rsidP="004665AE">
      <w:pPr>
        <w:widowControl/>
        <w:tabs>
          <w:tab w:val="left" w:pos="7992"/>
        </w:tabs>
        <w:spacing w:after="240"/>
        <w:jc w:val="left"/>
        <w:rPr>
          <w:b/>
          <w:sz w:val="24"/>
          <w:szCs w:val="24"/>
          <w:lang w:val="en-GB"/>
        </w:rPr>
      </w:pPr>
      <w:r>
        <w:rPr>
          <w:b/>
          <w:sz w:val="24"/>
          <w:szCs w:val="24"/>
          <w:lang w:val="en-GB"/>
        </w:rPr>
        <w:tab/>
      </w:r>
    </w:p>
    <w:p w14:paraId="18D3453D" w14:textId="77777777" w:rsidR="001D2768" w:rsidRDefault="001D2768" w:rsidP="00B9545C">
      <w:pPr>
        <w:widowControl/>
        <w:jc w:val="center"/>
        <w:rPr>
          <w:b/>
          <w:sz w:val="24"/>
          <w:szCs w:val="24"/>
          <w:lang w:val="en-GB"/>
        </w:rPr>
      </w:pPr>
      <w:r>
        <w:rPr>
          <w:b/>
          <w:sz w:val="24"/>
          <w:szCs w:val="24"/>
          <w:lang w:val="en-GB"/>
        </w:rPr>
        <w:t>Lenah Game Meats Pty. Ltd.</w:t>
      </w:r>
    </w:p>
    <w:p w14:paraId="7C13F06D" w14:textId="77777777" w:rsidR="001D2768" w:rsidRDefault="001D2768">
      <w:pPr>
        <w:widowControl/>
        <w:spacing w:before="240" w:after="240"/>
        <w:rPr>
          <w:b/>
          <w:sz w:val="28"/>
          <w:szCs w:val="28"/>
          <w:lang w:val="en-GB"/>
        </w:rPr>
      </w:pPr>
      <w:r>
        <w:rPr>
          <w:b/>
          <w:sz w:val="28"/>
          <w:szCs w:val="28"/>
          <w:lang w:val="en-GB"/>
        </w:rPr>
        <w:t>1. Introduction</w:t>
      </w:r>
    </w:p>
    <w:p w14:paraId="23FB7970" w14:textId="439C1AB5" w:rsidR="005E22D5" w:rsidRDefault="001D2768">
      <w:pPr>
        <w:widowControl/>
        <w:spacing w:after="120"/>
        <w:rPr>
          <w:sz w:val="24"/>
          <w:szCs w:val="24"/>
          <w:lang w:val="en-GB"/>
        </w:rPr>
      </w:pPr>
      <w:r>
        <w:rPr>
          <w:sz w:val="24"/>
          <w:szCs w:val="24"/>
          <w:lang w:val="en-GB"/>
        </w:rPr>
        <w:t xml:space="preserve">This </w:t>
      </w:r>
      <w:r w:rsidR="00B7707D">
        <w:rPr>
          <w:sz w:val="24"/>
          <w:szCs w:val="24"/>
          <w:lang w:val="en-GB"/>
        </w:rPr>
        <w:t>p</w:t>
      </w:r>
      <w:r>
        <w:rPr>
          <w:sz w:val="24"/>
          <w:szCs w:val="24"/>
          <w:lang w:val="en-GB"/>
        </w:rPr>
        <w:t xml:space="preserve">lan </w:t>
      </w:r>
      <w:proofErr w:type="spellStart"/>
      <w:r>
        <w:rPr>
          <w:sz w:val="24"/>
          <w:szCs w:val="24"/>
          <w:lang w:val="en-GB"/>
        </w:rPr>
        <w:t>puts</w:t>
      </w:r>
      <w:proofErr w:type="spellEnd"/>
      <w:r>
        <w:rPr>
          <w:sz w:val="24"/>
          <w:szCs w:val="24"/>
          <w:lang w:val="en-GB"/>
        </w:rPr>
        <w:t xml:space="preserve"> forward a mechan</w:t>
      </w:r>
      <w:r w:rsidR="005E22D5">
        <w:rPr>
          <w:sz w:val="24"/>
          <w:szCs w:val="24"/>
          <w:lang w:val="en-GB"/>
        </w:rPr>
        <w:t xml:space="preserve">ism to enable export of </w:t>
      </w:r>
      <w:r>
        <w:rPr>
          <w:sz w:val="24"/>
          <w:szCs w:val="24"/>
          <w:lang w:val="en-GB"/>
        </w:rPr>
        <w:t xml:space="preserve">wallaby </w:t>
      </w:r>
      <w:r w:rsidR="005E22D5">
        <w:rPr>
          <w:sz w:val="24"/>
          <w:szCs w:val="24"/>
          <w:lang w:val="en-GB"/>
        </w:rPr>
        <w:t>products</w:t>
      </w:r>
      <w:r w:rsidR="003131A8">
        <w:rPr>
          <w:sz w:val="24"/>
          <w:szCs w:val="24"/>
          <w:lang w:val="en-GB"/>
        </w:rPr>
        <w:t xml:space="preserve"> </w:t>
      </w:r>
      <w:r w:rsidR="002E758F">
        <w:rPr>
          <w:sz w:val="24"/>
          <w:szCs w:val="24"/>
          <w:lang w:val="en-GB"/>
        </w:rPr>
        <w:t>from</w:t>
      </w:r>
      <w:r>
        <w:rPr>
          <w:sz w:val="24"/>
          <w:szCs w:val="24"/>
          <w:lang w:val="en-GB"/>
        </w:rPr>
        <w:t xml:space="preserve"> Tasmania. It aims to satisfy the requirements for a small-scale, </w:t>
      </w:r>
      <w:r>
        <w:rPr>
          <w:i/>
          <w:sz w:val="24"/>
          <w:szCs w:val="24"/>
          <w:lang w:val="en-GB"/>
        </w:rPr>
        <w:t>Wildlife Trade Operation</w:t>
      </w:r>
      <w:r>
        <w:rPr>
          <w:sz w:val="24"/>
          <w:szCs w:val="24"/>
          <w:lang w:val="en-GB"/>
        </w:rPr>
        <w:t xml:space="preserve"> (WTO) under Section 303FN of the Commonwealth </w:t>
      </w:r>
      <w:r>
        <w:rPr>
          <w:i/>
          <w:sz w:val="24"/>
          <w:szCs w:val="24"/>
          <w:lang w:val="en-GB"/>
        </w:rPr>
        <w:t xml:space="preserve">Environment Protection and Biodiversity Conservation Act 1999 </w:t>
      </w:r>
      <w:r>
        <w:rPr>
          <w:sz w:val="24"/>
          <w:szCs w:val="24"/>
          <w:lang w:val="en-GB"/>
        </w:rPr>
        <w:t>(EPBC Act)</w:t>
      </w:r>
      <w:r w:rsidR="005E22D5">
        <w:rPr>
          <w:sz w:val="24"/>
          <w:szCs w:val="24"/>
          <w:lang w:val="en-GB"/>
        </w:rPr>
        <w:t xml:space="preserve">, thereby allowing </w:t>
      </w:r>
      <w:r w:rsidR="006538B4">
        <w:rPr>
          <w:sz w:val="24"/>
          <w:szCs w:val="24"/>
          <w:lang w:val="en-GB"/>
        </w:rPr>
        <w:t>wallaby product</w:t>
      </w:r>
      <w:r>
        <w:rPr>
          <w:sz w:val="24"/>
          <w:szCs w:val="24"/>
          <w:lang w:val="en-GB"/>
        </w:rPr>
        <w:t xml:space="preserve"> </w:t>
      </w:r>
      <w:r w:rsidR="005E22D5">
        <w:rPr>
          <w:sz w:val="24"/>
          <w:szCs w:val="24"/>
          <w:lang w:val="en-GB"/>
        </w:rPr>
        <w:t xml:space="preserve">taken under this </w:t>
      </w:r>
      <w:r w:rsidR="00C97CD3">
        <w:rPr>
          <w:sz w:val="24"/>
          <w:szCs w:val="24"/>
          <w:lang w:val="en-GB"/>
        </w:rPr>
        <w:t>p</w:t>
      </w:r>
      <w:r w:rsidR="005E22D5">
        <w:rPr>
          <w:sz w:val="24"/>
          <w:szCs w:val="24"/>
          <w:lang w:val="en-GB"/>
        </w:rPr>
        <w:t xml:space="preserve">lan </w:t>
      </w:r>
      <w:r>
        <w:rPr>
          <w:sz w:val="24"/>
          <w:szCs w:val="24"/>
          <w:lang w:val="en-GB"/>
        </w:rPr>
        <w:t>to be exported to overseas markets</w:t>
      </w:r>
      <w:r w:rsidR="00BF534A">
        <w:rPr>
          <w:sz w:val="24"/>
          <w:szCs w:val="24"/>
          <w:lang w:val="en-GB"/>
        </w:rPr>
        <w:t xml:space="preserve">. </w:t>
      </w:r>
      <w:r w:rsidR="005E22D5">
        <w:rPr>
          <w:sz w:val="24"/>
          <w:szCs w:val="24"/>
          <w:lang w:val="en-GB"/>
        </w:rPr>
        <w:t xml:space="preserve">For the purpose of this </w:t>
      </w:r>
      <w:r w:rsidR="00C97CD3">
        <w:rPr>
          <w:sz w:val="24"/>
          <w:szCs w:val="24"/>
          <w:lang w:val="en-GB"/>
        </w:rPr>
        <w:t>p</w:t>
      </w:r>
      <w:r w:rsidR="005E22D5">
        <w:rPr>
          <w:sz w:val="24"/>
          <w:szCs w:val="24"/>
          <w:lang w:val="en-GB"/>
        </w:rPr>
        <w:t>lan</w:t>
      </w:r>
      <w:r w:rsidR="00C97CD3">
        <w:rPr>
          <w:sz w:val="24"/>
          <w:szCs w:val="24"/>
          <w:lang w:val="en-GB"/>
        </w:rPr>
        <w:t>:</w:t>
      </w:r>
      <w:r w:rsidR="005E22D5">
        <w:rPr>
          <w:sz w:val="24"/>
          <w:szCs w:val="24"/>
          <w:lang w:val="en-GB"/>
        </w:rPr>
        <w:t xml:space="preserve"> </w:t>
      </w:r>
    </w:p>
    <w:p w14:paraId="016E90A3" w14:textId="3169856B" w:rsidR="001D2768" w:rsidRDefault="005E22D5" w:rsidP="005E22D5">
      <w:pPr>
        <w:widowControl/>
        <w:numPr>
          <w:ilvl w:val="0"/>
          <w:numId w:val="12"/>
        </w:numPr>
        <w:spacing w:after="120"/>
        <w:rPr>
          <w:sz w:val="24"/>
          <w:szCs w:val="24"/>
          <w:lang w:val="en-GB"/>
        </w:rPr>
      </w:pPr>
      <w:r>
        <w:rPr>
          <w:sz w:val="24"/>
          <w:szCs w:val="24"/>
          <w:lang w:val="en-GB"/>
        </w:rPr>
        <w:t xml:space="preserve">‘wallaby’ refers to both </w:t>
      </w:r>
      <w:r w:rsidRPr="005E22D5">
        <w:rPr>
          <w:i/>
          <w:color w:val="222222"/>
          <w:sz w:val="24"/>
          <w:szCs w:val="24"/>
          <w:shd w:val="clear" w:color="auto" w:fill="FFFFFF"/>
        </w:rPr>
        <w:t xml:space="preserve">Macropus </w:t>
      </w:r>
      <w:proofErr w:type="spellStart"/>
      <w:r w:rsidRPr="005E22D5">
        <w:rPr>
          <w:i/>
          <w:color w:val="222222"/>
          <w:sz w:val="24"/>
          <w:szCs w:val="24"/>
          <w:shd w:val="clear" w:color="auto" w:fill="FFFFFF"/>
        </w:rPr>
        <w:t>rufogriseus</w:t>
      </w:r>
      <w:proofErr w:type="spellEnd"/>
      <w:r w:rsidR="003D4A6A">
        <w:rPr>
          <w:i/>
          <w:color w:val="222222"/>
          <w:sz w:val="24"/>
          <w:szCs w:val="24"/>
          <w:shd w:val="clear" w:color="auto" w:fill="FFFFFF"/>
        </w:rPr>
        <w:t xml:space="preserve"> </w:t>
      </w:r>
      <w:r w:rsidR="003D4A6A" w:rsidRPr="003D4A6A">
        <w:rPr>
          <w:color w:val="222222"/>
          <w:sz w:val="24"/>
          <w:szCs w:val="24"/>
          <w:shd w:val="clear" w:color="auto" w:fill="FFFFFF"/>
        </w:rPr>
        <w:t>(Bennetts wallaby)</w:t>
      </w:r>
      <w:r>
        <w:rPr>
          <w:sz w:val="24"/>
          <w:szCs w:val="24"/>
          <w:lang w:val="en-GB"/>
        </w:rPr>
        <w:t xml:space="preserve"> and </w:t>
      </w:r>
      <w:r>
        <w:rPr>
          <w:i/>
          <w:sz w:val="24"/>
          <w:szCs w:val="24"/>
          <w:lang w:val="en-GB"/>
        </w:rPr>
        <w:t xml:space="preserve">Thylogale </w:t>
      </w:r>
      <w:proofErr w:type="spellStart"/>
      <w:r>
        <w:rPr>
          <w:i/>
          <w:sz w:val="24"/>
          <w:szCs w:val="24"/>
          <w:lang w:val="en-GB"/>
        </w:rPr>
        <w:t>billardierii</w:t>
      </w:r>
      <w:proofErr w:type="spellEnd"/>
      <w:r w:rsidR="003D4A6A">
        <w:rPr>
          <w:sz w:val="24"/>
          <w:szCs w:val="24"/>
          <w:lang w:val="en-GB"/>
        </w:rPr>
        <w:t xml:space="preserve"> (rufus wallaby)</w:t>
      </w:r>
      <w:r w:rsidR="00C97CD3">
        <w:rPr>
          <w:sz w:val="24"/>
          <w:szCs w:val="24"/>
          <w:lang w:val="en-GB"/>
        </w:rPr>
        <w:t>, and</w:t>
      </w:r>
    </w:p>
    <w:p w14:paraId="09AF739E" w14:textId="77777777" w:rsidR="005E22D5" w:rsidRDefault="005E22D5" w:rsidP="005E22D5">
      <w:pPr>
        <w:widowControl/>
        <w:numPr>
          <w:ilvl w:val="0"/>
          <w:numId w:val="12"/>
        </w:numPr>
        <w:spacing w:after="120"/>
        <w:rPr>
          <w:sz w:val="24"/>
          <w:szCs w:val="24"/>
          <w:lang w:val="en-GB"/>
        </w:rPr>
      </w:pPr>
      <w:r>
        <w:rPr>
          <w:sz w:val="24"/>
          <w:szCs w:val="24"/>
          <w:lang w:val="en-GB"/>
        </w:rPr>
        <w:t>‘products’ refers to meat, skins and fur (fibre removed from the skin).</w:t>
      </w:r>
    </w:p>
    <w:p w14:paraId="2AF322EF" w14:textId="77777777" w:rsidR="001D2768" w:rsidRDefault="001D2768">
      <w:pPr>
        <w:widowControl/>
        <w:spacing w:after="120"/>
        <w:rPr>
          <w:sz w:val="24"/>
          <w:szCs w:val="24"/>
          <w:lang w:val="en-GB"/>
        </w:rPr>
      </w:pPr>
      <w:r>
        <w:rPr>
          <w:sz w:val="24"/>
          <w:szCs w:val="24"/>
          <w:lang w:val="en-GB"/>
        </w:rPr>
        <w:t xml:space="preserve">Under the EPBC Act and its associated regulations, an operation is a small-scale operation if it has a low impact on the survival or conservation status of the species to which it relates. This operation can be considered small-scale because the number of specimens it allows to be exported represents only a small proportion of what could be considered a maximum sustainable </w:t>
      </w:r>
      <w:r w:rsidR="005E22D5">
        <w:rPr>
          <w:sz w:val="24"/>
          <w:szCs w:val="24"/>
          <w:lang w:val="en-GB"/>
        </w:rPr>
        <w:t xml:space="preserve">yield from the Tasmanian </w:t>
      </w:r>
      <w:r>
        <w:rPr>
          <w:sz w:val="24"/>
          <w:szCs w:val="24"/>
          <w:lang w:val="en-GB"/>
        </w:rPr>
        <w:t>wallaby population</w:t>
      </w:r>
      <w:r w:rsidR="00BF534A">
        <w:rPr>
          <w:sz w:val="24"/>
          <w:szCs w:val="24"/>
          <w:lang w:val="en-GB"/>
        </w:rPr>
        <w:t xml:space="preserve">. </w:t>
      </w:r>
      <w:r w:rsidR="00A32A5A">
        <w:rPr>
          <w:sz w:val="24"/>
          <w:szCs w:val="24"/>
          <w:lang w:val="en-GB"/>
        </w:rPr>
        <w:t>Importantly it represents only a small proportion of the total take under Property Protection Permits.</w:t>
      </w:r>
    </w:p>
    <w:p w14:paraId="4C8FE215" w14:textId="4B349195" w:rsidR="001D2768" w:rsidRDefault="001D2768">
      <w:pPr>
        <w:widowControl/>
        <w:spacing w:after="120"/>
        <w:rPr>
          <w:sz w:val="24"/>
          <w:szCs w:val="24"/>
          <w:lang w:val="en-GB"/>
        </w:rPr>
      </w:pPr>
      <w:r>
        <w:rPr>
          <w:sz w:val="24"/>
          <w:szCs w:val="24"/>
          <w:lang w:val="en-GB"/>
        </w:rPr>
        <w:t>Thi</w:t>
      </w:r>
      <w:r w:rsidR="006538B4">
        <w:rPr>
          <w:sz w:val="24"/>
          <w:szCs w:val="24"/>
          <w:lang w:val="en-GB"/>
        </w:rPr>
        <w:t>s</w:t>
      </w:r>
      <w:r w:rsidR="005E22D5">
        <w:rPr>
          <w:sz w:val="24"/>
          <w:szCs w:val="24"/>
          <w:lang w:val="en-GB"/>
        </w:rPr>
        <w:t xml:space="preserve"> WTO allows for the export of product from </w:t>
      </w:r>
      <w:r w:rsidR="005A7A52">
        <w:rPr>
          <w:sz w:val="24"/>
          <w:szCs w:val="24"/>
          <w:lang w:val="en-GB"/>
        </w:rPr>
        <w:t xml:space="preserve">up to </w:t>
      </w:r>
      <w:r w:rsidR="005E22D5" w:rsidRPr="0085046F">
        <w:rPr>
          <w:sz w:val="24"/>
          <w:szCs w:val="24"/>
          <w:lang w:val="en-GB"/>
        </w:rPr>
        <w:t>200,000</w:t>
      </w:r>
      <w:r w:rsidR="005E22D5">
        <w:rPr>
          <w:sz w:val="24"/>
          <w:szCs w:val="24"/>
          <w:lang w:val="en-GB"/>
        </w:rPr>
        <w:t xml:space="preserve"> </w:t>
      </w:r>
      <w:r w:rsidR="00411B58">
        <w:rPr>
          <w:sz w:val="24"/>
          <w:szCs w:val="24"/>
          <w:lang w:val="en-GB"/>
        </w:rPr>
        <w:t>wallabies</w:t>
      </w:r>
      <w:r>
        <w:rPr>
          <w:sz w:val="24"/>
          <w:szCs w:val="24"/>
          <w:lang w:val="en-GB"/>
        </w:rPr>
        <w:t xml:space="preserve"> annually. This is </w:t>
      </w:r>
      <w:r w:rsidR="00D66ABE">
        <w:rPr>
          <w:sz w:val="24"/>
          <w:szCs w:val="24"/>
          <w:lang w:val="en-GB"/>
        </w:rPr>
        <w:t>less than 40%</w:t>
      </w:r>
      <w:r w:rsidR="006538B4">
        <w:rPr>
          <w:sz w:val="24"/>
          <w:szCs w:val="24"/>
          <w:lang w:val="en-GB"/>
        </w:rPr>
        <w:t xml:space="preserve"> of</w:t>
      </w:r>
      <w:r w:rsidR="00346470">
        <w:rPr>
          <w:sz w:val="24"/>
          <w:szCs w:val="24"/>
          <w:lang w:val="en-GB"/>
        </w:rPr>
        <w:t xml:space="preserve"> the </w:t>
      </w:r>
      <w:r w:rsidR="005C3B58">
        <w:rPr>
          <w:sz w:val="24"/>
          <w:szCs w:val="24"/>
          <w:lang w:val="en-GB"/>
        </w:rPr>
        <w:t>long-term</w:t>
      </w:r>
      <w:r w:rsidR="00346470">
        <w:rPr>
          <w:sz w:val="24"/>
          <w:szCs w:val="24"/>
          <w:lang w:val="en-GB"/>
        </w:rPr>
        <w:t xml:space="preserve"> average</w:t>
      </w:r>
      <w:r>
        <w:rPr>
          <w:sz w:val="24"/>
          <w:szCs w:val="24"/>
          <w:lang w:val="en-GB"/>
        </w:rPr>
        <w:t xml:space="preserve"> </w:t>
      </w:r>
      <w:r w:rsidR="005A7A52">
        <w:rPr>
          <w:sz w:val="24"/>
          <w:szCs w:val="24"/>
          <w:lang w:val="en-GB"/>
        </w:rPr>
        <w:t xml:space="preserve">take of wallaby </w:t>
      </w:r>
      <w:r w:rsidR="00944FC0">
        <w:rPr>
          <w:sz w:val="24"/>
          <w:szCs w:val="24"/>
          <w:lang w:val="en-GB"/>
        </w:rPr>
        <w:t>for crop protection purposes</w:t>
      </w:r>
      <w:r>
        <w:rPr>
          <w:sz w:val="24"/>
          <w:szCs w:val="24"/>
          <w:lang w:val="en-GB"/>
        </w:rPr>
        <w:t xml:space="preserve"> in Tasmania</w:t>
      </w:r>
      <w:r w:rsidR="00BF534A">
        <w:rPr>
          <w:sz w:val="24"/>
          <w:szCs w:val="24"/>
          <w:lang w:val="en-GB"/>
        </w:rPr>
        <w:t xml:space="preserve">. </w:t>
      </w:r>
      <w:r w:rsidR="00346470" w:rsidRPr="00411B58">
        <w:rPr>
          <w:sz w:val="24"/>
          <w:szCs w:val="24"/>
          <w:lang w:val="en-GB"/>
        </w:rPr>
        <w:t>This long</w:t>
      </w:r>
      <w:r w:rsidR="005B00D3" w:rsidRPr="00411B58">
        <w:rPr>
          <w:sz w:val="24"/>
          <w:szCs w:val="24"/>
          <w:lang w:val="en-GB"/>
        </w:rPr>
        <w:t>-</w:t>
      </w:r>
      <w:r w:rsidR="00346470" w:rsidRPr="00411B58">
        <w:rPr>
          <w:sz w:val="24"/>
          <w:szCs w:val="24"/>
          <w:lang w:val="en-GB"/>
        </w:rPr>
        <w:t xml:space="preserve">term </w:t>
      </w:r>
      <w:r w:rsidR="005B00D3" w:rsidRPr="00411B58">
        <w:rPr>
          <w:sz w:val="24"/>
          <w:szCs w:val="24"/>
          <w:lang w:val="en-GB"/>
        </w:rPr>
        <w:t>harvest</w:t>
      </w:r>
      <w:r w:rsidR="005A7A52" w:rsidRPr="00411B58">
        <w:rPr>
          <w:sz w:val="24"/>
          <w:szCs w:val="24"/>
          <w:lang w:val="en-GB"/>
        </w:rPr>
        <w:t xml:space="preserve"> </w:t>
      </w:r>
      <w:r w:rsidRPr="00411B58">
        <w:rPr>
          <w:sz w:val="24"/>
          <w:szCs w:val="24"/>
          <w:lang w:val="en-GB"/>
        </w:rPr>
        <w:t xml:space="preserve">appears to have had no impact on the </w:t>
      </w:r>
      <w:r w:rsidR="00944FC0" w:rsidRPr="00411B58">
        <w:rPr>
          <w:sz w:val="24"/>
          <w:szCs w:val="24"/>
          <w:lang w:val="en-GB"/>
        </w:rPr>
        <w:t xml:space="preserve">sustainability of the </w:t>
      </w:r>
      <w:r w:rsidRPr="00411B58">
        <w:rPr>
          <w:sz w:val="24"/>
          <w:szCs w:val="24"/>
          <w:lang w:val="en-GB"/>
        </w:rPr>
        <w:t>population (</w:t>
      </w:r>
      <w:r w:rsidR="00411B58" w:rsidRPr="00411B58">
        <w:rPr>
          <w:sz w:val="24"/>
          <w:szCs w:val="24"/>
          <w:lang w:val="en-GB"/>
        </w:rPr>
        <w:t>S</w:t>
      </w:r>
      <w:r w:rsidRPr="00411B58">
        <w:rPr>
          <w:sz w:val="24"/>
          <w:szCs w:val="24"/>
          <w:lang w:val="en-GB"/>
        </w:rPr>
        <w:t>ection 4)</w:t>
      </w:r>
      <w:r w:rsidR="00BF534A" w:rsidRPr="00411B58">
        <w:rPr>
          <w:sz w:val="24"/>
          <w:szCs w:val="24"/>
          <w:lang w:val="en-GB"/>
        </w:rPr>
        <w:t>.</w:t>
      </w:r>
      <w:r w:rsidR="00BF534A">
        <w:rPr>
          <w:sz w:val="24"/>
          <w:szCs w:val="24"/>
          <w:lang w:val="en-GB"/>
        </w:rPr>
        <w:t xml:space="preserve"> </w:t>
      </w:r>
    </w:p>
    <w:p w14:paraId="46E12B1D" w14:textId="44A7220C" w:rsidR="001D2768" w:rsidRDefault="001D2768">
      <w:pPr>
        <w:widowControl/>
        <w:spacing w:after="120"/>
        <w:rPr>
          <w:sz w:val="24"/>
          <w:szCs w:val="24"/>
          <w:lang w:val="en-GB"/>
        </w:rPr>
      </w:pPr>
      <w:r>
        <w:rPr>
          <w:sz w:val="24"/>
          <w:szCs w:val="24"/>
          <w:lang w:val="en-GB"/>
        </w:rPr>
        <w:t>Since 200</w:t>
      </w:r>
      <w:r w:rsidR="00266B07">
        <w:rPr>
          <w:sz w:val="24"/>
          <w:szCs w:val="24"/>
          <w:lang w:val="en-GB"/>
        </w:rPr>
        <w:t>4</w:t>
      </w:r>
      <w:r>
        <w:rPr>
          <w:sz w:val="24"/>
          <w:szCs w:val="24"/>
          <w:lang w:val="en-GB"/>
        </w:rPr>
        <w:t>, the</w:t>
      </w:r>
      <w:r w:rsidR="00346470">
        <w:rPr>
          <w:sz w:val="24"/>
          <w:szCs w:val="24"/>
          <w:lang w:val="en-GB"/>
        </w:rPr>
        <w:t xml:space="preserve"> </w:t>
      </w:r>
      <w:r w:rsidR="00F556AE">
        <w:rPr>
          <w:sz w:val="24"/>
          <w:szCs w:val="24"/>
          <w:lang w:val="en-GB"/>
        </w:rPr>
        <w:t>take of</w:t>
      </w:r>
      <w:r>
        <w:rPr>
          <w:sz w:val="24"/>
          <w:szCs w:val="24"/>
          <w:lang w:val="en-GB"/>
        </w:rPr>
        <w:t xml:space="preserve"> wallaby </w:t>
      </w:r>
      <w:r w:rsidR="00346470">
        <w:rPr>
          <w:sz w:val="24"/>
          <w:szCs w:val="24"/>
          <w:lang w:val="en-GB"/>
        </w:rPr>
        <w:t xml:space="preserve">in Tasmania </w:t>
      </w:r>
      <w:r w:rsidR="00B0463E">
        <w:rPr>
          <w:sz w:val="24"/>
          <w:szCs w:val="24"/>
          <w:lang w:val="en-GB"/>
        </w:rPr>
        <w:t xml:space="preserve">for crop protection purposes </w:t>
      </w:r>
      <w:r>
        <w:rPr>
          <w:sz w:val="24"/>
          <w:szCs w:val="24"/>
          <w:lang w:val="en-GB"/>
        </w:rPr>
        <w:t>has averag</w:t>
      </w:r>
      <w:r w:rsidR="00346470">
        <w:rPr>
          <w:sz w:val="24"/>
          <w:szCs w:val="24"/>
          <w:lang w:val="en-GB"/>
        </w:rPr>
        <w:t xml:space="preserve">ed </w:t>
      </w:r>
      <w:r w:rsidR="00D66ABE">
        <w:rPr>
          <w:sz w:val="24"/>
          <w:szCs w:val="24"/>
          <w:lang w:val="en-GB"/>
        </w:rPr>
        <w:t>over 500,000</w:t>
      </w:r>
      <w:r>
        <w:rPr>
          <w:sz w:val="24"/>
          <w:szCs w:val="24"/>
          <w:lang w:val="en-GB"/>
        </w:rPr>
        <w:t xml:space="preserve"> annually </w:t>
      </w:r>
      <w:r w:rsidR="00A25AC7">
        <w:rPr>
          <w:sz w:val="24"/>
          <w:szCs w:val="24"/>
          <w:lang w:val="en-GB"/>
        </w:rPr>
        <w:t>(</w:t>
      </w:r>
      <w:r w:rsidR="00A25AC7" w:rsidRPr="00A25AC7">
        <w:rPr>
          <w:sz w:val="24"/>
          <w:szCs w:val="24"/>
          <w:lang w:val="en-GB"/>
        </w:rPr>
        <w:t>Unpublished Data, NRE Tasmania</w:t>
      </w:r>
      <w:r w:rsidR="00A25AC7">
        <w:rPr>
          <w:sz w:val="24"/>
          <w:szCs w:val="24"/>
          <w:lang w:val="en-GB"/>
        </w:rPr>
        <w:t>)</w:t>
      </w:r>
      <w:r>
        <w:rPr>
          <w:sz w:val="24"/>
          <w:szCs w:val="24"/>
          <w:lang w:val="en-GB"/>
        </w:rPr>
        <w:t xml:space="preserve">. This level </w:t>
      </w:r>
      <w:r w:rsidR="0035263E">
        <w:rPr>
          <w:sz w:val="24"/>
          <w:szCs w:val="24"/>
          <w:lang w:val="en-GB"/>
        </w:rPr>
        <w:t xml:space="preserve">of </w:t>
      </w:r>
      <w:r w:rsidR="00B0463E">
        <w:rPr>
          <w:sz w:val="24"/>
          <w:szCs w:val="24"/>
          <w:lang w:val="en-GB"/>
        </w:rPr>
        <w:t xml:space="preserve">take </w:t>
      </w:r>
      <w:r w:rsidR="0035263E">
        <w:rPr>
          <w:sz w:val="24"/>
          <w:szCs w:val="24"/>
          <w:lang w:val="en-GB"/>
        </w:rPr>
        <w:t xml:space="preserve">has had </w:t>
      </w:r>
      <w:r w:rsidR="0035263E" w:rsidRPr="00411B58">
        <w:rPr>
          <w:sz w:val="24"/>
          <w:szCs w:val="24"/>
          <w:lang w:val="en-GB"/>
        </w:rPr>
        <w:t>no impact</w:t>
      </w:r>
      <w:r w:rsidR="0035263E">
        <w:rPr>
          <w:sz w:val="24"/>
          <w:szCs w:val="24"/>
          <w:lang w:val="en-GB"/>
        </w:rPr>
        <w:t xml:space="preserve"> on wallaby</w:t>
      </w:r>
      <w:r>
        <w:rPr>
          <w:sz w:val="24"/>
          <w:szCs w:val="24"/>
          <w:lang w:val="en-GB"/>
        </w:rPr>
        <w:t xml:space="preserve"> populations (</w:t>
      </w:r>
      <w:r w:rsidRPr="005A3241">
        <w:rPr>
          <w:sz w:val="24"/>
          <w:szCs w:val="24"/>
          <w:lang w:val="en-GB"/>
        </w:rPr>
        <w:t>Figure</w:t>
      </w:r>
      <w:r w:rsidR="00BF73E8" w:rsidRPr="005A3241">
        <w:rPr>
          <w:sz w:val="24"/>
          <w:szCs w:val="24"/>
          <w:lang w:val="en-GB"/>
        </w:rPr>
        <w:t xml:space="preserve">s </w:t>
      </w:r>
      <w:r w:rsidRPr="005A3241">
        <w:rPr>
          <w:sz w:val="24"/>
          <w:szCs w:val="24"/>
          <w:lang w:val="en-GB"/>
        </w:rPr>
        <w:t>1</w:t>
      </w:r>
      <w:r w:rsidR="00BF73E8" w:rsidRPr="005A3241">
        <w:rPr>
          <w:sz w:val="24"/>
          <w:szCs w:val="24"/>
          <w:lang w:val="en-GB"/>
        </w:rPr>
        <w:t xml:space="preserve"> &amp; 2</w:t>
      </w:r>
      <w:r w:rsidR="00BF73E8">
        <w:rPr>
          <w:sz w:val="24"/>
          <w:szCs w:val="24"/>
          <w:lang w:val="en-GB"/>
        </w:rPr>
        <w:t>)</w:t>
      </w:r>
      <w:r>
        <w:rPr>
          <w:sz w:val="24"/>
          <w:szCs w:val="24"/>
          <w:lang w:val="en-GB"/>
        </w:rPr>
        <w:t xml:space="preserve"> and has been shown to be sustainable in all management regions at this level. </w:t>
      </w:r>
      <w:r w:rsidR="00031B34">
        <w:rPr>
          <w:sz w:val="24"/>
          <w:szCs w:val="24"/>
          <w:lang w:val="en-GB"/>
        </w:rPr>
        <w:t>T</w:t>
      </w:r>
      <w:r>
        <w:rPr>
          <w:sz w:val="24"/>
          <w:szCs w:val="24"/>
          <w:lang w:val="en-GB"/>
        </w:rPr>
        <w:t xml:space="preserve">he </w:t>
      </w:r>
      <w:r w:rsidR="006538B4">
        <w:rPr>
          <w:sz w:val="24"/>
          <w:szCs w:val="24"/>
          <w:lang w:val="en-GB"/>
        </w:rPr>
        <w:t>proposed</w:t>
      </w:r>
      <w:r>
        <w:rPr>
          <w:sz w:val="24"/>
          <w:szCs w:val="24"/>
          <w:lang w:val="en-GB"/>
        </w:rPr>
        <w:t xml:space="preserve"> commercial </w:t>
      </w:r>
      <w:r w:rsidR="00B0463E">
        <w:rPr>
          <w:sz w:val="24"/>
          <w:szCs w:val="24"/>
          <w:lang w:val="en-GB"/>
        </w:rPr>
        <w:t xml:space="preserve">utilisation of this take </w:t>
      </w:r>
      <w:r>
        <w:rPr>
          <w:sz w:val="24"/>
          <w:szCs w:val="24"/>
          <w:lang w:val="en-GB"/>
        </w:rPr>
        <w:t>only represent</w:t>
      </w:r>
      <w:r w:rsidR="00411B58">
        <w:rPr>
          <w:sz w:val="24"/>
          <w:szCs w:val="24"/>
          <w:lang w:val="en-GB"/>
        </w:rPr>
        <w:t xml:space="preserve">s </w:t>
      </w:r>
      <w:r w:rsidR="00A32A5A" w:rsidRPr="00411B58">
        <w:rPr>
          <w:sz w:val="24"/>
          <w:szCs w:val="24"/>
          <w:lang w:val="en-GB"/>
        </w:rPr>
        <w:t>40</w:t>
      </w:r>
      <w:r w:rsidRPr="00411B58">
        <w:rPr>
          <w:sz w:val="24"/>
          <w:szCs w:val="24"/>
          <w:lang w:val="en-GB"/>
        </w:rPr>
        <w:t>%</w:t>
      </w:r>
      <w:r w:rsidR="0035263E">
        <w:rPr>
          <w:sz w:val="24"/>
          <w:szCs w:val="24"/>
          <w:lang w:val="en-GB"/>
        </w:rPr>
        <w:t xml:space="preserve"> of the total number of </w:t>
      </w:r>
      <w:r w:rsidR="001A05A2">
        <w:rPr>
          <w:sz w:val="24"/>
          <w:szCs w:val="24"/>
          <w:lang w:val="en-GB"/>
        </w:rPr>
        <w:t>wallabies</w:t>
      </w:r>
      <w:r>
        <w:rPr>
          <w:sz w:val="24"/>
          <w:szCs w:val="24"/>
          <w:lang w:val="en-GB"/>
        </w:rPr>
        <w:t xml:space="preserve"> </w:t>
      </w:r>
      <w:r w:rsidR="002541A8">
        <w:rPr>
          <w:sz w:val="24"/>
          <w:szCs w:val="24"/>
          <w:lang w:val="en-GB"/>
        </w:rPr>
        <w:t xml:space="preserve">currently </w:t>
      </w:r>
      <w:r>
        <w:rPr>
          <w:sz w:val="24"/>
          <w:szCs w:val="24"/>
          <w:lang w:val="en-GB"/>
        </w:rPr>
        <w:t xml:space="preserve">taken annually in Tasmania. This WTO simply seeks to </w:t>
      </w:r>
      <w:r w:rsidR="00A32A5A">
        <w:rPr>
          <w:sz w:val="24"/>
          <w:szCs w:val="24"/>
          <w:lang w:val="en-GB"/>
        </w:rPr>
        <w:t>divert</w:t>
      </w:r>
      <w:r w:rsidR="00B0463E">
        <w:rPr>
          <w:sz w:val="24"/>
          <w:szCs w:val="24"/>
          <w:lang w:val="en-GB"/>
        </w:rPr>
        <w:t xml:space="preserve"> a</w:t>
      </w:r>
      <w:r w:rsidR="006538B4">
        <w:rPr>
          <w:sz w:val="24"/>
          <w:szCs w:val="24"/>
          <w:lang w:val="en-GB"/>
        </w:rPr>
        <w:t xml:space="preserve"> </w:t>
      </w:r>
      <w:r w:rsidR="006538B4" w:rsidRPr="00411B58">
        <w:rPr>
          <w:sz w:val="24"/>
          <w:szCs w:val="24"/>
          <w:lang w:val="en-GB"/>
        </w:rPr>
        <w:t>small percentage</w:t>
      </w:r>
      <w:r w:rsidR="006538B4">
        <w:rPr>
          <w:sz w:val="24"/>
          <w:szCs w:val="24"/>
          <w:lang w:val="en-GB"/>
        </w:rPr>
        <w:t xml:space="preserve"> of the annual cull </w:t>
      </w:r>
      <w:r w:rsidR="00A32A5A">
        <w:rPr>
          <w:sz w:val="24"/>
          <w:szCs w:val="24"/>
          <w:lang w:val="en-GB"/>
        </w:rPr>
        <w:t xml:space="preserve">to </w:t>
      </w:r>
      <w:r w:rsidR="001A05A2">
        <w:rPr>
          <w:sz w:val="24"/>
          <w:szCs w:val="24"/>
          <w:lang w:val="en-GB"/>
        </w:rPr>
        <w:t>commercial use</w:t>
      </w:r>
      <w:r>
        <w:rPr>
          <w:sz w:val="24"/>
          <w:szCs w:val="24"/>
          <w:lang w:val="en-GB"/>
        </w:rPr>
        <w:t xml:space="preserve"> and thus it can be considered small scale</w:t>
      </w:r>
      <w:r w:rsidR="00BF534A">
        <w:rPr>
          <w:sz w:val="24"/>
          <w:szCs w:val="24"/>
          <w:lang w:val="en-GB"/>
        </w:rPr>
        <w:t xml:space="preserve">. </w:t>
      </w:r>
      <w:r w:rsidR="00346470">
        <w:rPr>
          <w:sz w:val="24"/>
          <w:szCs w:val="24"/>
          <w:lang w:val="en-GB"/>
        </w:rPr>
        <w:t xml:space="preserve">It must be noted that the expectation is not that the over-all State kill of wallaby will increase </w:t>
      </w:r>
      <w:r w:rsidR="00D53365">
        <w:rPr>
          <w:sz w:val="24"/>
          <w:szCs w:val="24"/>
          <w:lang w:val="en-GB"/>
        </w:rPr>
        <w:t>because of</w:t>
      </w:r>
      <w:r w:rsidR="00346470">
        <w:rPr>
          <w:sz w:val="24"/>
          <w:szCs w:val="24"/>
          <w:lang w:val="en-GB"/>
        </w:rPr>
        <w:t xml:space="preserve"> this WTO</w:t>
      </w:r>
      <w:r w:rsidR="00BF534A">
        <w:rPr>
          <w:sz w:val="24"/>
          <w:szCs w:val="24"/>
          <w:lang w:val="en-GB"/>
        </w:rPr>
        <w:t xml:space="preserve">. </w:t>
      </w:r>
      <w:r w:rsidR="00346470">
        <w:rPr>
          <w:sz w:val="24"/>
          <w:szCs w:val="24"/>
          <w:lang w:val="en-GB"/>
        </w:rPr>
        <w:t>Rather it is expected take will be diverted from crop protections culls to commercial harvest.</w:t>
      </w:r>
    </w:p>
    <w:p w14:paraId="473FD3D9" w14:textId="77777777" w:rsidR="001D2768" w:rsidRDefault="001D2768">
      <w:pPr>
        <w:widowControl/>
        <w:tabs>
          <w:tab w:val="left" w:pos="1134"/>
        </w:tabs>
        <w:spacing w:after="120"/>
        <w:rPr>
          <w:sz w:val="24"/>
          <w:szCs w:val="24"/>
          <w:lang w:val="en-GB"/>
        </w:rPr>
      </w:pPr>
      <w:r>
        <w:rPr>
          <w:sz w:val="24"/>
          <w:szCs w:val="24"/>
          <w:lang w:val="en-GB"/>
        </w:rPr>
        <w:t xml:space="preserve">The WTO will apply for three years from approval or until approval of a state-wide wallaby management plan, whichever is sooner. </w:t>
      </w:r>
    </w:p>
    <w:p w14:paraId="76AEFD47" w14:textId="52005432" w:rsidR="001D2768" w:rsidRDefault="001D2768">
      <w:pPr>
        <w:widowControl/>
        <w:spacing w:after="120"/>
        <w:rPr>
          <w:sz w:val="24"/>
          <w:szCs w:val="24"/>
          <w:lang w:val="en-GB"/>
        </w:rPr>
      </w:pPr>
      <w:r>
        <w:rPr>
          <w:sz w:val="24"/>
          <w:szCs w:val="24"/>
          <w:lang w:val="en-GB"/>
        </w:rPr>
        <w:t xml:space="preserve">The WTO’s intent is not to increase the </w:t>
      </w:r>
      <w:r w:rsidR="0035263E">
        <w:rPr>
          <w:sz w:val="24"/>
          <w:szCs w:val="24"/>
          <w:lang w:val="en-GB"/>
        </w:rPr>
        <w:t xml:space="preserve">overall </w:t>
      </w:r>
      <w:r w:rsidR="00B0463E">
        <w:rPr>
          <w:sz w:val="24"/>
          <w:szCs w:val="24"/>
          <w:lang w:val="en-GB"/>
        </w:rPr>
        <w:t xml:space="preserve">take </w:t>
      </w:r>
      <w:r w:rsidR="0035263E">
        <w:rPr>
          <w:sz w:val="24"/>
          <w:szCs w:val="24"/>
          <w:lang w:val="en-GB"/>
        </w:rPr>
        <w:t xml:space="preserve">of </w:t>
      </w:r>
      <w:r>
        <w:rPr>
          <w:sz w:val="24"/>
          <w:szCs w:val="24"/>
          <w:lang w:val="en-GB"/>
        </w:rPr>
        <w:t xml:space="preserve">wallaby and indeed it has in place </w:t>
      </w:r>
      <w:r w:rsidR="00650D7E">
        <w:rPr>
          <w:sz w:val="24"/>
          <w:szCs w:val="24"/>
          <w:lang w:val="en-GB"/>
        </w:rPr>
        <w:t xml:space="preserve">a </w:t>
      </w:r>
      <w:r>
        <w:rPr>
          <w:sz w:val="24"/>
          <w:szCs w:val="24"/>
          <w:lang w:val="en-GB"/>
        </w:rPr>
        <w:t xml:space="preserve">mechanism to prevent this. </w:t>
      </w:r>
      <w:r w:rsidR="00650D7E">
        <w:rPr>
          <w:sz w:val="24"/>
          <w:szCs w:val="24"/>
          <w:lang w:val="en-GB"/>
        </w:rPr>
        <w:t>Wallabies</w:t>
      </w:r>
      <w:r w:rsidR="0035263E">
        <w:rPr>
          <w:sz w:val="24"/>
          <w:szCs w:val="24"/>
          <w:lang w:val="en-GB"/>
        </w:rPr>
        <w:t xml:space="preserve"> are currently culled </w:t>
      </w:r>
      <w:r w:rsidR="005A7A52">
        <w:rPr>
          <w:sz w:val="24"/>
          <w:szCs w:val="24"/>
          <w:lang w:val="en-GB"/>
        </w:rPr>
        <w:t xml:space="preserve">under </w:t>
      </w:r>
      <w:r w:rsidR="00826666">
        <w:rPr>
          <w:sz w:val="24"/>
          <w:szCs w:val="24"/>
          <w:lang w:val="en-GB"/>
        </w:rPr>
        <w:t>p</w:t>
      </w:r>
      <w:r w:rsidR="005A7A52">
        <w:rPr>
          <w:sz w:val="24"/>
          <w:szCs w:val="24"/>
          <w:lang w:val="en-GB"/>
        </w:rPr>
        <w:t xml:space="preserve">roperty </w:t>
      </w:r>
      <w:r w:rsidR="00826666">
        <w:rPr>
          <w:sz w:val="24"/>
          <w:szCs w:val="24"/>
          <w:lang w:val="en-GB"/>
        </w:rPr>
        <w:t>p</w:t>
      </w:r>
      <w:r w:rsidR="005A7A52">
        <w:rPr>
          <w:sz w:val="24"/>
          <w:szCs w:val="24"/>
          <w:lang w:val="en-GB"/>
        </w:rPr>
        <w:t xml:space="preserve">rotection permit </w:t>
      </w:r>
      <w:r w:rsidR="0035263E">
        <w:rPr>
          <w:sz w:val="24"/>
          <w:szCs w:val="24"/>
          <w:lang w:val="en-GB"/>
        </w:rPr>
        <w:t>in very large numbers as agricultural damage mitigation</w:t>
      </w:r>
      <w:r w:rsidR="00BF534A">
        <w:rPr>
          <w:sz w:val="24"/>
          <w:szCs w:val="24"/>
          <w:lang w:val="en-GB"/>
        </w:rPr>
        <w:t xml:space="preserve">. </w:t>
      </w:r>
      <w:r w:rsidR="0035263E">
        <w:rPr>
          <w:sz w:val="24"/>
          <w:szCs w:val="24"/>
          <w:lang w:val="en-GB"/>
        </w:rPr>
        <w:t>This</w:t>
      </w:r>
      <w:r>
        <w:rPr>
          <w:sz w:val="24"/>
          <w:szCs w:val="24"/>
          <w:lang w:val="en-GB"/>
        </w:rPr>
        <w:t xml:space="preserve"> </w:t>
      </w:r>
      <w:r w:rsidR="000030C3">
        <w:rPr>
          <w:sz w:val="24"/>
          <w:szCs w:val="24"/>
          <w:lang w:val="en-GB"/>
        </w:rPr>
        <w:t>p</w:t>
      </w:r>
      <w:r>
        <w:rPr>
          <w:sz w:val="24"/>
          <w:szCs w:val="24"/>
          <w:lang w:val="en-GB"/>
        </w:rPr>
        <w:t>lan simply seeks to turn a</w:t>
      </w:r>
      <w:r w:rsidR="0035263E">
        <w:rPr>
          <w:sz w:val="24"/>
          <w:szCs w:val="24"/>
          <w:lang w:val="en-GB"/>
        </w:rPr>
        <w:t>n existing</w:t>
      </w:r>
      <w:r>
        <w:rPr>
          <w:sz w:val="24"/>
          <w:szCs w:val="24"/>
          <w:lang w:val="en-GB"/>
        </w:rPr>
        <w:t xml:space="preserve"> waste of a raw material</w:t>
      </w:r>
      <w:r w:rsidR="0035263E">
        <w:rPr>
          <w:sz w:val="24"/>
          <w:szCs w:val="24"/>
          <w:lang w:val="en-GB"/>
        </w:rPr>
        <w:t>,</w:t>
      </w:r>
      <w:r>
        <w:rPr>
          <w:sz w:val="24"/>
          <w:szCs w:val="24"/>
          <w:lang w:val="en-GB"/>
        </w:rPr>
        <w:t xml:space="preserve"> which</w:t>
      </w:r>
      <w:r w:rsidR="00FB00E8">
        <w:rPr>
          <w:sz w:val="24"/>
          <w:szCs w:val="24"/>
          <w:lang w:val="en-GB"/>
        </w:rPr>
        <w:t xml:space="preserve"> are often currently left to rot</w:t>
      </w:r>
      <w:r w:rsidR="0035263E">
        <w:rPr>
          <w:sz w:val="24"/>
          <w:szCs w:val="24"/>
          <w:lang w:val="en-GB"/>
        </w:rPr>
        <w:t>,</w:t>
      </w:r>
      <w:r>
        <w:rPr>
          <w:sz w:val="24"/>
          <w:szCs w:val="24"/>
          <w:lang w:val="en-GB"/>
        </w:rPr>
        <w:t xml:space="preserve"> into a valuable export and sustainable resource.</w:t>
      </w:r>
    </w:p>
    <w:p w14:paraId="323777A4" w14:textId="77777777" w:rsidR="00B65073" w:rsidRDefault="00B65073">
      <w:pPr>
        <w:widowControl/>
        <w:spacing w:after="120"/>
        <w:rPr>
          <w:sz w:val="24"/>
          <w:szCs w:val="24"/>
          <w:lang w:val="en-GB"/>
        </w:rPr>
      </w:pPr>
    </w:p>
    <w:p w14:paraId="14F5A952" w14:textId="77777777" w:rsidR="001D2768" w:rsidRDefault="0035263E">
      <w:pPr>
        <w:widowControl/>
        <w:spacing w:after="120"/>
        <w:rPr>
          <w:sz w:val="24"/>
          <w:szCs w:val="24"/>
          <w:lang w:val="en-GB"/>
        </w:rPr>
      </w:pPr>
      <w:r>
        <w:rPr>
          <w:sz w:val="24"/>
          <w:szCs w:val="24"/>
          <w:lang w:val="en-GB"/>
        </w:rPr>
        <w:lastRenderedPageBreak/>
        <w:t>W</w:t>
      </w:r>
      <w:r w:rsidR="001D2768">
        <w:rPr>
          <w:sz w:val="24"/>
          <w:szCs w:val="24"/>
          <w:lang w:val="en-GB"/>
        </w:rPr>
        <w:t xml:space="preserve">allaby are harvested and processed in Tasmania for human consumption and pet food under the control of the </w:t>
      </w:r>
      <w:r w:rsidR="00B0463E">
        <w:rPr>
          <w:i/>
          <w:sz w:val="24"/>
          <w:szCs w:val="24"/>
          <w:lang w:val="en-GB"/>
        </w:rPr>
        <w:t>Primary Produce Safety Act 2011</w:t>
      </w:r>
      <w:r w:rsidR="001D2768">
        <w:rPr>
          <w:i/>
          <w:sz w:val="24"/>
          <w:szCs w:val="24"/>
          <w:lang w:val="en-GB"/>
        </w:rPr>
        <w:t xml:space="preserve"> </w:t>
      </w:r>
      <w:r w:rsidR="001D2768">
        <w:rPr>
          <w:sz w:val="24"/>
          <w:szCs w:val="24"/>
          <w:lang w:val="en-GB"/>
        </w:rPr>
        <w:t xml:space="preserve">and the </w:t>
      </w:r>
      <w:r w:rsidR="001D2768">
        <w:rPr>
          <w:i/>
          <w:sz w:val="24"/>
          <w:szCs w:val="24"/>
          <w:lang w:val="en-GB"/>
        </w:rPr>
        <w:t>Nature Conservation Act 2002</w:t>
      </w:r>
      <w:r w:rsidR="001D2768">
        <w:rPr>
          <w:sz w:val="24"/>
          <w:szCs w:val="24"/>
          <w:lang w:val="en-GB"/>
        </w:rPr>
        <w:t xml:space="preserve">. Meat processing premises and harvesters are registered and licensed by the </w:t>
      </w:r>
      <w:r w:rsidR="009F3A40">
        <w:rPr>
          <w:sz w:val="24"/>
          <w:szCs w:val="24"/>
          <w:lang w:val="en-GB"/>
        </w:rPr>
        <w:t>Food Safety</w:t>
      </w:r>
      <w:r w:rsidR="001D2768">
        <w:rPr>
          <w:sz w:val="24"/>
          <w:szCs w:val="24"/>
          <w:lang w:val="en-GB"/>
        </w:rPr>
        <w:t xml:space="preserve"> Branch (</w:t>
      </w:r>
      <w:r w:rsidR="009F3A40">
        <w:rPr>
          <w:sz w:val="24"/>
          <w:szCs w:val="24"/>
          <w:lang w:val="en-GB"/>
        </w:rPr>
        <w:t>FSB</w:t>
      </w:r>
      <w:r w:rsidR="001D2768">
        <w:rPr>
          <w:sz w:val="24"/>
          <w:szCs w:val="24"/>
          <w:lang w:val="en-GB"/>
        </w:rPr>
        <w:t xml:space="preserve">) and </w:t>
      </w:r>
      <w:r w:rsidR="001A1A03">
        <w:rPr>
          <w:sz w:val="24"/>
          <w:szCs w:val="24"/>
          <w:lang w:val="en-GB"/>
        </w:rPr>
        <w:t>Game Services Tasmania (GST)</w:t>
      </w:r>
      <w:r w:rsidR="001D2768">
        <w:rPr>
          <w:sz w:val="24"/>
          <w:szCs w:val="24"/>
          <w:lang w:val="en-GB"/>
        </w:rPr>
        <w:t xml:space="preserve"> respectively of the Department </w:t>
      </w:r>
      <w:r w:rsidR="00081293">
        <w:rPr>
          <w:sz w:val="24"/>
          <w:szCs w:val="24"/>
          <w:lang w:val="en-GB"/>
        </w:rPr>
        <w:t xml:space="preserve">of Natural Resources </w:t>
      </w:r>
      <w:r w:rsidR="001D2768">
        <w:rPr>
          <w:sz w:val="24"/>
          <w:szCs w:val="24"/>
          <w:lang w:val="en-GB"/>
        </w:rPr>
        <w:t>and Environment (</w:t>
      </w:r>
      <w:r w:rsidR="00081293">
        <w:rPr>
          <w:sz w:val="24"/>
          <w:szCs w:val="24"/>
          <w:lang w:val="en-GB"/>
        </w:rPr>
        <w:t>NRE</w:t>
      </w:r>
      <w:r w:rsidR="001D2768">
        <w:rPr>
          <w:sz w:val="24"/>
          <w:szCs w:val="24"/>
          <w:lang w:val="en-GB"/>
        </w:rPr>
        <w:t>).</w:t>
      </w:r>
    </w:p>
    <w:p w14:paraId="2F6D60FE" w14:textId="4604D567" w:rsidR="001D2768" w:rsidRDefault="0035263E">
      <w:pPr>
        <w:widowControl/>
        <w:spacing w:after="120"/>
        <w:rPr>
          <w:sz w:val="24"/>
          <w:szCs w:val="24"/>
          <w:lang w:val="en-GB"/>
        </w:rPr>
      </w:pPr>
      <w:r w:rsidRPr="0085046F">
        <w:rPr>
          <w:sz w:val="24"/>
          <w:szCs w:val="24"/>
          <w:lang w:val="en-GB"/>
        </w:rPr>
        <w:t>W</w:t>
      </w:r>
      <w:r w:rsidR="001D2768" w:rsidRPr="0085046F">
        <w:rPr>
          <w:sz w:val="24"/>
          <w:szCs w:val="24"/>
          <w:lang w:val="en-GB"/>
        </w:rPr>
        <w:t xml:space="preserve">allaby are listed as </w:t>
      </w:r>
      <w:r w:rsidR="00B0463E" w:rsidRPr="0085046F">
        <w:rPr>
          <w:sz w:val="24"/>
          <w:szCs w:val="24"/>
          <w:lang w:val="en-GB"/>
        </w:rPr>
        <w:t xml:space="preserve">Partly Protected </w:t>
      </w:r>
      <w:r w:rsidR="001D2768" w:rsidRPr="0085046F">
        <w:rPr>
          <w:sz w:val="24"/>
          <w:szCs w:val="24"/>
          <w:lang w:val="en-GB"/>
        </w:rPr>
        <w:t xml:space="preserve">wildlife under Schedule </w:t>
      </w:r>
      <w:r w:rsidR="00B0463E" w:rsidRPr="0085046F">
        <w:rPr>
          <w:sz w:val="24"/>
          <w:szCs w:val="24"/>
          <w:lang w:val="en-GB"/>
        </w:rPr>
        <w:t xml:space="preserve">8 </w:t>
      </w:r>
      <w:r w:rsidR="001D2768" w:rsidRPr="0085046F">
        <w:rPr>
          <w:sz w:val="24"/>
          <w:szCs w:val="24"/>
          <w:lang w:val="en-GB"/>
        </w:rPr>
        <w:t xml:space="preserve">of the </w:t>
      </w:r>
      <w:r w:rsidR="00B0463E" w:rsidRPr="0085046F">
        <w:rPr>
          <w:i/>
          <w:sz w:val="24"/>
          <w:szCs w:val="24"/>
          <w:lang w:val="en-GB"/>
        </w:rPr>
        <w:t>Nature Conservation (Wildlife) Regulations 2021</w:t>
      </w:r>
      <w:r w:rsidR="001D2768" w:rsidRPr="0085046F">
        <w:rPr>
          <w:sz w:val="24"/>
          <w:szCs w:val="24"/>
          <w:lang w:val="en-GB"/>
        </w:rPr>
        <w:t xml:space="preserve"> of the </w:t>
      </w:r>
      <w:r w:rsidR="001D2768" w:rsidRPr="0085046F">
        <w:rPr>
          <w:i/>
          <w:sz w:val="24"/>
          <w:szCs w:val="24"/>
          <w:lang w:val="en-GB"/>
        </w:rPr>
        <w:t>Nature Conservation Act 2002</w:t>
      </w:r>
      <w:r w:rsidR="00BF534A" w:rsidRPr="0085046F">
        <w:rPr>
          <w:sz w:val="24"/>
          <w:szCs w:val="24"/>
          <w:lang w:val="en-GB"/>
        </w:rPr>
        <w:t xml:space="preserve">. </w:t>
      </w:r>
      <w:r w:rsidR="00826666" w:rsidRPr="0085046F">
        <w:rPr>
          <w:sz w:val="24"/>
          <w:szCs w:val="24"/>
          <w:lang w:val="en-GB"/>
        </w:rPr>
        <w:t>As such, they can only be taken for commercial purposes by licensed hunters and only from properties which have been issued property protection permits for wallaby by NRE</w:t>
      </w:r>
      <w:r w:rsidR="00BF534A" w:rsidRPr="0085046F">
        <w:rPr>
          <w:sz w:val="24"/>
          <w:szCs w:val="24"/>
          <w:lang w:val="en-GB"/>
        </w:rPr>
        <w:t xml:space="preserve">. </w:t>
      </w:r>
      <w:r w:rsidR="00826666" w:rsidRPr="0085046F">
        <w:rPr>
          <w:sz w:val="24"/>
          <w:szCs w:val="24"/>
          <w:lang w:val="en-GB"/>
        </w:rPr>
        <w:t>Such permits are only issued when evidence is supplied by the landowners of economic loss due to wallaby</w:t>
      </w:r>
      <w:r w:rsidR="00BF534A" w:rsidRPr="0085046F">
        <w:rPr>
          <w:sz w:val="24"/>
          <w:szCs w:val="24"/>
          <w:lang w:val="en-GB"/>
        </w:rPr>
        <w:t xml:space="preserve">. </w:t>
      </w:r>
      <w:r w:rsidR="008C3715" w:rsidRPr="0085046F">
        <w:rPr>
          <w:sz w:val="24"/>
          <w:szCs w:val="24"/>
          <w:lang w:val="en-GB"/>
        </w:rPr>
        <w:t xml:space="preserve">Hunters must have a Commercial Purposes </w:t>
      </w:r>
      <w:r w:rsidR="00C7375D" w:rsidRPr="0085046F">
        <w:rPr>
          <w:sz w:val="24"/>
          <w:szCs w:val="24"/>
          <w:lang w:val="en-GB"/>
        </w:rPr>
        <w:t>Licence,</w:t>
      </w:r>
      <w:r w:rsidR="008C3715" w:rsidRPr="0085046F">
        <w:rPr>
          <w:sz w:val="24"/>
          <w:szCs w:val="24"/>
          <w:lang w:val="en-GB"/>
        </w:rPr>
        <w:t xml:space="preserve"> and they are permitted to sell wallaby to meat processors who hold a Commercial Wildlife Traders Licence.</w:t>
      </w:r>
    </w:p>
    <w:p w14:paraId="122EBE94" w14:textId="4239FD27" w:rsidR="001D2768" w:rsidRDefault="00081293">
      <w:pPr>
        <w:widowControl/>
        <w:spacing w:after="120"/>
        <w:rPr>
          <w:sz w:val="24"/>
          <w:szCs w:val="24"/>
          <w:lang w:val="en-GB"/>
        </w:rPr>
      </w:pPr>
      <w:r>
        <w:rPr>
          <w:sz w:val="24"/>
          <w:szCs w:val="24"/>
          <w:lang w:val="en-GB"/>
        </w:rPr>
        <w:t xml:space="preserve">NRE </w:t>
      </w:r>
      <w:r w:rsidR="001D2768">
        <w:rPr>
          <w:sz w:val="24"/>
          <w:szCs w:val="24"/>
          <w:lang w:val="en-GB"/>
        </w:rPr>
        <w:t>monitor</w:t>
      </w:r>
      <w:r w:rsidR="00745FA8">
        <w:rPr>
          <w:sz w:val="24"/>
          <w:szCs w:val="24"/>
          <w:lang w:val="en-GB"/>
        </w:rPr>
        <w:t>s</w:t>
      </w:r>
      <w:r w:rsidR="001D2768">
        <w:rPr>
          <w:sz w:val="24"/>
          <w:szCs w:val="24"/>
          <w:lang w:val="en-GB"/>
        </w:rPr>
        <w:t xml:space="preserve"> Tasmania</w:t>
      </w:r>
      <w:r w:rsidR="0035263E">
        <w:rPr>
          <w:sz w:val="24"/>
          <w:szCs w:val="24"/>
          <w:lang w:val="en-GB"/>
        </w:rPr>
        <w:t>’s</w:t>
      </w:r>
      <w:r w:rsidR="001D2768">
        <w:rPr>
          <w:sz w:val="24"/>
          <w:szCs w:val="24"/>
          <w:lang w:val="en-GB"/>
        </w:rPr>
        <w:t xml:space="preserve"> wallaby population through the undertaking of annual spotlight surveys (</w:t>
      </w:r>
      <w:r w:rsidR="001D2768" w:rsidRPr="005A3241">
        <w:rPr>
          <w:sz w:val="24"/>
          <w:szCs w:val="24"/>
          <w:lang w:val="en-GB"/>
        </w:rPr>
        <w:t>Section 5),</w:t>
      </w:r>
      <w:r w:rsidR="001D2768">
        <w:rPr>
          <w:sz w:val="24"/>
          <w:szCs w:val="24"/>
          <w:lang w:val="en-GB"/>
        </w:rPr>
        <w:t xml:space="preserve"> </w:t>
      </w:r>
      <w:r w:rsidR="00B72FDA">
        <w:rPr>
          <w:sz w:val="24"/>
          <w:szCs w:val="24"/>
          <w:lang w:val="en-GB"/>
        </w:rPr>
        <w:t>the results of which are available to</w:t>
      </w:r>
      <w:r w:rsidR="001D2768">
        <w:rPr>
          <w:sz w:val="24"/>
          <w:szCs w:val="24"/>
          <w:lang w:val="en-GB"/>
        </w:rPr>
        <w:t xml:space="preserve"> </w:t>
      </w:r>
      <w:r w:rsidR="00B90109">
        <w:rPr>
          <w:sz w:val="24"/>
          <w:szCs w:val="24"/>
          <w:lang w:val="en-GB"/>
        </w:rPr>
        <w:t>Lenah Game Meats (</w:t>
      </w:r>
      <w:r w:rsidR="001D2768">
        <w:rPr>
          <w:sz w:val="24"/>
          <w:szCs w:val="24"/>
          <w:lang w:val="en-GB"/>
        </w:rPr>
        <w:t>LGM</w:t>
      </w:r>
      <w:r w:rsidR="00B90109">
        <w:rPr>
          <w:sz w:val="24"/>
          <w:szCs w:val="24"/>
          <w:lang w:val="en-GB"/>
        </w:rPr>
        <w:t>)</w:t>
      </w:r>
      <w:r w:rsidR="001D2768">
        <w:rPr>
          <w:sz w:val="24"/>
          <w:szCs w:val="24"/>
          <w:lang w:val="en-GB"/>
        </w:rPr>
        <w:t xml:space="preserve"> for reporting to the Commonwealth as required under Section 10. </w:t>
      </w:r>
      <w:r>
        <w:rPr>
          <w:sz w:val="24"/>
          <w:szCs w:val="24"/>
          <w:lang w:val="en-GB"/>
        </w:rPr>
        <w:t>NRE</w:t>
      </w:r>
      <w:r w:rsidR="001D2768">
        <w:rPr>
          <w:sz w:val="24"/>
          <w:szCs w:val="24"/>
          <w:lang w:val="en-GB"/>
        </w:rPr>
        <w:t xml:space="preserve"> </w:t>
      </w:r>
      <w:r w:rsidR="00826666">
        <w:rPr>
          <w:sz w:val="24"/>
          <w:szCs w:val="24"/>
          <w:lang w:val="en-GB"/>
        </w:rPr>
        <w:t>will also ensure that the</w:t>
      </w:r>
      <w:r w:rsidR="001D2768">
        <w:rPr>
          <w:sz w:val="24"/>
          <w:szCs w:val="24"/>
          <w:lang w:val="en-GB"/>
        </w:rPr>
        <w:t xml:space="preserve"> activities undertaken under this WTO comply with the </w:t>
      </w:r>
      <w:r w:rsidR="00B0463E">
        <w:rPr>
          <w:i/>
          <w:sz w:val="24"/>
          <w:szCs w:val="24"/>
          <w:lang w:val="en-GB"/>
        </w:rPr>
        <w:t>Nature Conservation (Wildlife) Regulations 2021</w:t>
      </w:r>
      <w:r w:rsidR="00B0463E">
        <w:rPr>
          <w:sz w:val="24"/>
          <w:szCs w:val="24"/>
          <w:lang w:val="en-GB"/>
        </w:rPr>
        <w:t xml:space="preserve"> </w:t>
      </w:r>
      <w:r w:rsidR="001D2768">
        <w:rPr>
          <w:sz w:val="24"/>
          <w:szCs w:val="24"/>
          <w:lang w:val="en-GB"/>
        </w:rPr>
        <w:t xml:space="preserve">of the </w:t>
      </w:r>
      <w:r w:rsidR="001D2768">
        <w:rPr>
          <w:i/>
          <w:sz w:val="24"/>
          <w:szCs w:val="24"/>
          <w:lang w:val="en-GB"/>
        </w:rPr>
        <w:t>Nature</w:t>
      </w:r>
      <w:r w:rsidR="001D2768">
        <w:rPr>
          <w:sz w:val="24"/>
          <w:szCs w:val="24"/>
          <w:lang w:val="en-GB"/>
        </w:rPr>
        <w:t xml:space="preserve"> </w:t>
      </w:r>
      <w:r w:rsidR="001D2768">
        <w:rPr>
          <w:i/>
          <w:sz w:val="24"/>
          <w:szCs w:val="24"/>
          <w:lang w:val="en-GB"/>
        </w:rPr>
        <w:t>Conservation Act 2002</w:t>
      </w:r>
      <w:r w:rsidR="001D2768">
        <w:rPr>
          <w:sz w:val="24"/>
          <w:szCs w:val="24"/>
          <w:lang w:val="en-GB"/>
        </w:rPr>
        <w:t xml:space="preserve"> (</w:t>
      </w:r>
      <w:r w:rsidR="001D2768" w:rsidRPr="005A3241">
        <w:rPr>
          <w:sz w:val="24"/>
          <w:szCs w:val="24"/>
          <w:lang w:val="en-GB"/>
        </w:rPr>
        <w:t>Section 7</w:t>
      </w:r>
      <w:r w:rsidR="001D2768">
        <w:rPr>
          <w:sz w:val="24"/>
          <w:szCs w:val="24"/>
          <w:lang w:val="en-GB"/>
        </w:rPr>
        <w:t xml:space="preserve">) and the </w:t>
      </w:r>
      <w:r w:rsidR="001D2768">
        <w:rPr>
          <w:i/>
          <w:sz w:val="24"/>
          <w:szCs w:val="24"/>
          <w:lang w:val="en-GB"/>
        </w:rPr>
        <w:t>Animal Welfare Act 1993</w:t>
      </w:r>
      <w:r w:rsidR="001D2768">
        <w:rPr>
          <w:sz w:val="24"/>
          <w:szCs w:val="24"/>
          <w:lang w:val="en-GB"/>
        </w:rPr>
        <w:t xml:space="preserve"> (Section 8). All other requirements outlined under this WTO remain the responsibility of LGM.</w:t>
      </w:r>
    </w:p>
    <w:p w14:paraId="2651E020" w14:textId="77777777" w:rsidR="001D2768" w:rsidRDefault="001D2768">
      <w:pPr>
        <w:widowControl/>
        <w:spacing w:before="240" w:after="240"/>
        <w:rPr>
          <w:sz w:val="28"/>
          <w:szCs w:val="28"/>
          <w:lang w:val="en-GB"/>
        </w:rPr>
      </w:pPr>
      <w:r>
        <w:rPr>
          <w:b/>
          <w:sz w:val="28"/>
          <w:szCs w:val="28"/>
          <w:lang w:val="en-GB"/>
        </w:rPr>
        <w:t>2. Aim of management plan</w:t>
      </w:r>
    </w:p>
    <w:p w14:paraId="2E0FF37C" w14:textId="51CF66F4" w:rsidR="001D2768" w:rsidRDefault="001D2768">
      <w:pPr>
        <w:widowControl/>
        <w:spacing w:after="120"/>
        <w:rPr>
          <w:sz w:val="24"/>
          <w:szCs w:val="24"/>
          <w:lang w:val="en-GB"/>
        </w:rPr>
      </w:pPr>
      <w:r>
        <w:rPr>
          <w:sz w:val="24"/>
          <w:szCs w:val="24"/>
          <w:lang w:val="en-GB"/>
        </w:rPr>
        <w:t>This WTO</w:t>
      </w:r>
      <w:r w:rsidR="009E5A7F">
        <w:rPr>
          <w:sz w:val="24"/>
          <w:szCs w:val="24"/>
          <w:lang w:val="en-GB"/>
        </w:rPr>
        <w:t xml:space="preserve"> plan</w:t>
      </w:r>
      <w:r>
        <w:rPr>
          <w:sz w:val="24"/>
          <w:szCs w:val="24"/>
          <w:lang w:val="en-GB"/>
        </w:rPr>
        <w:t xml:space="preserve"> lays out a mechanism by which an auditable process can ensure that </w:t>
      </w:r>
      <w:r w:rsidR="00B9507C">
        <w:rPr>
          <w:sz w:val="24"/>
          <w:szCs w:val="24"/>
          <w:lang w:val="en-GB"/>
        </w:rPr>
        <w:t>wallaby</w:t>
      </w:r>
      <w:r>
        <w:rPr>
          <w:sz w:val="24"/>
          <w:szCs w:val="24"/>
          <w:lang w:val="en-GB"/>
        </w:rPr>
        <w:t xml:space="preserve"> </w:t>
      </w:r>
      <w:r w:rsidR="00FB00E8">
        <w:rPr>
          <w:sz w:val="24"/>
          <w:szCs w:val="24"/>
          <w:lang w:val="en-GB"/>
        </w:rPr>
        <w:t xml:space="preserve">product from animals processed by LGM </w:t>
      </w:r>
      <w:r>
        <w:rPr>
          <w:sz w:val="24"/>
          <w:szCs w:val="24"/>
          <w:lang w:val="en-GB"/>
        </w:rPr>
        <w:t xml:space="preserve">can be exported in a manner which satisfies the public and </w:t>
      </w:r>
      <w:r w:rsidR="00B72FDA">
        <w:rPr>
          <w:sz w:val="24"/>
          <w:szCs w:val="24"/>
          <w:lang w:val="en-GB"/>
        </w:rPr>
        <w:t xml:space="preserve">Government </w:t>
      </w:r>
      <w:r>
        <w:rPr>
          <w:sz w:val="24"/>
          <w:szCs w:val="24"/>
          <w:lang w:val="en-GB"/>
        </w:rPr>
        <w:t>requirements that they be taken humanely and sustainably.</w:t>
      </w:r>
    </w:p>
    <w:p w14:paraId="34FC96F1" w14:textId="77777777" w:rsidR="001D2768" w:rsidRDefault="001D2768">
      <w:pPr>
        <w:widowControl/>
        <w:numPr>
          <w:ilvl w:val="0"/>
          <w:numId w:val="1"/>
        </w:numPr>
        <w:spacing w:before="240" w:after="240"/>
        <w:ind w:left="0" w:firstLine="0"/>
        <w:rPr>
          <w:sz w:val="28"/>
          <w:szCs w:val="28"/>
          <w:lang w:val="en-GB"/>
        </w:rPr>
      </w:pPr>
      <w:r>
        <w:rPr>
          <w:b/>
          <w:sz w:val="28"/>
          <w:szCs w:val="28"/>
          <w:lang w:val="en-GB"/>
        </w:rPr>
        <w:t xml:space="preserve"> Harvest details</w:t>
      </w:r>
    </w:p>
    <w:p w14:paraId="59376C8C" w14:textId="06BA1F4E" w:rsidR="001D2768" w:rsidRDefault="001D2768">
      <w:pPr>
        <w:widowControl/>
        <w:rPr>
          <w:sz w:val="24"/>
          <w:szCs w:val="24"/>
          <w:lang w:val="en-GB"/>
        </w:rPr>
      </w:pPr>
      <w:r>
        <w:rPr>
          <w:b/>
          <w:sz w:val="24"/>
          <w:szCs w:val="24"/>
          <w:lang w:val="en-GB"/>
        </w:rPr>
        <w:t>3.1 Region of Harvest</w:t>
      </w:r>
    </w:p>
    <w:p w14:paraId="3E4C1E43" w14:textId="5081DEC2" w:rsidR="00C37FBD" w:rsidRPr="00A32A5A" w:rsidRDefault="00295916" w:rsidP="00C37FBD">
      <w:pPr>
        <w:pStyle w:val="Text"/>
        <w:tabs>
          <w:tab w:val="left" w:pos="851"/>
        </w:tabs>
        <w:spacing w:before="240"/>
        <w:ind w:right="425"/>
        <w:rPr>
          <w:rFonts w:ascii="Times New Roman" w:hAnsi="Times New Roman"/>
        </w:rPr>
      </w:pPr>
      <w:r w:rsidRPr="00A32A5A">
        <w:rPr>
          <w:rFonts w:ascii="Times New Roman" w:hAnsi="Times New Roman"/>
        </w:rPr>
        <w:t>Wallabies</w:t>
      </w:r>
      <w:r w:rsidR="00C37FBD" w:rsidRPr="00A32A5A">
        <w:rPr>
          <w:rFonts w:ascii="Times New Roman" w:hAnsi="Times New Roman"/>
        </w:rPr>
        <w:t xml:space="preserve"> are wholly protected on land reserved as State Reserve, National Park or other conservation </w:t>
      </w:r>
      <w:r w:rsidRPr="00A32A5A">
        <w:rPr>
          <w:rFonts w:ascii="Times New Roman" w:hAnsi="Times New Roman"/>
        </w:rPr>
        <w:t>reserves</w:t>
      </w:r>
      <w:r w:rsidR="00C37FBD" w:rsidRPr="00A32A5A">
        <w:rPr>
          <w:rFonts w:ascii="Times New Roman" w:hAnsi="Times New Roman"/>
        </w:rPr>
        <w:t xml:space="preserve"> under the </w:t>
      </w:r>
      <w:r w:rsidR="00C37FBD" w:rsidRPr="00A32A5A">
        <w:rPr>
          <w:rFonts w:ascii="Times New Roman" w:hAnsi="Times New Roman"/>
          <w:i/>
        </w:rPr>
        <w:t>National Parks and Reserves Management Act 2002</w:t>
      </w:r>
      <w:r w:rsidR="00C37FBD" w:rsidRPr="00A32A5A">
        <w:rPr>
          <w:rFonts w:ascii="Times New Roman" w:hAnsi="Times New Roman"/>
        </w:rPr>
        <w:t xml:space="preserve">.  Approximately 49% of the </w:t>
      </w:r>
      <w:r w:rsidRPr="00A32A5A">
        <w:rPr>
          <w:rFonts w:ascii="Times New Roman" w:hAnsi="Times New Roman"/>
        </w:rPr>
        <w:t>land area</w:t>
      </w:r>
      <w:r w:rsidR="00C37FBD" w:rsidRPr="00A32A5A">
        <w:rPr>
          <w:rFonts w:ascii="Times New Roman" w:hAnsi="Times New Roman"/>
        </w:rPr>
        <w:t xml:space="preserve"> of Tasmania is contained in State Reserve, National Park or other conservation reserves and much of this area is suitable wallaby habitat.  The distribution of reserves covers all regions of Tasmania, and consequently a broad range of habitat types.  In addition, much of the population outside of formal reserves is indirectly protected from culling </w:t>
      </w:r>
      <w:r w:rsidR="00692713" w:rsidRPr="00A32A5A">
        <w:rPr>
          <w:rFonts w:ascii="Times New Roman" w:hAnsi="Times New Roman"/>
        </w:rPr>
        <w:t>because of</w:t>
      </w:r>
      <w:r w:rsidR="00C37FBD" w:rsidRPr="00A32A5A">
        <w:rPr>
          <w:rFonts w:ascii="Times New Roman" w:hAnsi="Times New Roman"/>
        </w:rPr>
        <w:t xml:space="preserve"> land use restrictions, proximity to residential property and urban/suburban areas, difficult terrain, dense bush or lack of access for hunters.</w:t>
      </w:r>
    </w:p>
    <w:p w14:paraId="0931BD4B" w14:textId="70713638" w:rsidR="001D2768" w:rsidRDefault="00C37FBD" w:rsidP="006B2D86">
      <w:pPr>
        <w:pStyle w:val="Text"/>
        <w:tabs>
          <w:tab w:val="left" w:pos="851"/>
        </w:tabs>
        <w:spacing w:after="360"/>
        <w:ind w:right="425"/>
        <w:rPr>
          <w:lang w:val="en-GB"/>
        </w:rPr>
      </w:pPr>
      <w:r w:rsidRPr="00A32A5A">
        <w:rPr>
          <w:rFonts w:ascii="Times New Roman" w:hAnsi="Times New Roman"/>
        </w:rPr>
        <w:t xml:space="preserve">Under this management plan, the taking of wallaby that can be </w:t>
      </w:r>
      <w:proofErr w:type="spellStart"/>
      <w:r w:rsidRPr="00A32A5A">
        <w:rPr>
          <w:rFonts w:ascii="Times New Roman" w:hAnsi="Times New Roman"/>
        </w:rPr>
        <w:t>utili</w:t>
      </w:r>
      <w:r w:rsidR="00692713">
        <w:rPr>
          <w:rFonts w:ascii="Times New Roman" w:hAnsi="Times New Roman"/>
        </w:rPr>
        <w:t>s</w:t>
      </w:r>
      <w:r w:rsidRPr="00A32A5A">
        <w:rPr>
          <w:rFonts w:ascii="Times New Roman" w:hAnsi="Times New Roman"/>
        </w:rPr>
        <w:t>ed</w:t>
      </w:r>
      <w:proofErr w:type="spellEnd"/>
      <w:r w:rsidRPr="00A32A5A">
        <w:rPr>
          <w:rFonts w:ascii="Times New Roman" w:hAnsi="Times New Roman"/>
        </w:rPr>
        <w:t xml:space="preserve"> commercially may be undertaken only on or adjacent to land used for primary production, namely land used </w:t>
      </w:r>
      <w:r w:rsidR="0085418F" w:rsidRPr="00A32A5A">
        <w:rPr>
          <w:rFonts w:ascii="Times New Roman" w:hAnsi="Times New Roman"/>
        </w:rPr>
        <w:t>to produce</w:t>
      </w:r>
      <w:r w:rsidRPr="00A32A5A">
        <w:rPr>
          <w:rFonts w:ascii="Times New Roman" w:hAnsi="Times New Roman"/>
        </w:rPr>
        <w:t xml:space="preserve"> crops (including plantation timber) and/or pasture. </w:t>
      </w:r>
    </w:p>
    <w:p w14:paraId="5437AEA0" w14:textId="77777777" w:rsidR="001D2768" w:rsidRDefault="00FB00E8">
      <w:pPr>
        <w:widowControl/>
        <w:tabs>
          <w:tab w:val="left" w:pos="709"/>
        </w:tabs>
        <w:rPr>
          <w:b/>
          <w:sz w:val="24"/>
          <w:szCs w:val="24"/>
          <w:lang w:val="en-GB"/>
        </w:rPr>
      </w:pPr>
      <w:r>
        <w:rPr>
          <w:b/>
          <w:sz w:val="24"/>
          <w:szCs w:val="24"/>
          <w:lang w:val="en-GB"/>
        </w:rPr>
        <w:t>3.2</w:t>
      </w:r>
      <w:r>
        <w:rPr>
          <w:b/>
          <w:sz w:val="24"/>
          <w:szCs w:val="24"/>
          <w:lang w:val="en-GB"/>
        </w:rPr>
        <w:tab/>
        <w:t>Source of product</w:t>
      </w:r>
      <w:r w:rsidR="001D2768">
        <w:rPr>
          <w:b/>
          <w:sz w:val="24"/>
          <w:szCs w:val="24"/>
          <w:lang w:val="en-GB"/>
        </w:rPr>
        <w:t>.</w:t>
      </w:r>
    </w:p>
    <w:p w14:paraId="77331BCB" w14:textId="38D9696C" w:rsidR="001D2768" w:rsidRDefault="00FB00E8">
      <w:pPr>
        <w:widowControl/>
        <w:spacing w:after="120"/>
        <w:rPr>
          <w:sz w:val="24"/>
          <w:szCs w:val="24"/>
          <w:lang w:val="en-GB"/>
        </w:rPr>
      </w:pPr>
      <w:r>
        <w:rPr>
          <w:sz w:val="24"/>
          <w:szCs w:val="24"/>
          <w:lang w:val="en-GB"/>
        </w:rPr>
        <w:t xml:space="preserve">All </w:t>
      </w:r>
      <w:r w:rsidR="00197ABA">
        <w:rPr>
          <w:sz w:val="24"/>
          <w:szCs w:val="24"/>
          <w:lang w:val="en-GB"/>
        </w:rPr>
        <w:t xml:space="preserve">meat </w:t>
      </w:r>
      <w:r>
        <w:rPr>
          <w:sz w:val="24"/>
          <w:szCs w:val="24"/>
          <w:lang w:val="en-GB"/>
        </w:rPr>
        <w:t>product</w:t>
      </w:r>
      <w:r w:rsidR="001D2768">
        <w:rPr>
          <w:sz w:val="24"/>
          <w:szCs w:val="24"/>
          <w:lang w:val="en-GB"/>
        </w:rPr>
        <w:t xml:space="preserve"> for export will be sourced </w:t>
      </w:r>
      <w:r w:rsidR="001D2768" w:rsidRPr="00617F92">
        <w:rPr>
          <w:sz w:val="24"/>
          <w:szCs w:val="24"/>
          <w:lang w:val="en-GB"/>
        </w:rPr>
        <w:t>only</w:t>
      </w:r>
      <w:r>
        <w:rPr>
          <w:sz w:val="24"/>
          <w:szCs w:val="24"/>
          <w:lang w:val="en-GB"/>
        </w:rPr>
        <w:t xml:space="preserve"> from animals</w:t>
      </w:r>
      <w:r w:rsidR="001D2768">
        <w:rPr>
          <w:sz w:val="24"/>
          <w:szCs w:val="24"/>
          <w:lang w:val="en-GB"/>
        </w:rPr>
        <w:t xml:space="preserve"> processed commercially for their meat in premises licensed by </w:t>
      </w:r>
      <w:r w:rsidR="009F3A40">
        <w:rPr>
          <w:sz w:val="24"/>
          <w:szCs w:val="24"/>
          <w:lang w:val="en-GB"/>
        </w:rPr>
        <w:t>FSB</w:t>
      </w:r>
      <w:r w:rsidR="00197ABA">
        <w:rPr>
          <w:sz w:val="24"/>
          <w:szCs w:val="24"/>
          <w:lang w:val="en-GB"/>
        </w:rPr>
        <w:t xml:space="preserve"> </w:t>
      </w:r>
      <w:r w:rsidR="00FB1E84">
        <w:rPr>
          <w:sz w:val="24"/>
          <w:szCs w:val="24"/>
          <w:lang w:val="en-GB"/>
        </w:rPr>
        <w:t>of NRE</w:t>
      </w:r>
      <w:r w:rsidR="001D2768">
        <w:rPr>
          <w:sz w:val="24"/>
          <w:szCs w:val="24"/>
          <w:lang w:val="en-GB"/>
        </w:rPr>
        <w:t xml:space="preserve">. Mechanisms to ensure the export will not threaten the abundance of the species across its existing range are </w:t>
      </w:r>
      <w:r w:rsidR="0028214F">
        <w:rPr>
          <w:sz w:val="24"/>
          <w:szCs w:val="24"/>
          <w:lang w:val="en-GB"/>
        </w:rPr>
        <w:t>in</w:t>
      </w:r>
      <w:r w:rsidR="001D2768">
        <w:rPr>
          <w:sz w:val="24"/>
          <w:szCs w:val="24"/>
          <w:lang w:val="en-GB"/>
        </w:rPr>
        <w:t xml:space="preserve"> </w:t>
      </w:r>
      <w:r w:rsidR="001D2768" w:rsidRPr="005A3241">
        <w:rPr>
          <w:sz w:val="24"/>
          <w:szCs w:val="24"/>
          <w:lang w:val="en-GB"/>
        </w:rPr>
        <w:t xml:space="preserve">Section </w:t>
      </w:r>
      <w:r w:rsidR="00031B34" w:rsidRPr="005A3241">
        <w:rPr>
          <w:sz w:val="24"/>
          <w:szCs w:val="24"/>
          <w:lang w:val="en-GB"/>
        </w:rPr>
        <w:t>6</w:t>
      </w:r>
      <w:r w:rsidR="001D2768">
        <w:rPr>
          <w:sz w:val="24"/>
          <w:szCs w:val="24"/>
          <w:lang w:val="en-GB"/>
        </w:rPr>
        <w:t>.</w:t>
      </w:r>
    </w:p>
    <w:p w14:paraId="7EBE3B9F" w14:textId="77777777" w:rsidR="00B65073" w:rsidRDefault="00B65073">
      <w:pPr>
        <w:widowControl/>
        <w:spacing w:after="120"/>
        <w:rPr>
          <w:sz w:val="24"/>
          <w:szCs w:val="24"/>
          <w:lang w:val="en-GB"/>
        </w:rPr>
      </w:pPr>
    </w:p>
    <w:p w14:paraId="414413E7" w14:textId="77777777" w:rsidR="0028214F" w:rsidRDefault="0028214F">
      <w:pPr>
        <w:widowControl/>
        <w:spacing w:after="120"/>
        <w:rPr>
          <w:sz w:val="24"/>
          <w:szCs w:val="24"/>
          <w:lang w:val="en-GB"/>
        </w:rPr>
      </w:pPr>
    </w:p>
    <w:p w14:paraId="63022CC9" w14:textId="77777777" w:rsidR="001D2768" w:rsidRDefault="001D2768">
      <w:pPr>
        <w:widowControl/>
        <w:rPr>
          <w:sz w:val="24"/>
          <w:szCs w:val="24"/>
          <w:lang w:val="en-GB"/>
        </w:rPr>
      </w:pPr>
      <w:r>
        <w:rPr>
          <w:b/>
          <w:sz w:val="24"/>
          <w:szCs w:val="24"/>
          <w:lang w:val="en-GB"/>
        </w:rPr>
        <w:lastRenderedPageBreak/>
        <w:t xml:space="preserve">3.3 </w:t>
      </w:r>
      <w:r>
        <w:rPr>
          <w:b/>
          <w:sz w:val="24"/>
          <w:szCs w:val="24"/>
          <w:lang w:val="en-GB"/>
        </w:rPr>
        <w:tab/>
        <w:t>Method of Harvest.</w:t>
      </w:r>
    </w:p>
    <w:p w14:paraId="657CF5C1" w14:textId="17FBA4EC" w:rsidR="001D2768" w:rsidRDefault="001D2768" w:rsidP="00D05D64">
      <w:pPr>
        <w:widowControl/>
        <w:spacing w:after="120"/>
        <w:jc w:val="left"/>
        <w:rPr>
          <w:sz w:val="24"/>
          <w:szCs w:val="24"/>
          <w:u w:val="single"/>
          <w:lang w:val="en-GB"/>
        </w:rPr>
      </w:pPr>
      <w:r>
        <w:rPr>
          <w:sz w:val="24"/>
          <w:szCs w:val="24"/>
          <w:lang w:val="en-GB"/>
        </w:rPr>
        <w:t>Animals will be ta</w:t>
      </w:r>
      <w:r w:rsidR="00144D88">
        <w:rPr>
          <w:sz w:val="24"/>
          <w:szCs w:val="24"/>
          <w:lang w:val="en-GB"/>
        </w:rPr>
        <w:t xml:space="preserve">ken only by harvesters </w:t>
      </w:r>
      <w:r w:rsidR="00197ABA">
        <w:rPr>
          <w:sz w:val="24"/>
          <w:szCs w:val="24"/>
          <w:lang w:val="en-GB"/>
        </w:rPr>
        <w:t>holding a cu</w:t>
      </w:r>
      <w:r w:rsidR="00144D88">
        <w:rPr>
          <w:sz w:val="24"/>
          <w:szCs w:val="24"/>
          <w:lang w:val="en-GB"/>
        </w:rPr>
        <w:t xml:space="preserve">rrent Commercial </w:t>
      </w:r>
      <w:r w:rsidR="00C37FBD">
        <w:rPr>
          <w:sz w:val="24"/>
          <w:szCs w:val="24"/>
          <w:lang w:val="en-GB"/>
        </w:rPr>
        <w:t>Purpose</w:t>
      </w:r>
      <w:r w:rsidR="00FB1E84">
        <w:rPr>
          <w:sz w:val="24"/>
          <w:szCs w:val="24"/>
          <w:lang w:val="en-GB"/>
        </w:rPr>
        <w:t>s</w:t>
      </w:r>
      <w:r w:rsidR="00144D88">
        <w:rPr>
          <w:sz w:val="24"/>
          <w:szCs w:val="24"/>
          <w:lang w:val="en-GB"/>
        </w:rPr>
        <w:t xml:space="preserve"> Licence</w:t>
      </w:r>
      <w:r w:rsidR="00BF534A">
        <w:rPr>
          <w:sz w:val="24"/>
          <w:szCs w:val="24"/>
          <w:lang w:val="en-GB"/>
        </w:rPr>
        <w:t xml:space="preserve">. </w:t>
      </w:r>
      <w:r w:rsidR="009F3A40">
        <w:rPr>
          <w:sz w:val="24"/>
          <w:szCs w:val="24"/>
          <w:lang w:val="en-GB"/>
        </w:rPr>
        <w:t>FSB</w:t>
      </w:r>
      <w:r>
        <w:rPr>
          <w:sz w:val="24"/>
          <w:szCs w:val="24"/>
          <w:lang w:val="en-GB"/>
        </w:rPr>
        <w:t xml:space="preserve"> requires that animals entering the commercial </w:t>
      </w:r>
      <w:r w:rsidR="00144D88">
        <w:rPr>
          <w:sz w:val="24"/>
          <w:szCs w:val="24"/>
          <w:lang w:val="en-GB"/>
        </w:rPr>
        <w:t xml:space="preserve">meat </w:t>
      </w:r>
      <w:r>
        <w:rPr>
          <w:sz w:val="24"/>
          <w:szCs w:val="24"/>
          <w:lang w:val="en-GB"/>
        </w:rPr>
        <w:t xml:space="preserve">trade must be taken </w:t>
      </w:r>
      <w:r w:rsidR="00144D88">
        <w:rPr>
          <w:sz w:val="24"/>
          <w:szCs w:val="24"/>
          <w:lang w:val="en-GB"/>
        </w:rPr>
        <w:t xml:space="preserve">by accredited Game Meat Harvesters </w:t>
      </w:r>
      <w:r w:rsidR="00FB1E84">
        <w:rPr>
          <w:sz w:val="24"/>
          <w:szCs w:val="24"/>
          <w:lang w:val="en-GB"/>
        </w:rPr>
        <w:t>and in accordance with</w:t>
      </w:r>
      <w:r>
        <w:rPr>
          <w:sz w:val="24"/>
          <w:szCs w:val="24"/>
          <w:lang w:val="en-GB"/>
        </w:rPr>
        <w:t xml:space="preserve"> the </w:t>
      </w:r>
      <w:r w:rsidR="00FB1E84" w:rsidRPr="00FB1E84">
        <w:rPr>
          <w:i/>
          <w:sz w:val="24"/>
          <w:szCs w:val="24"/>
        </w:rPr>
        <w:t>National Code of Practice for the Humane Shooting of Kangaroos and Wallabies for Commercial Purposes 2020</w:t>
      </w:r>
      <w:r w:rsidR="00D05D64">
        <w:rPr>
          <w:sz w:val="24"/>
          <w:szCs w:val="24"/>
          <w:lang w:val="en-GB"/>
        </w:rPr>
        <w:t xml:space="preserve"> </w:t>
      </w:r>
      <w:r w:rsidR="00DC4C3F">
        <w:rPr>
          <w:sz w:val="24"/>
          <w:szCs w:val="24"/>
          <w:lang w:val="en-GB"/>
        </w:rPr>
        <w:t>(</w:t>
      </w:r>
      <w:r w:rsidR="00B90109" w:rsidRPr="00B90109">
        <w:rPr>
          <w:sz w:val="24"/>
          <w:szCs w:val="24"/>
          <w:lang w:val="en-GB"/>
        </w:rPr>
        <w:t>https://agrifutures.com.au/resource/the-national-code-of-practice-for-the-humane-shooting-of-kangaroos-and-wallabies-for-commercial-purposes/</w:t>
      </w:r>
      <w:r>
        <w:rPr>
          <w:sz w:val="24"/>
          <w:szCs w:val="24"/>
          <w:lang w:val="en-GB"/>
        </w:rPr>
        <w:t xml:space="preserve">) and </w:t>
      </w:r>
      <w:r>
        <w:rPr>
          <w:sz w:val="24"/>
          <w:szCs w:val="24"/>
          <w:u w:val="single"/>
          <w:lang w:val="en-GB"/>
        </w:rPr>
        <w:t>must</w:t>
      </w:r>
      <w:r>
        <w:rPr>
          <w:sz w:val="24"/>
          <w:szCs w:val="24"/>
          <w:lang w:val="en-GB"/>
        </w:rPr>
        <w:t xml:space="preserve"> be </w:t>
      </w:r>
      <w:r w:rsidR="009F3A40">
        <w:rPr>
          <w:sz w:val="24"/>
          <w:szCs w:val="24"/>
          <w:lang w:val="en-GB"/>
        </w:rPr>
        <w:t>brain</w:t>
      </w:r>
      <w:r>
        <w:rPr>
          <w:sz w:val="24"/>
          <w:szCs w:val="24"/>
          <w:lang w:val="en-GB"/>
        </w:rPr>
        <w:t xml:space="preserve">-shot. This is regulated by </w:t>
      </w:r>
      <w:r w:rsidR="009F3A40">
        <w:rPr>
          <w:sz w:val="24"/>
          <w:szCs w:val="24"/>
          <w:lang w:val="en-GB"/>
        </w:rPr>
        <w:t>FSB</w:t>
      </w:r>
      <w:r>
        <w:rPr>
          <w:sz w:val="24"/>
          <w:szCs w:val="24"/>
          <w:lang w:val="en-GB"/>
        </w:rPr>
        <w:t xml:space="preserve"> through regular audits of processing premises and harvesters.</w:t>
      </w:r>
    </w:p>
    <w:p w14:paraId="05ECEC0C" w14:textId="77777777" w:rsidR="001D2768" w:rsidRDefault="001D2768">
      <w:pPr>
        <w:widowControl/>
        <w:rPr>
          <w:sz w:val="24"/>
          <w:szCs w:val="24"/>
          <w:lang w:val="en-GB"/>
        </w:rPr>
      </w:pPr>
      <w:r>
        <w:rPr>
          <w:b/>
          <w:sz w:val="24"/>
          <w:szCs w:val="24"/>
          <w:lang w:val="en-GB"/>
        </w:rPr>
        <w:t xml:space="preserve">3.4 </w:t>
      </w:r>
      <w:r>
        <w:rPr>
          <w:b/>
          <w:sz w:val="24"/>
          <w:szCs w:val="24"/>
          <w:lang w:val="en-GB"/>
        </w:rPr>
        <w:tab/>
        <w:t>Harvest season</w:t>
      </w:r>
      <w:r>
        <w:rPr>
          <w:sz w:val="24"/>
          <w:szCs w:val="24"/>
          <w:lang w:val="en-GB"/>
        </w:rPr>
        <w:t>.</w:t>
      </w:r>
    </w:p>
    <w:p w14:paraId="6D28304B" w14:textId="77777777" w:rsidR="003131A8" w:rsidRDefault="00144D88">
      <w:pPr>
        <w:widowControl/>
        <w:spacing w:after="120"/>
        <w:rPr>
          <w:sz w:val="24"/>
          <w:szCs w:val="24"/>
          <w:lang w:val="en-GB"/>
        </w:rPr>
      </w:pPr>
      <w:r>
        <w:rPr>
          <w:sz w:val="24"/>
          <w:szCs w:val="24"/>
          <w:lang w:val="en-GB"/>
        </w:rPr>
        <w:t xml:space="preserve">The harvest </w:t>
      </w:r>
      <w:r w:rsidR="001D2768">
        <w:rPr>
          <w:sz w:val="24"/>
          <w:szCs w:val="24"/>
          <w:lang w:val="en-GB"/>
        </w:rPr>
        <w:t>will be undertaken throughout the year.</w:t>
      </w:r>
    </w:p>
    <w:p w14:paraId="39D1A655" w14:textId="77777777" w:rsidR="001D2768" w:rsidRDefault="001D2768">
      <w:pPr>
        <w:widowControl/>
        <w:rPr>
          <w:b/>
          <w:sz w:val="24"/>
          <w:szCs w:val="24"/>
          <w:lang w:val="en-GB"/>
        </w:rPr>
      </w:pPr>
      <w:r>
        <w:rPr>
          <w:b/>
          <w:sz w:val="24"/>
          <w:szCs w:val="24"/>
          <w:lang w:val="en-GB"/>
        </w:rPr>
        <w:t>3.5</w:t>
      </w:r>
      <w:r>
        <w:rPr>
          <w:sz w:val="24"/>
          <w:szCs w:val="24"/>
          <w:lang w:val="en-GB"/>
        </w:rPr>
        <w:t xml:space="preserve"> </w:t>
      </w:r>
      <w:r>
        <w:rPr>
          <w:sz w:val="24"/>
          <w:szCs w:val="24"/>
          <w:lang w:val="en-GB"/>
        </w:rPr>
        <w:tab/>
      </w:r>
      <w:r>
        <w:rPr>
          <w:b/>
          <w:sz w:val="24"/>
          <w:szCs w:val="24"/>
          <w:lang w:val="en-GB"/>
        </w:rPr>
        <w:t>Size of the Harvest.</w:t>
      </w:r>
    </w:p>
    <w:p w14:paraId="3AE6D2BC" w14:textId="336F0B24" w:rsidR="001D2768" w:rsidRDefault="00144D88">
      <w:pPr>
        <w:widowControl/>
        <w:spacing w:after="120"/>
        <w:rPr>
          <w:sz w:val="24"/>
          <w:szCs w:val="24"/>
          <w:lang w:val="en-GB"/>
        </w:rPr>
      </w:pPr>
      <w:r>
        <w:rPr>
          <w:sz w:val="24"/>
          <w:szCs w:val="24"/>
          <w:lang w:val="en-GB"/>
        </w:rPr>
        <w:t xml:space="preserve">The total export of </w:t>
      </w:r>
      <w:r w:rsidR="00FB00E8">
        <w:rPr>
          <w:sz w:val="24"/>
          <w:szCs w:val="24"/>
          <w:lang w:val="en-GB"/>
        </w:rPr>
        <w:t xml:space="preserve">wallaby </w:t>
      </w:r>
      <w:r w:rsidR="001D2768">
        <w:rPr>
          <w:sz w:val="24"/>
          <w:szCs w:val="24"/>
          <w:lang w:val="en-GB"/>
        </w:rPr>
        <w:t xml:space="preserve">from Tasmania will be </w:t>
      </w:r>
      <w:r w:rsidR="00FB00E8">
        <w:rPr>
          <w:sz w:val="24"/>
          <w:szCs w:val="24"/>
          <w:lang w:val="en-GB"/>
        </w:rPr>
        <w:t xml:space="preserve">set </w:t>
      </w:r>
      <w:r w:rsidR="00266B07">
        <w:rPr>
          <w:sz w:val="24"/>
          <w:szCs w:val="24"/>
          <w:lang w:val="en-GB"/>
        </w:rPr>
        <w:t xml:space="preserve">at a maximum of </w:t>
      </w:r>
      <w:r>
        <w:rPr>
          <w:sz w:val="24"/>
          <w:szCs w:val="24"/>
          <w:lang w:val="en-GB"/>
        </w:rPr>
        <w:t>20</w:t>
      </w:r>
      <w:r w:rsidR="001D2768">
        <w:rPr>
          <w:sz w:val="24"/>
          <w:szCs w:val="24"/>
          <w:lang w:val="en-GB"/>
        </w:rPr>
        <w:t>0,000</w:t>
      </w:r>
      <w:r w:rsidR="00102F09">
        <w:rPr>
          <w:sz w:val="24"/>
          <w:szCs w:val="24"/>
          <w:lang w:val="en-GB"/>
        </w:rPr>
        <w:t xml:space="preserve"> per annum</w:t>
      </w:r>
      <w:r w:rsidR="00BF534A">
        <w:rPr>
          <w:sz w:val="24"/>
          <w:szCs w:val="24"/>
          <w:lang w:val="en-GB"/>
        </w:rPr>
        <w:t xml:space="preserve">. </w:t>
      </w:r>
      <w:r>
        <w:rPr>
          <w:sz w:val="24"/>
          <w:szCs w:val="24"/>
          <w:lang w:val="en-GB"/>
        </w:rPr>
        <w:t xml:space="preserve">The average take of </w:t>
      </w:r>
      <w:r w:rsidR="002541A8">
        <w:rPr>
          <w:sz w:val="24"/>
          <w:szCs w:val="24"/>
          <w:lang w:val="en-GB"/>
        </w:rPr>
        <w:t xml:space="preserve">wallaby </w:t>
      </w:r>
      <w:r w:rsidR="000F3B56">
        <w:rPr>
          <w:sz w:val="24"/>
          <w:szCs w:val="24"/>
          <w:lang w:val="en-GB"/>
        </w:rPr>
        <w:t>over the past twenty years has exceeded 500,000</w:t>
      </w:r>
      <w:r w:rsidR="00FB7244">
        <w:rPr>
          <w:sz w:val="24"/>
          <w:szCs w:val="24"/>
          <w:lang w:val="en-GB"/>
        </w:rPr>
        <w:t xml:space="preserve"> per annum</w:t>
      </w:r>
      <w:r w:rsidR="000F3B56">
        <w:rPr>
          <w:sz w:val="24"/>
          <w:szCs w:val="24"/>
          <w:lang w:val="en-GB"/>
        </w:rPr>
        <w:t xml:space="preserve"> (</w:t>
      </w:r>
      <w:r w:rsidR="009E4F14">
        <w:rPr>
          <w:sz w:val="24"/>
          <w:szCs w:val="24"/>
          <w:lang w:val="en-GB"/>
        </w:rPr>
        <w:t>Unpublished Data, NRE Tasmania</w:t>
      </w:r>
      <w:r w:rsidR="00B90109">
        <w:rPr>
          <w:sz w:val="24"/>
          <w:szCs w:val="24"/>
          <w:lang w:val="en-GB"/>
        </w:rPr>
        <w:t>)</w:t>
      </w:r>
      <w:r w:rsidR="00BF534A">
        <w:rPr>
          <w:sz w:val="24"/>
          <w:szCs w:val="24"/>
          <w:lang w:val="en-GB"/>
        </w:rPr>
        <w:t xml:space="preserve">. </w:t>
      </w:r>
      <w:r w:rsidR="00266B07" w:rsidRPr="00815804">
        <w:rPr>
          <w:sz w:val="24"/>
          <w:szCs w:val="24"/>
          <w:lang w:val="en-GB"/>
        </w:rPr>
        <w:t>The</w:t>
      </w:r>
      <w:r w:rsidR="002541A8" w:rsidRPr="00815804">
        <w:rPr>
          <w:sz w:val="24"/>
          <w:szCs w:val="24"/>
          <w:lang w:val="en-GB"/>
        </w:rPr>
        <w:t xml:space="preserve"> proposed</w:t>
      </w:r>
      <w:r w:rsidRPr="00815804">
        <w:rPr>
          <w:sz w:val="24"/>
          <w:szCs w:val="24"/>
          <w:lang w:val="en-GB"/>
        </w:rPr>
        <w:t xml:space="preserve"> available commercial quot</w:t>
      </w:r>
      <w:r w:rsidR="009F3543" w:rsidRPr="00815804">
        <w:rPr>
          <w:sz w:val="24"/>
          <w:szCs w:val="24"/>
          <w:lang w:val="en-GB"/>
        </w:rPr>
        <w:t xml:space="preserve">a of 200,000/year is </w:t>
      </w:r>
      <w:r w:rsidR="000F3B56" w:rsidRPr="00815804">
        <w:rPr>
          <w:sz w:val="24"/>
          <w:szCs w:val="24"/>
          <w:lang w:val="en-GB"/>
        </w:rPr>
        <w:t>40</w:t>
      </w:r>
      <w:r w:rsidR="00FB00E8" w:rsidRPr="00815804">
        <w:rPr>
          <w:sz w:val="24"/>
          <w:szCs w:val="24"/>
          <w:lang w:val="en-GB"/>
        </w:rPr>
        <w:t xml:space="preserve">% of the </w:t>
      </w:r>
      <w:r w:rsidR="000F3B56" w:rsidRPr="00815804">
        <w:rPr>
          <w:sz w:val="24"/>
          <w:szCs w:val="24"/>
          <w:lang w:val="en-GB"/>
        </w:rPr>
        <w:t xml:space="preserve">average </w:t>
      </w:r>
      <w:r w:rsidR="00FB00E8" w:rsidRPr="00815804">
        <w:rPr>
          <w:sz w:val="24"/>
          <w:szCs w:val="24"/>
          <w:lang w:val="en-GB"/>
        </w:rPr>
        <w:t>cull</w:t>
      </w:r>
      <w:r w:rsidR="00BF534A" w:rsidRPr="00815804">
        <w:rPr>
          <w:sz w:val="24"/>
          <w:szCs w:val="24"/>
          <w:lang w:val="en-GB"/>
        </w:rPr>
        <w:t xml:space="preserve">. </w:t>
      </w:r>
    </w:p>
    <w:p w14:paraId="442F578E" w14:textId="77777777" w:rsidR="001D2768" w:rsidRDefault="001D2768">
      <w:pPr>
        <w:widowControl/>
        <w:spacing w:before="240" w:after="240"/>
        <w:rPr>
          <w:sz w:val="28"/>
          <w:szCs w:val="28"/>
          <w:lang w:val="en-GB"/>
        </w:rPr>
      </w:pPr>
      <w:r>
        <w:rPr>
          <w:b/>
          <w:sz w:val="28"/>
          <w:szCs w:val="28"/>
          <w:lang w:val="en-GB"/>
        </w:rPr>
        <w:t>4. Impact on the harvested species</w:t>
      </w:r>
    </w:p>
    <w:p w14:paraId="673EB395" w14:textId="0E901DAE" w:rsidR="00A73D1A" w:rsidRDefault="001D2768">
      <w:pPr>
        <w:widowControl/>
        <w:spacing w:after="120"/>
        <w:rPr>
          <w:sz w:val="24"/>
          <w:szCs w:val="24"/>
          <w:lang w:val="en-GB"/>
        </w:rPr>
      </w:pPr>
      <w:r>
        <w:rPr>
          <w:sz w:val="24"/>
          <w:szCs w:val="24"/>
          <w:lang w:val="en-GB"/>
        </w:rPr>
        <w:t xml:space="preserve">Wallaby have been commercially harvested </w:t>
      </w:r>
      <w:r w:rsidR="003131A8">
        <w:rPr>
          <w:sz w:val="24"/>
          <w:szCs w:val="24"/>
          <w:lang w:val="en-GB"/>
        </w:rPr>
        <w:t>and culled under damage miti</w:t>
      </w:r>
      <w:r w:rsidR="00FB00E8">
        <w:rPr>
          <w:sz w:val="24"/>
          <w:szCs w:val="24"/>
          <w:lang w:val="en-GB"/>
        </w:rPr>
        <w:t xml:space="preserve">gation permits </w:t>
      </w:r>
      <w:r>
        <w:rPr>
          <w:sz w:val="24"/>
          <w:szCs w:val="24"/>
          <w:lang w:val="en-GB"/>
        </w:rPr>
        <w:t>for domestic purposes on mainland Tasmania</w:t>
      </w:r>
      <w:r w:rsidR="002541A8">
        <w:rPr>
          <w:sz w:val="24"/>
          <w:szCs w:val="24"/>
          <w:lang w:val="en-GB"/>
        </w:rPr>
        <w:t xml:space="preserve"> at </w:t>
      </w:r>
      <w:r w:rsidR="00722D11">
        <w:rPr>
          <w:sz w:val="24"/>
          <w:szCs w:val="24"/>
          <w:lang w:val="en-GB"/>
        </w:rPr>
        <w:t xml:space="preserve">average </w:t>
      </w:r>
      <w:r w:rsidR="002541A8">
        <w:rPr>
          <w:sz w:val="24"/>
          <w:szCs w:val="24"/>
          <w:lang w:val="en-GB"/>
        </w:rPr>
        <w:t xml:space="preserve">rates of </w:t>
      </w:r>
      <w:r w:rsidR="000F3B56">
        <w:rPr>
          <w:sz w:val="24"/>
          <w:szCs w:val="24"/>
          <w:lang w:val="en-GB"/>
        </w:rPr>
        <w:t>500,000 per year over the past twenty years (</w:t>
      </w:r>
      <w:bookmarkStart w:id="0" w:name="_Hlk208405459"/>
      <w:r w:rsidR="0094144F">
        <w:rPr>
          <w:sz w:val="24"/>
          <w:szCs w:val="24"/>
          <w:lang w:val="en-GB"/>
        </w:rPr>
        <w:t>Unpublished Data, NRE Tasmania</w:t>
      </w:r>
      <w:bookmarkEnd w:id="0"/>
      <w:r w:rsidR="000F3B56">
        <w:rPr>
          <w:sz w:val="24"/>
          <w:szCs w:val="24"/>
          <w:lang w:val="en-GB"/>
        </w:rPr>
        <w:t>)</w:t>
      </w:r>
      <w:r>
        <w:rPr>
          <w:sz w:val="24"/>
          <w:szCs w:val="24"/>
          <w:lang w:val="en-GB"/>
        </w:rPr>
        <w:t xml:space="preserve">. </w:t>
      </w:r>
      <w:r w:rsidR="005A0F4A">
        <w:rPr>
          <w:sz w:val="24"/>
          <w:szCs w:val="24"/>
          <w:lang w:val="en-GB"/>
        </w:rPr>
        <w:t xml:space="preserve">Wallaby </w:t>
      </w:r>
      <w:r w:rsidR="009E4F14">
        <w:rPr>
          <w:sz w:val="24"/>
          <w:szCs w:val="24"/>
          <w:lang w:val="en-GB"/>
        </w:rPr>
        <w:t>take</w:t>
      </w:r>
      <w:r w:rsidR="005A0F4A">
        <w:rPr>
          <w:sz w:val="24"/>
          <w:szCs w:val="24"/>
          <w:lang w:val="en-GB"/>
        </w:rPr>
        <w:t xml:space="preserve"> figures for the </w:t>
      </w:r>
      <w:r w:rsidR="008C3715">
        <w:rPr>
          <w:sz w:val="24"/>
          <w:szCs w:val="24"/>
          <w:lang w:val="en-GB"/>
        </w:rPr>
        <w:t>years</w:t>
      </w:r>
      <w:r w:rsidR="005A0F4A">
        <w:rPr>
          <w:sz w:val="24"/>
          <w:szCs w:val="24"/>
          <w:lang w:val="en-GB"/>
        </w:rPr>
        <w:t xml:space="preserve"> </w:t>
      </w:r>
      <w:r w:rsidR="007B2209">
        <w:rPr>
          <w:sz w:val="24"/>
          <w:szCs w:val="24"/>
          <w:lang w:val="en-GB"/>
        </w:rPr>
        <w:t xml:space="preserve">2019 to </w:t>
      </w:r>
      <w:r w:rsidR="006964FF">
        <w:rPr>
          <w:sz w:val="24"/>
          <w:szCs w:val="24"/>
          <w:lang w:val="en-GB"/>
        </w:rPr>
        <w:t>2024</w:t>
      </w:r>
      <w:r w:rsidR="00391DE8">
        <w:rPr>
          <w:sz w:val="24"/>
          <w:szCs w:val="24"/>
          <w:lang w:val="en-GB"/>
        </w:rPr>
        <w:t xml:space="preserve"> </w:t>
      </w:r>
      <w:r w:rsidR="005A0F4A">
        <w:rPr>
          <w:sz w:val="24"/>
          <w:szCs w:val="24"/>
          <w:lang w:val="en-GB"/>
        </w:rPr>
        <w:t>are given in Table 1</w:t>
      </w:r>
    </w:p>
    <w:p w14:paraId="6B7C4287" w14:textId="09FD5D6C" w:rsidR="00A73D1A" w:rsidRPr="00022A3B" w:rsidRDefault="00A73D1A" w:rsidP="00A73D1A">
      <w:pPr>
        <w:pStyle w:val="BodyText1"/>
        <w:spacing w:before="240" w:line="276" w:lineRule="auto"/>
        <w:ind w:right="339"/>
        <w:jc w:val="both"/>
        <w:rPr>
          <w:rFonts w:ascii="Gill Sans MT" w:hAnsi="Gill Sans MT"/>
          <w:b/>
          <w:bCs/>
          <w:sz w:val="24"/>
          <w:szCs w:val="24"/>
          <w:lang w:val="en-US"/>
        </w:rPr>
      </w:pPr>
      <w:bookmarkStart w:id="1" w:name="_Hlk207626859"/>
      <w:r w:rsidRPr="00022A3B">
        <w:rPr>
          <w:rFonts w:ascii="Gill Sans MT" w:hAnsi="Gill Sans MT"/>
          <w:b/>
          <w:bCs/>
          <w:sz w:val="24"/>
          <w:szCs w:val="24"/>
          <w:lang w:val="en-US"/>
        </w:rPr>
        <w:t xml:space="preserve">Table 1: </w:t>
      </w:r>
      <w:r w:rsidR="007B2209">
        <w:rPr>
          <w:rFonts w:ascii="Gill Sans MT" w:hAnsi="Gill Sans MT"/>
          <w:b/>
          <w:bCs/>
          <w:sz w:val="24"/>
          <w:szCs w:val="24"/>
          <w:lang w:val="en-US"/>
        </w:rPr>
        <w:t xml:space="preserve">Reported take of </w:t>
      </w:r>
      <w:r w:rsidR="00374B61">
        <w:rPr>
          <w:rFonts w:ascii="Gill Sans MT" w:hAnsi="Gill Sans MT"/>
          <w:b/>
          <w:bCs/>
          <w:sz w:val="24"/>
          <w:szCs w:val="24"/>
          <w:lang w:val="en-US" w:bidi="en-US"/>
        </w:rPr>
        <w:t>w</w:t>
      </w:r>
      <w:r>
        <w:rPr>
          <w:rFonts w:ascii="Gill Sans MT" w:hAnsi="Gill Sans MT"/>
          <w:b/>
          <w:bCs/>
          <w:sz w:val="24"/>
          <w:szCs w:val="24"/>
          <w:lang w:val="en-US" w:bidi="en-US"/>
        </w:rPr>
        <w:t>allaby</w:t>
      </w:r>
      <w:r w:rsidRPr="00022A3B">
        <w:rPr>
          <w:rFonts w:ascii="Gill Sans MT" w:hAnsi="Gill Sans MT"/>
          <w:b/>
          <w:bCs/>
          <w:sz w:val="24"/>
          <w:szCs w:val="24"/>
          <w:lang w:val="en-US" w:bidi="en-US"/>
        </w:rPr>
        <w:t xml:space="preserve"> under Permit (20</w:t>
      </w:r>
      <w:r w:rsidR="007B2209">
        <w:rPr>
          <w:rFonts w:ascii="Gill Sans MT" w:hAnsi="Gill Sans MT"/>
          <w:b/>
          <w:bCs/>
          <w:sz w:val="24"/>
          <w:szCs w:val="24"/>
          <w:lang w:val="en-US" w:bidi="en-US"/>
        </w:rPr>
        <w:t>19</w:t>
      </w:r>
      <w:r w:rsidRPr="00022A3B">
        <w:rPr>
          <w:rFonts w:ascii="Gill Sans MT" w:hAnsi="Gill Sans MT"/>
          <w:b/>
          <w:bCs/>
          <w:sz w:val="24"/>
          <w:szCs w:val="24"/>
          <w:lang w:val="en-US" w:bidi="en-US"/>
        </w:rPr>
        <w:t>-202</w:t>
      </w:r>
      <w:r w:rsidR="00CC712D">
        <w:rPr>
          <w:rFonts w:ascii="Gill Sans MT" w:hAnsi="Gill Sans MT"/>
          <w:b/>
          <w:bCs/>
          <w:sz w:val="24"/>
          <w:szCs w:val="24"/>
          <w:lang w:val="en-US" w:bidi="en-US"/>
        </w:rPr>
        <w:t>4</w:t>
      </w:r>
      <w:r w:rsidRPr="00022A3B">
        <w:rPr>
          <w:rFonts w:ascii="Gill Sans MT" w:hAnsi="Gill Sans MT"/>
          <w:b/>
          <w:bCs/>
          <w:sz w:val="24"/>
          <w:szCs w:val="24"/>
          <w:lang w:val="en-US" w:bidi="en-US"/>
        </w:rPr>
        <w:t>)</w:t>
      </w:r>
    </w:p>
    <w:tbl>
      <w:tblPr>
        <w:tblW w:w="9607" w:type="dxa"/>
        <w:tblBorders>
          <w:top w:val="single" w:sz="6" w:space="0" w:color="0D5691"/>
          <w:left w:val="single" w:sz="6" w:space="0" w:color="0D5691"/>
          <w:bottom w:val="single" w:sz="6" w:space="0" w:color="0D5691"/>
          <w:right w:val="single" w:sz="6" w:space="0" w:color="0D5691"/>
          <w:insideH w:val="single" w:sz="6" w:space="0" w:color="0D5691"/>
          <w:insideV w:val="single" w:sz="6" w:space="0" w:color="0D5691"/>
        </w:tblBorders>
        <w:tblLayout w:type="fixed"/>
        <w:tblCellMar>
          <w:top w:w="11" w:type="dxa"/>
          <w:bottom w:w="11" w:type="dxa"/>
        </w:tblCellMar>
        <w:tblLook w:val="00A0" w:firstRow="1" w:lastRow="0" w:firstColumn="1" w:lastColumn="0" w:noHBand="0" w:noVBand="0"/>
      </w:tblPr>
      <w:tblGrid>
        <w:gridCol w:w="2954"/>
        <w:gridCol w:w="3450"/>
        <w:gridCol w:w="3203"/>
      </w:tblGrid>
      <w:tr w:rsidR="00A73D1A" w:rsidRPr="008059B5" w14:paraId="4268BCDE" w14:textId="77777777">
        <w:trPr>
          <w:trHeight w:val="555"/>
        </w:trPr>
        <w:tc>
          <w:tcPr>
            <w:tcW w:w="2954" w:type="dxa"/>
            <w:shd w:val="clear" w:color="auto" w:fill="0D5691"/>
            <w:vAlign w:val="center"/>
          </w:tcPr>
          <w:p w14:paraId="1911285C" w14:textId="77777777" w:rsidR="00A73D1A" w:rsidRPr="008059B5" w:rsidRDefault="00A73D1A">
            <w:pPr>
              <w:tabs>
                <w:tab w:val="left" w:pos="851"/>
                <w:tab w:val="left" w:pos="8647"/>
              </w:tabs>
              <w:contextualSpacing/>
              <w:jc w:val="center"/>
              <w:rPr>
                <w:rFonts w:ascii="Gill Sans MT" w:hAnsi="Gill Sans MT" w:cs="Arial"/>
                <w:b/>
                <w:color w:val="FFFFFF"/>
              </w:rPr>
            </w:pPr>
            <w:r w:rsidRPr="008059B5">
              <w:rPr>
                <w:rFonts w:ascii="Gill Sans MT" w:hAnsi="Gill Sans MT" w:cs="Arial"/>
                <w:b/>
                <w:color w:val="FFFFFF"/>
              </w:rPr>
              <w:t>Year</w:t>
            </w:r>
          </w:p>
        </w:tc>
        <w:tc>
          <w:tcPr>
            <w:tcW w:w="3450" w:type="dxa"/>
            <w:shd w:val="clear" w:color="auto" w:fill="0D5691"/>
            <w:vAlign w:val="center"/>
          </w:tcPr>
          <w:p w14:paraId="424619E1" w14:textId="77777777" w:rsidR="00A73D1A" w:rsidRPr="008059B5" w:rsidRDefault="00A73D1A">
            <w:pPr>
              <w:tabs>
                <w:tab w:val="left" w:pos="851"/>
                <w:tab w:val="left" w:pos="8647"/>
              </w:tabs>
              <w:contextualSpacing/>
              <w:jc w:val="center"/>
              <w:rPr>
                <w:rFonts w:ascii="Gill Sans MT" w:hAnsi="Gill Sans MT" w:cs="Arial"/>
                <w:b/>
                <w:color w:val="FFFFFF"/>
              </w:rPr>
            </w:pPr>
            <w:r w:rsidRPr="008059B5">
              <w:rPr>
                <w:rFonts w:ascii="Gill Sans MT" w:hAnsi="Gill Sans MT" w:cs="Arial"/>
                <w:b/>
                <w:color w:val="FFFFFF"/>
              </w:rPr>
              <w:t>Number of Property Protection Permits</w:t>
            </w:r>
          </w:p>
          <w:p w14:paraId="165B9905" w14:textId="77777777" w:rsidR="00A73D1A" w:rsidRPr="008059B5" w:rsidRDefault="00A73D1A">
            <w:pPr>
              <w:tabs>
                <w:tab w:val="left" w:pos="851"/>
                <w:tab w:val="left" w:pos="8647"/>
              </w:tabs>
              <w:contextualSpacing/>
              <w:jc w:val="center"/>
              <w:rPr>
                <w:rFonts w:ascii="Gill Sans MT" w:hAnsi="Gill Sans MT" w:cs="Arial"/>
                <w:b/>
                <w:color w:val="FFFFFF"/>
              </w:rPr>
            </w:pPr>
            <w:r w:rsidRPr="008059B5">
              <w:rPr>
                <w:rFonts w:ascii="Gill Sans MT" w:hAnsi="Gill Sans MT" w:cs="Arial"/>
                <w:b/>
                <w:color w:val="FFFFFF"/>
              </w:rPr>
              <w:t>Current</w:t>
            </w:r>
          </w:p>
        </w:tc>
        <w:tc>
          <w:tcPr>
            <w:tcW w:w="3203" w:type="dxa"/>
            <w:shd w:val="clear" w:color="auto" w:fill="0D5691"/>
            <w:vAlign w:val="center"/>
          </w:tcPr>
          <w:p w14:paraId="530A04D8" w14:textId="77777777" w:rsidR="00A73D1A" w:rsidRPr="008059B5" w:rsidRDefault="00A73D1A">
            <w:pPr>
              <w:tabs>
                <w:tab w:val="left" w:pos="851"/>
                <w:tab w:val="left" w:pos="8647"/>
              </w:tabs>
              <w:contextualSpacing/>
              <w:jc w:val="center"/>
              <w:rPr>
                <w:rFonts w:ascii="Gill Sans MT" w:hAnsi="Gill Sans MT" w:cs="Arial"/>
                <w:b/>
                <w:color w:val="FFFFFF"/>
              </w:rPr>
            </w:pPr>
            <w:r w:rsidRPr="008059B5">
              <w:rPr>
                <w:rFonts w:ascii="Gill Sans MT" w:hAnsi="Gill Sans MT" w:cs="Arial"/>
                <w:b/>
                <w:color w:val="FFFFFF"/>
              </w:rPr>
              <w:t>Reported take</w:t>
            </w:r>
          </w:p>
        </w:tc>
      </w:tr>
      <w:tr w:rsidR="007B2209" w:rsidRPr="008059B5" w14:paraId="4756B0BE" w14:textId="77777777">
        <w:trPr>
          <w:trHeight w:hRule="exact" w:val="336"/>
        </w:trPr>
        <w:tc>
          <w:tcPr>
            <w:tcW w:w="2954" w:type="dxa"/>
            <w:shd w:val="clear" w:color="auto" w:fill="FFFFFF"/>
          </w:tcPr>
          <w:p w14:paraId="472267CA" w14:textId="77777777" w:rsidR="007B2209" w:rsidRPr="008059B5" w:rsidRDefault="007B2209">
            <w:pPr>
              <w:jc w:val="center"/>
              <w:rPr>
                <w:rFonts w:ascii="Gill Sans MT" w:hAnsi="Gill Sans MT"/>
              </w:rPr>
            </w:pPr>
            <w:r>
              <w:rPr>
                <w:rFonts w:ascii="Gill Sans MT" w:hAnsi="Gill Sans MT"/>
              </w:rPr>
              <w:t>2019</w:t>
            </w:r>
          </w:p>
        </w:tc>
        <w:tc>
          <w:tcPr>
            <w:tcW w:w="3450" w:type="dxa"/>
          </w:tcPr>
          <w:p w14:paraId="0DF493BE" w14:textId="77777777" w:rsidR="007B2209" w:rsidRPr="008059B5" w:rsidRDefault="00DF6F17">
            <w:pPr>
              <w:jc w:val="center"/>
              <w:rPr>
                <w:rFonts w:ascii="Gill Sans MT" w:hAnsi="Gill Sans MT"/>
              </w:rPr>
            </w:pPr>
            <w:r>
              <w:rPr>
                <w:rFonts w:ascii="Gill Sans MT" w:hAnsi="Gill Sans MT"/>
              </w:rPr>
              <w:t>2 827</w:t>
            </w:r>
          </w:p>
        </w:tc>
        <w:tc>
          <w:tcPr>
            <w:tcW w:w="3203" w:type="dxa"/>
          </w:tcPr>
          <w:p w14:paraId="7AD48DF4" w14:textId="77777777" w:rsidR="007B2209" w:rsidRDefault="007B2209">
            <w:pPr>
              <w:jc w:val="center"/>
              <w:rPr>
                <w:rFonts w:ascii="Gill Sans MT" w:hAnsi="Gill Sans MT"/>
              </w:rPr>
            </w:pPr>
            <w:r>
              <w:rPr>
                <w:rFonts w:ascii="Gill Sans MT" w:hAnsi="Gill Sans MT"/>
              </w:rPr>
              <w:t>921 962</w:t>
            </w:r>
          </w:p>
        </w:tc>
      </w:tr>
      <w:tr w:rsidR="007B2209" w:rsidRPr="008059B5" w14:paraId="6FF0C42F" w14:textId="77777777">
        <w:trPr>
          <w:trHeight w:hRule="exact" w:val="336"/>
        </w:trPr>
        <w:tc>
          <w:tcPr>
            <w:tcW w:w="2954" w:type="dxa"/>
            <w:shd w:val="clear" w:color="auto" w:fill="FFFFFF"/>
          </w:tcPr>
          <w:p w14:paraId="63C74077" w14:textId="77777777" w:rsidR="007B2209" w:rsidRPr="008059B5" w:rsidRDefault="007B2209">
            <w:pPr>
              <w:jc w:val="center"/>
              <w:rPr>
                <w:rFonts w:ascii="Gill Sans MT" w:hAnsi="Gill Sans MT"/>
              </w:rPr>
            </w:pPr>
            <w:r>
              <w:rPr>
                <w:rFonts w:ascii="Gill Sans MT" w:hAnsi="Gill Sans MT"/>
              </w:rPr>
              <w:t>2020</w:t>
            </w:r>
          </w:p>
        </w:tc>
        <w:tc>
          <w:tcPr>
            <w:tcW w:w="3450" w:type="dxa"/>
          </w:tcPr>
          <w:p w14:paraId="6E00EE18" w14:textId="77777777" w:rsidR="00DF6F17" w:rsidRDefault="00DF6F17">
            <w:pPr>
              <w:jc w:val="center"/>
              <w:rPr>
                <w:rFonts w:ascii="Gill Sans MT" w:hAnsi="Gill Sans MT"/>
              </w:rPr>
            </w:pPr>
            <w:r>
              <w:rPr>
                <w:rFonts w:ascii="Gill Sans MT" w:hAnsi="Gill Sans MT"/>
              </w:rPr>
              <w:t>3 127</w:t>
            </w:r>
          </w:p>
          <w:p w14:paraId="34BAF8E5" w14:textId="77777777" w:rsidR="007B2209" w:rsidRPr="008059B5" w:rsidRDefault="007B2209" w:rsidP="00A70F10">
            <w:pPr>
              <w:rPr>
                <w:rFonts w:ascii="Gill Sans MT" w:hAnsi="Gill Sans MT"/>
              </w:rPr>
            </w:pPr>
          </w:p>
        </w:tc>
        <w:tc>
          <w:tcPr>
            <w:tcW w:w="3203" w:type="dxa"/>
          </w:tcPr>
          <w:p w14:paraId="03EB2B82" w14:textId="77777777" w:rsidR="007B2209" w:rsidRDefault="007B2209">
            <w:pPr>
              <w:jc w:val="center"/>
              <w:rPr>
                <w:rFonts w:ascii="Gill Sans MT" w:hAnsi="Gill Sans MT"/>
              </w:rPr>
            </w:pPr>
            <w:r>
              <w:rPr>
                <w:rFonts w:ascii="Gill Sans MT" w:hAnsi="Gill Sans MT"/>
              </w:rPr>
              <w:t>876 494</w:t>
            </w:r>
          </w:p>
        </w:tc>
      </w:tr>
      <w:tr w:rsidR="007B2209" w:rsidRPr="008059B5" w14:paraId="7BAB53AE" w14:textId="77777777">
        <w:trPr>
          <w:trHeight w:hRule="exact" w:val="336"/>
        </w:trPr>
        <w:tc>
          <w:tcPr>
            <w:tcW w:w="2954" w:type="dxa"/>
            <w:shd w:val="clear" w:color="auto" w:fill="FFFFFF"/>
          </w:tcPr>
          <w:p w14:paraId="02A3347E" w14:textId="77777777" w:rsidR="007B2209" w:rsidRPr="008059B5" w:rsidRDefault="007B2209">
            <w:pPr>
              <w:jc w:val="center"/>
              <w:rPr>
                <w:rFonts w:ascii="Gill Sans MT" w:hAnsi="Gill Sans MT"/>
              </w:rPr>
            </w:pPr>
            <w:r>
              <w:rPr>
                <w:rFonts w:ascii="Gill Sans MT" w:hAnsi="Gill Sans MT"/>
              </w:rPr>
              <w:t>2021</w:t>
            </w:r>
          </w:p>
        </w:tc>
        <w:tc>
          <w:tcPr>
            <w:tcW w:w="3450" w:type="dxa"/>
          </w:tcPr>
          <w:p w14:paraId="4A216B2A" w14:textId="77777777" w:rsidR="007B2209" w:rsidRPr="008059B5" w:rsidRDefault="00DF6F17">
            <w:pPr>
              <w:jc w:val="center"/>
              <w:rPr>
                <w:rFonts w:ascii="Gill Sans MT" w:hAnsi="Gill Sans MT"/>
              </w:rPr>
            </w:pPr>
            <w:r>
              <w:rPr>
                <w:rFonts w:ascii="Gill Sans MT" w:hAnsi="Gill Sans MT"/>
              </w:rPr>
              <w:t>2 945</w:t>
            </w:r>
          </w:p>
        </w:tc>
        <w:tc>
          <w:tcPr>
            <w:tcW w:w="3203" w:type="dxa"/>
          </w:tcPr>
          <w:p w14:paraId="7F18F63C" w14:textId="77777777" w:rsidR="007B2209" w:rsidRDefault="007B2209">
            <w:pPr>
              <w:jc w:val="center"/>
              <w:rPr>
                <w:rFonts w:ascii="Gill Sans MT" w:hAnsi="Gill Sans MT"/>
              </w:rPr>
            </w:pPr>
            <w:r>
              <w:rPr>
                <w:rFonts w:ascii="Gill Sans MT" w:hAnsi="Gill Sans MT"/>
              </w:rPr>
              <w:t>882 852</w:t>
            </w:r>
          </w:p>
        </w:tc>
      </w:tr>
      <w:tr w:rsidR="00A73D1A" w:rsidRPr="008059B5" w14:paraId="17CA5281" w14:textId="77777777">
        <w:trPr>
          <w:trHeight w:hRule="exact" w:val="336"/>
        </w:trPr>
        <w:tc>
          <w:tcPr>
            <w:tcW w:w="2954" w:type="dxa"/>
            <w:shd w:val="clear" w:color="auto" w:fill="FFFFFF"/>
          </w:tcPr>
          <w:p w14:paraId="76B62C06" w14:textId="77777777" w:rsidR="00A73D1A" w:rsidRPr="008059B5" w:rsidRDefault="00A73D1A">
            <w:pPr>
              <w:jc w:val="center"/>
              <w:rPr>
                <w:rFonts w:ascii="Gill Sans MT" w:hAnsi="Gill Sans MT"/>
              </w:rPr>
            </w:pPr>
            <w:r w:rsidRPr="008059B5">
              <w:rPr>
                <w:rFonts w:ascii="Gill Sans MT" w:hAnsi="Gill Sans MT"/>
              </w:rPr>
              <w:t>202</w:t>
            </w:r>
            <w:r w:rsidR="005A0F4A">
              <w:rPr>
                <w:rFonts w:ascii="Gill Sans MT" w:hAnsi="Gill Sans MT"/>
              </w:rPr>
              <w:t>2</w:t>
            </w:r>
          </w:p>
        </w:tc>
        <w:tc>
          <w:tcPr>
            <w:tcW w:w="3450" w:type="dxa"/>
          </w:tcPr>
          <w:p w14:paraId="45C3DF16" w14:textId="77777777" w:rsidR="00A73D1A" w:rsidRPr="008059B5" w:rsidRDefault="00DF6F17">
            <w:pPr>
              <w:jc w:val="center"/>
              <w:rPr>
                <w:rFonts w:ascii="Gill Sans MT" w:hAnsi="Gill Sans MT"/>
              </w:rPr>
            </w:pPr>
            <w:r>
              <w:rPr>
                <w:rFonts w:ascii="Gill Sans MT" w:hAnsi="Gill Sans MT"/>
              </w:rPr>
              <w:t>2 728</w:t>
            </w:r>
          </w:p>
        </w:tc>
        <w:tc>
          <w:tcPr>
            <w:tcW w:w="3203" w:type="dxa"/>
          </w:tcPr>
          <w:p w14:paraId="0652210B" w14:textId="77777777" w:rsidR="00A73D1A" w:rsidRPr="008059B5" w:rsidRDefault="005A0F4A">
            <w:pPr>
              <w:jc w:val="center"/>
              <w:rPr>
                <w:rFonts w:ascii="Gill Sans MT" w:hAnsi="Gill Sans MT"/>
              </w:rPr>
            </w:pPr>
            <w:r>
              <w:rPr>
                <w:rFonts w:ascii="Gill Sans MT" w:hAnsi="Gill Sans MT"/>
              </w:rPr>
              <w:t>678 840</w:t>
            </w:r>
          </w:p>
        </w:tc>
      </w:tr>
      <w:tr w:rsidR="00A73D1A" w:rsidRPr="008059B5" w14:paraId="7D43E4DA" w14:textId="77777777">
        <w:trPr>
          <w:trHeight w:hRule="exact" w:val="336"/>
        </w:trPr>
        <w:tc>
          <w:tcPr>
            <w:tcW w:w="2954" w:type="dxa"/>
            <w:shd w:val="clear" w:color="auto" w:fill="FFFFFF"/>
          </w:tcPr>
          <w:p w14:paraId="47CBD87C" w14:textId="77777777" w:rsidR="00A73D1A" w:rsidRPr="008059B5" w:rsidRDefault="00A73D1A">
            <w:pPr>
              <w:jc w:val="center"/>
              <w:rPr>
                <w:rFonts w:ascii="Gill Sans MT" w:hAnsi="Gill Sans MT"/>
              </w:rPr>
            </w:pPr>
            <w:r w:rsidRPr="008059B5">
              <w:rPr>
                <w:rFonts w:ascii="Gill Sans MT" w:hAnsi="Gill Sans MT"/>
              </w:rPr>
              <w:t>202</w:t>
            </w:r>
            <w:r w:rsidR="005A0F4A">
              <w:rPr>
                <w:rFonts w:ascii="Gill Sans MT" w:hAnsi="Gill Sans MT"/>
              </w:rPr>
              <w:t>3</w:t>
            </w:r>
          </w:p>
        </w:tc>
        <w:tc>
          <w:tcPr>
            <w:tcW w:w="3450" w:type="dxa"/>
          </w:tcPr>
          <w:p w14:paraId="723CDAAB" w14:textId="77777777" w:rsidR="00A73D1A" w:rsidRPr="008059B5" w:rsidRDefault="00DF6F17">
            <w:pPr>
              <w:jc w:val="center"/>
              <w:rPr>
                <w:rFonts w:ascii="Gill Sans MT" w:hAnsi="Gill Sans MT"/>
              </w:rPr>
            </w:pPr>
            <w:r>
              <w:rPr>
                <w:rFonts w:ascii="Gill Sans MT" w:hAnsi="Gill Sans MT"/>
              </w:rPr>
              <w:t>2 737</w:t>
            </w:r>
          </w:p>
        </w:tc>
        <w:tc>
          <w:tcPr>
            <w:tcW w:w="3203" w:type="dxa"/>
          </w:tcPr>
          <w:p w14:paraId="239DD938" w14:textId="77777777" w:rsidR="00A73D1A" w:rsidRDefault="005A0F4A">
            <w:pPr>
              <w:jc w:val="center"/>
              <w:rPr>
                <w:rFonts w:ascii="Gill Sans MT" w:hAnsi="Gill Sans MT"/>
              </w:rPr>
            </w:pPr>
            <w:r>
              <w:rPr>
                <w:rFonts w:ascii="Gill Sans MT" w:hAnsi="Gill Sans MT"/>
              </w:rPr>
              <w:t>528 378</w:t>
            </w:r>
            <w:r w:rsidR="007B2209">
              <w:rPr>
                <w:rFonts w:ascii="Gill Sans MT" w:hAnsi="Gill Sans MT"/>
              </w:rPr>
              <w:t xml:space="preserve"> </w:t>
            </w:r>
          </w:p>
          <w:p w14:paraId="79A2FFFF" w14:textId="77777777" w:rsidR="007B2209" w:rsidRPr="008059B5" w:rsidRDefault="007B2209">
            <w:pPr>
              <w:jc w:val="center"/>
              <w:rPr>
                <w:rFonts w:ascii="Gill Sans MT" w:hAnsi="Gill Sans MT"/>
              </w:rPr>
            </w:pPr>
          </w:p>
        </w:tc>
      </w:tr>
      <w:tr w:rsidR="000B719F" w:rsidRPr="008059B5" w14:paraId="42F95DC4" w14:textId="77777777">
        <w:trPr>
          <w:trHeight w:hRule="exact" w:val="336"/>
        </w:trPr>
        <w:tc>
          <w:tcPr>
            <w:tcW w:w="2954" w:type="dxa"/>
            <w:shd w:val="clear" w:color="auto" w:fill="FFFFFF"/>
          </w:tcPr>
          <w:p w14:paraId="30AF6BEB" w14:textId="77777777" w:rsidR="000B719F" w:rsidRPr="008059B5" w:rsidRDefault="000B719F">
            <w:pPr>
              <w:jc w:val="center"/>
              <w:rPr>
                <w:rFonts w:ascii="Gill Sans MT" w:hAnsi="Gill Sans MT"/>
              </w:rPr>
            </w:pPr>
            <w:r>
              <w:rPr>
                <w:rFonts w:ascii="Gill Sans MT" w:hAnsi="Gill Sans MT"/>
              </w:rPr>
              <w:t>2024</w:t>
            </w:r>
          </w:p>
        </w:tc>
        <w:tc>
          <w:tcPr>
            <w:tcW w:w="3450" w:type="dxa"/>
          </w:tcPr>
          <w:p w14:paraId="54CBDF6D" w14:textId="77777777" w:rsidR="000B719F" w:rsidRDefault="000B719F">
            <w:pPr>
              <w:jc w:val="center"/>
              <w:rPr>
                <w:rFonts w:ascii="Gill Sans MT" w:hAnsi="Gill Sans MT"/>
              </w:rPr>
            </w:pPr>
            <w:r>
              <w:rPr>
                <w:rFonts w:ascii="Gill Sans MT" w:hAnsi="Gill Sans MT"/>
              </w:rPr>
              <w:t>3 118</w:t>
            </w:r>
          </w:p>
        </w:tc>
        <w:tc>
          <w:tcPr>
            <w:tcW w:w="3203" w:type="dxa"/>
          </w:tcPr>
          <w:p w14:paraId="2C473642" w14:textId="77777777" w:rsidR="000B719F" w:rsidRDefault="000B719F">
            <w:pPr>
              <w:jc w:val="center"/>
              <w:rPr>
                <w:rFonts w:ascii="Gill Sans MT" w:hAnsi="Gill Sans MT"/>
              </w:rPr>
            </w:pPr>
            <w:r>
              <w:rPr>
                <w:rFonts w:ascii="Gill Sans MT" w:hAnsi="Gill Sans MT"/>
              </w:rPr>
              <w:t>497,926*</w:t>
            </w:r>
          </w:p>
        </w:tc>
      </w:tr>
    </w:tbl>
    <w:bookmarkEnd w:id="1"/>
    <w:p w14:paraId="738EEF3B" w14:textId="2390E34D" w:rsidR="00A73D1A" w:rsidRPr="008059B5" w:rsidRDefault="00A73D1A" w:rsidP="00A73D1A">
      <w:pPr>
        <w:pStyle w:val="BodyText1"/>
        <w:spacing w:line="240" w:lineRule="auto"/>
        <w:ind w:right="339"/>
        <w:jc w:val="both"/>
        <w:rPr>
          <w:rFonts w:ascii="Gill Sans MT" w:hAnsi="Gill Sans MT"/>
          <w:sz w:val="24"/>
          <w:szCs w:val="24"/>
          <w:lang w:val="en-US"/>
        </w:rPr>
      </w:pPr>
      <w:r w:rsidRPr="001206A1">
        <w:rPr>
          <w:rFonts w:ascii="Gill Sans MT" w:hAnsi="Gill Sans MT"/>
          <w:sz w:val="24"/>
          <w:szCs w:val="24"/>
          <w:lang w:val="en-US"/>
        </w:rPr>
        <w:t xml:space="preserve">*Preliminary </w:t>
      </w:r>
      <w:r w:rsidR="00BC5665" w:rsidRPr="001206A1">
        <w:rPr>
          <w:rFonts w:ascii="Gill Sans MT" w:hAnsi="Gill Sans MT"/>
          <w:sz w:val="24"/>
          <w:szCs w:val="24"/>
          <w:lang w:val="en-US"/>
        </w:rPr>
        <w:t>figures</w:t>
      </w:r>
      <w:r w:rsidRPr="001206A1">
        <w:rPr>
          <w:rFonts w:ascii="Gill Sans MT" w:hAnsi="Gill Sans MT"/>
          <w:sz w:val="24"/>
          <w:szCs w:val="24"/>
          <w:lang w:val="en-US"/>
        </w:rPr>
        <w:t xml:space="preserve"> only as</w:t>
      </w:r>
      <w:r w:rsidR="004C036E">
        <w:rPr>
          <w:rFonts w:ascii="Gill Sans MT" w:hAnsi="Gill Sans MT"/>
          <w:sz w:val="24"/>
          <w:szCs w:val="24"/>
          <w:lang w:val="en-US"/>
        </w:rPr>
        <w:t xml:space="preserve"> </w:t>
      </w:r>
      <w:r w:rsidRPr="001206A1">
        <w:rPr>
          <w:rFonts w:ascii="Gill Sans MT" w:hAnsi="Gill Sans MT"/>
          <w:sz w:val="24"/>
          <w:szCs w:val="24"/>
          <w:lang w:val="en-US"/>
        </w:rPr>
        <w:t>take returns for reporting period are not complete</w:t>
      </w:r>
      <w:r w:rsidR="009E4F14">
        <w:rPr>
          <w:sz w:val="24"/>
          <w:szCs w:val="24"/>
        </w:rPr>
        <w:t xml:space="preserve">, </w:t>
      </w:r>
      <w:r w:rsidR="0094144F">
        <w:rPr>
          <w:sz w:val="24"/>
          <w:szCs w:val="24"/>
        </w:rPr>
        <w:t>(</w:t>
      </w:r>
      <w:r w:rsidR="009E4F14">
        <w:rPr>
          <w:sz w:val="24"/>
          <w:szCs w:val="24"/>
        </w:rPr>
        <w:t xml:space="preserve">Source: </w:t>
      </w:r>
      <w:r w:rsidR="0094144F">
        <w:rPr>
          <w:sz w:val="24"/>
          <w:szCs w:val="24"/>
        </w:rPr>
        <w:t>Unpublished Data, NRE Tasmania)</w:t>
      </w:r>
      <w:r w:rsidR="009E4F14">
        <w:rPr>
          <w:sz w:val="24"/>
          <w:szCs w:val="24"/>
        </w:rPr>
        <w:t>.</w:t>
      </w:r>
    </w:p>
    <w:p w14:paraId="4D7CB221" w14:textId="77777777" w:rsidR="00A73D1A" w:rsidRDefault="00A73D1A">
      <w:pPr>
        <w:widowControl/>
        <w:spacing w:after="120"/>
        <w:rPr>
          <w:sz w:val="24"/>
          <w:szCs w:val="24"/>
          <w:lang w:val="en-GB"/>
        </w:rPr>
      </w:pPr>
    </w:p>
    <w:p w14:paraId="43CA7407" w14:textId="77777777" w:rsidR="001D2768" w:rsidRDefault="001D2768">
      <w:pPr>
        <w:widowControl/>
        <w:spacing w:after="120"/>
        <w:rPr>
          <w:sz w:val="24"/>
          <w:szCs w:val="24"/>
          <w:lang w:val="en-GB"/>
        </w:rPr>
      </w:pPr>
      <w:r>
        <w:rPr>
          <w:sz w:val="24"/>
          <w:szCs w:val="24"/>
          <w:lang w:val="en-GB"/>
        </w:rPr>
        <w:t xml:space="preserve">These rates of </w:t>
      </w:r>
      <w:r w:rsidRPr="001206A1">
        <w:rPr>
          <w:sz w:val="24"/>
          <w:szCs w:val="24"/>
          <w:lang w:val="en-GB"/>
        </w:rPr>
        <w:t>harvest clearly have had no adverse impact on the viability of the Tasmanian</w:t>
      </w:r>
      <w:r w:rsidR="00144D88" w:rsidRPr="001206A1">
        <w:rPr>
          <w:sz w:val="24"/>
          <w:szCs w:val="24"/>
          <w:lang w:val="en-GB"/>
        </w:rPr>
        <w:t xml:space="preserve"> </w:t>
      </w:r>
      <w:r w:rsidRPr="001206A1">
        <w:rPr>
          <w:sz w:val="24"/>
          <w:szCs w:val="24"/>
          <w:lang w:val="en-GB"/>
        </w:rPr>
        <w:t>wallaby population which has undergone no long-term decline over this period and particularly so over the past decade as demonstrated in Figure</w:t>
      </w:r>
      <w:r w:rsidR="00DC0518" w:rsidRPr="001206A1">
        <w:rPr>
          <w:sz w:val="24"/>
          <w:szCs w:val="24"/>
          <w:lang w:val="en-GB"/>
        </w:rPr>
        <w:t>s</w:t>
      </w:r>
      <w:r w:rsidRPr="001206A1">
        <w:rPr>
          <w:sz w:val="24"/>
          <w:szCs w:val="24"/>
          <w:lang w:val="en-GB"/>
        </w:rPr>
        <w:t xml:space="preserve"> 1</w:t>
      </w:r>
      <w:r w:rsidR="00DC0518" w:rsidRPr="001206A1">
        <w:rPr>
          <w:sz w:val="24"/>
          <w:szCs w:val="24"/>
          <w:lang w:val="en-GB"/>
        </w:rPr>
        <w:t xml:space="preserve"> and 2</w:t>
      </w:r>
      <w:r w:rsidRPr="001206A1">
        <w:rPr>
          <w:sz w:val="24"/>
          <w:szCs w:val="24"/>
          <w:lang w:val="en-GB"/>
        </w:rPr>
        <w:t>.</w:t>
      </w:r>
      <w:r w:rsidR="00BF73E8" w:rsidRPr="001206A1">
        <w:rPr>
          <w:sz w:val="24"/>
          <w:szCs w:val="24"/>
          <w:lang w:val="en-GB"/>
        </w:rPr>
        <w:t xml:space="preserve">  Both</w:t>
      </w:r>
      <w:r w:rsidR="00BF73E8">
        <w:rPr>
          <w:sz w:val="24"/>
          <w:szCs w:val="24"/>
          <w:lang w:val="en-GB"/>
        </w:rPr>
        <w:t xml:space="preserve"> species demonstrate long term </w:t>
      </w:r>
      <w:r w:rsidR="00DF5373">
        <w:rPr>
          <w:sz w:val="24"/>
          <w:szCs w:val="24"/>
          <w:lang w:val="en-GB"/>
        </w:rPr>
        <w:t>stability</w:t>
      </w:r>
      <w:r w:rsidR="00BF73E8">
        <w:rPr>
          <w:sz w:val="24"/>
          <w:szCs w:val="24"/>
          <w:lang w:val="en-GB"/>
        </w:rPr>
        <w:t xml:space="preserve"> in mean densities.</w:t>
      </w:r>
    </w:p>
    <w:p w14:paraId="48D21ACB" w14:textId="77777777" w:rsidR="001D2768" w:rsidRDefault="001D2768">
      <w:pPr>
        <w:widowControl/>
        <w:spacing w:after="120"/>
        <w:rPr>
          <w:sz w:val="24"/>
          <w:szCs w:val="24"/>
          <w:lang w:val="en-GB"/>
        </w:rPr>
      </w:pPr>
      <w:r w:rsidRPr="00815804">
        <w:rPr>
          <w:sz w:val="24"/>
          <w:szCs w:val="24"/>
          <w:lang w:val="en-GB"/>
        </w:rPr>
        <w:t xml:space="preserve">The WTO has in place mechanisms to ensure </w:t>
      </w:r>
      <w:r w:rsidR="00FB00E8">
        <w:rPr>
          <w:sz w:val="24"/>
          <w:szCs w:val="24"/>
          <w:lang w:val="en-GB"/>
        </w:rPr>
        <w:t xml:space="preserve">the trade </w:t>
      </w:r>
      <w:r>
        <w:rPr>
          <w:sz w:val="24"/>
          <w:szCs w:val="24"/>
          <w:lang w:val="en-GB"/>
        </w:rPr>
        <w:t>facilitated by export does not contribute to a trade that will be detrimental to</w:t>
      </w:r>
      <w:r w:rsidR="00144D88">
        <w:rPr>
          <w:sz w:val="24"/>
          <w:szCs w:val="24"/>
          <w:lang w:val="en-GB"/>
        </w:rPr>
        <w:t xml:space="preserve"> </w:t>
      </w:r>
      <w:r>
        <w:rPr>
          <w:sz w:val="24"/>
          <w:szCs w:val="24"/>
          <w:lang w:val="en-GB"/>
        </w:rPr>
        <w:t>wallaby populations.</w:t>
      </w:r>
    </w:p>
    <w:p w14:paraId="3F5AA6F4" w14:textId="77777777" w:rsidR="001D2768" w:rsidRDefault="001D2768">
      <w:pPr>
        <w:widowControl/>
        <w:rPr>
          <w:sz w:val="24"/>
          <w:szCs w:val="24"/>
          <w:lang w:val="en-GB"/>
        </w:rPr>
      </w:pPr>
    </w:p>
    <w:p w14:paraId="13C3A3E1" w14:textId="77777777" w:rsidR="00E760CB" w:rsidRDefault="00E760CB" w:rsidP="00E760CB">
      <w:pPr>
        <w:rPr>
          <w:noProof/>
          <w:lang w:eastAsia="en-AU"/>
        </w:rPr>
      </w:pPr>
      <w:bookmarkStart w:id="2" w:name="OLE_LINK1"/>
      <w:bookmarkStart w:id="3" w:name="OLE_LINK2"/>
    </w:p>
    <w:p w14:paraId="53729BEB" w14:textId="77777777" w:rsidR="009804AF" w:rsidRDefault="009804AF" w:rsidP="00E760CB">
      <w:pPr>
        <w:rPr>
          <w:noProof/>
          <w:lang w:eastAsia="en-AU"/>
        </w:rPr>
      </w:pPr>
    </w:p>
    <w:p w14:paraId="6ED47483" w14:textId="77777777" w:rsidR="009804AF" w:rsidRDefault="009804AF" w:rsidP="00E760CB">
      <w:pPr>
        <w:rPr>
          <w:noProof/>
          <w:lang w:eastAsia="en-AU"/>
        </w:rPr>
      </w:pPr>
    </w:p>
    <w:p w14:paraId="6786C63D" w14:textId="70B60EC3" w:rsidR="009804AF" w:rsidRDefault="005B7705" w:rsidP="00E760CB">
      <w:r w:rsidRPr="006964FF">
        <w:rPr>
          <w:noProof/>
        </w:rPr>
        <w:lastRenderedPageBreak/>
        <w:drawing>
          <wp:inline distT="0" distB="0" distL="0" distR="0" wp14:anchorId="3767BC2F" wp14:editId="746800C4">
            <wp:extent cx="5753100" cy="2962275"/>
            <wp:effectExtent l="0" t="0" r="0" b="0"/>
            <wp:docPr id="1" name="Picture 4" descr="Population trends for Rufus wallabies (Pademelon) in Tasmania for the period 2002-2024. Solid line represents the mean count, and dotted lines represent the standard error. Source NRE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Population trends for Rufus wallabies (Pademelon) in Tasmania for the period 2002-2024. Solid line represents the mean count, and dotted lines represent the standard error. Source NRET (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962275"/>
                    </a:xfrm>
                    <a:prstGeom prst="rect">
                      <a:avLst/>
                    </a:prstGeom>
                    <a:noFill/>
                    <a:ln>
                      <a:noFill/>
                    </a:ln>
                  </pic:spPr>
                </pic:pic>
              </a:graphicData>
            </a:graphic>
          </wp:inline>
        </w:drawing>
      </w:r>
    </w:p>
    <w:p w14:paraId="38700DB8" w14:textId="77777777" w:rsidR="001D2768" w:rsidRDefault="001D2768">
      <w:pPr>
        <w:widowControl/>
        <w:jc w:val="center"/>
        <w:rPr>
          <w:sz w:val="24"/>
          <w:szCs w:val="24"/>
          <w:lang w:val="en-GB"/>
        </w:rPr>
      </w:pPr>
    </w:p>
    <w:p w14:paraId="3DCB137A" w14:textId="61FDBE45" w:rsidR="001D2768" w:rsidRDefault="001D2768" w:rsidP="00617FD3">
      <w:pPr>
        <w:widowControl/>
        <w:jc w:val="center"/>
        <w:rPr>
          <w:b/>
          <w:lang w:val="en-GB"/>
        </w:rPr>
      </w:pPr>
      <w:r>
        <w:rPr>
          <w:b/>
          <w:lang w:val="en-GB"/>
        </w:rPr>
        <w:t xml:space="preserve">Figure </w:t>
      </w:r>
      <w:r w:rsidR="008F19C4">
        <w:rPr>
          <w:b/>
          <w:lang w:val="en-GB"/>
        </w:rPr>
        <w:t>1: Population trends for Rufu</w:t>
      </w:r>
      <w:r>
        <w:rPr>
          <w:b/>
          <w:lang w:val="en-GB"/>
        </w:rPr>
        <w:t>s wallabies</w:t>
      </w:r>
      <w:r w:rsidR="00BF73E8">
        <w:rPr>
          <w:b/>
          <w:lang w:val="en-GB"/>
        </w:rPr>
        <w:t xml:space="preserve"> (</w:t>
      </w:r>
      <w:proofErr w:type="spellStart"/>
      <w:r w:rsidR="00BF73E8">
        <w:rPr>
          <w:b/>
          <w:lang w:val="en-GB"/>
        </w:rPr>
        <w:t>Pademelon</w:t>
      </w:r>
      <w:proofErr w:type="spellEnd"/>
      <w:r w:rsidR="00BF73E8">
        <w:rPr>
          <w:b/>
          <w:lang w:val="en-GB"/>
        </w:rPr>
        <w:t>)</w:t>
      </w:r>
      <w:r>
        <w:rPr>
          <w:b/>
          <w:lang w:val="en-GB"/>
        </w:rPr>
        <w:t xml:space="preserve"> in Tasmania</w:t>
      </w:r>
      <w:r w:rsidR="00E760CB">
        <w:rPr>
          <w:b/>
          <w:lang w:val="en-GB"/>
        </w:rPr>
        <w:t xml:space="preserve"> for the period 20</w:t>
      </w:r>
      <w:r w:rsidR="00BF73E8">
        <w:rPr>
          <w:b/>
          <w:lang w:val="en-GB"/>
        </w:rPr>
        <w:t>02-20</w:t>
      </w:r>
      <w:r w:rsidR="00081293">
        <w:rPr>
          <w:b/>
          <w:lang w:val="en-GB"/>
        </w:rPr>
        <w:t>2</w:t>
      </w:r>
      <w:r w:rsidR="00D71037">
        <w:rPr>
          <w:b/>
          <w:lang w:val="en-GB"/>
        </w:rPr>
        <w:t>4</w:t>
      </w:r>
      <w:r>
        <w:rPr>
          <w:b/>
          <w:lang w:val="en-GB"/>
        </w:rPr>
        <w:t xml:space="preserve">. Solid line represents the mean </w:t>
      </w:r>
      <w:r w:rsidR="00BC0738">
        <w:rPr>
          <w:b/>
          <w:lang w:val="en-GB"/>
        </w:rPr>
        <w:t>count,</w:t>
      </w:r>
      <w:r>
        <w:rPr>
          <w:b/>
          <w:lang w:val="en-GB"/>
        </w:rPr>
        <w:t xml:space="preserve"> and dotted lines represent the standard error</w:t>
      </w:r>
      <w:r w:rsidR="00814CA1">
        <w:rPr>
          <w:b/>
          <w:lang w:val="en-GB"/>
        </w:rPr>
        <w:t>. S</w:t>
      </w:r>
      <w:r w:rsidR="00BC0738">
        <w:rPr>
          <w:b/>
          <w:lang w:val="en-GB"/>
        </w:rPr>
        <w:t>ource</w:t>
      </w:r>
      <w:r w:rsidR="00814CA1">
        <w:rPr>
          <w:b/>
          <w:lang w:val="en-GB"/>
        </w:rPr>
        <w:t xml:space="preserve"> </w:t>
      </w:r>
      <w:r w:rsidR="006964FF">
        <w:rPr>
          <w:b/>
          <w:lang w:val="en-GB"/>
        </w:rPr>
        <w:t xml:space="preserve">NRET </w:t>
      </w:r>
      <w:r w:rsidR="00814CA1">
        <w:rPr>
          <w:b/>
          <w:lang w:val="en-GB"/>
        </w:rPr>
        <w:t>(</w:t>
      </w:r>
      <w:r w:rsidR="006964FF">
        <w:rPr>
          <w:b/>
          <w:lang w:val="en-GB"/>
        </w:rPr>
        <w:t>2025).</w:t>
      </w:r>
    </w:p>
    <w:p w14:paraId="32B6FBAC" w14:textId="77777777" w:rsidR="00BF73E8" w:rsidRDefault="00BF73E8" w:rsidP="00617FD3">
      <w:pPr>
        <w:widowControl/>
        <w:jc w:val="center"/>
        <w:rPr>
          <w:b/>
          <w:lang w:val="en-GB"/>
        </w:rPr>
      </w:pPr>
    </w:p>
    <w:p w14:paraId="30E1D2D9" w14:textId="77777777" w:rsidR="00BF73E8" w:rsidRDefault="00BF73E8" w:rsidP="00617FD3">
      <w:pPr>
        <w:widowControl/>
        <w:jc w:val="center"/>
        <w:rPr>
          <w:b/>
          <w:lang w:val="en-GB"/>
        </w:rPr>
      </w:pPr>
    </w:p>
    <w:p w14:paraId="62628EBE" w14:textId="77777777" w:rsidR="00BF73E8" w:rsidRDefault="00BF73E8" w:rsidP="00617FD3">
      <w:pPr>
        <w:widowControl/>
        <w:jc w:val="center"/>
        <w:rPr>
          <w:b/>
          <w:lang w:val="en-GB"/>
        </w:rPr>
      </w:pPr>
    </w:p>
    <w:p w14:paraId="7A0B0CE6" w14:textId="5A29D812" w:rsidR="00BF73E8" w:rsidRDefault="005B7705" w:rsidP="00617FD3">
      <w:pPr>
        <w:widowControl/>
        <w:jc w:val="center"/>
        <w:rPr>
          <w:b/>
          <w:lang w:val="en-GB"/>
        </w:rPr>
      </w:pPr>
      <w:r w:rsidRPr="006964FF">
        <w:rPr>
          <w:noProof/>
        </w:rPr>
        <w:drawing>
          <wp:inline distT="0" distB="0" distL="0" distR="0" wp14:anchorId="21AB3855" wp14:editId="37E2E68D">
            <wp:extent cx="5762625" cy="2819400"/>
            <wp:effectExtent l="0" t="0" r="0" b="0"/>
            <wp:docPr id="2" name="Picture 3" descr="Population trends for Bennetts wallabies in Tasmania for the period 2002-2024. Solid line represents the mean count, and dotted lines represent the standard error. Source NRE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opulation trends for Bennetts wallabies in Tasmania for the period 2002-2024. Solid line represents the mean count, and dotted lines represent the standard error. Source NRET (20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819400"/>
                    </a:xfrm>
                    <a:prstGeom prst="rect">
                      <a:avLst/>
                    </a:prstGeom>
                    <a:noFill/>
                    <a:ln>
                      <a:noFill/>
                    </a:ln>
                  </pic:spPr>
                </pic:pic>
              </a:graphicData>
            </a:graphic>
          </wp:inline>
        </w:drawing>
      </w:r>
    </w:p>
    <w:p w14:paraId="14FAD9C1" w14:textId="53AE9990" w:rsidR="00BF73E8" w:rsidRDefault="00BF73E8" w:rsidP="00BF73E8">
      <w:pPr>
        <w:widowControl/>
        <w:jc w:val="center"/>
        <w:rPr>
          <w:b/>
          <w:lang w:val="en-GB"/>
        </w:rPr>
      </w:pPr>
      <w:r>
        <w:rPr>
          <w:b/>
          <w:lang w:val="en-GB"/>
        </w:rPr>
        <w:t xml:space="preserve">Figure </w:t>
      </w:r>
      <w:r w:rsidR="00B65073">
        <w:rPr>
          <w:b/>
          <w:lang w:val="en-GB"/>
        </w:rPr>
        <w:t>2</w:t>
      </w:r>
      <w:r>
        <w:rPr>
          <w:b/>
          <w:lang w:val="en-GB"/>
        </w:rPr>
        <w:t>: Population trends for Bennett</w:t>
      </w:r>
      <w:r w:rsidR="00DC0518">
        <w:rPr>
          <w:b/>
          <w:lang w:val="en-GB"/>
        </w:rPr>
        <w:t>s</w:t>
      </w:r>
      <w:r>
        <w:rPr>
          <w:b/>
          <w:lang w:val="en-GB"/>
        </w:rPr>
        <w:t xml:space="preserve"> wallabies in Tasmania for the period 2002-20</w:t>
      </w:r>
      <w:r w:rsidR="00DF5373">
        <w:rPr>
          <w:b/>
          <w:lang w:val="en-GB"/>
        </w:rPr>
        <w:t>2</w:t>
      </w:r>
      <w:r w:rsidR="00BC0738">
        <w:rPr>
          <w:b/>
          <w:lang w:val="en-GB"/>
        </w:rPr>
        <w:t>4</w:t>
      </w:r>
      <w:r>
        <w:rPr>
          <w:b/>
          <w:lang w:val="en-GB"/>
        </w:rPr>
        <w:t>. Solid line represents the mean count</w:t>
      </w:r>
      <w:r w:rsidR="00BC0738">
        <w:rPr>
          <w:b/>
          <w:lang w:val="en-GB"/>
        </w:rPr>
        <w:t>,</w:t>
      </w:r>
      <w:r>
        <w:rPr>
          <w:b/>
          <w:lang w:val="en-GB"/>
        </w:rPr>
        <w:t xml:space="preserve"> and dotted lines represent the standard error</w:t>
      </w:r>
      <w:r w:rsidR="00814CA1">
        <w:rPr>
          <w:b/>
          <w:lang w:val="en-GB"/>
        </w:rPr>
        <w:t xml:space="preserve">. Source </w:t>
      </w:r>
      <w:r w:rsidR="006964FF">
        <w:rPr>
          <w:b/>
          <w:lang w:val="en-GB"/>
        </w:rPr>
        <w:t xml:space="preserve">NRET </w:t>
      </w:r>
      <w:r w:rsidR="00814CA1">
        <w:rPr>
          <w:b/>
          <w:lang w:val="en-GB"/>
        </w:rPr>
        <w:t>(</w:t>
      </w:r>
      <w:r w:rsidR="006964FF">
        <w:rPr>
          <w:b/>
          <w:lang w:val="en-GB"/>
        </w:rPr>
        <w:t>2025)</w:t>
      </w:r>
      <w:r w:rsidR="00BC0738">
        <w:rPr>
          <w:b/>
          <w:lang w:val="en-GB"/>
        </w:rPr>
        <w:t>.</w:t>
      </w:r>
    </w:p>
    <w:p w14:paraId="768080E0" w14:textId="77777777" w:rsidR="00BF73E8" w:rsidRDefault="00BF73E8" w:rsidP="006B2D86">
      <w:pPr>
        <w:widowControl/>
        <w:rPr>
          <w:sz w:val="24"/>
          <w:szCs w:val="24"/>
          <w:lang w:val="en-GB"/>
        </w:rPr>
      </w:pPr>
    </w:p>
    <w:bookmarkEnd w:id="2"/>
    <w:bookmarkEnd w:id="3"/>
    <w:p w14:paraId="3ADD0152" w14:textId="77777777" w:rsidR="001D2768" w:rsidRDefault="001D2768">
      <w:pPr>
        <w:widowControl/>
        <w:numPr>
          <w:ilvl w:val="0"/>
          <w:numId w:val="3"/>
        </w:numPr>
        <w:spacing w:before="240" w:after="240"/>
        <w:ind w:left="0" w:firstLine="0"/>
        <w:rPr>
          <w:b/>
          <w:sz w:val="28"/>
          <w:szCs w:val="28"/>
          <w:lang w:val="en-GB"/>
        </w:rPr>
      </w:pPr>
      <w:r>
        <w:rPr>
          <w:b/>
          <w:sz w:val="28"/>
          <w:szCs w:val="28"/>
          <w:lang w:val="en-GB"/>
        </w:rPr>
        <w:t xml:space="preserve"> Monitoring and assessment</w:t>
      </w:r>
    </w:p>
    <w:p w14:paraId="4B8868A7" w14:textId="6CD37FAC" w:rsidR="001D2768" w:rsidRDefault="001D2768">
      <w:pPr>
        <w:pStyle w:val="Heading2"/>
        <w:widowControl/>
        <w:spacing w:before="0" w:after="0"/>
        <w:rPr>
          <w:rFonts w:ascii="Times New Roman" w:hAnsi="Times New Roman"/>
          <w:sz w:val="24"/>
          <w:szCs w:val="24"/>
          <w:lang w:val="en-GB"/>
        </w:rPr>
      </w:pPr>
      <w:r>
        <w:rPr>
          <w:rFonts w:ascii="Times New Roman" w:hAnsi="Times New Roman"/>
          <w:sz w:val="24"/>
          <w:szCs w:val="24"/>
          <w:lang w:val="en-GB"/>
        </w:rPr>
        <w:t xml:space="preserve">5.1 </w:t>
      </w:r>
      <w:bookmarkStart w:id="4" w:name="_Hlt51222578"/>
      <w:bookmarkStart w:id="5" w:name="_Hlt51224954"/>
      <w:bookmarkStart w:id="6" w:name="_Ref51210861"/>
      <w:bookmarkStart w:id="7" w:name="_Toc52163505"/>
      <w:bookmarkStart w:id="8" w:name="_Hlt50271972"/>
      <w:bookmarkEnd w:id="4"/>
      <w:bookmarkEnd w:id="5"/>
      <w:r>
        <w:rPr>
          <w:rFonts w:ascii="Times New Roman" w:hAnsi="Times New Roman"/>
          <w:sz w:val="24"/>
          <w:szCs w:val="24"/>
          <w:lang w:val="en-GB"/>
        </w:rPr>
        <w:t>Monitoring of Wallaby Population</w:t>
      </w:r>
      <w:bookmarkEnd w:id="6"/>
      <w:bookmarkEnd w:id="7"/>
      <w:r>
        <w:rPr>
          <w:rFonts w:ascii="Times New Roman" w:hAnsi="Times New Roman"/>
          <w:sz w:val="24"/>
          <w:szCs w:val="24"/>
          <w:lang w:val="en-GB"/>
        </w:rPr>
        <w:t>s</w:t>
      </w:r>
    </w:p>
    <w:bookmarkEnd w:id="8"/>
    <w:p w14:paraId="4B239B8B" w14:textId="0B7418EA" w:rsidR="001D2768" w:rsidRDefault="001D2768">
      <w:pPr>
        <w:pStyle w:val="Text"/>
        <w:widowControl/>
        <w:spacing w:before="0"/>
        <w:rPr>
          <w:rFonts w:ascii="Times New Roman" w:hAnsi="Times New Roman"/>
          <w:szCs w:val="24"/>
          <w:lang w:val="en-GB"/>
        </w:rPr>
      </w:pPr>
      <w:r>
        <w:rPr>
          <w:rFonts w:ascii="Times New Roman" w:hAnsi="Times New Roman"/>
          <w:szCs w:val="24"/>
          <w:lang w:val="en-GB"/>
        </w:rPr>
        <w:t>Monitoring of t</w:t>
      </w:r>
      <w:r w:rsidR="00144D88">
        <w:rPr>
          <w:rFonts w:ascii="Times New Roman" w:hAnsi="Times New Roman"/>
          <w:szCs w:val="24"/>
          <w:lang w:val="en-GB"/>
        </w:rPr>
        <w:t xml:space="preserve">rends in populations of </w:t>
      </w:r>
      <w:r>
        <w:rPr>
          <w:rFonts w:ascii="Times New Roman" w:hAnsi="Times New Roman"/>
          <w:szCs w:val="24"/>
          <w:lang w:val="en-GB"/>
        </w:rPr>
        <w:t xml:space="preserve">wallaby in Tasmania is undertaken through a system of standardised spotlight survey counts performed annually by </w:t>
      </w:r>
      <w:r w:rsidR="00081293">
        <w:rPr>
          <w:rFonts w:ascii="Times New Roman" w:hAnsi="Times New Roman"/>
          <w:szCs w:val="24"/>
          <w:lang w:val="en-GB"/>
        </w:rPr>
        <w:t>NR</w:t>
      </w:r>
      <w:r>
        <w:rPr>
          <w:rFonts w:ascii="Times New Roman" w:hAnsi="Times New Roman"/>
          <w:szCs w:val="24"/>
          <w:lang w:val="en-GB"/>
        </w:rPr>
        <w:t xml:space="preserve">E. The standardised surveys are carried out in accordance with the method set out in the </w:t>
      </w:r>
      <w:r>
        <w:rPr>
          <w:rFonts w:ascii="Times New Roman" w:hAnsi="Times New Roman"/>
          <w:i/>
          <w:szCs w:val="24"/>
          <w:lang w:val="en-GB"/>
        </w:rPr>
        <w:t xml:space="preserve">Tasmanian Spotlight Survey Manual </w:t>
      </w:r>
      <w:r>
        <w:rPr>
          <w:rFonts w:ascii="Times New Roman" w:hAnsi="Times New Roman"/>
          <w:szCs w:val="24"/>
          <w:lang w:val="en-GB"/>
        </w:rPr>
        <w:t>(Hocking and Driessen</w:t>
      </w:r>
      <w:r w:rsidR="00A5242F">
        <w:rPr>
          <w:rFonts w:ascii="Times New Roman" w:hAnsi="Times New Roman"/>
          <w:szCs w:val="24"/>
          <w:lang w:val="en-GB"/>
        </w:rPr>
        <w:t>,</w:t>
      </w:r>
      <w:r>
        <w:rPr>
          <w:rFonts w:ascii="Times New Roman" w:hAnsi="Times New Roman"/>
          <w:szCs w:val="24"/>
          <w:lang w:val="en-GB"/>
        </w:rPr>
        <w:t xml:space="preserve"> 1992</w:t>
      </w:r>
      <w:r w:rsidR="006964FF">
        <w:rPr>
          <w:rFonts w:ascii="Times New Roman" w:hAnsi="Times New Roman"/>
          <w:szCs w:val="24"/>
          <w:lang w:val="en-GB"/>
        </w:rPr>
        <w:t>)</w:t>
      </w:r>
      <w:r>
        <w:rPr>
          <w:rFonts w:ascii="Times New Roman" w:hAnsi="Times New Roman"/>
          <w:szCs w:val="24"/>
          <w:lang w:val="en-GB"/>
        </w:rPr>
        <w:t xml:space="preserve"> and have been undertaken annually since 1975. The survey methodology was modified in </w:t>
      </w:r>
      <w:r w:rsidRPr="00815804">
        <w:rPr>
          <w:rFonts w:ascii="Times New Roman" w:hAnsi="Times New Roman"/>
          <w:szCs w:val="24"/>
          <w:lang w:val="en-GB"/>
        </w:rPr>
        <w:t>2002</w:t>
      </w:r>
      <w:r>
        <w:rPr>
          <w:rFonts w:ascii="Times New Roman" w:hAnsi="Times New Roman"/>
          <w:szCs w:val="24"/>
          <w:lang w:val="en-GB"/>
        </w:rPr>
        <w:t xml:space="preserve"> to include line transect sampling </w:t>
      </w:r>
      <w:r w:rsidR="00A5242F">
        <w:rPr>
          <w:rFonts w:ascii="Times New Roman" w:hAnsi="Times New Roman"/>
          <w:szCs w:val="24"/>
          <w:lang w:val="en-GB"/>
        </w:rPr>
        <w:t>to</w:t>
      </w:r>
      <w:r>
        <w:rPr>
          <w:rFonts w:ascii="Times New Roman" w:hAnsi="Times New Roman"/>
          <w:szCs w:val="24"/>
          <w:lang w:val="en-GB"/>
        </w:rPr>
        <w:t xml:space="preserve"> improve survey precision and assist in minimising observer variation and seasonal differences.</w:t>
      </w:r>
    </w:p>
    <w:p w14:paraId="30130B46" w14:textId="12296551" w:rsidR="001D2768" w:rsidRDefault="001D2768">
      <w:pPr>
        <w:pStyle w:val="Text"/>
        <w:widowControl/>
        <w:spacing w:before="0"/>
        <w:rPr>
          <w:rFonts w:ascii="Times New Roman" w:hAnsi="Times New Roman"/>
          <w:szCs w:val="24"/>
          <w:lang w:val="en-GB"/>
        </w:rPr>
      </w:pPr>
      <w:r>
        <w:rPr>
          <w:rFonts w:ascii="Times New Roman" w:hAnsi="Times New Roman"/>
          <w:szCs w:val="24"/>
          <w:lang w:val="en-GB"/>
        </w:rPr>
        <w:lastRenderedPageBreak/>
        <w:t xml:space="preserve">Line transect sampling involves an observer moving along a transect line; in this case the survey route, recording perpendicular distances to detected objects. Objects away from the line may often go undetected, but those on or near the line are assumed to be seen with certainty. The sample of detection distances allows a detection function to be </w:t>
      </w:r>
      <w:r w:rsidR="00A027A5">
        <w:rPr>
          <w:rFonts w:ascii="Times New Roman" w:hAnsi="Times New Roman"/>
          <w:szCs w:val="24"/>
          <w:lang w:val="en-GB"/>
        </w:rPr>
        <w:t>modelled,</w:t>
      </w:r>
      <w:r>
        <w:rPr>
          <w:rFonts w:ascii="Times New Roman" w:hAnsi="Times New Roman"/>
          <w:szCs w:val="24"/>
          <w:lang w:val="en-GB"/>
        </w:rPr>
        <w:t xml:space="preserve"> and the proportion of objects detected in a strip transect (= detection probability) to be estimated. An estimate of wallaby density in the vicinity of transect lines can then be calculated.</w:t>
      </w:r>
    </w:p>
    <w:p w14:paraId="65A445DC" w14:textId="4FEDBBE2" w:rsidR="001D2768" w:rsidRDefault="001D2768">
      <w:pPr>
        <w:pStyle w:val="Text"/>
        <w:tabs>
          <w:tab w:val="left" w:pos="851"/>
        </w:tabs>
        <w:spacing w:before="0"/>
        <w:ind w:right="-1"/>
        <w:rPr>
          <w:rFonts w:ascii="Times New Roman" w:hAnsi="Times New Roman"/>
        </w:rPr>
      </w:pPr>
      <w:r>
        <w:rPr>
          <w:rFonts w:ascii="Times New Roman" w:hAnsi="Times New Roman"/>
          <w:szCs w:val="24"/>
          <w:lang w:val="en-GB"/>
        </w:rPr>
        <w:t xml:space="preserve">There are currently </w:t>
      </w:r>
      <w:r w:rsidR="00D66ABE">
        <w:rPr>
          <w:rFonts w:ascii="Times New Roman" w:hAnsi="Times New Roman"/>
          <w:szCs w:val="24"/>
          <w:lang w:val="en-GB"/>
        </w:rPr>
        <w:t xml:space="preserve">172 </w:t>
      </w:r>
      <w:r>
        <w:rPr>
          <w:rFonts w:ascii="Times New Roman" w:hAnsi="Times New Roman"/>
          <w:szCs w:val="24"/>
          <w:lang w:val="en-GB"/>
        </w:rPr>
        <w:t xml:space="preserve">standard 10 km spotlight survey routes in </w:t>
      </w:r>
      <w:r w:rsidR="00D66ABE">
        <w:rPr>
          <w:rFonts w:ascii="Times New Roman" w:hAnsi="Times New Roman"/>
          <w:szCs w:val="24"/>
          <w:lang w:val="en-GB"/>
        </w:rPr>
        <w:t xml:space="preserve">mainland </w:t>
      </w:r>
      <w:r>
        <w:rPr>
          <w:rFonts w:ascii="Times New Roman" w:hAnsi="Times New Roman"/>
          <w:szCs w:val="24"/>
          <w:lang w:val="en-GB"/>
        </w:rPr>
        <w:t xml:space="preserve">Tasmania. </w:t>
      </w:r>
      <w:r w:rsidR="00A027A5">
        <w:rPr>
          <w:rFonts w:ascii="Times New Roman" w:hAnsi="Times New Roman"/>
        </w:rPr>
        <w:t>To</w:t>
      </w:r>
      <w:r>
        <w:rPr>
          <w:rFonts w:ascii="Times New Roman" w:hAnsi="Times New Roman"/>
        </w:rPr>
        <w:t xml:space="preserve"> allow for long term trends to be examined without bias from the introduction of new survey routes, only those 132 routes surveyed since 1985 are used in examining historical trends prior to 2002 (42 prior to 1985). Given the smaller sample size, results from estimates of historical data may not be directly comparable to the 2002 data onwards, however it does give a very good indication of trends in wallaby populations over time.</w:t>
      </w:r>
    </w:p>
    <w:p w14:paraId="6A18E30F" w14:textId="27D33165" w:rsidR="001D2768" w:rsidRPr="00617F92" w:rsidRDefault="001D2768">
      <w:pPr>
        <w:pStyle w:val="Text"/>
        <w:widowControl/>
        <w:spacing w:before="0"/>
        <w:rPr>
          <w:rFonts w:ascii="Times New Roman" w:hAnsi="Times New Roman"/>
          <w:color w:val="000000"/>
          <w:szCs w:val="24"/>
          <w:lang w:val="en-GB"/>
        </w:rPr>
      </w:pPr>
      <w:r>
        <w:rPr>
          <w:rFonts w:ascii="Times New Roman" w:hAnsi="Times New Roman"/>
          <w:szCs w:val="24"/>
          <w:lang w:val="en-GB"/>
        </w:rPr>
        <w:t xml:space="preserve">Data is collected and reported on a regional basis. Tasmania is divided into </w:t>
      </w:r>
      <w:r w:rsidRPr="006F32D3">
        <w:rPr>
          <w:rFonts w:ascii="Times New Roman" w:hAnsi="Times New Roman"/>
          <w:szCs w:val="24"/>
          <w:lang w:val="en-GB"/>
        </w:rPr>
        <w:t>5 regions</w:t>
      </w:r>
      <w:r>
        <w:rPr>
          <w:rFonts w:ascii="Times New Roman" w:hAnsi="Times New Roman"/>
          <w:szCs w:val="24"/>
          <w:lang w:val="en-GB"/>
        </w:rPr>
        <w:t xml:space="preserve">, one of which is the far </w:t>
      </w:r>
      <w:r w:rsidR="00F33E07">
        <w:rPr>
          <w:rFonts w:ascii="Times New Roman" w:hAnsi="Times New Roman"/>
          <w:szCs w:val="24"/>
          <w:lang w:val="en-GB"/>
        </w:rPr>
        <w:t>Southwest</w:t>
      </w:r>
      <w:r>
        <w:rPr>
          <w:rFonts w:ascii="Times New Roman" w:hAnsi="Times New Roman"/>
          <w:szCs w:val="24"/>
          <w:lang w:val="en-GB"/>
        </w:rPr>
        <w:t xml:space="preserve"> of the state in which no commercial harvesting currently takes place. The standard spotlight survey routes are surveyed in November-January each year. </w:t>
      </w:r>
      <w:r w:rsidRPr="00617F92">
        <w:rPr>
          <w:rFonts w:ascii="Times New Roman" w:hAnsi="Times New Roman"/>
          <w:color w:val="000000"/>
          <w:szCs w:val="24"/>
          <w:lang w:val="en-GB"/>
        </w:rPr>
        <w:t>The survey year is determined by the timing of the first survey (e.g. for surveys undertaken in November 2007 and January 2008, the survey year would be 2007).</w:t>
      </w:r>
    </w:p>
    <w:p w14:paraId="57CBA3FE" w14:textId="77777777" w:rsidR="001D2768" w:rsidRDefault="001D2768">
      <w:pPr>
        <w:pStyle w:val="Text"/>
        <w:widowControl/>
        <w:spacing w:before="0"/>
        <w:rPr>
          <w:rFonts w:ascii="Times New Roman" w:hAnsi="Times New Roman"/>
          <w:szCs w:val="24"/>
          <w:lang w:val="en-GB"/>
        </w:rPr>
      </w:pPr>
      <w:r>
        <w:rPr>
          <w:rFonts w:ascii="Times New Roman" w:hAnsi="Times New Roman"/>
          <w:szCs w:val="24"/>
          <w:lang w:val="en-GB"/>
        </w:rPr>
        <w:t xml:space="preserve">The results obtained by this method should be regarded as a repeatable </w:t>
      </w:r>
      <w:r>
        <w:rPr>
          <w:rFonts w:ascii="Times New Roman" w:hAnsi="Times New Roman"/>
          <w:i/>
          <w:szCs w:val="24"/>
          <w:lang w:val="en-GB"/>
        </w:rPr>
        <w:t xml:space="preserve">index </w:t>
      </w:r>
      <w:r>
        <w:rPr>
          <w:rFonts w:ascii="Times New Roman" w:hAnsi="Times New Roman"/>
          <w:szCs w:val="24"/>
          <w:lang w:val="en-GB"/>
        </w:rPr>
        <w:t>of population density rather than an estimate of total population size. Reviews of survey method, such as frequency of monitoring and monitoring protocols, may be conducted in the future.</w:t>
      </w:r>
    </w:p>
    <w:p w14:paraId="3A5F368B" w14:textId="58DACD49" w:rsidR="001D2768" w:rsidRDefault="001D2768">
      <w:pPr>
        <w:pStyle w:val="Text"/>
        <w:widowControl/>
        <w:spacing w:before="0"/>
        <w:rPr>
          <w:rFonts w:ascii="Times New Roman" w:hAnsi="Times New Roman"/>
          <w:szCs w:val="24"/>
          <w:lang w:val="en-GB"/>
        </w:rPr>
      </w:pPr>
      <w:r>
        <w:rPr>
          <w:rFonts w:ascii="Times New Roman" w:hAnsi="Times New Roman"/>
          <w:szCs w:val="24"/>
          <w:lang w:val="en-GB"/>
        </w:rPr>
        <w:t xml:space="preserve">Prior to the change in methodology, survey results were recorded as the average number of wallabies seen per 10 km transect. </w:t>
      </w:r>
      <w:r w:rsidR="00081293">
        <w:rPr>
          <w:rFonts w:ascii="Times New Roman" w:hAnsi="Times New Roman"/>
          <w:szCs w:val="24"/>
          <w:lang w:val="en-GB"/>
        </w:rPr>
        <w:t>NR</w:t>
      </w:r>
      <w:r>
        <w:rPr>
          <w:rFonts w:ascii="Times New Roman" w:hAnsi="Times New Roman"/>
          <w:szCs w:val="24"/>
          <w:lang w:val="en-GB"/>
        </w:rPr>
        <w:t xml:space="preserve">E is aiming to shortly develop conversion factors that will allow density figures to be estimated for earlier years. </w:t>
      </w:r>
      <w:r w:rsidR="00081293">
        <w:rPr>
          <w:rFonts w:ascii="Times New Roman" w:hAnsi="Times New Roman"/>
          <w:szCs w:val="24"/>
          <w:lang w:val="en-GB"/>
        </w:rPr>
        <w:t>NR</w:t>
      </w:r>
      <w:r>
        <w:rPr>
          <w:rFonts w:ascii="Times New Roman" w:hAnsi="Times New Roman"/>
          <w:szCs w:val="24"/>
          <w:lang w:val="en-GB"/>
        </w:rPr>
        <w:t xml:space="preserve">E has not converted the 1985 – 2001 survey data to a density index and all data in Figure 1 are recorded as the average number of wallabies seen per 10 km transect </w:t>
      </w:r>
      <w:r w:rsidR="00F33E07">
        <w:rPr>
          <w:rFonts w:ascii="Times New Roman" w:hAnsi="Times New Roman"/>
          <w:szCs w:val="24"/>
          <w:lang w:val="en-GB"/>
        </w:rPr>
        <w:t>to</w:t>
      </w:r>
      <w:r>
        <w:rPr>
          <w:rFonts w:ascii="Times New Roman" w:hAnsi="Times New Roman"/>
          <w:szCs w:val="24"/>
          <w:lang w:val="en-GB"/>
        </w:rPr>
        <w:t xml:space="preserve"> enable comparison between years.</w:t>
      </w:r>
    </w:p>
    <w:p w14:paraId="5E45425F" w14:textId="77777777" w:rsidR="001D2768" w:rsidRDefault="001D2768">
      <w:pPr>
        <w:pStyle w:val="Text"/>
        <w:widowControl/>
        <w:spacing w:before="0"/>
        <w:rPr>
          <w:rFonts w:ascii="Times New Roman" w:hAnsi="Times New Roman"/>
          <w:szCs w:val="24"/>
          <w:lang w:val="en-GB"/>
        </w:rPr>
      </w:pPr>
      <w:r>
        <w:rPr>
          <w:rFonts w:ascii="Times New Roman" w:hAnsi="Times New Roman"/>
          <w:szCs w:val="24"/>
          <w:lang w:val="en-GB"/>
        </w:rPr>
        <w:t xml:space="preserve">As with all scientific data, these density figures contain an element of uncertainty. For this reason, these densities cannot be easily extrapolated into estimates of absolute population size. However, such estimates of absolute population size are not essential for the management of the commercial harvest under this WTO, as the total quota of exportable skins has been set at a figure well below what </w:t>
      </w:r>
      <w:r w:rsidRPr="005E6DED">
        <w:rPr>
          <w:rFonts w:ascii="Times New Roman" w:hAnsi="Times New Roman"/>
          <w:szCs w:val="24"/>
          <w:lang w:val="en-GB"/>
        </w:rPr>
        <w:t>would normally be considered a sustainable take.</w:t>
      </w:r>
    </w:p>
    <w:p w14:paraId="2210233C" w14:textId="77777777" w:rsidR="001D2768" w:rsidRDefault="001D2768">
      <w:pPr>
        <w:widowControl/>
        <w:spacing w:after="120"/>
        <w:rPr>
          <w:sz w:val="24"/>
          <w:szCs w:val="24"/>
          <w:lang w:val="en-GB"/>
        </w:rPr>
      </w:pPr>
      <w:r>
        <w:rPr>
          <w:sz w:val="24"/>
          <w:szCs w:val="24"/>
          <w:lang w:val="en-GB"/>
        </w:rPr>
        <w:t xml:space="preserve">The </w:t>
      </w:r>
      <w:r w:rsidR="005C3B58">
        <w:rPr>
          <w:sz w:val="24"/>
          <w:szCs w:val="24"/>
          <w:lang w:val="en-GB"/>
        </w:rPr>
        <w:t>long-term</w:t>
      </w:r>
      <w:r>
        <w:rPr>
          <w:sz w:val="24"/>
          <w:szCs w:val="24"/>
          <w:lang w:val="en-GB"/>
        </w:rPr>
        <w:t xml:space="preserve"> trends in the data collected in these surveys as shown in Figure</w:t>
      </w:r>
      <w:r w:rsidR="00DC0518">
        <w:rPr>
          <w:sz w:val="24"/>
          <w:szCs w:val="24"/>
          <w:lang w:val="en-GB"/>
        </w:rPr>
        <w:t>s</w:t>
      </w:r>
      <w:r>
        <w:rPr>
          <w:sz w:val="24"/>
          <w:szCs w:val="24"/>
          <w:lang w:val="en-GB"/>
        </w:rPr>
        <w:t xml:space="preserve"> 1</w:t>
      </w:r>
      <w:r w:rsidR="00DC0518">
        <w:rPr>
          <w:sz w:val="24"/>
          <w:szCs w:val="24"/>
          <w:lang w:val="en-GB"/>
        </w:rPr>
        <w:t xml:space="preserve"> and 2</w:t>
      </w:r>
      <w:r>
        <w:rPr>
          <w:sz w:val="24"/>
          <w:szCs w:val="24"/>
          <w:lang w:val="en-GB"/>
        </w:rPr>
        <w:t xml:space="preserve"> indicate a stable </w:t>
      </w:r>
      <w:r w:rsidR="005C3B58">
        <w:rPr>
          <w:sz w:val="24"/>
          <w:szCs w:val="24"/>
          <w:lang w:val="en-GB"/>
        </w:rPr>
        <w:t>long-term</w:t>
      </w:r>
      <w:r>
        <w:rPr>
          <w:sz w:val="24"/>
          <w:szCs w:val="24"/>
          <w:lang w:val="en-GB"/>
        </w:rPr>
        <w:t xml:space="preserve"> population even in the face of the existing commercial harvest</w:t>
      </w:r>
      <w:r w:rsidR="003131A8">
        <w:rPr>
          <w:sz w:val="24"/>
          <w:szCs w:val="24"/>
          <w:lang w:val="en-GB"/>
        </w:rPr>
        <w:t>, recreational kill damage mitigation cull</w:t>
      </w:r>
      <w:r w:rsidR="00E43C20" w:rsidRPr="00E43C20">
        <w:rPr>
          <w:sz w:val="24"/>
          <w:szCs w:val="24"/>
          <w:lang w:val="en-GB"/>
        </w:rPr>
        <w:t xml:space="preserve"> </w:t>
      </w:r>
      <w:r w:rsidR="00E43C20">
        <w:rPr>
          <w:sz w:val="24"/>
          <w:szCs w:val="24"/>
          <w:lang w:val="en-GB"/>
        </w:rPr>
        <w:t>and roadkill</w:t>
      </w:r>
      <w:r>
        <w:rPr>
          <w:sz w:val="24"/>
          <w:szCs w:val="24"/>
          <w:lang w:val="en-GB"/>
        </w:rPr>
        <w:t>. This population stability is particularly apparent over the past decade and even prior to that any variation could not be considered more than would occur due to normal population fluctuation in response to seasonal changes.</w:t>
      </w:r>
    </w:p>
    <w:p w14:paraId="60247DC7" w14:textId="77777777" w:rsidR="002E758F" w:rsidRDefault="002E758F">
      <w:pPr>
        <w:widowControl/>
        <w:spacing w:after="120"/>
        <w:rPr>
          <w:sz w:val="24"/>
          <w:szCs w:val="24"/>
          <w:lang w:val="en-GB"/>
        </w:rPr>
      </w:pPr>
    </w:p>
    <w:p w14:paraId="72FA11FB" w14:textId="73B1B936" w:rsidR="001D2768" w:rsidRDefault="001D2768">
      <w:pPr>
        <w:widowControl/>
        <w:numPr>
          <w:ilvl w:val="0"/>
          <w:numId w:val="4"/>
        </w:numPr>
        <w:ind w:left="709" w:hanging="709"/>
        <w:rPr>
          <w:b/>
          <w:sz w:val="24"/>
          <w:szCs w:val="24"/>
          <w:lang w:val="en-GB"/>
        </w:rPr>
      </w:pPr>
      <w:r>
        <w:rPr>
          <w:b/>
          <w:sz w:val="24"/>
          <w:szCs w:val="24"/>
          <w:lang w:val="en-GB"/>
        </w:rPr>
        <w:t>Monitoring the take</w:t>
      </w:r>
    </w:p>
    <w:p w14:paraId="7E90D074" w14:textId="1FDCADDC" w:rsidR="001D2768" w:rsidRDefault="001D2768">
      <w:pPr>
        <w:widowControl/>
        <w:rPr>
          <w:sz w:val="24"/>
          <w:szCs w:val="24"/>
          <w:lang w:val="en-GB"/>
        </w:rPr>
      </w:pPr>
      <w:r>
        <w:rPr>
          <w:b/>
          <w:sz w:val="24"/>
          <w:szCs w:val="24"/>
          <w:lang w:val="en-GB"/>
        </w:rPr>
        <w:t xml:space="preserve">5.2.1 </w:t>
      </w:r>
      <w:r>
        <w:rPr>
          <w:b/>
          <w:sz w:val="24"/>
          <w:szCs w:val="24"/>
          <w:lang w:val="en-GB"/>
        </w:rPr>
        <w:tab/>
        <w:t>Existing Controls</w:t>
      </w:r>
    </w:p>
    <w:p w14:paraId="1499DF2A" w14:textId="17A13B37" w:rsidR="001D2768" w:rsidRDefault="001D2768">
      <w:pPr>
        <w:widowControl/>
        <w:spacing w:after="120"/>
        <w:rPr>
          <w:sz w:val="24"/>
          <w:szCs w:val="24"/>
          <w:lang w:val="en-GB"/>
        </w:rPr>
      </w:pPr>
      <w:r>
        <w:rPr>
          <w:sz w:val="24"/>
          <w:szCs w:val="24"/>
          <w:lang w:val="en-GB"/>
        </w:rPr>
        <w:t xml:space="preserve">Under the </w:t>
      </w:r>
      <w:r w:rsidR="00D66ABE" w:rsidRPr="00A70F10">
        <w:rPr>
          <w:i/>
          <w:iCs/>
          <w:sz w:val="24"/>
          <w:szCs w:val="24"/>
          <w:lang w:val="en-GB"/>
        </w:rPr>
        <w:t>Primary Produce Safety Act 2011</w:t>
      </w:r>
      <w:r>
        <w:rPr>
          <w:sz w:val="24"/>
          <w:szCs w:val="24"/>
          <w:lang w:val="en-GB"/>
        </w:rPr>
        <w:t xml:space="preserve">, licensed wallaby meat processors in Tasmania can only purchase wallaby from harvesters </w:t>
      </w:r>
      <w:r w:rsidR="00DC0518">
        <w:rPr>
          <w:sz w:val="24"/>
          <w:szCs w:val="24"/>
          <w:lang w:val="en-GB"/>
        </w:rPr>
        <w:t>holdin</w:t>
      </w:r>
      <w:r w:rsidR="00EF6254">
        <w:rPr>
          <w:sz w:val="24"/>
          <w:szCs w:val="24"/>
          <w:lang w:val="en-GB"/>
        </w:rPr>
        <w:t>g a Commercial Purposes licence</w:t>
      </w:r>
      <w:r>
        <w:rPr>
          <w:sz w:val="24"/>
          <w:szCs w:val="24"/>
          <w:lang w:val="en-GB"/>
        </w:rPr>
        <w:t>.</w:t>
      </w:r>
      <w:r w:rsidR="006F2263">
        <w:rPr>
          <w:sz w:val="24"/>
          <w:szCs w:val="24"/>
          <w:lang w:val="en-GB"/>
        </w:rPr>
        <w:t xml:space="preserve"> </w:t>
      </w:r>
      <w:r>
        <w:rPr>
          <w:sz w:val="24"/>
          <w:szCs w:val="24"/>
          <w:lang w:val="en-GB"/>
        </w:rPr>
        <w:t>All wallaby meat processors in Tasmania are requ</w:t>
      </w:r>
      <w:r w:rsidR="00144D88">
        <w:rPr>
          <w:sz w:val="24"/>
          <w:szCs w:val="24"/>
          <w:lang w:val="en-GB"/>
        </w:rPr>
        <w:t xml:space="preserve">ired </w:t>
      </w:r>
      <w:r w:rsidR="00EF6254">
        <w:rPr>
          <w:sz w:val="24"/>
          <w:szCs w:val="24"/>
          <w:lang w:val="en-GB"/>
        </w:rPr>
        <w:t>as a condition of their Commercial Wildlife Traders Licence,</w:t>
      </w:r>
      <w:r w:rsidR="00144D88">
        <w:rPr>
          <w:sz w:val="24"/>
          <w:szCs w:val="24"/>
          <w:lang w:val="en-GB"/>
        </w:rPr>
        <w:t xml:space="preserve"> to report</w:t>
      </w:r>
      <w:r>
        <w:rPr>
          <w:sz w:val="24"/>
          <w:szCs w:val="24"/>
          <w:lang w:val="en-GB"/>
        </w:rPr>
        <w:t xml:space="preserve"> the number of </w:t>
      </w:r>
      <w:r w:rsidR="006927D9">
        <w:rPr>
          <w:sz w:val="24"/>
          <w:szCs w:val="24"/>
          <w:lang w:val="en-GB"/>
        </w:rPr>
        <w:t>wallabies</w:t>
      </w:r>
      <w:r>
        <w:rPr>
          <w:sz w:val="24"/>
          <w:szCs w:val="24"/>
          <w:lang w:val="en-GB"/>
        </w:rPr>
        <w:t xml:space="preserve"> they process</w:t>
      </w:r>
      <w:r w:rsidR="00144D88">
        <w:rPr>
          <w:sz w:val="24"/>
          <w:szCs w:val="24"/>
          <w:lang w:val="en-GB"/>
        </w:rPr>
        <w:t>.</w:t>
      </w:r>
    </w:p>
    <w:p w14:paraId="6E130CD2" w14:textId="7C921E80" w:rsidR="001D2768" w:rsidRDefault="001D2768">
      <w:pPr>
        <w:widowControl/>
        <w:spacing w:after="120"/>
        <w:rPr>
          <w:sz w:val="24"/>
          <w:szCs w:val="24"/>
          <w:lang w:val="en-GB"/>
        </w:rPr>
      </w:pPr>
      <w:r>
        <w:rPr>
          <w:sz w:val="24"/>
          <w:szCs w:val="24"/>
          <w:lang w:val="en-GB"/>
        </w:rPr>
        <w:t xml:space="preserve">All skin </w:t>
      </w:r>
      <w:r w:rsidR="003131A8">
        <w:rPr>
          <w:sz w:val="24"/>
          <w:szCs w:val="24"/>
          <w:lang w:val="en-GB"/>
        </w:rPr>
        <w:t xml:space="preserve">and meat </w:t>
      </w:r>
      <w:r>
        <w:rPr>
          <w:sz w:val="24"/>
          <w:szCs w:val="24"/>
          <w:lang w:val="en-GB"/>
        </w:rPr>
        <w:t xml:space="preserve">exports must be accompanied by permits issued by the Australian </w:t>
      </w:r>
      <w:r w:rsidR="00FB17B5">
        <w:rPr>
          <w:sz w:val="24"/>
          <w:szCs w:val="24"/>
          <w:lang w:val="en-GB"/>
        </w:rPr>
        <w:t>g</w:t>
      </w:r>
      <w:r>
        <w:rPr>
          <w:sz w:val="24"/>
          <w:szCs w:val="24"/>
          <w:lang w:val="en-GB"/>
        </w:rPr>
        <w:t xml:space="preserve">overnment Department </w:t>
      </w:r>
      <w:r w:rsidRPr="00D76840">
        <w:rPr>
          <w:sz w:val="24"/>
          <w:szCs w:val="24"/>
          <w:lang w:val="en-GB"/>
        </w:rPr>
        <w:t>of</w:t>
      </w:r>
      <w:r w:rsidR="00D76840" w:rsidRPr="00D76840">
        <w:rPr>
          <w:sz w:val="24"/>
          <w:szCs w:val="24"/>
          <w:lang w:val="en-GB"/>
        </w:rPr>
        <w:t xml:space="preserve"> </w:t>
      </w:r>
      <w:r w:rsidR="00D76840" w:rsidRPr="00D76840">
        <w:rPr>
          <w:sz w:val="24"/>
          <w:szCs w:val="24"/>
          <w:lang w:eastAsia="en-AU"/>
        </w:rPr>
        <w:t xml:space="preserve">Climate Change, Energy, the Environment and Water </w:t>
      </w:r>
      <w:r w:rsidR="00144D88">
        <w:rPr>
          <w:sz w:val="24"/>
          <w:szCs w:val="24"/>
          <w:lang w:val="en-GB"/>
        </w:rPr>
        <w:t>(D</w:t>
      </w:r>
      <w:r w:rsidR="00D76840">
        <w:rPr>
          <w:sz w:val="24"/>
          <w:szCs w:val="24"/>
          <w:lang w:val="en-GB"/>
        </w:rPr>
        <w:t>CCEEW</w:t>
      </w:r>
      <w:r>
        <w:rPr>
          <w:sz w:val="24"/>
          <w:szCs w:val="24"/>
          <w:lang w:val="en-GB"/>
        </w:rPr>
        <w:t>).</w:t>
      </w:r>
    </w:p>
    <w:p w14:paraId="6BDFC7D3" w14:textId="77777777" w:rsidR="001D2768" w:rsidRDefault="001D2768">
      <w:pPr>
        <w:widowControl/>
        <w:rPr>
          <w:b/>
          <w:sz w:val="24"/>
          <w:szCs w:val="24"/>
          <w:lang w:val="en-GB"/>
        </w:rPr>
      </w:pPr>
      <w:r>
        <w:rPr>
          <w:b/>
          <w:sz w:val="24"/>
          <w:szCs w:val="24"/>
          <w:lang w:val="en-GB"/>
        </w:rPr>
        <w:t>5.2.2</w:t>
      </w:r>
      <w:r>
        <w:rPr>
          <w:b/>
          <w:sz w:val="24"/>
          <w:szCs w:val="24"/>
          <w:lang w:val="en-GB"/>
        </w:rPr>
        <w:tab/>
        <w:t>Verification.</w:t>
      </w:r>
    </w:p>
    <w:p w14:paraId="0301ED75" w14:textId="77777777" w:rsidR="001D2768" w:rsidRDefault="001D2768">
      <w:pPr>
        <w:widowControl/>
        <w:spacing w:after="120"/>
        <w:rPr>
          <w:sz w:val="24"/>
          <w:szCs w:val="24"/>
          <w:lang w:val="en-GB"/>
        </w:rPr>
      </w:pPr>
      <w:r>
        <w:rPr>
          <w:sz w:val="24"/>
          <w:szCs w:val="24"/>
          <w:lang w:val="en-GB"/>
        </w:rPr>
        <w:t xml:space="preserve">Table </w:t>
      </w:r>
      <w:r w:rsidR="00566C27">
        <w:rPr>
          <w:sz w:val="24"/>
          <w:szCs w:val="24"/>
          <w:lang w:val="en-GB"/>
        </w:rPr>
        <w:t>2</w:t>
      </w:r>
      <w:r>
        <w:rPr>
          <w:sz w:val="24"/>
          <w:szCs w:val="24"/>
          <w:lang w:val="en-GB"/>
        </w:rPr>
        <w:t xml:space="preserve"> charts the extensive licensing, reporting and verification controls in the supply chain.</w:t>
      </w:r>
    </w:p>
    <w:p w14:paraId="52BEF5C9" w14:textId="77777777" w:rsidR="005E270E" w:rsidRDefault="005E270E">
      <w:pPr>
        <w:widowControl/>
        <w:spacing w:after="120"/>
        <w:rPr>
          <w:sz w:val="24"/>
          <w:szCs w:val="24"/>
          <w:lang w:val="en-GB"/>
        </w:rPr>
      </w:pPr>
    </w:p>
    <w:p w14:paraId="7BFF4218" w14:textId="77777777" w:rsidR="000826E9" w:rsidRPr="000826E9" w:rsidRDefault="000826E9" w:rsidP="000826E9">
      <w:pPr>
        <w:rPr>
          <w:vanish/>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240"/>
        <w:gridCol w:w="2236"/>
        <w:gridCol w:w="2238"/>
      </w:tblGrid>
      <w:tr w:rsidR="001A489D" w:rsidRPr="000826E9" w14:paraId="74006F93" w14:textId="77777777" w:rsidTr="000826E9">
        <w:tc>
          <w:tcPr>
            <w:tcW w:w="9016" w:type="dxa"/>
            <w:gridSpan w:val="4"/>
          </w:tcPr>
          <w:p w14:paraId="0A979374" w14:textId="77777777" w:rsidR="001A489D" w:rsidRPr="000826E9" w:rsidRDefault="001A489D" w:rsidP="000826E9">
            <w:pPr>
              <w:widowControl/>
              <w:overflowPunct/>
              <w:autoSpaceDE/>
              <w:autoSpaceDN/>
              <w:adjustRightInd/>
              <w:jc w:val="center"/>
              <w:textAlignment w:val="auto"/>
              <w:rPr>
                <w:rFonts w:ascii="Aptos" w:eastAsia="Aptos" w:hAnsi="Aptos"/>
                <w:b/>
                <w:bCs/>
                <w:kern w:val="2"/>
                <w:sz w:val="22"/>
                <w:szCs w:val="22"/>
                <w:lang w:val="en-AU"/>
              </w:rPr>
            </w:pPr>
            <w:r w:rsidRPr="000826E9">
              <w:rPr>
                <w:rFonts w:ascii="Aptos" w:eastAsia="Aptos" w:hAnsi="Aptos"/>
                <w:b/>
                <w:bCs/>
                <w:kern w:val="2"/>
                <w:sz w:val="22"/>
                <w:szCs w:val="22"/>
                <w:lang w:val="en-AU"/>
              </w:rPr>
              <w:lastRenderedPageBreak/>
              <w:t>Supply Verification Chart</w:t>
            </w:r>
          </w:p>
        </w:tc>
      </w:tr>
      <w:tr w:rsidR="001A489D" w:rsidRPr="000826E9" w14:paraId="3935E18F" w14:textId="77777777" w:rsidTr="000826E9">
        <w:tc>
          <w:tcPr>
            <w:tcW w:w="2254" w:type="dxa"/>
          </w:tcPr>
          <w:p w14:paraId="4FC56193" w14:textId="77777777" w:rsidR="001A489D" w:rsidRPr="000826E9" w:rsidRDefault="001A489D" w:rsidP="000826E9">
            <w:pPr>
              <w:widowControl/>
              <w:overflowPunct/>
              <w:autoSpaceDE/>
              <w:autoSpaceDN/>
              <w:adjustRightInd/>
              <w:jc w:val="left"/>
              <w:textAlignment w:val="auto"/>
              <w:rPr>
                <w:rFonts w:ascii="Aptos" w:eastAsia="Aptos" w:hAnsi="Aptos"/>
                <w:b/>
                <w:bCs/>
                <w:kern w:val="2"/>
                <w:sz w:val="22"/>
                <w:szCs w:val="22"/>
                <w:lang w:val="en-AU"/>
              </w:rPr>
            </w:pPr>
            <w:r w:rsidRPr="000826E9">
              <w:rPr>
                <w:rFonts w:ascii="Aptos" w:eastAsia="Aptos" w:hAnsi="Aptos"/>
                <w:b/>
                <w:bCs/>
                <w:kern w:val="2"/>
                <w:sz w:val="22"/>
                <w:szCs w:val="22"/>
                <w:lang w:val="en-AU"/>
              </w:rPr>
              <w:t>Supply Link</w:t>
            </w:r>
          </w:p>
        </w:tc>
        <w:tc>
          <w:tcPr>
            <w:tcW w:w="2254" w:type="dxa"/>
          </w:tcPr>
          <w:p w14:paraId="623D11F4" w14:textId="77777777" w:rsidR="001A489D" w:rsidRPr="000826E9" w:rsidRDefault="001A489D" w:rsidP="000826E9">
            <w:pPr>
              <w:widowControl/>
              <w:overflowPunct/>
              <w:autoSpaceDE/>
              <w:autoSpaceDN/>
              <w:adjustRightInd/>
              <w:jc w:val="left"/>
              <w:textAlignment w:val="auto"/>
              <w:rPr>
                <w:rFonts w:ascii="Aptos" w:eastAsia="Aptos" w:hAnsi="Aptos"/>
                <w:b/>
                <w:bCs/>
                <w:kern w:val="2"/>
                <w:sz w:val="22"/>
                <w:szCs w:val="22"/>
                <w:lang w:val="en-AU"/>
              </w:rPr>
            </w:pPr>
            <w:r w:rsidRPr="000826E9">
              <w:rPr>
                <w:rFonts w:ascii="Aptos" w:eastAsia="Aptos" w:hAnsi="Aptos"/>
                <w:b/>
                <w:bCs/>
                <w:kern w:val="2"/>
                <w:sz w:val="22"/>
                <w:szCs w:val="22"/>
                <w:lang w:val="en-AU"/>
              </w:rPr>
              <w:t>Authority Required</w:t>
            </w:r>
          </w:p>
        </w:tc>
        <w:tc>
          <w:tcPr>
            <w:tcW w:w="2254" w:type="dxa"/>
          </w:tcPr>
          <w:p w14:paraId="5BE69767" w14:textId="77777777" w:rsidR="001A489D" w:rsidRPr="000826E9" w:rsidRDefault="001A489D" w:rsidP="000826E9">
            <w:pPr>
              <w:widowControl/>
              <w:overflowPunct/>
              <w:autoSpaceDE/>
              <w:autoSpaceDN/>
              <w:adjustRightInd/>
              <w:jc w:val="left"/>
              <w:textAlignment w:val="auto"/>
              <w:rPr>
                <w:rFonts w:ascii="Aptos" w:eastAsia="Aptos" w:hAnsi="Aptos"/>
                <w:b/>
                <w:bCs/>
                <w:kern w:val="2"/>
                <w:sz w:val="22"/>
                <w:szCs w:val="22"/>
                <w:lang w:val="en-AU"/>
              </w:rPr>
            </w:pPr>
            <w:r w:rsidRPr="000826E9">
              <w:rPr>
                <w:rFonts w:ascii="Aptos" w:eastAsia="Aptos" w:hAnsi="Aptos"/>
                <w:b/>
                <w:bCs/>
                <w:kern w:val="2"/>
                <w:sz w:val="22"/>
                <w:szCs w:val="22"/>
                <w:lang w:val="en-AU"/>
              </w:rPr>
              <w:t>Reporting Required</w:t>
            </w:r>
          </w:p>
        </w:tc>
        <w:tc>
          <w:tcPr>
            <w:tcW w:w="2254" w:type="dxa"/>
          </w:tcPr>
          <w:p w14:paraId="384B3B7C" w14:textId="77777777" w:rsidR="001A489D" w:rsidRPr="000826E9" w:rsidRDefault="001A489D" w:rsidP="000826E9">
            <w:pPr>
              <w:widowControl/>
              <w:overflowPunct/>
              <w:autoSpaceDE/>
              <w:autoSpaceDN/>
              <w:adjustRightInd/>
              <w:jc w:val="left"/>
              <w:textAlignment w:val="auto"/>
              <w:rPr>
                <w:rFonts w:ascii="Aptos" w:eastAsia="Aptos" w:hAnsi="Aptos"/>
                <w:b/>
                <w:bCs/>
                <w:kern w:val="2"/>
                <w:sz w:val="22"/>
                <w:szCs w:val="22"/>
                <w:lang w:val="en-AU"/>
              </w:rPr>
            </w:pPr>
            <w:r w:rsidRPr="000826E9">
              <w:rPr>
                <w:rFonts w:ascii="Aptos" w:eastAsia="Aptos" w:hAnsi="Aptos"/>
                <w:b/>
                <w:bCs/>
                <w:kern w:val="2"/>
                <w:sz w:val="22"/>
                <w:szCs w:val="22"/>
                <w:lang w:val="en-AU"/>
              </w:rPr>
              <w:t>Verification Available</w:t>
            </w:r>
          </w:p>
        </w:tc>
      </w:tr>
      <w:tr w:rsidR="001A489D" w:rsidRPr="000826E9" w14:paraId="4045EAFB" w14:textId="77777777" w:rsidTr="000826E9">
        <w:tc>
          <w:tcPr>
            <w:tcW w:w="2254" w:type="dxa"/>
          </w:tcPr>
          <w:p w14:paraId="631AF8CC"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Private property</w:t>
            </w:r>
          </w:p>
        </w:tc>
        <w:tc>
          <w:tcPr>
            <w:tcW w:w="2254" w:type="dxa"/>
          </w:tcPr>
          <w:p w14:paraId="1CC79FC0"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Property protection Permit (PPP)</w:t>
            </w:r>
          </w:p>
        </w:tc>
        <w:tc>
          <w:tcPr>
            <w:tcW w:w="2254" w:type="dxa"/>
          </w:tcPr>
          <w:p w14:paraId="314842F8"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Annual take returns by landholder</w:t>
            </w:r>
          </w:p>
          <w:p w14:paraId="3C3E031A" w14:textId="30BFB5A1"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 xml:space="preserve">Quarterly returns by licences harvesters to </w:t>
            </w:r>
            <w:r w:rsidR="00136E42">
              <w:rPr>
                <w:rFonts w:ascii="Aptos" w:eastAsia="Aptos" w:hAnsi="Aptos"/>
                <w:kern w:val="2"/>
                <w:sz w:val="22"/>
                <w:szCs w:val="22"/>
                <w:lang w:val="en-AU"/>
              </w:rPr>
              <w:t>Game Services Tasmania (</w:t>
            </w:r>
            <w:r w:rsidRPr="000826E9">
              <w:rPr>
                <w:rFonts w:ascii="Aptos" w:eastAsia="Aptos" w:hAnsi="Aptos"/>
                <w:kern w:val="2"/>
                <w:sz w:val="22"/>
                <w:szCs w:val="22"/>
                <w:lang w:val="en-AU"/>
              </w:rPr>
              <w:t>GST</w:t>
            </w:r>
            <w:r w:rsidR="00136E42">
              <w:rPr>
                <w:rFonts w:ascii="Aptos" w:eastAsia="Aptos" w:hAnsi="Aptos"/>
                <w:kern w:val="2"/>
                <w:sz w:val="22"/>
                <w:szCs w:val="22"/>
                <w:lang w:val="en-AU"/>
              </w:rPr>
              <w:t>)</w:t>
            </w:r>
          </w:p>
        </w:tc>
        <w:tc>
          <w:tcPr>
            <w:tcW w:w="2254" w:type="dxa"/>
          </w:tcPr>
          <w:p w14:paraId="3209E293"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r>
      <w:tr w:rsidR="001A489D" w:rsidRPr="000826E9" w14:paraId="661C5EDA" w14:textId="77777777" w:rsidTr="000826E9">
        <w:tc>
          <w:tcPr>
            <w:tcW w:w="2254" w:type="dxa"/>
          </w:tcPr>
          <w:p w14:paraId="55548742"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Licences harvesters</w:t>
            </w:r>
          </w:p>
        </w:tc>
        <w:tc>
          <w:tcPr>
            <w:tcW w:w="2254" w:type="dxa"/>
          </w:tcPr>
          <w:p w14:paraId="26D5D448"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Commercial Purpose Licence</w:t>
            </w:r>
          </w:p>
        </w:tc>
        <w:tc>
          <w:tcPr>
            <w:tcW w:w="2254" w:type="dxa"/>
          </w:tcPr>
          <w:p w14:paraId="743D97CF" w14:textId="44066451"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 xml:space="preserve">Quarterly return to </w:t>
            </w:r>
            <w:r w:rsidR="00136E42">
              <w:rPr>
                <w:rFonts w:ascii="Aptos" w:eastAsia="Aptos" w:hAnsi="Aptos"/>
                <w:kern w:val="2"/>
                <w:sz w:val="22"/>
                <w:szCs w:val="22"/>
                <w:lang w:val="en-AU"/>
              </w:rPr>
              <w:t>Game Services Tasmania (</w:t>
            </w:r>
            <w:r w:rsidRPr="000826E9">
              <w:rPr>
                <w:rFonts w:ascii="Aptos" w:eastAsia="Aptos" w:hAnsi="Aptos"/>
                <w:kern w:val="2"/>
                <w:sz w:val="22"/>
                <w:szCs w:val="22"/>
                <w:lang w:val="en-AU"/>
              </w:rPr>
              <w:t>GST</w:t>
            </w:r>
            <w:r w:rsidR="00136E42">
              <w:rPr>
                <w:rFonts w:ascii="Aptos" w:eastAsia="Aptos" w:hAnsi="Aptos"/>
                <w:kern w:val="2"/>
                <w:sz w:val="22"/>
                <w:szCs w:val="22"/>
                <w:lang w:val="en-AU"/>
              </w:rPr>
              <w:t>)</w:t>
            </w:r>
          </w:p>
        </w:tc>
        <w:tc>
          <w:tcPr>
            <w:tcW w:w="2254" w:type="dxa"/>
          </w:tcPr>
          <w:p w14:paraId="79F5CF3D"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r>
      <w:tr w:rsidR="001A489D" w:rsidRPr="000826E9" w14:paraId="028A279F" w14:textId="77777777" w:rsidTr="000826E9">
        <w:tc>
          <w:tcPr>
            <w:tcW w:w="2254" w:type="dxa"/>
          </w:tcPr>
          <w:p w14:paraId="696FCF99"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c>
          <w:tcPr>
            <w:tcW w:w="2254" w:type="dxa"/>
          </w:tcPr>
          <w:p w14:paraId="017C0AD6"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FSB Accreditation</w:t>
            </w:r>
          </w:p>
        </w:tc>
        <w:tc>
          <w:tcPr>
            <w:tcW w:w="2254" w:type="dxa"/>
          </w:tcPr>
          <w:p w14:paraId="0EB85696"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c>
          <w:tcPr>
            <w:tcW w:w="2254" w:type="dxa"/>
          </w:tcPr>
          <w:p w14:paraId="50DE7DBA"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Annual re-assessment against Welfare Code</w:t>
            </w:r>
          </w:p>
        </w:tc>
      </w:tr>
      <w:tr w:rsidR="001A489D" w:rsidRPr="000826E9" w14:paraId="109E7D17" w14:textId="77777777" w:rsidTr="000826E9">
        <w:tc>
          <w:tcPr>
            <w:tcW w:w="2254" w:type="dxa"/>
          </w:tcPr>
          <w:p w14:paraId="091EAEDF"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Licensed meat</w:t>
            </w:r>
          </w:p>
        </w:tc>
        <w:tc>
          <w:tcPr>
            <w:tcW w:w="2254" w:type="dxa"/>
          </w:tcPr>
          <w:p w14:paraId="792745A7"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FSB Licence</w:t>
            </w:r>
          </w:p>
        </w:tc>
        <w:tc>
          <w:tcPr>
            <w:tcW w:w="2254" w:type="dxa"/>
          </w:tcPr>
          <w:p w14:paraId="72A801AE"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Returns to FSB</w:t>
            </w:r>
          </w:p>
        </w:tc>
        <w:tc>
          <w:tcPr>
            <w:tcW w:w="2254" w:type="dxa"/>
            <w:vMerge w:val="restart"/>
          </w:tcPr>
          <w:p w14:paraId="32556207" w14:textId="77777777" w:rsidR="001A489D" w:rsidRPr="000826E9" w:rsidRDefault="001A489D" w:rsidP="000826E9">
            <w:pPr>
              <w:widowControl/>
              <w:overflowPunct/>
              <w:autoSpaceDE/>
              <w:autoSpaceDN/>
              <w:adjustRightInd/>
              <w:jc w:val="center"/>
              <w:textAlignment w:val="auto"/>
              <w:rPr>
                <w:rFonts w:ascii="Aptos" w:eastAsia="Aptos" w:hAnsi="Aptos"/>
                <w:kern w:val="2"/>
                <w:sz w:val="22"/>
                <w:szCs w:val="22"/>
                <w:lang w:val="en-AU"/>
              </w:rPr>
            </w:pPr>
            <w:r w:rsidRPr="000826E9">
              <w:rPr>
                <w:rFonts w:ascii="Aptos" w:eastAsia="Aptos" w:hAnsi="Aptos"/>
                <w:kern w:val="2"/>
                <w:sz w:val="22"/>
                <w:szCs w:val="22"/>
                <w:lang w:val="en-AU"/>
              </w:rPr>
              <w:t>Collate to ensure all data matches</w:t>
            </w:r>
          </w:p>
        </w:tc>
      </w:tr>
      <w:tr w:rsidR="001A489D" w:rsidRPr="000826E9" w14:paraId="596947D9" w14:textId="77777777" w:rsidTr="000826E9">
        <w:tc>
          <w:tcPr>
            <w:tcW w:w="2254" w:type="dxa"/>
          </w:tcPr>
          <w:p w14:paraId="2B3186F7"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Processor</w:t>
            </w:r>
          </w:p>
        </w:tc>
        <w:tc>
          <w:tcPr>
            <w:tcW w:w="2254" w:type="dxa"/>
          </w:tcPr>
          <w:p w14:paraId="261380A2"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Commercial Wildlife Traders Licence</w:t>
            </w:r>
          </w:p>
        </w:tc>
        <w:tc>
          <w:tcPr>
            <w:tcW w:w="2254" w:type="dxa"/>
          </w:tcPr>
          <w:p w14:paraId="553A8497" w14:textId="622028EB"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 xml:space="preserve">Quarterly returns to </w:t>
            </w:r>
            <w:r w:rsidR="008F0149">
              <w:rPr>
                <w:rFonts w:ascii="Aptos" w:eastAsia="Aptos" w:hAnsi="Aptos"/>
                <w:kern w:val="2"/>
                <w:sz w:val="22"/>
                <w:szCs w:val="22"/>
                <w:lang w:val="en-AU"/>
              </w:rPr>
              <w:t>Game Services Tasmania (</w:t>
            </w:r>
            <w:r w:rsidRPr="000826E9">
              <w:rPr>
                <w:rFonts w:ascii="Aptos" w:eastAsia="Aptos" w:hAnsi="Aptos"/>
                <w:kern w:val="2"/>
                <w:sz w:val="22"/>
                <w:szCs w:val="22"/>
                <w:lang w:val="en-AU"/>
              </w:rPr>
              <w:t>GST</w:t>
            </w:r>
            <w:r w:rsidR="008F0149">
              <w:rPr>
                <w:rFonts w:ascii="Aptos" w:eastAsia="Aptos" w:hAnsi="Aptos"/>
                <w:kern w:val="2"/>
                <w:sz w:val="22"/>
                <w:szCs w:val="22"/>
                <w:lang w:val="en-AU"/>
              </w:rPr>
              <w:t>)</w:t>
            </w:r>
          </w:p>
        </w:tc>
        <w:tc>
          <w:tcPr>
            <w:tcW w:w="2254" w:type="dxa"/>
            <w:vMerge/>
          </w:tcPr>
          <w:p w14:paraId="40FD8878"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r>
      <w:tr w:rsidR="001A489D" w:rsidRPr="000826E9" w14:paraId="2CDFACEA" w14:textId="77777777" w:rsidTr="000826E9">
        <w:tc>
          <w:tcPr>
            <w:tcW w:w="2254" w:type="dxa"/>
          </w:tcPr>
          <w:p w14:paraId="36F62B05"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Lenah Game Meats</w:t>
            </w:r>
          </w:p>
        </w:tc>
        <w:tc>
          <w:tcPr>
            <w:tcW w:w="2254" w:type="dxa"/>
          </w:tcPr>
          <w:p w14:paraId="1CDD3AD5"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Commercial Wildlife Traders Licence</w:t>
            </w:r>
          </w:p>
        </w:tc>
        <w:tc>
          <w:tcPr>
            <w:tcW w:w="2254" w:type="dxa"/>
          </w:tcPr>
          <w:p w14:paraId="6E26B2F3"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Quarterly royalty payments to WMB</w:t>
            </w:r>
          </w:p>
        </w:tc>
        <w:tc>
          <w:tcPr>
            <w:tcW w:w="2254" w:type="dxa"/>
            <w:vMerge/>
          </w:tcPr>
          <w:p w14:paraId="5DAC0F9C"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r>
      <w:tr w:rsidR="001A489D" w:rsidRPr="000826E9" w14:paraId="1AB3B409" w14:textId="77777777" w:rsidTr="000826E9">
        <w:tc>
          <w:tcPr>
            <w:tcW w:w="2254" w:type="dxa"/>
          </w:tcPr>
          <w:p w14:paraId="1BF94D4C"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c>
          <w:tcPr>
            <w:tcW w:w="2254" w:type="dxa"/>
          </w:tcPr>
          <w:p w14:paraId="4617309B"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c>
          <w:tcPr>
            <w:tcW w:w="2254" w:type="dxa"/>
          </w:tcPr>
          <w:p w14:paraId="02B0758A"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Annual report on Trigger point to DCCEEW</w:t>
            </w:r>
          </w:p>
        </w:tc>
        <w:tc>
          <w:tcPr>
            <w:tcW w:w="2254" w:type="dxa"/>
            <w:vMerge/>
          </w:tcPr>
          <w:p w14:paraId="4699F0B2"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r>
      <w:tr w:rsidR="001A489D" w:rsidRPr="000826E9" w14:paraId="686D968F" w14:textId="77777777" w:rsidTr="000826E9">
        <w:tc>
          <w:tcPr>
            <w:tcW w:w="2254" w:type="dxa"/>
          </w:tcPr>
          <w:p w14:paraId="7B0E7FCD"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Export</w:t>
            </w:r>
          </w:p>
        </w:tc>
        <w:tc>
          <w:tcPr>
            <w:tcW w:w="2254" w:type="dxa"/>
          </w:tcPr>
          <w:p w14:paraId="7649E710"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DCCEEW Export Permit</w:t>
            </w:r>
          </w:p>
        </w:tc>
        <w:tc>
          <w:tcPr>
            <w:tcW w:w="2254" w:type="dxa"/>
          </w:tcPr>
          <w:p w14:paraId="0C3239F1"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r w:rsidRPr="000826E9">
              <w:rPr>
                <w:rFonts w:ascii="Aptos" w:eastAsia="Aptos" w:hAnsi="Aptos"/>
                <w:kern w:val="2"/>
                <w:sz w:val="22"/>
                <w:szCs w:val="22"/>
                <w:lang w:val="en-AU"/>
              </w:rPr>
              <w:t>DCCEEW Export Permit Acquittal</w:t>
            </w:r>
          </w:p>
        </w:tc>
        <w:tc>
          <w:tcPr>
            <w:tcW w:w="2254" w:type="dxa"/>
            <w:vMerge/>
          </w:tcPr>
          <w:p w14:paraId="7DE58007" w14:textId="77777777" w:rsidR="001A489D" w:rsidRPr="000826E9" w:rsidRDefault="001A489D" w:rsidP="000826E9">
            <w:pPr>
              <w:widowControl/>
              <w:overflowPunct/>
              <w:autoSpaceDE/>
              <w:autoSpaceDN/>
              <w:adjustRightInd/>
              <w:jc w:val="left"/>
              <w:textAlignment w:val="auto"/>
              <w:rPr>
                <w:rFonts w:ascii="Aptos" w:eastAsia="Aptos" w:hAnsi="Aptos"/>
                <w:kern w:val="2"/>
                <w:sz w:val="22"/>
                <w:szCs w:val="22"/>
                <w:lang w:val="en-AU"/>
              </w:rPr>
            </w:pPr>
          </w:p>
        </w:tc>
      </w:tr>
    </w:tbl>
    <w:p w14:paraId="4F35DC44" w14:textId="77777777" w:rsidR="001A489D" w:rsidRDefault="001A489D">
      <w:pPr>
        <w:widowControl/>
        <w:spacing w:after="120"/>
        <w:rPr>
          <w:b/>
          <w:lang w:val="en-GB"/>
        </w:rPr>
      </w:pPr>
    </w:p>
    <w:p w14:paraId="60500141" w14:textId="36642F64" w:rsidR="001D2768" w:rsidRDefault="001D2768">
      <w:pPr>
        <w:widowControl/>
        <w:spacing w:after="120"/>
        <w:rPr>
          <w:sz w:val="24"/>
          <w:szCs w:val="24"/>
          <w:lang w:val="en-GB"/>
        </w:rPr>
      </w:pPr>
      <w:r>
        <w:rPr>
          <w:b/>
          <w:lang w:val="en-GB"/>
        </w:rPr>
        <w:t xml:space="preserve">Table </w:t>
      </w:r>
      <w:r w:rsidR="005E270E">
        <w:rPr>
          <w:b/>
          <w:lang w:val="en-GB"/>
        </w:rPr>
        <w:t>2</w:t>
      </w:r>
      <w:r>
        <w:rPr>
          <w:b/>
          <w:lang w:val="en-GB"/>
        </w:rPr>
        <w:t>:  Supply chain con</w:t>
      </w:r>
      <w:r w:rsidR="008F19C4">
        <w:rPr>
          <w:b/>
          <w:lang w:val="en-GB"/>
        </w:rPr>
        <w:t xml:space="preserve">trols for the export of </w:t>
      </w:r>
      <w:r w:rsidR="00B9507C">
        <w:rPr>
          <w:b/>
          <w:lang w:val="en-GB"/>
        </w:rPr>
        <w:t>wallaby</w:t>
      </w:r>
      <w:r>
        <w:rPr>
          <w:b/>
          <w:lang w:val="en-GB"/>
        </w:rPr>
        <w:t xml:space="preserve"> from Tasmania</w:t>
      </w:r>
    </w:p>
    <w:p w14:paraId="784D11AC" w14:textId="77777777" w:rsidR="001D2768" w:rsidRDefault="001D2768">
      <w:pPr>
        <w:widowControl/>
        <w:rPr>
          <w:b/>
          <w:sz w:val="24"/>
          <w:szCs w:val="24"/>
          <w:lang w:val="en-GB"/>
        </w:rPr>
      </w:pPr>
      <w:r>
        <w:rPr>
          <w:i/>
          <w:sz w:val="24"/>
          <w:szCs w:val="24"/>
          <w:lang w:val="en-GB"/>
        </w:rPr>
        <w:t>5.2.2.1</w:t>
      </w:r>
      <w:r>
        <w:rPr>
          <w:b/>
          <w:sz w:val="24"/>
          <w:szCs w:val="24"/>
          <w:lang w:val="en-GB"/>
        </w:rPr>
        <w:t>:</w:t>
      </w:r>
      <w:r w:rsidR="004E0E09">
        <w:rPr>
          <w:i/>
          <w:sz w:val="24"/>
          <w:szCs w:val="24"/>
          <w:lang w:val="en-GB"/>
        </w:rPr>
        <w:t xml:space="preserve"> Verification of source of product</w:t>
      </w:r>
      <w:r>
        <w:rPr>
          <w:b/>
          <w:sz w:val="24"/>
          <w:szCs w:val="24"/>
          <w:lang w:val="en-GB"/>
        </w:rPr>
        <w:t>.</w:t>
      </w:r>
    </w:p>
    <w:p w14:paraId="3FABE560" w14:textId="16D8670F" w:rsidR="001D2768" w:rsidRDefault="00DF5373">
      <w:pPr>
        <w:pStyle w:val="BodyText3"/>
        <w:widowControl/>
        <w:spacing w:after="120"/>
        <w:rPr>
          <w:szCs w:val="24"/>
          <w:lang w:val="en-GB"/>
        </w:rPr>
      </w:pPr>
      <w:r>
        <w:rPr>
          <w:szCs w:val="24"/>
          <w:lang w:val="en-GB"/>
        </w:rPr>
        <w:t>Holders of Commercial Purpose Licences</w:t>
      </w:r>
      <w:r w:rsidR="001D2768">
        <w:rPr>
          <w:szCs w:val="24"/>
          <w:lang w:val="en-GB"/>
        </w:rPr>
        <w:t xml:space="preserve"> are required by </w:t>
      </w:r>
      <w:r w:rsidR="006E749A">
        <w:rPr>
          <w:szCs w:val="24"/>
          <w:lang w:val="en-GB"/>
        </w:rPr>
        <w:t xml:space="preserve">GST </w:t>
      </w:r>
      <w:r w:rsidR="001D2768">
        <w:rPr>
          <w:szCs w:val="24"/>
          <w:lang w:val="en-GB"/>
        </w:rPr>
        <w:t xml:space="preserve">to report </w:t>
      </w:r>
      <w:r>
        <w:rPr>
          <w:szCs w:val="24"/>
          <w:lang w:val="en-GB"/>
        </w:rPr>
        <w:t>quarterly</w:t>
      </w:r>
      <w:r w:rsidR="004E0E09">
        <w:rPr>
          <w:szCs w:val="24"/>
          <w:lang w:val="en-GB"/>
        </w:rPr>
        <w:t xml:space="preserve"> </w:t>
      </w:r>
      <w:r w:rsidR="001D2768">
        <w:rPr>
          <w:szCs w:val="24"/>
          <w:lang w:val="en-GB"/>
        </w:rPr>
        <w:t>numbers</w:t>
      </w:r>
      <w:r>
        <w:rPr>
          <w:szCs w:val="24"/>
          <w:lang w:val="en-GB"/>
        </w:rPr>
        <w:t xml:space="preserve"> of each species </w:t>
      </w:r>
      <w:r w:rsidR="00C43013">
        <w:rPr>
          <w:szCs w:val="24"/>
          <w:lang w:val="en-GB"/>
        </w:rPr>
        <w:t>taken under</w:t>
      </w:r>
      <w:r w:rsidR="009B672A">
        <w:rPr>
          <w:szCs w:val="24"/>
          <w:lang w:val="en-GB"/>
        </w:rPr>
        <w:t xml:space="preserve"> Property Protection </w:t>
      </w:r>
      <w:r w:rsidR="00984C3C">
        <w:rPr>
          <w:szCs w:val="24"/>
          <w:lang w:val="en-GB"/>
        </w:rPr>
        <w:t>P</w:t>
      </w:r>
      <w:r w:rsidR="009B672A">
        <w:rPr>
          <w:szCs w:val="24"/>
          <w:lang w:val="en-GB"/>
        </w:rPr>
        <w:t>ermit</w:t>
      </w:r>
      <w:r w:rsidR="00984C3C">
        <w:rPr>
          <w:szCs w:val="24"/>
          <w:lang w:val="en-GB"/>
        </w:rPr>
        <w:t>s</w:t>
      </w:r>
      <w:r w:rsidR="00C43013">
        <w:rPr>
          <w:szCs w:val="24"/>
          <w:lang w:val="en-GB"/>
        </w:rPr>
        <w:t xml:space="preserve"> </w:t>
      </w:r>
      <w:r w:rsidR="00984C3C">
        <w:rPr>
          <w:szCs w:val="24"/>
          <w:lang w:val="en-GB"/>
        </w:rPr>
        <w:t>(</w:t>
      </w:r>
      <w:r w:rsidR="00C43013">
        <w:rPr>
          <w:szCs w:val="24"/>
          <w:lang w:val="en-GB"/>
        </w:rPr>
        <w:t>PPP</w:t>
      </w:r>
      <w:r w:rsidR="00984C3C">
        <w:rPr>
          <w:szCs w:val="24"/>
          <w:lang w:val="en-GB"/>
        </w:rPr>
        <w:t>)</w:t>
      </w:r>
      <w:r w:rsidR="00C43013">
        <w:rPr>
          <w:szCs w:val="24"/>
          <w:lang w:val="en-GB"/>
        </w:rPr>
        <w:t xml:space="preserve"> and sold</w:t>
      </w:r>
      <w:r w:rsidR="00BF534A">
        <w:rPr>
          <w:szCs w:val="24"/>
          <w:lang w:val="en-GB"/>
        </w:rPr>
        <w:t xml:space="preserve">. </w:t>
      </w:r>
      <w:r w:rsidR="001D2768">
        <w:rPr>
          <w:szCs w:val="24"/>
          <w:lang w:val="en-GB"/>
        </w:rPr>
        <w:t xml:space="preserve">An example of the reporting form </w:t>
      </w:r>
      <w:r w:rsidR="00984C3C">
        <w:rPr>
          <w:szCs w:val="24"/>
          <w:lang w:val="en-GB"/>
        </w:rPr>
        <w:t>can be found in</w:t>
      </w:r>
      <w:r w:rsidR="001D2768">
        <w:rPr>
          <w:szCs w:val="24"/>
          <w:lang w:val="en-GB"/>
        </w:rPr>
        <w:t xml:space="preserve"> </w:t>
      </w:r>
      <w:r w:rsidR="001D2768" w:rsidRPr="006F32D3">
        <w:rPr>
          <w:szCs w:val="24"/>
          <w:lang w:val="en-GB"/>
        </w:rPr>
        <w:t xml:space="preserve">Appendix </w:t>
      </w:r>
      <w:r w:rsidR="00391DE8">
        <w:rPr>
          <w:szCs w:val="24"/>
          <w:lang w:val="en-GB"/>
        </w:rPr>
        <w:t>2.</w:t>
      </w:r>
      <w:r w:rsidR="001D2768">
        <w:rPr>
          <w:szCs w:val="24"/>
          <w:lang w:val="en-GB"/>
        </w:rPr>
        <w:t xml:space="preserve"> </w:t>
      </w:r>
    </w:p>
    <w:p w14:paraId="408B7150" w14:textId="10AF2EED" w:rsidR="00C43013" w:rsidRDefault="00C43013">
      <w:pPr>
        <w:pStyle w:val="BodyText3"/>
        <w:widowControl/>
        <w:spacing w:after="120"/>
        <w:rPr>
          <w:szCs w:val="24"/>
          <w:lang w:val="en-GB"/>
        </w:rPr>
      </w:pPr>
      <w:r>
        <w:rPr>
          <w:szCs w:val="24"/>
          <w:lang w:val="en-GB"/>
        </w:rPr>
        <w:t xml:space="preserve">Holders of Commercial Wildlife Traders Licences are required by </w:t>
      </w:r>
      <w:r w:rsidR="007236A9" w:rsidRPr="007236A9">
        <w:rPr>
          <w:szCs w:val="24"/>
          <w:lang w:val="en-GB"/>
        </w:rPr>
        <w:t xml:space="preserve">Game Services Tasmania </w:t>
      </w:r>
      <w:r w:rsidR="007236A9">
        <w:rPr>
          <w:szCs w:val="24"/>
          <w:lang w:val="en-GB"/>
        </w:rPr>
        <w:t>(</w:t>
      </w:r>
      <w:r w:rsidR="006E749A">
        <w:rPr>
          <w:szCs w:val="24"/>
          <w:lang w:val="en-GB"/>
        </w:rPr>
        <w:t>GST</w:t>
      </w:r>
      <w:r w:rsidR="007236A9">
        <w:rPr>
          <w:szCs w:val="24"/>
          <w:lang w:val="en-GB"/>
        </w:rPr>
        <w:t>)</w:t>
      </w:r>
      <w:r>
        <w:rPr>
          <w:szCs w:val="24"/>
          <w:lang w:val="en-GB"/>
        </w:rPr>
        <w:t xml:space="preserve"> to report quarterly numbers of each species purchased from Commercial Purposes Licence holders, processed and sold</w:t>
      </w:r>
      <w:r w:rsidR="00BF534A">
        <w:rPr>
          <w:szCs w:val="24"/>
          <w:lang w:val="en-GB"/>
        </w:rPr>
        <w:t xml:space="preserve">. </w:t>
      </w:r>
      <w:r>
        <w:rPr>
          <w:szCs w:val="24"/>
          <w:lang w:val="en-GB"/>
        </w:rPr>
        <w:t xml:space="preserve">An example of the reporting form is at Appendix </w:t>
      </w:r>
      <w:r w:rsidR="00391DE8">
        <w:rPr>
          <w:szCs w:val="24"/>
          <w:lang w:val="en-GB"/>
        </w:rPr>
        <w:t>2</w:t>
      </w:r>
    </w:p>
    <w:p w14:paraId="4086D0F2" w14:textId="77777777" w:rsidR="005F25E1" w:rsidRDefault="009F3A40" w:rsidP="006B2D86">
      <w:pPr>
        <w:widowControl/>
        <w:spacing w:after="120"/>
        <w:rPr>
          <w:i/>
          <w:sz w:val="24"/>
          <w:szCs w:val="24"/>
          <w:lang w:val="en-GB"/>
        </w:rPr>
      </w:pPr>
      <w:r>
        <w:rPr>
          <w:sz w:val="24"/>
          <w:szCs w:val="24"/>
          <w:lang w:val="en-GB"/>
        </w:rPr>
        <w:t>FSB</w:t>
      </w:r>
      <w:r w:rsidR="001D2768">
        <w:rPr>
          <w:sz w:val="24"/>
          <w:szCs w:val="24"/>
          <w:lang w:val="en-GB"/>
        </w:rPr>
        <w:t xml:space="preserve"> audits licensed premises to ensure all wallabies supplied are sourced only from accredited harvesters.</w:t>
      </w:r>
    </w:p>
    <w:p w14:paraId="0F0AA750" w14:textId="77777777" w:rsidR="00B65073" w:rsidRDefault="00B65073">
      <w:pPr>
        <w:widowControl/>
        <w:rPr>
          <w:i/>
          <w:sz w:val="24"/>
          <w:szCs w:val="24"/>
          <w:lang w:val="en-GB"/>
        </w:rPr>
      </w:pPr>
    </w:p>
    <w:p w14:paraId="26C161E9" w14:textId="77777777" w:rsidR="001D2768" w:rsidRDefault="001D2768">
      <w:pPr>
        <w:widowControl/>
        <w:rPr>
          <w:b/>
          <w:sz w:val="24"/>
          <w:szCs w:val="24"/>
          <w:lang w:val="en-GB"/>
        </w:rPr>
      </w:pPr>
      <w:r>
        <w:rPr>
          <w:i/>
          <w:sz w:val="24"/>
          <w:szCs w:val="24"/>
          <w:lang w:val="en-GB"/>
        </w:rPr>
        <w:t>5.2.2.2</w:t>
      </w:r>
      <w:r>
        <w:rPr>
          <w:b/>
          <w:sz w:val="24"/>
          <w:szCs w:val="24"/>
          <w:lang w:val="en-GB"/>
        </w:rPr>
        <w:t>:</w:t>
      </w:r>
      <w:r>
        <w:rPr>
          <w:i/>
          <w:sz w:val="24"/>
          <w:szCs w:val="24"/>
          <w:lang w:val="en-GB"/>
        </w:rPr>
        <w:t xml:space="preserve"> Verification of numbers exported</w:t>
      </w:r>
      <w:r>
        <w:rPr>
          <w:b/>
          <w:sz w:val="24"/>
          <w:szCs w:val="24"/>
          <w:lang w:val="en-GB"/>
        </w:rPr>
        <w:t>.</w:t>
      </w:r>
    </w:p>
    <w:p w14:paraId="63D5E3CF" w14:textId="09AE703C" w:rsidR="001D2768" w:rsidRDefault="001D2768">
      <w:pPr>
        <w:widowControl/>
        <w:spacing w:after="120"/>
        <w:rPr>
          <w:sz w:val="24"/>
          <w:szCs w:val="24"/>
          <w:lang w:val="en-GB"/>
        </w:rPr>
      </w:pPr>
      <w:r>
        <w:rPr>
          <w:sz w:val="24"/>
          <w:szCs w:val="24"/>
          <w:lang w:val="en-GB"/>
        </w:rPr>
        <w:t>All exports are acco</w:t>
      </w:r>
      <w:r w:rsidR="003E3780">
        <w:rPr>
          <w:sz w:val="24"/>
          <w:szCs w:val="24"/>
          <w:lang w:val="en-GB"/>
        </w:rPr>
        <w:t>mpanied by permits issued by D</w:t>
      </w:r>
      <w:r w:rsidR="00D76840">
        <w:rPr>
          <w:sz w:val="24"/>
          <w:szCs w:val="24"/>
          <w:lang w:val="en-GB"/>
        </w:rPr>
        <w:t>CCEEW</w:t>
      </w:r>
      <w:r w:rsidR="00B9507C">
        <w:rPr>
          <w:sz w:val="24"/>
          <w:szCs w:val="24"/>
          <w:lang w:val="en-GB"/>
        </w:rPr>
        <w:t xml:space="preserve"> detailing the product</w:t>
      </w:r>
      <w:r>
        <w:rPr>
          <w:sz w:val="24"/>
          <w:szCs w:val="24"/>
          <w:lang w:val="en-GB"/>
        </w:rPr>
        <w:t xml:space="preserve"> in each con</w:t>
      </w:r>
      <w:r w:rsidR="00B9507C">
        <w:rPr>
          <w:sz w:val="24"/>
          <w:szCs w:val="24"/>
          <w:lang w:val="en-GB"/>
        </w:rPr>
        <w:t>signment. Total exports</w:t>
      </w:r>
      <w:r>
        <w:rPr>
          <w:sz w:val="24"/>
          <w:szCs w:val="24"/>
          <w:lang w:val="en-GB"/>
        </w:rPr>
        <w:t xml:space="preserve"> can be cross checked against numbers reported to </w:t>
      </w:r>
      <w:r w:rsidR="00A8009A" w:rsidRPr="00A8009A">
        <w:rPr>
          <w:sz w:val="24"/>
          <w:szCs w:val="24"/>
          <w:lang w:val="en-GB"/>
        </w:rPr>
        <w:t xml:space="preserve">Game Services Tasmania </w:t>
      </w:r>
      <w:r w:rsidR="00740B69">
        <w:rPr>
          <w:sz w:val="24"/>
          <w:szCs w:val="24"/>
          <w:lang w:val="en-GB"/>
        </w:rPr>
        <w:t>(</w:t>
      </w:r>
      <w:r w:rsidR="006E749A">
        <w:rPr>
          <w:sz w:val="24"/>
          <w:szCs w:val="24"/>
          <w:lang w:val="en-GB"/>
        </w:rPr>
        <w:t>GST</w:t>
      </w:r>
      <w:r w:rsidR="00740B69">
        <w:rPr>
          <w:sz w:val="24"/>
          <w:szCs w:val="24"/>
          <w:lang w:val="en-GB"/>
        </w:rPr>
        <w:t>)</w:t>
      </w:r>
      <w:r w:rsidR="006E749A">
        <w:rPr>
          <w:sz w:val="24"/>
          <w:szCs w:val="24"/>
          <w:lang w:val="en-GB"/>
        </w:rPr>
        <w:t xml:space="preserve"> </w:t>
      </w:r>
      <w:r>
        <w:rPr>
          <w:sz w:val="24"/>
          <w:szCs w:val="24"/>
          <w:lang w:val="en-GB"/>
        </w:rPr>
        <w:t>as purchased by LGM and retained for trading.</w:t>
      </w:r>
    </w:p>
    <w:p w14:paraId="1F9176EF" w14:textId="5D767A11" w:rsidR="001D2768" w:rsidRPr="00AE1F6D" w:rsidRDefault="001D2768">
      <w:pPr>
        <w:pStyle w:val="Heading2"/>
        <w:widowControl/>
        <w:spacing w:after="0"/>
        <w:rPr>
          <w:rFonts w:ascii="Times New Roman" w:hAnsi="Times New Roman"/>
          <w:sz w:val="28"/>
          <w:szCs w:val="28"/>
          <w:lang w:val="en-GB"/>
        </w:rPr>
      </w:pPr>
      <w:r w:rsidRPr="00AE1F6D">
        <w:rPr>
          <w:rFonts w:ascii="Times New Roman" w:hAnsi="Times New Roman"/>
          <w:sz w:val="24"/>
          <w:szCs w:val="24"/>
          <w:lang w:val="en-GB"/>
        </w:rPr>
        <w:t>6</w:t>
      </w:r>
      <w:r w:rsidR="006964FF">
        <w:rPr>
          <w:rFonts w:ascii="Times New Roman" w:hAnsi="Times New Roman"/>
          <w:sz w:val="24"/>
          <w:szCs w:val="24"/>
          <w:lang w:val="en-GB"/>
        </w:rPr>
        <w:t>.</w:t>
      </w:r>
      <w:r w:rsidRPr="00AE1F6D">
        <w:rPr>
          <w:rFonts w:ascii="Times New Roman" w:hAnsi="Times New Roman"/>
          <w:sz w:val="24"/>
          <w:szCs w:val="24"/>
          <w:lang w:val="en-GB"/>
        </w:rPr>
        <w:t xml:space="preserve"> </w:t>
      </w:r>
      <w:r w:rsidR="009D397C">
        <w:rPr>
          <w:rFonts w:ascii="Times New Roman" w:hAnsi="Times New Roman"/>
          <w:sz w:val="28"/>
          <w:szCs w:val="28"/>
          <w:lang w:val="en-GB"/>
        </w:rPr>
        <w:t>Annual Purchase Limit</w:t>
      </w:r>
    </w:p>
    <w:p w14:paraId="2A8C7688" w14:textId="27275680" w:rsidR="0034458F" w:rsidRPr="0034458F" w:rsidRDefault="001D2768" w:rsidP="00271281">
      <w:pPr>
        <w:widowControl/>
        <w:spacing w:before="240" w:after="240"/>
        <w:rPr>
          <w:b/>
          <w:sz w:val="24"/>
          <w:szCs w:val="24"/>
          <w:lang w:val="en-GB"/>
        </w:rPr>
      </w:pPr>
      <w:r w:rsidRPr="00AE1F6D">
        <w:rPr>
          <w:sz w:val="24"/>
          <w:szCs w:val="24"/>
          <w:lang w:val="en-GB"/>
        </w:rPr>
        <w:t xml:space="preserve">LGM </w:t>
      </w:r>
      <w:r w:rsidR="008B217B" w:rsidRPr="00AE1F6D">
        <w:rPr>
          <w:sz w:val="24"/>
          <w:szCs w:val="24"/>
          <w:lang w:val="en-GB"/>
        </w:rPr>
        <w:t xml:space="preserve">monitor </w:t>
      </w:r>
      <w:r w:rsidR="003D4A6A" w:rsidRPr="00AE1F6D">
        <w:rPr>
          <w:sz w:val="24"/>
          <w:szCs w:val="24"/>
          <w:lang w:val="en-GB"/>
        </w:rPr>
        <w:t xml:space="preserve">the total number of </w:t>
      </w:r>
      <w:r w:rsidR="00044534" w:rsidRPr="00AE1F6D">
        <w:rPr>
          <w:sz w:val="24"/>
          <w:szCs w:val="24"/>
          <w:lang w:val="en-GB"/>
        </w:rPr>
        <w:t>wallabies</w:t>
      </w:r>
      <w:r w:rsidRPr="00AE1F6D">
        <w:rPr>
          <w:sz w:val="24"/>
          <w:szCs w:val="24"/>
          <w:lang w:val="en-GB"/>
        </w:rPr>
        <w:t xml:space="preserve"> </w:t>
      </w:r>
      <w:r w:rsidR="008B217B" w:rsidRPr="00AE1F6D">
        <w:rPr>
          <w:sz w:val="24"/>
          <w:szCs w:val="24"/>
          <w:lang w:val="en-GB"/>
        </w:rPr>
        <w:t xml:space="preserve">they </w:t>
      </w:r>
      <w:r w:rsidR="00B9507C" w:rsidRPr="00AE1F6D">
        <w:rPr>
          <w:sz w:val="24"/>
          <w:szCs w:val="24"/>
          <w:lang w:val="en-GB"/>
        </w:rPr>
        <w:t>process</w:t>
      </w:r>
      <w:r w:rsidR="00AF1DF5" w:rsidRPr="00AE1F6D">
        <w:rPr>
          <w:sz w:val="24"/>
          <w:szCs w:val="24"/>
          <w:lang w:val="en-GB"/>
        </w:rPr>
        <w:t xml:space="preserve"> for export</w:t>
      </w:r>
      <w:r w:rsidR="00891BFA" w:rsidRPr="00AE1F6D">
        <w:rPr>
          <w:sz w:val="24"/>
          <w:szCs w:val="24"/>
          <w:lang w:val="en-GB"/>
        </w:rPr>
        <w:t xml:space="preserve">, reporting quarterly to </w:t>
      </w:r>
      <w:r w:rsidR="00061955">
        <w:rPr>
          <w:sz w:val="24"/>
          <w:szCs w:val="24"/>
          <w:lang w:val="en-GB"/>
        </w:rPr>
        <w:t>Game Services Tasmania</w:t>
      </w:r>
      <w:r w:rsidR="009D397C">
        <w:rPr>
          <w:sz w:val="24"/>
          <w:szCs w:val="24"/>
          <w:lang w:val="en-GB"/>
        </w:rPr>
        <w:t xml:space="preserve"> (GST)</w:t>
      </w:r>
      <w:r w:rsidR="00BF534A" w:rsidRPr="00AE1F6D">
        <w:rPr>
          <w:sz w:val="24"/>
          <w:szCs w:val="24"/>
          <w:lang w:val="en-GB"/>
        </w:rPr>
        <w:t xml:space="preserve">. </w:t>
      </w:r>
      <w:r w:rsidRPr="00AE1F6D">
        <w:rPr>
          <w:sz w:val="24"/>
          <w:szCs w:val="24"/>
          <w:lang w:val="en-GB"/>
        </w:rPr>
        <w:t xml:space="preserve">If this number </w:t>
      </w:r>
      <w:r w:rsidR="00E8769B" w:rsidRPr="00AE1F6D">
        <w:rPr>
          <w:sz w:val="24"/>
          <w:szCs w:val="24"/>
          <w:lang w:val="en-GB"/>
        </w:rPr>
        <w:t xml:space="preserve">reaches </w:t>
      </w:r>
      <w:r w:rsidR="003D4A6A" w:rsidRPr="00AE1F6D">
        <w:rPr>
          <w:sz w:val="24"/>
          <w:szCs w:val="24"/>
          <w:lang w:val="en-GB"/>
        </w:rPr>
        <w:t>200</w:t>
      </w:r>
      <w:r w:rsidRPr="00AE1F6D">
        <w:rPr>
          <w:sz w:val="24"/>
          <w:szCs w:val="24"/>
          <w:lang w:val="en-GB"/>
        </w:rPr>
        <w:t xml:space="preserve">,000, </w:t>
      </w:r>
      <w:r w:rsidR="00023B4F" w:rsidRPr="00AE1F6D">
        <w:rPr>
          <w:sz w:val="24"/>
          <w:szCs w:val="24"/>
          <w:lang w:val="en-GB"/>
        </w:rPr>
        <w:t xml:space="preserve">LGM will </w:t>
      </w:r>
      <w:r w:rsidR="004E1C31" w:rsidRPr="00AE1F6D">
        <w:rPr>
          <w:sz w:val="24"/>
          <w:szCs w:val="24"/>
          <w:lang w:val="en-GB"/>
        </w:rPr>
        <w:t xml:space="preserve">immediately </w:t>
      </w:r>
      <w:r w:rsidR="00023B4F" w:rsidRPr="00AE1F6D">
        <w:rPr>
          <w:sz w:val="24"/>
          <w:szCs w:val="24"/>
          <w:lang w:val="en-GB"/>
        </w:rPr>
        <w:t>notify D</w:t>
      </w:r>
      <w:r w:rsidR="006964FF">
        <w:rPr>
          <w:sz w:val="24"/>
          <w:szCs w:val="24"/>
          <w:lang w:val="en-GB"/>
        </w:rPr>
        <w:t>CCEEW</w:t>
      </w:r>
      <w:r w:rsidR="00023B4F" w:rsidRPr="00AE1F6D">
        <w:rPr>
          <w:sz w:val="24"/>
          <w:szCs w:val="24"/>
          <w:lang w:val="en-GB"/>
        </w:rPr>
        <w:t xml:space="preserve"> and </w:t>
      </w:r>
      <w:r w:rsidRPr="00AE1F6D">
        <w:rPr>
          <w:sz w:val="24"/>
          <w:szCs w:val="24"/>
          <w:lang w:val="en-GB"/>
        </w:rPr>
        <w:t xml:space="preserve">no further </w:t>
      </w:r>
      <w:r w:rsidR="00DC42F7" w:rsidRPr="00AE1F6D">
        <w:rPr>
          <w:sz w:val="24"/>
          <w:szCs w:val="24"/>
          <w:lang w:val="en-GB"/>
        </w:rPr>
        <w:t>animals</w:t>
      </w:r>
      <w:r w:rsidRPr="00AE1F6D">
        <w:rPr>
          <w:sz w:val="24"/>
          <w:szCs w:val="24"/>
          <w:lang w:val="en-GB"/>
        </w:rPr>
        <w:t xml:space="preserve"> will be </w:t>
      </w:r>
      <w:r w:rsidR="00DC42F7" w:rsidRPr="00AE1F6D">
        <w:rPr>
          <w:sz w:val="24"/>
          <w:szCs w:val="24"/>
          <w:lang w:val="en-GB"/>
        </w:rPr>
        <w:t>harvested for export</w:t>
      </w:r>
      <w:r w:rsidR="00074BF1" w:rsidRPr="00AE1F6D">
        <w:rPr>
          <w:sz w:val="24"/>
          <w:szCs w:val="24"/>
          <w:lang w:val="en-GB"/>
        </w:rPr>
        <w:t>, or exported,</w:t>
      </w:r>
      <w:r w:rsidRPr="00AE1F6D">
        <w:rPr>
          <w:sz w:val="24"/>
          <w:szCs w:val="24"/>
          <w:lang w:val="en-GB"/>
        </w:rPr>
        <w:t xml:space="preserve"> for </w:t>
      </w:r>
      <w:r w:rsidR="00DC42F7" w:rsidRPr="00AE1F6D">
        <w:rPr>
          <w:sz w:val="24"/>
          <w:szCs w:val="24"/>
          <w:lang w:val="en-GB"/>
        </w:rPr>
        <w:t xml:space="preserve">the balance of that </w:t>
      </w:r>
      <w:r w:rsidR="00364E1E">
        <w:rPr>
          <w:sz w:val="24"/>
          <w:szCs w:val="24"/>
          <w:lang w:val="en-GB"/>
        </w:rPr>
        <w:t xml:space="preserve">reporting </w:t>
      </w:r>
      <w:r w:rsidRPr="00AE1F6D">
        <w:rPr>
          <w:sz w:val="24"/>
          <w:szCs w:val="24"/>
          <w:lang w:val="en-GB"/>
        </w:rPr>
        <w:t>year</w:t>
      </w:r>
      <w:r w:rsidR="00BF534A" w:rsidRPr="00AE1F6D">
        <w:rPr>
          <w:sz w:val="24"/>
          <w:szCs w:val="24"/>
          <w:lang w:val="en-GB"/>
        </w:rPr>
        <w:t xml:space="preserve">. </w:t>
      </w:r>
      <w:r w:rsidR="00B9507C" w:rsidRPr="00AE1F6D">
        <w:rPr>
          <w:sz w:val="24"/>
          <w:szCs w:val="24"/>
          <w:lang w:val="en-GB"/>
        </w:rPr>
        <w:t xml:space="preserve">This can be cross checked by </w:t>
      </w:r>
      <w:r w:rsidR="00061955">
        <w:rPr>
          <w:sz w:val="24"/>
          <w:szCs w:val="24"/>
          <w:lang w:val="en-GB"/>
        </w:rPr>
        <w:t>Game Services Tasmania</w:t>
      </w:r>
      <w:r w:rsidR="00B9507C" w:rsidRPr="00AE1F6D">
        <w:rPr>
          <w:sz w:val="24"/>
          <w:szCs w:val="24"/>
          <w:lang w:val="en-GB"/>
        </w:rPr>
        <w:t xml:space="preserve"> </w:t>
      </w:r>
      <w:r w:rsidR="00364E1E">
        <w:rPr>
          <w:sz w:val="24"/>
          <w:szCs w:val="24"/>
          <w:lang w:val="en-GB"/>
        </w:rPr>
        <w:t xml:space="preserve">(GST) </w:t>
      </w:r>
      <w:r w:rsidR="00B9507C" w:rsidRPr="00AE1F6D">
        <w:rPr>
          <w:sz w:val="24"/>
          <w:szCs w:val="24"/>
          <w:lang w:val="en-GB"/>
        </w:rPr>
        <w:t>from the</w:t>
      </w:r>
      <w:r w:rsidR="005F25E1" w:rsidRPr="00AE1F6D">
        <w:rPr>
          <w:sz w:val="24"/>
          <w:szCs w:val="24"/>
          <w:lang w:val="en-GB"/>
        </w:rPr>
        <w:t xml:space="preserve"> quarterly</w:t>
      </w:r>
      <w:r w:rsidR="00B9507C" w:rsidRPr="00AE1F6D">
        <w:rPr>
          <w:sz w:val="24"/>
          <w:szCs w:val="24"/>
          <w:lang w:val="en-GB"/>
        </w:rPr>
        <w:t xml:space="preserve"> reports of wallaby processed submitted by LGM.</w:t>
      </w:r>
    </w:p>
    <w:p w14:paraId="69AC12B9" w14:textId="77777777" w:rsidR="001D2768" w:rsidRDefault="001D2768">
      <w:pPr>
        <w:widowControl/>
        <w:numPr>
          <w:ilvl w:val="0"/>
          <w:numId w:val="6"/>
        </w:numPr>
        <w:spacing w:before="240" w:after="240"/>
        <w:ind w:left="0" w:firstLine="0"/>
        <w:rPr>
          <w:b/>
          <w:sz w:val="28"/>
          <w:szCs w:val="28"/>
          <w:lang w:val="en-GB"/>
        </w:rPr>
      </w:pPr>
      <w:r>
        <w:rPr>
          <w:b/>
          <w:sz w:val="28"/>
          <w:szCs w:val="28"/>
          <w:lang w:val="en-GB"/>
        </w:rPr>
        <w:lastRenderedPageBreak/>
        <w:t>Compliance</w:t>
      </w:r>
    </w:p>
    <w:p w14:paraId="095742D0" w14:textId="77777777" w:rsidR="001D2768" w:rsidRDefault="001D2768">
      <w:pPr>
        <w:pStyle w:val="Text"/>
        <w:widowControl/>
        <w:spacing w:before="0"/>
        <w:rPr>
          <w:rFonts w:ascii="Times New Roman" w:hAnsi="Times New Roman"/>
          <w:szCs w:val="24"/>
          <w:lang w:val="en-GB"/>
        </w:rPr>
      </w:pPr>
      <w:r>
        <w:rPr>
          <w:rFonts w:ascii="Times New Roman" w:hAnsi="Times New Roman"/>
          <w:szCs w:val="24"/>
          <w:lang w:val="en-GB"/>
        </w:rPr>
        <w:t xml:space="preserve">Wallaby management in Tasmania is administered by </w:t>
      </w:r>
      <w:r w:rsidR="00EF6254">
        <w:rPr>
          <w:rFonts w:ascii="Times New Roman" w:hAnsi="Times New Roman"/>
          <w:szCs w:val="24"/>
          <w:lang w:val="en-GB"/>
        </w:rPr>
        <w:t>NRE</w:t>
      </w:r>
      <w:r>
        <w:rPr>
          <w:rFonts w:ascii="Times New Roman" w:hAnsi="Times New Roman"/>
          <w:szCs w:val="24"/>
          <w:lang w:val="en-GB"/>
        </w:rPr>
        <w:t xml:space="preserve">, under the </w:t>
      </w:r>
      <w:r>
        <w:rPr>
          <w:rFonts w:ascii="Times New Roman" w:hAnsi="Times New Roman"/>
          <w:i/>
          <w:szCs w:val="24"/>
          <w:lang w:val="en-GB"/>
        </w:rPr>
        <w:t>Nature Conservation Act 2002</w:t>
      </w:r>
      <w:r>
        <w:rPr>
          <w:rFonts w:ascii="Times New Roman" w:hAnsi="Times New Roman"/>
          <w:szCs w:val="24"/>
          <w:lang w:val="en-GB"/>
        </w:rPr>
        <w:t xml:space="preserve"> and the </w:t>
      </w:r>
      <w:r w:rsidR="00AF1DF5">
        <w:rPr>
          <w:rFonts w:ascii="Times New Roman" w:hAnsi="Times New Roman"/>
          <w:i/>
          <w:szCs w:val="24"/>
          <w:lang w:val="en-GB"/>
        </w:rPr>
        <w:t>Nature Conservation (Wildlife) Regulations 2021</w:t>
      </w:r>
      <w:r>
        <w:rPr>
          <w:rFonts w:ascii="Times New Roman" w:hAnsi="Times New Roman"/>
          <w:szCs w:val="24"/>
          <w:lang w:val="en-GB"/>
        </w:rPr>
        <w:t xml:space="preserve">. Under Schedule </w:t>
      </w:r>
      <w:r w:rsidR="00AF1DF5">
        <w:rPr>
          <w:rFonts w:ascii="Times New Roman" w:hAnsi="Times New Roman"/>
          <w:szCs w:val="24"/>
          <w:lang w:val="en-GB"/>
        </w:rPr>
        <w:t xml:space="preserve">8 </w:t>
      </w:r>
      <w:r>
        <w:rPr>
          <w:rFonts w:ascii="Times New Roman" w:hAnsi="Times New Roman"/>
          <w:szCs w:val="24"/>
          <w:lang w:val="en-GB"/>
        </w:rPr>
        <w:t xml:space="preserve">of the </w:t>
      </w:r>
      <w:r w:rsidR="00AF1DF5">
        <w:rPr>
          <w:rFonts w:ascii="Times New Roman" w:hAnsi="Times New Roman"/>
          <w:i/>
          <w:szCs w:val="24"/>
          <w:lang w:val="en-GB"/>
        </w:rPr>
        <w:t>Nature Conservation (Wildlife) Regulations 2021</w:t>
      </w:r>
      <w:r w:rsidR="003E3780">
        <w:rPr>
          <w:rFonts w:ascii="Times New Roman" w:hAnsi="Times New Roman"/>
          <w:szCs w:val="24"/>
          <w:lang w:val="en-GB"/>
        </w:rPr>
        <w:t xml:space="preserve">, </w:t>
      </w:r>
      <w:r>
        <w:rPr>
          <w:rFonts w:ascii="Times New Roman" w:hAnsi="Times New Roman"/>
          <w:szCs w:val="24"/>
          <w:lang w:val="en-GB"/>
        </w:rPr>
        <w:t xml:space="preserve">wallabies are classified as Partly Protected Wildlife throughout Tasmania. As such, they may be taken under the authority of a </w:t>
      </w:r>
      <w:r w:rsidR="009526A3">
        <w:rPr>
          <w:rFonts w:ascii="Times New Roman" w:hAnsi="Times New Roman"/>
          <w:szCs w:val="24"/>
          <w:lang w:val="en-GB"/>
        </w:rPr>
        <w:t xml:space="preserve">Property Protection Permit </w:t>
      </w:r>
      <w:r>
        <w:rPr>
          <w:rFonts w:ascii="Times New Roman" w:hAnsi="Times New Roman"/>
          <w:szCs w:val="24"/>
          <w:lang w:val="en-GB"/>
        </w:rPr>
        <w:t>issued under Regulation </w:t>
      </w:r>
      <w:r w:rsidR="009526A3">
        <w:rPr>
          <w:rFonts w:ascii="Times New Roman" w:hAnsi="Times New Roman"/>
          <w:szCs w:val="24"/>
          <w:lang w:val="en-GB"/>
        </w:rPr>
        <w:t xml:space="preserve">34 </w:t>
      </w:r>
      <w:r>
        <w:rPr>
          <w:rFonts w:ascii="Times New Roman" w:hAnsi="Times New Roman"/>
          <w:szCs w:val="24"/>
          <w:lang w:val="en-GB"/>
        </w:rPr>
        <w:t xml:space="preserve">of the </w:t>
      </w:r>
      <w:r w:rsidR="009526A3">
        <w:rPr>
          <w:rFonts w:ascii="Times New Roman" w:hAnsi="Times New Roman"/>
          <w:i/>
          <w:szCs w:val="24"/>
          <w:lang w:val="en-GB"/>
        </w:rPr>
        <w:t>Nature Conservation (Wildlife) Regulations 2021</w:t>
      </w:r>
      <w:r>
        <w:rPr>
          <w:rFonts w:ascii="Times New Roman" w:hAnsi="Times New Roman"/>
          <w:szCs w:val="24"/>
          <w:lang w:val="en-GB"/>
        </w:rPr>
        <w:t xml:space="preserve"> on properties where they are causing crop damage. Permits may specify conditions with which the holder of the permit must comply.</w:t>
      </w:r>
    </w:p>
    <w:p w14:paraId="73AAE5D9" w14:textId="3532FF72" w:rsidR="001D2768" w:rsidRDefault="00301BDD">
      <w:pPr>
        <w:pStyle w:val="Text"/>
        <w:widowControl/>
        <w:spacing w:before="0"/>
        <w:rPr>
          <w:rFonts w:ascii="Times New Roman" w:hAnsi="Times New Roman"/>
          <w:szCs w:val="24"/>
          <w:lang w:val="en-GB"/>
        </w:rPr>
      </w:pPr>
      <w:r>
        <w:rPr>
          <w:rFonts w:ascii="Times New Roman" w:hAnsi="Times New Roman"/>
          <w:szCs w:val="24"/>
          <w:lang w:val="en-GB"/>
        </w:rPr>
        <w:t>For</w:t>
      </w:r>
      <w:r w:rsidR="001D2768">
        <w:rPr>
          <w:rFonts w:ascii="Times New Roman" w:hAnsi="Times New Roman"/>
          <w:szCs w:val="24"/>
          <w:lang w:val="en-GB"/>
        </w:rPr>
        <w:t xml:space="preserve"> commercial </w:t>
      </w:r>
      <w:r w:rsidR="009526A3">
        <w:rPr>
          <w:rFonts w:ascii="Times New Roman" w:hAnsi="Times New Roman"/>
          <w:szCs w:val="24"/>
          <w:lang w:val="en-GB"/>
        </w:rPr>
        <w:t>use</w:t>
      </w:r>
      <w:r w:rsidR="001D2768">
        <w:rPr>
          <w:rFonts w:ascii="Times New Roman" w:hAnsi="Times New Roman"/>
          <w:szCs w:val="24"/>
          <w:lang w:val="en-GB"/>
        </w:rPr>
        <w:t xml:space="preserve"> wallabies </w:t>
      </w:r>
      <w:r w:rsidR="009526A3">
        <w:rPr>
          <w:rFonts w:ascii="Times New Roman" w:hAnsi="Times New Roman"/>
          <w:szCs w:val="24"/>
          <w:lang w:val="en-GB"/>
        </w:rPr>
        <w:t>taken for crop protection purposes</w:t>
      </w:r>
      <w:r w:rsidR="001D2768">
        <w:rPr>
          <w:rFonts w:ascii="Times New Roman" w:hAnsi="Times New Roman"/>
          <w:szCs w:val="24"/>
          <w:lang w:val="en-GB"/>
        </w:rPr>
        <w:t xml:space="preserve">, the commercial shooter must hold a Commercial </w:t>
      </w:r>
      <w:r w:rsidR="009526A3">
        <w:rPr>
          <w:rFonts w:ascii="Times New Roman" w:hAnsi="Times New Roman"/>
          <w:szCs w:val="24"/>
          <w:lang w:val="en-GB"/>
        </w:rPr>
        <w:t>Purposes</w:t>
      </w:r>
      <w:r w:rsidR="001D2768">
        <w:rPr>
          <w:rFonts w:ascii="Times New Roman" w:hAnsi="Times New Roman"/>
          <w:szCs w:val="24"/>
          <w:lang w:val="en-GB"/>
        </w:rPr>
        <w:t xml:space="preserve"> Licence, which allows the </w:t>
      </w:r>
      <w:r w:rsidR="009526A3">
        <w:rPr>
          <w:rFonts w:ascii="Times New Roman" w:hAnsi="Times New Roman"/>
          <w:szCs w:val="24"/>
          <w:lang w:val="en-GB"/>
        </w:rPr>
        <w:t xml:space="preserve">sale </w:t>
      </w:r>
      <w:r w:rsidR="001D2768">
        <w:rPr>
          <w:rFonts w:ascii="Times New Roman" w:hAnsi="Times New Roman"/>
          <w:szCs w:val="24"/>
          <w:lang w:val="en-GB"/>
        </w:rPr>
        <w:t xml:space="preserve">of wallabies </w:t>
      </w:r>
      <w:r w:rsidR="009526A3">
        <w:rPr>
          <w:rFonts w:ascii="Times New Roman" w:hAnsi="Times New Roman"/>
          <w:szCs w:val="24"/>
          <w:lang w:val="en-GB"/>
        </w:rPr>
        <w:t xml:space="preserve">taken under the authority of a Property Protection Permit </w:t>
      </w:r>
      <w:r w:rsidR="001D2768">
        <w:rPr>
          <w:rFonts w:ascii="Times New Roman" w:hAnsi="Times New Roman"/>
          <w:szCs w:val="24"/>
          <w:lang w:val="en-GB"/>
        </w:rPr>
        <w:t>on lands used for primary production.</w:t>
      </w:r>
    </w:p>
    <w:p w14:paraId="7E40B030" w14:textId="77777777" w:rsidR="001D2768" w:rsidRPr="00E8769B" w:rsidRDefault="001D2768">
      <w:pPr>
        <w:widowControl/>
        <w:spacing w:after="120"/>
        <w:rPr>
          <w:sz w:val="24"/>
          <w:szCs w:val="24"/>
          <w:lang w:val="en-GB"/>
        </w:rPr>
      </w:pPr>
      <w:r>
        <w:rPr>
          <w:sz w:val="24"/>
          <w:szCs w:val="24"/>
          <w:lang w:val="en-GB"/>
        </w:rPr>
        <w:t xml:space="preserve">Commercial wallaby hunters are permitted to sell wallaby carcasses only to </w:t>
      </w:r>
      <w:r w:rsidR="009526A3">
        <w:rPr>
          <w:sz w:val="24"/>
          <w:szCs w:val="24"/>
          <w:lang w:val="en-GB"/>
        </w:rPr>
        <w:t>the holder of a Commercial Purposes Licence endorsed to process</w:t>
      </w:r>
      <w:r w:rsidRPr="00E8769B">
        <w:rPr>
          <w:sz w:val="24"/>
          <w:szCs w:val="24"/>
          <w:lang w:val="en-GB"/>
        </w:rPr>
        <w:t>.</w:t>
      </w:r>
    </w:p>
    <w:p w14:paraId="12B4131B" w14:textId="77777777" w:rsidR="003128B8" w:rsidRPr="00E8769B" w:rsidRDefault="001D2768" w:rsidP="003128B8">
      <w:pPr>
        <w:pStyle w:val="Text"/>
        <w:widowControl/>
        <w:spacing w:before="0"/>
        <w:rPr>
          <w:rFonts w:ascii="Times New Roman" w:hAnsi="Times New Roman"/>
          <w:szCs w:val="24"/>
          <w:lang w:val="en-GB"/>
        </w:rPr>
      </w:pPr>
      <w:r w:rsidRPr="00E8769B">
        <w:rPr>
          <w:rFonts w:ascii="Times New Roman" w:hAnsi="Times New Roman"/>
          <w:szCs w:val="24"/>
          <w:lang w:val="en-GB"/>
        </w:rPr>
        <w:t>Permits are req</w:t>
      </w:r>
      <w:r w:rsidR="003E3780">
        <w:rPr>
          <w:rFonts w:ascii="Times New Roman" w:hAnsi="Times New Roman"/>
          <w:szCs w:val="24"/>
          <w:lang w:val="en-GB"/>
        </w:rPr>
        <w:t xml:space="preserve">uired from both </w:t>
      </w:r>
      <w:r w:rsidR="00081293">
        <w:rPr>
          <w:rFonts w:ascii="Times New Roman" w:hAnsi="Times New Roman"/>
          <w:szCs w:val="24"/>
          <w:lang w:val="en-GB"/>
        </w:rPr>
        <w:t>NR</w:t>
      </w:r>
      <w:r w:rsidR="003E3780">
        <w:rPr>
          <w:rFonts w:ascii="Times New Roman" w:hAnsi="Times New Roman"/>
          <w:szCs w:val="24"/>
          <w:lang w:val="en-GB"/>
        </w:rPr>
        <w:t>E and D</w:t>
      </w:r>
      <w:r w:rsidR="00410DFA">
        <w:rPr>
          <w:rFonts w:ascii="Times New Roman" w:hAnsi="Times New Roman"/>
          <w:szCs w:val="24"/>
          <w:lang w:val="en-GB"/>
        </w:rPr>
        <w:t>CCEEW</w:t>
      </w:r>
      <w:r w:rsidRPr="00E8769B">
        <w:rPr>
          <w:rFonts w:ascii="Times New Roman" w:hAnsi="Times New Roman"/>
          <w:szCs w:val="24"/>
          <w:lang w:val="en-GB"/>
        </w:rPr>
        <w:t xml:space="preserve"> to expo</w:t>
      </w:r>
      <w:r w:rsidR="003E3780">
        <w:rPr>
          <w:rFonts w:ascii="Times New Roman" w:hAnsi="Times New Roman"/>
          <w:szCs w:val="24"/>
          <w:lang w:val="en-GB"/>
        </w:rPr>
        <w:t>rt any wallaby product</w:t>
      </w:r>
      <w:r w:rsidRPr="00E8769B">
        <w:rPr>
          <w:rFonts w:ascii="Times New Roman" w:hAnsi="Times New Roman"/>
          <w:szCs w:val="24"/>
          <w:lang w:val="en-GB"/>
        </w:rPr>
        <w:t xml:space="preserve">. These permits are issued only when the </w:t>
      </w:r>
      <w:r w:rsidR="009526A3">
        <w:rPr>
          <w:rFonts w:ascii="Times New Roman" w:hAnsi="Times New Roman"/>
          <w:szCs w:val="24"/>
          <w:lang w:val="en-GB"/>
        </w:rPr>
        <w:t>NRE</w:t>
      </w:r>
      <w:r w:rsidR="009526A3" w:rsidRPr="00E8769B">
        <w:rPr>
          <w:rFonts w:ascii="Times New Roman" w:hAnsi="Times New Roman"/>
          <w:szCs w:val="24"/>
          <w:lang w:val="en-GB"/>
        </w:rPr>
        <w:t xml:space="preserve"> </w:t>
      </w:r>
      <w:r w:rsidRPr="00E8769B">
        <w:rPr>
          <w:rFonts w:ascii="Times New Roman" w:hAnsi="Times New Roman"/>
          <w:szCs w:val="24"/>
          <w:lang w:val="en-GB"/>
        </w:rPr>
        <w:t xml:space="preserve">is </w:t>
      </w:r>
      <w:r w:rsidR="003E3780">
        <w:rPr>
          <w:rFonts w:ascii="Times New Roman" w:hAnsi="Times New Roman"/>
          <w:szCs w:val="24"/>
          <w:lang w:val="en-GB"/>
        </w:rPr>
        <w:t>satisfied that the wallaby products</w:t>
      </w:r>
      <w:r w:rsidRPr="00E8769B">
        <w:rPr>
          <w:rFonts w:ascii="Times New Roman" w:hAnsi="Times New Roman"/>
          <w:szCs w:val="24"/>
          <w:lang w:val="en-GB"/>
        </w:rPr>
        <w:t xml:space="preserve"> were legally taken, processed and royalties paid.</w:t>
      </w:r>
    </w:p>
    <w:p w14:paraId="214DBB6B" w14:textId="77777777" w:rsidR="001D2768" w:rsidRDefault="009526A3">
      <w:pPr>
        <w:widowControl/>
        <w:spacing w:before="120" w:after="240"/>
        <w:rPr>
          <w:i/>
          <w:sz w:val="24"/>
          <w:szCs w:val="24"/>
          <w:lang w:val="en-GB"/>
        </w:rPr>
      </w:pPr>
      <w:r>
        <w:rPr>
          <w:sz w:val="24"/>
          <w:szCs w:val="24"/>
          <w:lang w:val="en-GB"/>
        </w:rPr>
        <w:t xml:space="preserve">NRE </w:t>
      </w:r>
      <w:r w:rsidR="001D2768">
        <w:rPr>
          <w:sz w:val="24"/>
          <w:szCs w:val="24"/>
          <w:lang w:val="en-GB"/>
        </w:rPr>
        <w:t xml:space="preserve">has a team of </w:t>
      </w:r>
      <w:r w:rsidR="00EF6254">
        <w:rPr>
          <w:sz w:val="24"/>
          <w:szCs w:val="24"/>
          <w:lang w:val="en-GB"/>
        </w:rPr>
        <w:t xml:space="preserve">four </w:t>
      </w:r>
      <w:r w:rsidR="001D2768">
        <w:rPr>
          <w:sz w:val="24"/>
          <w:szCs w:val="24"/>
          <w:lang w:val="en-GB"/>
        </w:rPr>
        <w:t>full-time compliance officers whose responsibili</w:t>
      </w:r>
      <w:r w:rsidR="00BF534A">
        <w:rPr>
          <w:sz w:val="24"/>
          <w:szCs w:val="24"/>
          <w:lang w:val="en-GB"/>
        </w:rPr>
        <w:t>ties</w:t>
      </w:r>
      <w:r w:rsidR="001D2768">
        <w:rPr>
          <w:sz w:val="24"/>
          <w:szCs w:val="24"/>
          <w:lang w:val="en-GB"/>
        </w:rPr>
        <w:t xml:space="preserve"> </w:t>
      </w:r>
      <w:r w:rsidR="00EF6254">
        <w:rPr>
          <w:sz w:val="24"/>
          <w:szCs w:val="24"/>
          <w:lang w:val="en-GB"/>
        </w:rPr>
        <w:t xml:space="preserve">include </w:t>
      </w:r>
      <w:r w:rsidR="001D2768">
        <w:rPr>
          <w:sz w:val="24"/>
          <w:szCs w:val="24"/>
          <w:lang w:val="en-GB"/>
        </w:rPr>
        <w:t xml:space="preserve">the enforcement of the </w:t>
      </w:r>
      <w:r w:rsidR="001D2768">
        <w:rPr>
          <w:i/>
          <w:sz w:val="24"/>
          <w:szCs w:val="24"/>
          <w:lang w:val="en-GB"/>
        </w:rPr>
        <w:t xml:space="preserve">Nature Conservation Act 2002 </w:t>
      </w:r>
      <w:r w:rsidR="001D2768">
        <w:rPr>
          <w:sz w:val="24"/>
          <w:szCs w:val="24"/>
          <w:lang w:val="en-GB"/>
        </w:rPr>
        <w:t xml:space="preserve">and regulations as well as associated legislation such as the </w:t>
      </w:r>
      <w:r w:rsidR="001D2768">
        <w:rPr>
          <w:i/>
          <w:sz w:val="24"/>
          <w:szCs w:val="24"/>
          <w:lang w:val="en-GB"/>
        </w:rPr>
        <w:t>Animal Welfare Act 1993.</w:t>
      </w:r>
    </w:p>
    <w:p w14:paraId="3E1BABB9" w14:textId="77777777" w:rsidR="001D2768" w:rsidRDefault="001D2768">
      <w:pPr>
        <w:pStyle w:val="Heading1"/>
        <w:keepNext w:val="0"/>
        <w:widowControl/>
        <w:rPr>
          <w:rFonts w:ascii="Times New Roman Bold" w:hAnsi="Times New Roman Bold"/>
          <w:caps w:val="0"/>
          <w:szCs w:val="28"/>
          <w:lang w:val="en-GB"/>
        </w:rPr>
      </w:pPr>
      <w:r>
        <w:rPr>
          <w:rFonts w:ascii="Times New Roman" w:hAnsi="Times New Roman"/>
          <w:szCs w:val="28"/>
          <w:lang w:val="en-GB"/>
        </w:rPr>
        <w:t>8.</w:t>
      </w:r>
      <w:r>
        <w:rPr>
          <w:rFonts w:ascii="Times New Roman" w:hAnsi="Times New Roman"/>
          <w:szCs w:val="28"/>
          <w:lang w:val="en-GB"/>
        </w:rPr>
        <w:tab/>
      </w:r>
      <w:bookmarkStart w:id="9" w:name="_Toc49584198"/>
      <w:bookmarkStart w:id="10" w:name="_Toc49744945"/>
      <w:bookmarkStart w:id="11" w:name="_Toc52163508"/>
      <w:r>
        <w:rPr>
          <w:rFonts w:ascii="Times New Roman Bold" w:hAnsi="Times New Roman Bold"/>
          <w:caps w:val="0"/>
          <w:szCs w:val="28"/>
          <w:lang w:val="en-GB"/>
        </w:rPr>
        <w:t>Animal Welfare</w:t>
      </w:r>
      <w:bookmarkEnd w:id="9"/>
      <w:bookmarkEnd w:id="10"/>
      <w:bookmarkEnd w:id="11"/>
    </w:p>
    <w:p w14:paraId="4697A65B" w14:textId="77777777" w:rsidR="001D2768" w:rsidRDefault="001D2768">
      <w:pPr>
        <w:pStyle w:val="Text"/>
        <w:widowControl/>
        <w:spacing w:before="0"/>
        <w:rPr>
          <w:rFonts w:ascii="Times New Roman" w:hAnsi="Times New Roman"/>
          <w:szCs w:val="24"/>
          <w:lang w:val="en-GB"/>
        </w:rPr>
      </w:pPr>
      <w:r>
        <w:rPr>
          <w:rFonts w:ascii="Times New Roman" w:hAnsi="Times New Roman"/>
          <w:szCs w:val="24"/>
          <w:lang w:val="en-GB"/>
        </w:rPr>
        <w:t xml:space="preserve">The prevention of cruelty to animals, including wallabies, and the promotion of animal welfare are provided for by the </w:t>
      </w:r>
      <w:r>
        <w:rPr>
          <w:rFonts w:ascii="Times New Roman" w:hAnsi="Times New Roman"/>
          <w:i/>
          <w:szCs w:val="24"/>
          <w:lang w:val="en-GB"/>
        </w:rPr>
        <w:t>Animal Welfare Act 1993</w:t>
      </w:r>
      <w:r>
        <w:rPr>
          <w:rFonts w:ascii="Times New Roman" w:hAnsi="Times New Roman"/>
          <w:szCs w:val="24"/>
          <w:lang w:val="en-GB"/>
        </w:rPr>
        <w:t>. Section 8 of this Act makes it an offence to inflict unreasonable or unjustifiable pain or suffering to an animal</w:t>
      </w:r>
      <w:r w:rsidR="00BF534A">
        <w:rPr>
          <w:rFonts w:ascii="Times New Roman" w:hAnsi="Times New Roman"/>
          <w:szCs w:val="24"/>
          <w:lang w:val="en-GB"/>
        </w:rPr>
        <w:t xml:space="preserve">. </w:t>
      </w:r>
    </w:p>
    <w:p w14:paraId="42D5DC35" w14:textId="2C81429F" w:rsidR="001D2768" w:rsidRDefault="001D2768">
      <w:pPr>
        <w:pStyle w:val="Text"/>
        <w:widowControl/>
        <w:spacing w:before="0"/>
        <w:rPr>
          <w:rFonts w:ascii="Times New Roman" w:hAnsi="Times New Roman"/>
          <w:szCs w:val="24"/>
          <w:lang w:val="en-GB"/>
        </w:rPr>
      </w:pPr>
      <w:r>
        <w:rPr>
          <w:rFonts w:ascii="Times New Roman" w:hAnsi="Times New Roman"/>
          <w:szCs w:val="24"/>
          <w:lang w:val="en-GB"/>
        </w:rPr>
        <w:t xml:space="preserve">It is a condition of a Commercial </w:t>
      </w:r>
      <w:r w:rsidR="00AF1DF5">
        <w:rPr>
          <w:rFonts w:ascii="Times New Roman" w:hAnsi="Times New Roman"/>
          <w:szCs w:val="24"/>
          <w:lang w:val="en-GB"/>
        </w:rPr>
        <w:t>Purposes</w:t>
      </w:r>
      <w:r>
        <w:rPr>
          <w:rFonts w:ascii="Times New Roman" w:hAnsi="Times New Roman"/>
          <w:szCs w:val="24"/>
          <w:lang w:val="en-GB"/>
        </w:rPr>
        <w:t xml:space="preserve"> licence issued by </w:t>
      </w:r>
      <w:r w:rsidR="00AF1DF5">
        <w:rPr>
          <w:rFonts w:ascii="Times New Roman" w:hAnsi="Times New Roman"/>
          <w:szCs w:val="24"/>
          <w:lang w:val="en-GB"/>
        </w:rPr>
        <w:t xml:space="preserve">NRE </w:t>
      </w:r>
      <w:r>
        <w:rPr>
          <w:rFonts w:ascii="Times New Roman" w:hAnsi="Times New Roman"/>
          <w:szCs w:val="24"/>
          <w:lang w:val="en-GB"/>
        </w:rPr>
        <w:t xml:space="preserve">that wallabies are taken in accordance with the requirements of the </w:t>
      </w:r>
      <w:r w:rsidR="009B7DBD" w:rsidRPr="00A32A5A">
        <w:rPr>
          <w:rFonts w:ascii="Roboto" w:hAnsi="Roboto"/>
          <w:i/>
          <w:iCs/>
          <w:sz w:val="21"/>
          <w:szCs w:val="21"/>
          <w:shd w:val="clear" w:color="auto" w:fill="FFFFFF"/>
        </w:rPr>
        <w:t xml:space="preserve">National Code of Practice for the Humane Shooting of Kangaroos and Wallabies for Commercial Purposes </w:t>
      </w:r>
      <w:r w:rsidR="004858A0">
        <w:rPr>
          <w:rFonts w:ascii="Roboto" w:hAnsi="Roboto"/>
          <w:i/>
          <w:iCs/>
          <w:sz w:val="21"/>
          <w:szCs w:val="21"/>
          <w:shd w:val="clear" w:color="auto" w:fill="FFFFFF"/>
        </w:rPr>
        <w:t>(</w:t>
      </w:r>
      <w:r w:rsidR="009B7DBD" w:rsidRPr="00A32A5A">
        <w:rPr>
          <w:rFonts w:ascii="Roboto" w:hAnsi="Roboto"/>
          <w:i/>
          <w:iCs/>
          <w:sz w:val="21"/>
          <w:szCs w:val="21"/>
          <w:shd w:val="clear" w:color="auto" w:fill="FFFFFF"/>
        </w:rPr>
        <w:t>2020</w:t>
      </w:r>
      <w:r w:rsidR="004858A0" w:rsidRPr="00592F90">
        <w:rPr>
          <w:rFonts w:ascii="Times New Roman" w:hAnsi="Times New Roman"/>
          <w:szCs w:val="24"/>
          <w:lang w:val="en-GB"/>
        </w:rPr>
        <w:t>)</w:t>
      </w:r>
      <w:r w:rsidR="00592F90" w:rsidRPr="00592F90">
        <w:rPr>
          <w:rFonts w:ascii="Times New Roman" w:hAnsi="Times New Roman"/>
          <w:szCs w:val="24"/>
          <w:lang w:val="en-GB"/>
        </w:rPr>
        <w:t>, the Code</w:t>
      </w:r>
      <w:r>
        <w:rPr>
          <w:rFonts w:ascii="Times New Roman" w:hAnsi="Times New Roman"/>
          <w:szCs w:val="24"/>
          <w:lang w:val="en-GB"/>
        </w:rPr>
        <w:t xml:space="preserve">. An example of a Commercial </w:t>
      </w:r>
      <w:r w:rsidR="00D76840">
        <w:rPr>
          <w:rFonts w:ascii="Times New Roman" w:hAnsi="Times New Roman"/>
          <w:szCs w:val="24"/>
          <w:lang w:val="en-GB"/>
        </w:rPr>
        <w:t>Purpose</w:t>
      </w:r>
      <w:r w:rsidR="003E3780">
        <w:rPr>
          <w:rFonts w:ascii="Times New Roman" w:hAnsi="Times New Roman"/>
          <w:szCs w:val="24"/>
          <w:lang w:val="en-GB"/>
        </w:rPr>
        <w:t xml:space="preserve"> Licence is shown in Appendix </w:t>
      </w:r>
      <w:r w:rsidR="00346470">
        <w:rPr>
          <w:rFonts w:ascii="Times New Roman" w:hAnsi="Times New Roman"/>
          <w:szCs w:val="24"/>
          <w:lang w:val="en-GB"/>
        </w:rPr>
        <w:t>1</w:t>
      </w:r>
      <w:r>
        <w:rPr>
          <w:rFonts w:ascii="Times New Roman" w:hAnsi="Times New Roman"/>
          <w:szCs w:val="24"/>
          <w:lang w:val="en-GB"/>
        </w:rPr>
        <w:t>.</w:t>
      </w:r>
    </w:p>
    <w:p w14:paraId="667C7878" w14:textId="0F034DD9" w:rsidR="002A164E" w:rsidRDefault="009526A3">
      <w:pPr>
        <w:pStyle w:val="Text"/>
        <w:widowControl/>
        <w:numPr>
          <w:ilvl w:val="12"/>
          <w:numId w:val="0"/>
        </w:numPr>
        <w:spacing w:before="0"/>
        <w:rPr>
          <w:rFonts w:ascii="Times New Roman" w:hAnsi="Times New Roman"/>
          <w:szCs w:val="24"/>
          <w:lang w:val="en-GB"/>
        </w:rPr>
      </w:pPr>
      <w:r>
        <w:rPr>
          <w:rFonts w:ascii="Times New Roman" w:hAnsi="Times New Roman"/>
          <w:szCs w:val="24"/>
          <w:lang w:val="en-GB"/>
        </w:rPr>
        <w:t xml:space="preserve">All </w:t>
      </w:r>
      <w:r w:rsidR="001D2768">
        <w:rPr>
          <w:rFonts w:ascii="Times New Roman" w:hAnsi="Times New Roman"/>
          <w:szCs w:val="24"/>
          <w:lang w:val="en-GB"/>
        </w:rPr>
        <w:t xml:space="preserve">holders of Commercial </w:t>
      </w:r>
      <w:r>
        <w:rPr>
          <w:rFonts w:ascii="Times New Roman" w:hAnsi="Times New Roman"/>
          <w:szCs w:val="24"/>
          <w:lang w:val="en-GB"/>
        </w:rPr>
        <w:t>Purposes</w:t>
      </w:r>
      <w:r w:rsidR="001D2768">
        <w:rPr>
          <w:rFonts w:ascii="Times New Roman" w:hAnsi="Times New Roman"/>
          <w:szCs w:val="24"/>
          <w:lang w:val="en-GB"/>
        </w:rPr>
        <w:t xml:space="preserve"> licences must be appropriately trained and accredited. </w:t>
      </w:r>
      <w:r w:rsidR="001D2768">
        <w:rPr>
          <w:rFonts w:ascii="Times New Roman" w:hAnsi="Times New Roman"/>
          <w:color w:val="000000"/>
          <w:szCs w:val="24"/>
          <w:lang w:val="en-GB"/>
        </w:rPr>
        <w:t xml:space="preserve">Persons harvesting for meat must be accredited in accordance with the provisions of the </w:t>
      </w:r>
      <w:r>
        <w:rPr>
          <w:rFonts w:ascii="Times New Roman" w:hAnsi="Times New Roman"/>
          <w:i/>
          <w:color w:val="000000"/>
          <w:szCs w:val="24"/>
          <w:lang w:val="en-GB"/>
        </w:rPr>
        <w:t>Primary Produce Safety Act 2011</w:t>
      </w:r>
      <w:r w:rsidR="001D2768">
        <w:rPr>
          <w:rFonts w:ascii="Times New Roman" w:hAnsi="Times New Roman"/>
          <w:i/>
          <w:color w:val="000000"/>
          <w:szCs w:val="24"/>
          <w:lang w:val="en-GB"/>
        </w:rPr>
        <w:t xml:space="preserve"> </w:t>
      </w:r>
      <w:r w:rsidR="001D2768">
        <w:rPr>
          <w:rFonts w:ascii="Times New Roman" w:hAnsi="Times New Roman"/>
          <w:color w:val="000000"/>
          <w:szCs w:val="24"/>
          <w:lang w:val="en-GB"/>
        </w:rPr>
        <w:t xml:space="preserve">and the Australian Standard for the Hygienic Production of Game Meat for Human Consumption. All accreditation </w:t>
      </w:r>
      <w:r w:rsidR="001D2768">
        <w:rPr>
          <w:rFonts w:ascii="Times New Roman" w:hAnsi="Times New Roman"/>
          <w:szCs w:val="24"/>
          <w:lang w:val="en-GB"/>
        </w:rPr>
        <w:t>include</w:t>
      </w:r>
      <w:r w:rsidR="008C3715">
        <w:rPr>
          <w:rFonts w:ascii="Times New Roman" w:hAnsi="Times New Roman"/>
          <w:szCs w:val="24"/>
          <w:lang w:val="en-GB"/>
        </w:rPr>
        <w:t>s</w:t>
      </w:r>
      <w:r w:rsidR="001D2768">
        <w:rPr>
          <w:rFonts w:ascii="Times New Roman" w:hAnsi="Times New Roman"/>
          <w:szCs w:val="24"/>
          <w:lang w:val="en-GB"/>
        </w:rPr>
        <w:t xml:space="preserve"> training in the requirements of the </w:t>
      </w:r>
      <w:r w:rsidR="009C5093">
        <w:rPr>
          <w:rFonts w:ascii="Roboto" w:hAnsi="Roboto"/>
          <w:i/>
          <w:iCs/>
          <w:sz w:val="21"/>
          <w:szCs w:val="21"/>
          <w:shd w:val="clear" w:color="auto" w:fill="FFFFFF"/>
        </w:rPr>
        <w:t>Code</w:t>
      </w:r>
      <w:r w:rsidR="001D2768">
        <w:rPr>
          <w:rFonts w:ascii="Times New Roman" w:hAnsi="Times New Roman"/>
          <w:i/>
          <w:szCs w:val="24"/>
          <w:lang w:val="en-GB"/>
        </w:rPr>
        <w:t xml:space="preserve"> </w:t>
      </w:r>
      <w:r w:rsidR="001D2768">
        <w:rPr>
          <w:rFonts w:ascii="Times New Roman" w:hAnsi="Times New Roman"/>
          <w:szCs w:val="24"/>
          <w:lang w:val="en-GB"/>
        </w:rPr>
        <w:t xml:space="preserve">and other relevant permit conditions, as well as a field-based assessment of competence in shooting. Shooting assessments are done in the field by a Certified Auditor. Accredited shooters within the game meat industry are reassessed at yearly intervals by the </w:t>
      </w:r>
      <w:r w:rsidR="009F3A40">
        <w:rPr>
          <w:rFonts w:ascii="Times New Roman" w:hAnsi="Times New Roman"/>
          <w:szCs w:val="24"/>
          <w:lang w:val="en-GB"/>
        </w:rPr>
        <w:t>FSB</w:t>
      </w:r>
      <w:r w:rsidR="001D2768">
        <w:rPr>
          <w:rFonts w:ascii="Times New Roman" w:hAnsi="Times New Roman"/>
          <w:szCs w:val="24"/>
          <w:lang w:val="en-GB"/>
        </w:rPr>
        <w:t xml:space="preserve"> as part of the auditing of Licensed Game Meat Premises. This reassessment includes their ability to adhere to the </w:t>
      </w:r>
      <w:r w:rsidR="00592F90" w:rsidRPr="00592F90">
        <w:rPr>
          <w:rFonts w:ascii="Times New Roman" w:hAnsi="Times New Roman"/>
          <w:szCs w:val="24"/>
          <w:lang w:val="en-GB"/>
        </w:rPr>
        <w:t>Code.</w:t>
      </w:r>
    </w:p>
    <w:p w14:paraId="07A03635" w14:textId="2BFEBBEF" w:rsidR="001D2768" w:rsidRDefault="001D2768">
      <w:pPr>
        <w:pStyle w:val="Text"/>
        <w:widowControl/>
        <w:numPr>
          <w:ilvl w:val="12"/>
          <w:numId w:val="0"/>
        </w:numPr>
        <w:spacing w:before="0"/>
        <w:rPr>
          <w:rFonts w:ascii="Times New Roman" w:hAnsi="Times New Roman"/>
          <w:szCs w:val="24"/>
          <w:lang w:val="en-GB"/>
        </w:rPr>
      </w:pPr>
      <w:r>
        <w:rPr>
          <w:rFonts w:ascii="Times New Roman" w:hAnsi="Times New Roman"/>
          <w:szCs w:val="24"/>
          <w:lang w:val="en-GB"/>
        </w:rPr>
        <w:t xml:space="preserve">All meat processing premises are audited on a regular basis (usually quarterly) by </w:t>
      </w:r>
      <w:r w:rsidR="009F3A40">
        <w:rPr>
          <w:rFonts w:ascii="Times New Roman" w:hAnsi="Times New Roman"/>
          <w:szCs w:val="24"/>
          <w:lang w:val="en-GB"/>
        </w:rPr>
        <w:t>FSB</w:t>
      </w:r>
      <w:r>
        <w:rPr>
          <w:rFonts w:ascii="Times New Roman" w:hAnsi="Times New Roman"/>
          <w:szCs w:val="24"/>
          <w:lang w:val="en-GB"/>
        </w:rPr>
        <w:t>. Part of this audit procedure is to ensure compliance with the animal welfare standards.</w:t>
      </w:r>
    </w:p>
    <w:p w14:paraId="284C40EF" w14:textId="65A2FFAB" w:rsidR="001D2768" w:rsidRDefault="001D2768">
      <w:pPr>
        <w:widowControl/>
        <w:numPr>
          <w:ilvl w:val="12"/>
          <w:numId w:val="0"/>
        </w:numPr>
        <w:spacing w:after="120"/>
        <w:rPr>
          <w:sz w:val="24"/>
          <w:szCs w:val="24"/>
          <w:lang w:val="en-GB"/>
        </w:rPr>
      </w:pPr>
      <w:r>
        <w:rPr>
          <w:sz w:val="24"/>
          <w:szCs w:val="24"/>
          <w:lang w:val="en-GB"/>
        </w:rPr>
        <w:t xml:space="preserve">The extent of compliance with the requirements of the </w:t>
      </w:r>
      <w:r w:rsidR="009526A3" w:rsidRPr="007051DB">
        <w:rPr>
          <w:sz w:val="24"/>
          <w:szCs w:val="24"/>
          <w:lang w:val="en-GB"/>
        </w:rPr>
        <w:t>Code</w:t>
      </w:r>
      <w:r w:rsidR="009526A3" w:rsidRPr="00D56BF6">
        <w:rPr>
          <w:rFonts w:ascii="Roboto" w:hAnsi="Roboto"/>
          <w:i/>
          <w:iCs/>
          <w:sz w:val="21"/>
          <w:szCs w:val="21"/>
          <w:shd w:val="clear" w:color="auto" w:fill="FFFFFF"/>
        </w:rPr>
        <w:t xml:space="preserve"> </w:t>
      </w:r>
      <w:r>
        <w:rPr>
          <w:sz w:val="24"/>
          <w:szCs w:val="24"/>
          <w:lang w:val="en-GB"/>
        </w:rPr>
        <w:t>and permit conditions relating to shooting requirements is determined through annual in field audits of all harvesters and is currently at or near 100% (</w:t>
      </w:r>
      <w:r w:rsidR="00BA6D41">
        <w:rPr>
          <w:sz w:val="24"/>
          <w:szCs w:val="24"/>
          <w:lang w:val="en-GB"/>
        </w:rPr>
        <w:t>DPIPWE</w:t>
      </w:r>
      <w:r w:rsidR="00444F80">
        <w:rPr>
          <w:sz w:val="24"/>
          <w:szCs w:val="24"/>
          <w:lang w:val="en-GB"/>
        </w:rPr>
        <w:t>,</w:t>
      </w:r>
      <w:r w:rsidR="00BA6D41">
        <w:rPr>
          <w:sz w:val="24"/>
          <w:szCs w:val="24"/>
          <w:lang w:val="en-GB"/>
        </w:rPr>
        <w:t xml:space="preserve"> 2020)</w:t>
      </w:r>
      <w:r>
        <w:rPr>
          <w:sz w:val="24"/>
          <w:szCs w:val="24"/>
          <w:lang w:val="en-GB"/>
        </w:rPr>
        <w:t>.</w:t>
      </w:r>
    </w:p>
    <w:p w14:paraId="1063D4B6" w14:textId="77777777" w:rsidR="00346470" w:rsidRDefault="001D2768">
      <w:pPr>
        <w:pStyle w:val="BodyText3"/>
        <w:widowControl/>
        <w:numPr>
          <w:ilvl w:val="12"/>
          <w:numId w:val="0"/>
        </w:numPr>
        <w:spacing w:after="120"/>
        <w:rPr>
          <w:lang w:val="en-GB"/>
        </w:rPr>
      </w:pPr>
      <w:r>
        <w:rPr>
          <w:szCs w:val="24"/>
          <w:lang w:val="en-GB"/>
        </w:rPr>
        <w:t xml:space="preserve">Any meat processor or harvester found to be in breach of these controls will suffer disciplinary action, including potential loss of licence as regulated by </w:t>
      </w:r>
      <w:r w:rsidR="00081293">
        <w:rPr>
          <w:szCs w:val="24"/>
          <w:lang w:val="en-GB"/>
        </w:rPr>
        <w:t>NR</w:t>
      </w:r>
      <w:r>
        <w:rPr>
          <w:szCs w:val="24"/>
          <w:lang w:val="en-GB"/>
        </w:rPr>
        <w:t>E, thus eliminating them as a potential supplier under this WTO.</w:t>
      </w:r>
    </w:p>
    <w:p w14:paraId="60E41352" w14:textId="30320C08" w:rsidR="001D2768" w:rsidRDefault="001D2768">
      <w:pPr>
        <w:widowControl/>
        <w:numPr>
          <w:ilvl w:val="12"/>
          <w:numId w:val="0"/>
        </w:numPr>
        <w:rPr>
          <w:b/>
          <w:sz w:val="24"/>
          <w:szCs w:val="24"/>
          <w:lang w:val="en-GB"/>
        </w:rPr>
      </w:pPr>
      <w:r>
        <w:rPr>
          <w:b/>
          <w:sz w:val="24"/>
          <w:szCs w:val="24"/>
          <w:lang w:val="en-GB"/>
        </w:rPr>
        <w:lastRenderedPageBreak/>
        <w:t>8.1</w:t>
      </w:r>
      <w:r>
        <w:rPr>
          <w:b/>
          <w:sz w:val="24"/>
          <w:szCs w:val="24"/>
          <w:lang w:val="en-GB"/>
        </w:rPr>
        <w:tab/>
      </w:r>
      <w:proofErr w:type="gramStart"/>
      <w:r>
        <w:rPr>
          <w:b/>
          <w:sz w:val="24"/>
          <w:szCs w:val="24"/>
          <w:lang w:val="en-GB"/>
        </w:rPr>
        <w:t>Non-target</w:t>
      </w:r>
      <w:proofErr w:type="gramEnd"/>
      <w:r>
        <w:rPr>
          <w:b/>
          <w:sz w:val="24"/>
          <w:szCs w:val="24"/>
          <w:lang w:val="en-GB"/>
        </w:rPr>
        <w:t xml:space="preserve"> considerations</w:t>
      </w:r>
    </w:p>
    <w:p w14:paraId="28C61C63" w14:textId="1973F4F5" w:rsidR="001D2768" w:rsidRDefault="001D2768">
      <w:pPr>
        <w:widowControl/>
        <w:numPr>
          <w:ilvl w:val="12"/>
          <w:numId w:val="0"/>
        </w:numPr>
        <w:spacing w:after="120"/>
        <w:rPr>
          <w:sz w:val="24"/>
          <w:szCs w:val="24"/>
          <w:lang w:val="en-GB"/>
        </w:rPr>
      </w:pPr>
      <w:r>
        <w:rPr>
          <w:sz w:val="24"/>
          <w:szCs w:val="24"/>
          <w:lang w:val="en-GB"/>
        </w:rPr>
        <w:t>The argument is often raised in objection to kangaroo harvesting that removing dominant males and females upsets the social balance within a mob of kangaroos, thus having detrimental welfare effects on non-target animals. This WTO makes no comment on the validity of this criticis</w:t>
      </w:r>
      <w:r w:rsidR="00A87197">
        <w:rPr>
          <w:sz w:val="24"/>
          <w:szCs w:val="24"/>
          <w:lang w:val="en-GB"/>
        </w:rPr>
        <w:t xml:space="preserve">m; it merely notes that </w:t>
      </w:r>
      <w:r>
        <w:rPr>
          <w:sz w:val="24"/>
          <w:szCs w:val="24"/>
          <w:lang w:val="en-GB"/>
        </w:rPr>
        <w:t xml:space="preserve">wallabies are </w:t>
      </w:r>
      <w:r w:rsidR="00EF6254">
        <w:rPr>
          <w:sz w:val="24"/>
          <w:szCs w:val="24"/>
          <w:lang w:val="en-GB"/>
        </w:rPr>
        <w:t xml:space="preserve">far less socially structured </w:t>
      </w:r>
      <w:r>
        <w:rPr>
          <w:sz w:val="24"/>
          <w:szCs w:val="24"/>
          <w:lang w:val="en-GB"/>
        </w:rPr>
        <w:t>than the larger macropod species. Social relatio</w:t>
      </w:r>
      <w:r w:rsidR="00336173">
        <w:rPr>
          <w:sz w:val="24"/>
          <w:szCs w:val="24"/>
          <w:lang w:val="en-GB"/>
        </w:rPr>
        <w:t xml:space="preserve">nships within groups of </w:t>
      </w:r>
      <w:r w:rsidR="00F82653">
        <w:rPr>
          <w:sz w:val="24"/>
          <w:szCs w:val="24"/>
          <w:lang w:val="en-GB"/>
        </w:rPr>
        <w:t>wallabies</w:t>
      </w:r>
      <w:r>
        <w:rPr>
          <w:sz w:val="24"/>
          <w:szCs w:val="24"/>
          <w:lang w:val="en-GB"/>
        </w:rPr>
        <w:t xml:space="preserve"> are highly unstable, the only enduring relationship being between a female and her un</w:t>
      </w:r>
      <w:r w:rsidR="00EF6254">
        <w:rPr>
          <w:sz w:val="24"/>
          <w:szCs w:val="24"/>
          <w:lang w:val="en-GB"/>
        </w:rPr>
        <w:t>-</w:t>
      </w:r>
      <w:r>
        <w:rPr>
          <w:sz w:val="24"/>
          <w:szCs w:val="24"/>
          <w:lang w:val="en-GB"/>
        </w:rPr>
        <w:t>weaned progeny (</w:t>
      </w:r>
      <w:proofErr w:type="spellStart"/>
      <w:r>
        <w:rPr>
          <w:sz w:val="24"/>
          <w:szCs w:val="24"/>
          <w:lang w:val="en-GB"/>
        </w:rPr>
        <w:t>Calaby</w:t>
      </w:r>
      <w:proofErr w:type="spellEnd"/>
      <w:r>
        <w:rPr>
          <w:sz w:val="24"/>
          <w:szCs w:val="24"/>
          <w:lang w:val="en-GB"/>
        </w:rPr>
        <w:t xml:space="preserve"> 1983; Johnson &amp; Rose, 1995, Morton, S.R. and Burton, T.C.</w:t>
      </w:r>
      <w:r w:rsidR="00F82653">
        <w:rPr>
          <w:sz w:val="24"/>
          <w:szCs w:val="24"/>
          <w:lang w:val="en-GB"/>
        </w:rPr>
        <w:t>,</w:t>
      </w:r>
      <w:r>
        <w:rPr>
          <w:sz w:val="24"/>
          <w:szCs w:val="24"/>
          <w:lang w:val="en-GB"/>
        </w:rPr>
        <w:t xml:space="preserve"> 1973). Studies of movement indicate that individuals are relatively sedentary, occupying small home ranges that overlap broadly with other individuals (Catt 1977; Mooney &amp; Johnson</w:t>
      </w:r>
      <w:r w:rsidR="00F82653">
        <w:rPr>
          <w:sz w:val="24"/>
          <w:szCs w:val="24"/>
          <w:lang w:val="en-GB"/>
        </w:rPr>
        <w:t>,</w:t>
      </w:r>
      <w:r>
        <w:rPr>
          <w:sz w:val="24"/>
          <w:szCs w:val="24"/>
          <w:lang w:val="en-GB"/>
        </w:rPr>
        <w:t xml:space="preserve"> 1979). This indicates that harvesting will have minimal impact on any so</w:t>
      </w:r>
      <w:r w:rsidR="0026426C">
        <w:rPr>
          <w:sz w:val="24"/>
          <w:szCs w:val="24"/>
          <w:lang w:val="en-GB"/>
        </w:rPr>
        <w:t xml:space="preserve">cial structures within a </w:t>
      </w:r>
      <w:r>
        <w:rPr>
          <w:sz w:val="24"/>
          <w:szCs w:val="24"/>
          <w:lang w:val="en-GB"/>
        </w:rPr>
        <w:t>wallaby population.</w:t>
      </w:r>
    </w:p>
    <w:p w14:paraId="533BD582" w14:textId="77777777" w:rsidR="00891BFA" w:rsidRDefault="001D2768">
      <w:pPr>
        <w:widowControl/>
        <w:numPr>
          <w:ilvl w:val="12"/>
          <w:numId w:val="0"/>
        </w:numPr>
        <w:spacing w:after="120"/>
        <w:rPr>
          <w:b/>
          <w:sz w:val="24"/>
          <w:szCs w:val="24"/>
          <w:lang w:val="en-GB"/>
        </w:rPr>
      </w:pPr>
      <w:r>
        <w:rPr>
          <w:sz w:val="24"/>
          <w:szCs w:val="24"/>
          <w:lang w:val="en-GB"/>
        </w:rPr>
        <w:t>In additio</w:t>
      </w:r>
      <w:r w:rsidR="0026426C">
        <w:rPr>
          <w:sz w:val="24"/>
          <w:szCs w:val="24"/>
          <w:lang w:val="en-GB"/>
        </w:rPr>
        <w:t>n, the identification of</w:t>
      </w:r>
      <w:r>
        <w:rPr>
          <w:sz w:val="24"/>
          <w:szCs w:val="24"/>
          <w:lang w:val="en-GB"/>
        </w:rPr>
        <w:t xml:space="preserve"> wallabies in the field is well covered in the accreditation process for commercial shooters; hence the likelihood of harvesters shooting non-target species (e.g. forester kangaroos) is extremely low.</w:t>
      </w:r>
    </w:p>
    <w:p w14:paraId="397ACA5F" w14:textId="77777777" w:rsidR="001D2768" w:rsidRDefault="001D2768">
      <w:pPr>
        <w:widowControl/>
        <w:numPr>
          <w:ilvl w:val="12"/>
          <w:numId w:val="0"/>
        </w:numPr>
        <w:spacing w:after="120"/>
        <w:rPr>
          <w:sz w:val="24"/>
          <w:szCs w:val="24"/>
          <w:lang w:val="en-GB"/>
        </w:rPr>
      </w:pPr>
      <w:r>
        <w:rPr>
          <w:b/>
          <w:sz w:val="24"/>
          <w:szCs w:val="24"/>
          <w:lang w:val="en-GB"/>
        </w:rPr>
        <w:t>Key controls:</w:t>
      </w:r>
    </w:p>
    <w:p w14:paraId="36B278CD" w14:textId="77777777" w:rsidR="001D2768" w:rsidRDefault="001D2768">
      <w:pPr>
        <w:widowControl/>
        <w:numPr>
          <w:ilvl w:val="12"/>
          <w:numId w:val="0"/>
        </w:numPr>
        <w:spacing w:after="120"/>
        <w:rPr>
          <w:sz w:val="24"/>
          <w:szCs w:val="24"/>
          <w:lang w:val="en-GB"/>
        </w:rPr>
      </w:pPr>
      <w:r>
        <w:rPr>
          <w:sz w:val="24"/>
          <w:szCs w:val="24"/>
          <w:lang w:val="en-GB"/>
        </w:rPr>
        <w:t>All harvesters are re-assessed under actual field operating conditions every year to ensure compliance with the Code.</w:t>
      </w:r>
    </w:p>
    <w:p w14:paraId="77D12597" w14:textId="77777777" w:rsidR="001D2768" w:rsidRDefault="001D2768">
      <w:pPr>
        <w:widowControl/>
        <w:numPr>
          <w:ilvl w:val="12"/>
          <w:numId w:val="0"/>
        </w:numPr>
        <w:spacing w:after="120"/>
        <w:rPr>
          <w:sz w:val="24"/>
          <w:szCs w:val="24"/>
          <w:lang w:val="en-GB"/>
        </w:rPr>
      </w:pPr>
      <w:r>
        <w:rPr>
          <w:sz w:val="24"/>
          <w:szCs w:val="24"/>
          <w:lang w:val="en-GB"/>
        </w:rPr>
        <w:t>All meat processors are audited regularly and assessment of compliance with the Animal Welfare Standard is part of the audit procedure.</w:t>
      </w:r>
    </w:p>
    <w:p w14:paraId="2D9BF8E2" w14:textId="77777777" w:rsidR="001D2768" w:rsidRDefault="001D2768">
      <w:pPr>
        <w:widowControl/>
        <w:numPr>
          <w:ilvl w:val="12"/>
          <w:numId w:val="0"/>
        </w:numPr>
        <w:spacing w:before="240" w:after="240"/>
        <w:rPr>
          <w:b/>
          <w:sz w:val="28"/>
          <w:szCs w:val="28"/>
          <w:lang w:val="en-GB"/>
        </w:rPr>
      </w:pPr>
      <w:r>
        <w:rPr>
          <w:b/>
          <w:sz w:val="28"/>
          <w:szCs w:val="28"/>
          <w:lang w:val="en-GB"/>
        </w:rPr>
        <w:t>9. Over-ride Provision:</w:t>
      </w:r>
    </w:p>
    <w:p w14:paraId="53A7C6A6" w14:textId="55A3CC86" w:rsidR="001D2768" w:rsidRDefault="001D2768">
      <w:pPr>
        <w:pStyle w:val="BodyText3"/>
        <w:widowControl/>
        <w:numPr>
          <w:ilvl w:val="12"/>
          <w:numId w:val="0"/>
        </w:numPr>
        <w:spacing w:after="120"/>
        <w:rPr>
          <w:lang w:val="en-GB"/>
        </w:rPr>
      </w:pPr>
      <w:r>
        <w:rPr>
          <w:szCs w:val="24"/>
          <w:lang w:val="en-GB"/>
        </w:rPr>
        <w:t>This WTO shall be invalidated in the case of D</w:t>
      </w:r>
      <w:r w:rsidR="00BA6D41">
        <w:rPr>
          <w:szCs w:val="24"/>
          <w:lang w:val="en-GB"/>
        </w:rPr>
        <w:t xml:space="preserve">CCEEW </w:t>
      </w:r>
      <w:r>
        <w:rPr>
          <w:szCs w:val="24"/>
          <w:lang w:val="en-GB"/>
        </w:rPr>
        <w:t>approving a Wildlife Trade Management Plan</w:t>
      </w:r>
      <w:r w:rsidR="00DE70F9">
        <w:rPr>
          <w:szCs w:val="24"/>
          <w:lang w:val="en-GB"/>
        </w:rPr>
        <w:t xml:space="preserve"> (WTMP)</w:t>
      </w:r>
      <w:r>
        <w:rPr>
          <w:szCs w:val="24"/>
          <w:lang w:val="en-GB"/>
        </w:rPr>
        <w:t xml:space="preserve"> under section 303FO of the EPBC Act submitted by </w:t>
      </w:r>
      <w:r w:rsidR="00081293">
        <w:rPr>
          <w:szCs w:val="24"/>
          <w:lang w:val="en-GB"/>
        </w:rPr>
        <w:t>NR</w:t>
      </w:r>
      <w:r w:rsidR="00B9545C">
        <w:rPr>
          <w:szCs w:val="24"/>
          <w:lang w:val="en-GB"/>
        </w:rPr>
        <w:t xml:space="preserve">E </w:t>
      </w:r>
      <w:r w:rsidR="003E3780">
        <w:rPr>
          <w:szCs w:val="24"/>
          <w:lang w:val="en-GB"/>
        </w:rPr>
        <w:t xml:space="preserve">covering </w:t>
      </w:r>
      <w:r>
        <w:rPr>
          <w:szCs w:val="24"/>
          <w:lang w:val="en-GB"/>
        </w:rPr>
        <w:t>wallaby</w:t>
      </w:r>
      <w:r w:rsidR="000D03DE">
        <w:rPr>
          <w:szCs w:val="24"/>
          <w:lang w:val="en-GB"/>
        </w:rPr>
        <w:t xml:space="preserve"> harvest</w:t>
      </w:r>
      <w:r>
        <w:rPr>
          <w:szCs w:val="24"/>
          <w:lang w:val="en-GB"/>
        </w:rPr>
        <w:t xml:space="preserve"> in Tasmania as a whole.</w:t>
      </w:r>
    </w:p>
    <w:p w14:paraId="667CB242" w14:textId="77777777" w:rsidR="001D2768" w:rsidRDefault="001D2768">
      <w:pPr>
        <w:widowControl/>
        <w:numPr>
          <w:ilvl w:val="12"/>
          <w:numId w:val="0"/>
        </w:numPr>
        <w:spacing w:before="240" w:after="240"/>
        <w:rPr>
          <w:b/>
          <w:sz w:val="28"/>
          <w:szCs w:val="28"/>
          <w:lang w:val="en-GB"/>
        </w:rPr>
      </w:pPr>
      <w:r>
        <w:rPr>
          <w:b/>
          <w:sz w:val="28"/>
          <w:szCs w:val="28"/>
          <w:lang w:val="en-GB"/>
        </w:rPr>
        <w:t>10. Reports</w:t>
      </w:r>
    </w:p>
    <w:p w14:paraId="58CF73A7" w14:textId="77777777" w:rsidR="001D2768" w:rsidRDefault="001D2768">
      <w:pPr>
        <w:widowControl/>
        <w:numPr>
          <w:ilvl w:val="12"/>
          <w:numId w:val="0"/>
        </w:numPr>
        <w:spacing w:after="120"/>
        <w:rPr>
          <w:sz w:val="24"/>
          <w:szCs w:val="24"/>
          <w:lang w:val="en-GB"/>
        </w:rPr>
      </w:pPr>
      <w:r>
        <w:rPr>
          <w:sz w:val="24"/>
          <w:szCs w:val="24"/>
          <w:lang w:val="en-GB"/>
        </w:rPr>
        <w:t xml:space="preserve">Following the collation and analysis of survey data by </w:t>
      </w:r>
      <w:r w:rsidR="009B7DBD">
        <w:rPr>
          <w:sz w:val="24"/>
          <w:szCs w:val="24"/>
          <w:lang w:val="en-GB"/>
        </w:rPr>
        <w:t xml:space="preserve">NRE </w:t>
      </w:r>
      <w:r>
        <w:rPr>
          <w:sz w:val="24"/>
          <w:szCs w:val="24"/>
          <w:lang w:val="en-GB"/>
        </w:rPr>
        <w:t>by the end of March, LGM will submit to D</w:t>
      </w:r>
      <w:r w:rsidR="00BA6D41">
        <w:rPr>
          <w:sz w:val="24"/>
          <w:szCs w:val="24"/>
          <w:lang w:val="en-GB"/>
        </w:rPr>
        <w:t>CCEEW</w:t>
      </w:r>
      <w:r>
        <w:rPr>
          <w:sz w:val="24"/>
          <w:szCs w:val="24"/>
          <w:lang w:val="en-GB"/>
        </w:rPr>
        <w:t xml:space="preserve"> by 30 April, an annual report on the following:</w:t>
      </w:r>
    </w:p>
    <w:p w14:paraId="49B6B7B2" w14:textId="5E84DD27" w:rsidR="00B42444" w:rsidRDefault="003128B8" w:rsidP="005108C0">
      <w:pPr>
        <w:widowControl/>
        <w:numPr>
          <w:ilvl w:val="0"/>
          <w:numId w:val="13"/>
        </w:numPr>
        <w:rPr>
          <w:sz w:val="24"/>
          <w:szCs w:val="24"/>
          <w:lang w:val="en-GB"/>
        </w:rPr>
      </w:pPr>
      <w:r>
        <w:rPr>
          <w:sz w:val="24"/>
          <w:szCs w:val="24"/>
          <w:lang w:val="en-GB"/>
        </w:rPr>
        <w:t>Total number of</w:t>
      </w:r>
      <w:r w:rsidR="003E3780">
        <w:rPr>
          <w:sz w:val="24"/>
          <w:szCs w:val="24"/>
          <w:lang w:val="en-GB"/>
        </w:rPr>
        <w:t xml:space="preserve"> </w:t>
      </w:r>
      <w:r w:rsidR="00E333C7">
        <w:rPr>
          <w:sz w:val="24"/>
          <w:szCs w:val="24"/>
          <w:lang w:val="en-GB"/>
        </w:rPr>
        <w:t>wallabies</w:t>
      </w:r>
      <w:r>
        <w:rPr>
          <w:sz w:val="24"/>
          <w:szCs w:val="24"/>
          <w:lang w:val="en-GB"/>
        </w:rPr>
        <w:t xml:space="preserve"> exported for the previous calendar year</w:t>
      </w:r>
      <w:r w:rsidR="000D03DE">
        <w:rPr>
          <w:sz w:val="24"/>
          <w:szCs w:val="24"/>
          <w:lang w:val="en-GB"/>
        </w:rPr>
        <w:t>, and</w:t>
      </w:r>
    </w:p>
    <w:p w14:paraId="01B20AB9" w14:textId="471716B5" w:rsidR="001D2768" w:rsidRDefault="00B42444" w:rsidP="005108C0">
      <w:pPr>
        <w:widowControl/>
        <w:numPr>
          <w:ilvl w:val="0"/>
          <w:numId w:val="13"/>
        </w:numPr>
        <w:rPr>
          <w:sz w:val="24"/>
          <w:szCs w:val="24"/>
          <w:lang w:val="en-GB"/>
        </w:rPr>
      </w:pPr>
      <w:r>
        <w:rPr>
          <w:sz w:val="24"/>
          <w:szCs w:val="24"/>
          <w:lang w:val="en-GB"/>
        </w:rPr>
        <w:t>Total number of</w:t>
      </w:r>
      <w:r w:rsidR="003E3780">
        <w:rPr>
          <w:sz w:val="24"/>
          <w:szCs w:val="24"/>
          <w:lang w:val="en-GB"/>
        </w:rPr>
        <w:t xml:space="preserve"> </w:t>
      </w:r>
      <w:r w:rsidR="00E333C7">
        <w:rPr>
          <w:sz w:val="24"/>
          <w:szCs w:val="24"/>
          <w:lang w:val="en-GB"/>
        </w:rPr>
        <w:t>wallabies</w:t>
      </w:r>
      <w:r>
        <w:rPr>
          <w:sz w:val="24"/>
          <w:szCs w:val="24"/>
          <w:lang w:val="en-GB"/>
        </w:rPr>
        <w:t xml:space="preserve"> harvested for the previous calendar year.</w:t>
      </w:r>
    </w:p>
    <w:p w14:paraId="265213A1" w14:textId="77777777" w:rsidR="001D2768" w:rsidRDefault="001D2768">
      <w:pPr>
        <w:widowControl/>
        <w:rPr>
          <w:sz w:val="24"/>
          <w:szCs w:val="24"/>
          <w:lang w:val="en-GB"/>
        </w:rPr>
      </w:pPr>
    </w:p>
    <w:p w14:paraId="35C7D8B7" w14:textId="378ED9D5" w:rsidR="00B65073" w:rsidRDefault="001D2768" w:rsidP="00923D22">
      <w:pPr>
        <w:widowControl/>
        <w:numPr>
          <w:ilvl w:val="12"/>
          <w:numId w:val="0"/>
        </w:numPr>
        <w:spacing w:after="120"/>
        <w:rPr>
          <w:sz w:val="24"/>
          <w:szCs w:val="24"/>
          <w:lang w:val="en-GB"/>
        </w:rPr>
      </w:pPr>
      <w:r>
        <w:rPr>
          <w:sz w:val="24"/>
          <w:szCs w:val="24"/>
          <w:lang w:val="en-GB"/>
        </w:rPr>
        <w:t xml:space="preserve">This report will detail if, given assessments against the </w:t>
      </w:r>
      <w:r w:rsidR="007B2482">
        <w:rPr>
          <w:sz w:val="24"/>
          <w:szCs w:val="24"/>
          <w:lang w:val="en-GB"/>
        </w:rPr>
        <w:t xml:space="preserve">annual purchase limit or </w:t>
      </w:r>
      <w:r w:rsidR="00137E54">
        <w:rPr>
          <w:sz w:val="24"/>
          <w:szCs w:val="24"/>
          <w:lang w:val="en-GB"/>
        </w:rPr>
        <w:t>t</w:t>
      </w:r>
      <w:r>
        <w:rPr>
          <w:sz w:val="24"/>
          <w:szCs w:val="24"/>
          <w:lang w:val="en-GB"/>
        </w:rPr>
        <w:t xml:space="preserve">rigger </w:t>
      </w:r>
      <w:r w:rsidR="00137E54">
        <w:rPr>
          <w:sz w:val="24"/>
          <w:szCs w:val="24"/>
          <w:lang w:val="en-GB"/>
        </w:rPr>
        <w:t>p</w:t>
      </w:r>
      <w:r w:rsidR="00B9507C">
        <w:rPr>
          <w:sz w:val="24"/>
          <w:szCs w:val="24"/>
          <w:lang w:val="en-GB"/>
        </w:rPr>
        <w:t>oint, wallaby</w:t>
      </w:r>
      <w:r>
        <w:rPr>
          <w:sz w:val="24"/>
          <w:szCs w:val="24"/>
          <w:lang w:val="en-GB"/>
        </w:rPr>
        <w:t xml:space="preserve"> harvested in the current year will be eligible for export</w:t>
      </w:r>
    </w:p>
    <w:p w14:paraId="4C508440" w14:textId="77777777" w:rsidR="00AC5AC6" w:rsidRDefault="00AC5AC6" w:rsidP="00923D22">
      <w:pPr>
        <w:widowControl/>
        <w:numPr>
          <w:ilvl w:val="12"/>
          <w:numId w:val="0"/>
        </w:numPr>
        <w:spacing w:after="120"/>
        <w:rPr>
          <w:sz w:val="24"/>
          <w:szCs w:val="24"/>
          <w:lang w:val="en-GB"/>
        </w:rPr>
      </w:pPr>
    </w:p>
    <w:p w14:paraId="226095BC" w14:textId="77777777" w:rsidR="00AC5AC6" w:rsidRDefault="00AC5AC6" w:rsidP="00923D22">
      <w:pPr>
        <w:widowControl/>
        <w:numPr>
          <w:ilvl w:val="12"/>
          <w:numId w:val="0"/>
        </w:numPr>
        <w:spacing w:after="120"/>
        <w:rPr>
          <w:sz w:val="24"/>
          <w:szCs w:val="24"/>
          <w:lang w:val="en-GB"/>
        </w:rPr>
      </w:pPr>
    </w:p>
    <w:p w14:paraId="00E7FE1F" w14:textId="77777777" w:rsidR="00AC5AC6" w:rsidRPr="00923D22" w:rsidRDefault="00AC5AC6" w:rsidP="00923D22">
      <w:pPr>
        <w:widowControl/>
        <w:numPr>
          <w:ilvl w:val="12"/>
          <w:numId w:val="0"/>
        </w:numPr>
        <w:spacing w:after="120"/>
        <w:rPr>
          <w:sz w:val="24"/>
          <w:szCs w:val="24"/>
          <w:lang w:val="en-GB"/>
        </w:rPr>
      </w:pPr>
    </w:p>
    <w:p w14:paraId="5C8B9DC7" w14:textId="77777777" w:rsidR="00136CBD" w:rsidRDefault="00136CBD">
      <w:pPr>
        <w:widowControl/>
        <w:overflowPunct/>
        <w:autoSpaceDE/>
        <w:autoSpaceDN/>
        <w:adjustRightInd/>
        <w:jc w:val="left"/>
        <w:textAlignment w:val="auto"/>
        <w:rPr>
          <w:b/>
          <w:sz w:val="28"/>
          <w:szCs w:val="28"/>
          <w:lang w:val="en-GB"/>
        </w:rPr>
      </w:pPr>
      <w:r>
        <w:rPr>
          <w:b/>
          <w:sz w:val="28"/>
          <w:szCs w:val="28"/>
          <w:lang w:val="en-GB"/>
        </w:rPr>
        <w:br w:type="page"/>
      </w:r>
    </w:p>
    <w:p w14:paraId="4ED1AB10" w14:textId="0CCE2C71" w:rsidR="001D2768" w:rsidRDefault="001D2768">
      <w:pPr>
        <w:widowControl/>
        <w:numPr>
          <w:ilvl w:val="12"/>
          <w:numId w:val="0"/>
        </w:numPr>
        <w:spacing w:before="240" w:after="240"/>
        <w:rPr>
          <w:sz w:val="28"/>
          <w:szCs w:val="28"/>
          <w:lang w:val="en-GB"/>
        </w:rPr>
      </w:pPr>
      <w:r>
        <w:rPr>
          <w:b/>
          <w:sz w:val="28"/>
          <w:szCs w:val="28"/>
          <w:lang w:val="en-GB"/>
        </w:rPr>
        <w:lastRenderedPageBreak/>
        <w:t>11.</w:t>
      </w:r>
      <w:r w:rsidR="00AC5AC6">
        <w:rPr>
          <w:b/>
          <w:sz w:val="28"/>
          <w:szCs w:val="28"/>
          <w:lang w:val="en-GB"/>
        </w:rPr>
        <w:t xml:space="preserve"> </w:t>
      </w:r>
      <w:r>
        <w:rPr>
          <w:b/>
          <w:sz w:val="28"/>
          <w:szCs w:val="28"/>
          <w:lang w:val="en-GB"/>
        </w:rPr>
        <w:t>Summary</w:t>
      </w:r>
    </w:p>
    <w:p w14:paraId="5C9C62B2" w14:textId="77777777" w:rsidR="001D2768" w:rsidRDefault="001D2768">
      <w:pPr>
        <w:widowControl/>
        <w:numPr>
          <w:ilvl w:val="12"/>
          <w:numId w:val="0"/>
        </w:numPr>
        <w:spacing w:after="120"/>
        <w:rPr>
          <w:sz w:val="24"/>
          <w:szCs w:val="24"/>
          <w:lang w:val="en-GB"/>
        </w:rPr>
      </w:pPr>
      <w:r>
        <w:rPr>
          <w:sz w:val="24"/>
          <w:szCs w:val="24"/>
          <w:lang w:val="en-GB"/>
        </w:rPr>
        <w:t>This WTO:</w:t>
      </w:r>
    </w:p>
    <w:p w14:paraId="7683375A" w14:textId="10FAF8AA" w:rsidR="001D2768" w:rsidRDefault="00346470">
      <w:pPr>
        <w:widowControl/>
        <w:numPr>
          <w:ilvl w:val="0"/>
          <w:numId w:val="11"/>
        </w:numPr>
        <w:ind w:left="567" w:hanging="567"/>
        <w:rPr>
          <w:sz w:val="24"/>
          <w:szCs w:val="24"/>
          <w:lang w:val="en-GB"/>
        </w:rPr>
      </w:pPr>
      <w:r>
        <w:rPr>
          <w:sz w:val="24"/>
          <w:szCs w:val="24"/>
          <w:lang w:val="en-GB"/>
        </w:rPr>
        <w:t xml:space="preserve">Acknowledges that </w:t>
      </w:r>
      <w:r w:rsidR="009B7DBD">
        <w:rPr>
          <w:sz w:val="24"/>
          <w:szCs w:val="24"/>
          <w:lang w:val="en-GB"/>
        </w:rPr>
        <w:t>over 500,000</w:t>
      </w:r>
      <w:r w:rsidR="003E3780">
        <w:rPr>
          <w:sz w:val="24"/>
          <w:szCs w:val="24"/>
          <w:lang w:val="en-GB"/>
        </w:rPr>
        <w:t xml:space="preserve"> </w:t>
      </w:r>
      <w:r w:rsidR="00AC5AC6">
        <w:rPr>
          <w:sz w:val="24"/>
          <w:szCs w:val="24"/>
          <w:lang w:val="en-GB"/>
        </w:rPr>
        <w:t>wallabies</w:t>
      </w:r>
      <w:r w:rsidR="004E0E09">
        <w:rPr>
          <w:sz w:val="24"/>
          <w:szCs w:val="24"/>
          <w:lang w:val="en-GB"/>
        </w:rPr>
        <w:t xml:space="preserve"> are currently culled</w:t>
      </w:r>
      <w:r w:rsidR="009B7DBD">
        <w:rPr>
          <w:sz w:val="24"/>
          <w:szCs w:val="24"/>
          <w:lang w:val="en-GB"/>
        </w:rPr>
        <w:t xml:space="preserve"> for crop protection purposes</w:t>
      </w:r>
      <w:r w:rsidR="001D2768">
        <w:rPr>
          <w:sz w:val="24"/>
          <w:szCs w:val="24"/>
          <w:lang w:val="en-GB"/>
        </w:rPr>
        <w:t xml:space="preserve"> in T</w:t>
      </w:r>
      <w:r w:rsidR="004E0E09">
        <w:rPr>
          <w:sz w:val="24"/>
          <w:szCs w:val="24"/>
          <w:lang w:val="en-GB"/>
        </w:rPr>
        <w:t>asmania every year and much of the product is</w:t>
      </w:r>
      <w:r w:rsidR="001D2768">
        <w:rPr>
          <w:sz w:val="24"/>
          <w:szCs w:val="24"/>
          <w:lang w:val="en-GB"/>
        </w:rPr>
        <w:t xml:space="preserve"> wasted.</w:t>
      </w:r>
    </w:p>
    <w:p w14:paraId="22EF7F18" w14:textId="77777777" w:rsidR="001D2768" w:rsidRDefault="001D2768">
      <w:pPr>
        <w:widowControl/>
        <w:numPr>
          <w:ilvl w:val="0"/>
          <w:numId w:val="11"/>
        </w:numPr>
        <w:ind w:left="567" w:hanging="567"/>
        <w:rPr>
          <w:sz w:val="24"/>
          <w:szCs w:val="24"/>
          <w:lang w:val="en-GB"/>
        </w:rPr>
      </w:pPr>
      <w:r>
        <w:rPr>
          <w:sz w:val="24"/>
          <w:szCs w:val="24"/>
          <w:lang w:val="en-GB"/>
        </w:rPr>
        <w:t xml:space="preserve">Acknowledges that this level of harvest has occurred for an extended time and appears to have no effect on </w:t>
      </w:r>
      <w:r w:rsidR="009B7DBD">
        <w:rPr>
          <w:sz w:val="24"/>
          <w:szCs w:val="24"/>
          <w:lang w:val="en-GB"/>
        </w:rPr>
        <w:t xml:space="preserve">the sustainability of wallaby </w:t>
      </w:r>
      <w:r>
        <w:rPr>
          <w:sz w:val="24"/>
          <w:szCs w:val="24"/>
          <w:lang w:val="en-GB"/>
        </w:rPr>
        <w:t>populations.</w:t>
      </w:r>
    </w:p>
    <w:p w14:paraId="58EB77E3" w14:textId="30D927A8" w:rsidR="001D2768" w:rsidRDefault="00346470">
      <w:pPr>
        <w:widowControl/>
        <w:numPr>
          <w:ilvl w:val="0"/>
          <w:numId w:val="11"/>
        </w:numPr>
        <w:ind w:left="567" w:hanging="567"/>
        <w:rPr>
          <w:sz w:val="24"/>
          <w:szCs w:val="24"/>
          <w:lang w:val="en-GB"/>
        </w:rPr>
      </w:pPr>
      <w:r>
        <w:rPr>
          <w:sz w:val="24"/>
          <w:szCs w:val="24"/>
          <w:lang w:val="en-GB"/>
        </w:rPr>
        <w:t>Proposes that the product up to 200</w:t>
      </w:r>
      <w:r w:rsidR="004E0E09">
        <w:rPr>
          <w:sz w:val="24"/>
          <w:szCs w:val="24"/>
          <w:lang w:val="en-GB"/>
        </w:rPr>
        <w:t>,000 wallaby</w:t>
      </w:r>
      <w:r w:rsidR="001D2768">
        <w:rPr>
          <w:sz w:val="24"/>
          <w:szCs w:val="24"/>
          <w:lang w:val="en-GB"/>
        </w:rPr>
        <w:t xml:space="preserve"> per </w:t>
      </w:r>
      <w:r w:rsidR="00BC0CEA">
        <w:rPr>
          <w:sz w:val="24"/>
          <w:szCs w:val="24"/>
          <w:lang w:val="en-GB"/>
        </w:rPr>
        <w:t>calendar</w:t>
      </w:r>
      <w:r w:rsidR="001D2768">
        <w:rPr>
          <w:sz w:val="24"/>
          <w:szCs w:val="24"/>
          <w:lang w:val="en-GB"/>
        </w:rPr>
        <w:t xml:space="preserve"> year be exportable.</w:t>
      </w:r>
    </w:p>
    <w:p w14:paraId="5C6313D5" w14:textId="3A14A153" w:rsidR="001D2768" w:rsidRPr="00BA6D41" w:rsidRDefault="001D2768" w:rsidP="00BA6D41">
      <w:pPr>
        <w:widowControl/>
        <w:numPr>
          <w:ilvl w:val="0"/>
          <w:numId w:val="11"/>
        </w:numPr>
        <w:ind w:left="567" w:hanging="567"/>
        <w:rPr>
          <w:sz w:val="24"/>
          <w:szCs w:val="24"/>
          <w:lang w:val="en-GB"/>
        </w:rPr>
      </w:pPr>
      <w:r w:rsidRPr="00BA6D41">
        <w:rPr>
          <w:sz w:val="24"/>
          <w:szCs w:val="24"/>
          <w:lang w:val="en-GB"/>
        </w:rPr>
        <w:t xml:space="preserve">Documents the extensive licensing, reporting and monitoring controls in place to ensure compliance and </w:t>
      </w:r>
      <w:r w:rsidR="00E333C7" w:rsidRPr="00BA6D41">
        <w:rPr>
          <w:sz w:val="24"/>
          <w:szCs w:val="24"/>
          <w:lang w:val="en-GB"/>
        </w:rPr>
        <w:t>establish</w:t>
      </w:r>
      <w:r w:rsidR="00E333C7">
        <w:rPr>
          <w:sz w:val="24"/>
          <w:szCs w:val="24"/>
          <w:lang w:val="en-GB"/>
        </w:rPr>
        <w:t>es</w:t>
      </w:r>
      <w:r w:rsidRPr="00BA6D41">
        <w:rPr>
          <w:sz w:val="24"/>
          <w:szCs w:val="24"/>
          <w:lang w:val="en-GB"/>
        </w:rPr>
        <w:t xml:space="preserve"> an auditable supply chain. </w:t>
      </w:r>
    </w:p>
    <w:p w14:paraId="5FFCC072" w14:textId="77777777" w:rsidR="001D2768" w:rsidRDefault="001D2768">
      <w:pPr>
        <w:widowControl/>
        <w:spacing w:after="120"/>
        <w:rPr>
          <w:sz w:val="24"/>
          <w:szCs w:val="24"/>
          <w:lang w:val="en-GB"/>
        </w:rPr>
      </w:pPr>
    </w:p>
    <w:p w14:paraId="7E6FCF18" w14:textId="77777777" w:rsidR="00891BFA" w:rsidRDefault="001D2768" w:rsidP="006B2D86">
      <w:pPr>
        <w:widowControl/>
        <w:spacing w:after="120"/>
        <w:rPr>
          <w:b/>
          <w:sz w:val="28"/>
          <w:szCs w:val="28"/>
          <w:lang w:val="en-GB"/>
        </w:rPr>
      </w:pPr>
      <w:r>
        <w:rPr>
          <w:sz w:val="24"/>
          <w:szCs w:val="24"/>
          <w:lang w:val="en-GB"/>
        </w:rPr>
        <w:t>This WTO is non-detri</w:t>
      </w:r>
      <w:r w:rsidR="003E3780">
        <w:rPr>
          <w:sz w:val="24"/>
          <w:szCs w:val="24"/>
          <w:lang w:val="en-GB"/>
        </w:rPr>
        <w:t xml:space="preserve">mental to the Tasmanian </w:t>
      </w:r>
      <w:r>
        <w:rPr>
          <w:sz w:val="24"/>
          <w:szCs w:val="24"/>
          <w:lang w:val="en-GB"/>
        </w:rPr>
        <w:t xml:space="preserve">wallaby population since it simply puts in place a mechanism to enable </w:t>
      </w:r>
      <w:r w:rsidR="004E0E09">
        <w:rPr>
          <w:sz w:val="24"/>
          <w:szCs w:val="24"/>
          <w:lang w:val="en-GB"/>
        </w:rPr>
        <w:t>a small</w:t>
      </w:r>
      <w:r w:rsidR="00B9507C">
        <w:rPr>
          <w:sz w:val="24"/>
          <w:szCs w:val="24"/>
          <w:lang w:val="en-GB"/>
        </w:rPr>
        <w:t xml:space="preserve"> percentage of an existing </w:t>
      </w:r>
      <w:r w:rsidR="004E0E09">
        <w:rPr>
          <w:sz w:val="24"/>
          <w:szCs w:val="24"/>
          <w:lang w:val="en-GB"/>
        </w:rPr>
        <w:t>sustainable cull</w:t>
      </w:r>
      <w:r>
        <w:rPr>
          <w:sz w:val="24"/>
          <w:szCs w:val="24"/>
          <w:lang w:val="en-GB"/>
        </w:rPr>
        <w:t xml:space="preserve"> to be exported rather than wasted.</w:t>
      </w:r>
    </w:p>
    <w:p w14:paraId="2268CB53" w14:textId="77777777" w:rsidR="001D2768" w:rsidRDefault="001D2768">
      <w:pPr>
        <w:widowControl/>
        <w:spacing w:before="240" w:after="240"/>
        <w:rPr>
          <w:b/>
          <w:sz w:val="28"/>
          <w:szCs w:val="28"/>
          <w:lang w:val="en-GB"/>
        </w:rPr>
      </w:pPr>
      <w:r>
        <w:rPr>
          <w:b/>
          <w:sz w:val="28"/>
          <w:szCs w:val="28"/>
          <w:lang w:val="en-GB"/>
        </w:rPr>
        <w:t>Bibliography</w:t>
      </w:r>
    </w:p>
    <w:p w14:paraId="294CEF84" w14:textId="77777777" w:rsidR="001D2768" w:rsidRDefault="001D2768">
      <w:pPr>
        <w:widowControl/>
        <w:spacing w:after="120"/>
        <w:rPr>
          <w:b/>
          <w:sz w:val="24"/>
          <w:szCs w:val="24"/>
          <w:lang w:val="en-GB"/>
        </w:rPr>
      </w:pPr>
      <w:proofErr w:type="spellStart"/>
      <w:r>
        <w:rPr>
          <w:b/>
          <w:sz w:val="24"/>
          <w:szCs w:val="24"/>
          <w:lang w:val="en-GB"/>
        </w:rPr>
        <w:t>Calaby</w:t>
      </w:r>
      <w:proofErr w:type="spellEnd"/>
      <w:r>
        <w:rPr>
          <w:b/>
          <w:sz w:val="24"/>
          <w:szCs w:val="24"/>
          <w:lang w:val="en-GB"/>
        </w:rPr>
        <w:t>, J.H. (1983)</w:t>
      </w:r>
      <w:r>
        <w:rPr>
          <w:sz w:val="24"/>
          <w:szCs w:val="24"/>
          <w:lang w:val="en-GB"/>
        </w:rPr>
        <w:t xml:space="preserve"> Red-Necked Wallaby. In 'Complete Book of Australian Mammals'. (Ed. R. Strahan) p. 186. (Angus and Robertson: Sydney).</w:t>
      </w:r>
    </w:p>
    <w:p w14:paraId="078D75EB" w14:textId="77777777" w:rsidR="001D2768" w:rsidRPr="00136CBD" w:rsidRDefault="001D2768">
      <w:pPr>
        <w:widowControl/>
        <w:spacing w:after="120"/>
        <w:rPr>
          <w:bCs/>
          <w:sz w:val="24"/>
          <w:szCs w:val="24"/>
          <w:lang w:val="en-GB"/>
        </w:rPr>
      </w:pPr>
      <w:smartTag w:uri="urn:schemas-microsoft-com:office:smarttags" w:element="City">
        <w:r>
          <w:rPr>
            <w:b/>
            <w:sz w:val="24"/>
            <w:szCs w:val="24"/>
            <w:lang w:val="en-GB"/>
          </w:rPr>
          <w:t>Catt</w:t>
        </w:r>
      </w:smartTag>
      <w:r>
        <w:rPr>
          <w:b/>
          <w:sz w:val="24"/>
          <w:szCs w:val="24"/>
          <w:lang w:val="en-GB"/>
        </w:rPr>
        <w:t xml:space="preserve">, </w:t>
      </w:r>
      <w:smartTag w:uri="urn:schemas-microsoft-com:office:smarttags" w:element="State">
        <w:r>
          <w:rPr>
            <w:b/>
            <w:sz w:val="24"/>
            <w:szCs w:val="24"/>
            <w:lang w:val="en-GB"/>
          </w:rPr>
          <w:t>D.C.</w:t>
        </w:r>
      </w:smartTag>
      <w:r>
        <w:rPr>
          <w:b/>
          <w:sz w:val="24"/>
          <w:szCs w:val="24"/>
          <w:lang w:val="en-GB"/>
        </w:rPr>
        <w:t xml:space="preserve"> (1977) </w:t>
      </w:r>
      <w:r w:rsidRPr="00136CBD">
        <w:rPr>
          <w:bCs/>
          <w:sz w:val="24"/>
          <w:szCs w:val="24"/>
          <w:lang w:val="en-GB"/>
        </w:rPr>
        <w:t xml:space="preserve">The breeding biology of Bennett's wallaby (Macropus </w:t>
      </w:r>
      <w:proofErr w:type="spellStart"/>
      <w:r w:rsidRPr="00136CBD">
        <w:rPr>
          <w:bCs/>
          <w:sz w:val="24"/>
          <w:szCs w:val="24"/>
          <w:lang w:val="en-GB"/>
        </w:rPr>
        <w:t>rufogriseus</w:t>
      </w:r>
      <w:proofErr w:type="spellEnd"/>
      <w:r w:rsidRPr="00136CBD">
        <w:rPr>
          <w:bCs/>
          <w:sz w:val="24"/>
          <w:szCs w:val="24"/>
          <w:lang w:val="en-GB"/>
        </w:rPr>
        <w:t xml:space="preserve"> </w:t>
      </w:r>
      <w:proofErr w:type="spellStart"/>
      <w:r w:rsidRPr="00136CBD">
        <w:rPr>
          <w:bCs/>
          <w:sz w:val="24"/>
          <w:szCs w:val="24"/>
          <w:lang w:val="en-GB"/>
        </w:rPr>
        <w:t>fruticus</w:t>
      </w:r>
      <w:proofErr w:type="spellEnd"/>
      <w:r w:rsidRPr="00136CBD">
        <w:rPr>
          <w:bCs/>
          <w:sz w:val="24"/>
          <w:szCs w:val="24"/>
          <w:lang w:val="en-GB"/>
        </w:rPr>
        <w:t>) in South Canterbury, New Zealand. N.Z. J. Zool. 4: 401-411.</w:t>
      </w:r>
    </w:p>
    <w:p w14:paraId="30A5EE9F" w14:textId="07A787AF" w:rsidR="00136CBD" w:rsidRPr="00136CBD" w:rsidRDefault="00BA6D41" w:rsidP="000C3505">
      <w:pPr>
        <w:pStyle w:val="Default"/>
        <w:spacing w:after="240"/>
        <w:rPr>
          <w:rFonts w:ascii="Times New Roman" w:eastAsia="Times New Roman" w:hAnsi="Times New Roman" w:cs="Times New Roman"/>
          <w:bCs/>
          <w:color w:val="auto"/>
          <w:lang w:val="en-GB"/>
        </w:rPr>
      </w:pPr>
      <w:r w:rsidRPr="00136CBD">
        <w:rPr>
          <w:rFonts w:ascii="Times New Roman" w:eastAsia="Times New Roman" w:hAnsi="Times New Roman" w:cs="Times New Roman"/>
          <w:b/>
          <w:color w:val="auto"/>
          <w:lang w:val="en-GB"/>
        </w:rPr>
        <w:t xml:space="preserve">DPIPWE (2020) </w:t>
      </w:r>
      <w:r w:rsidRPr="00136CBD">
        <w:rPr>
          <w:rFonts w:ascii="Times New Roman" w:eastAsia="Times New Roman" w:hAnsi="Times New Roman" w:cs="Times New Roman"/>
          <w:bCs/>
          <w:color w:val="auto"/>
          <w:lang w:val="en-GB"/>
        </w:rPr>
        <w:t>Submission to the Review of the National Code of Practice for the Shooting of Kangaroos and Wallabies for Commercial Purposes.  Department of Primary Industries, Parks, Water and Environment Tasmania.</w:t>
      </w:r>
    </w:p>
    <w:p w14:paraId="77F8CE9A" w14:textId="54D2A8E3" w:rsidR="001D2768" w:rsidRPr="000C3505" w:rsidRDefault="001D2768" w:rsidP="000C3505">
      <w:pPr>
        <w:widowControl/>
        <w:spacing w:after="120"/>
        <w:jc w:val="left"/>
        <w:rPr>
          <w:bCs/>
          <w:sz w:val="24"/>
          <w:szCs w:val="24"/>
          <w:lang w:val="en-GB"/>
        </w:rPr>
      </w:pPr>
      <w:r w:rsidRPr="00136CBD">
        <w:rPr>
          <w:b/>
          <w:sz w:val="24"/>
          <w:szCs w:val="24"/>
          <w:lang w:val="en-GB"/>
        </w:rPr>
        <w:t xml:space="preserve">Hocking, G.J., and Driessen, M.M. (1992) </w:t>
      </w:r>
      <w:r w:rsidRPr="000C3505">
        <w:rPr>
          <w:bCs/>
          <w:sz w:val="24"/>
          <w:szCs w:val="24"/>
          <w:lang w:val="en-GB"/>
        </w:rPr>
        <w:t>Tasmanian Spotlight Survey Manual. Department of Parks, Wildlife and Heritage, Hobart.</w:t>
      </w:r>
    </w:p>
    <w:p w14:paraId="1F1AF3F7" w14:textId="77777777" w:rsidR="001D2768" w:rsidRPr="000C3505" w:rsidRDefault="001D2768" w:rsidP="000C3505">
      <w:pPr>
        <w:widowControl/>
        <w:spacing w:after="120"/>
        <w:jc w:val="left"/>
        <w:rPr>
          <w:bCs/>
          <w:sz w:val="24"/>
          <w:szCs w:val="24"/>
          <w:lang w:val="en-GB"/>
        </w:rPr>
      </w:pPr>
      <w:r w:rsidRPr="00136CBD">
        <w:rPr>
          <w:b/>
          <w:sz w:val="24"/>
          <w:szCs w:val="24"/>
          <w:lang w:val="en-GB"/>
        </w:rPr>
        <w:t xml:space="preserve">Johnson, K.A., and Rose, R.W. (1995) </w:t>
      </w:r>
      <w:r w:rsidRPr="000C3505">
        <w:rPr>
          <w:bCs/>
          <w:sz w:val="24"/>
          <w:szCs w:val="24"/>
          <w:lang w:val="en-GB"/>
        </w:rPr>
        <w:t xml:space="preserve">Tasmanian </w:t>
      </w:r>
      <w:proofErr w:type="spellStart"/>
      <w:r w:rsidRPr="000C3505">
        <w:rPr>
          <w:bCs/>
          <w:sz w:val="24"/>
          <w:szCs w:val="24"/>
          <w:lang w:val="en-GB"/>
        </w:rPr>
        <w:t>Pademelon</w:t>
      </w:r>
      <w:proofErr w:type="spellEnd"/>
      <w:r w:rsidRPr="000C3505">
        <w:rPr>
          <w:bCs/>
          <w:sz w:val="24"/>
          <w:szCs w:val="24"/>
          <w:lang w:val="en-GB"/>
        </w:rPr>
        <w:t xml:space="preserve"> (Thylogale </w:t>
      </w:r>
      <w:proofErr w:type="spellStart"/>
      <w:r w:rsidRPr="000C3505">
        <w:rPr>
          <w:bCs/>
          <w:sz w:val="24"/>
          <w:szCs w:val="24"/>
          <w:lang w:val="en-GB"/>
        </w:rPr>
        <w:t>billardierii</w:t>
      </w:r>
      <w:proofErr w:type="spellEnd"/>
      <w:r w:rsidRPr="000C3505">
        <w:rPr>
          <w:bCs/>
          <w:sz w:val="24"/>
          <w:szCs w:val="24"/>
          <w:lang w:val="en-GB"/>
        </w:rPr>
        <w:t>). In ‘The Mammals of Australia’. (Ed. R. Strahan) p. 394. (Reed Books: Chatswood).</w:t>
      </w:r>
    </w:p>
    <w:p w14:paraId="680E14AF" w14:textId="77777777" w:rsidR="001D2768" w:rsidRPr="000C3505" w:rsidRDefault="001D2768" w:rsidP="000C3505">
      <w:pPr>
        <w:widowControl/>
        <w:spacing w:after="120"/>
        <w:jc w:val="left"/>
        <w:rPr>
          <w:bCs/>
          <w:sz w:val="24"/>
          <w:szCs w:val="24"/>
          <w:lang w:val="en-GB"/>
        </w:rPr>
      </w:pPr>
      <w:r w:rsidRPr="00136CBD">
        <w:rPr>
          <w:b/>
          <w:sz w:val="24"/>
          <w:szCs w:val="24"/>
          <w:lang w:val="en-GB"/>
        </w:rPr>
        <w:t xml:space="preserve">Mooney, </w:t>
      </w:r>
      <w:smartTag w:uri="urn:schemas-microsoft-com:office:smarttags" w:element="State">
        <w:r w:rsidRPr="00136CBD">
          <w:rPr>
            <w:b/>
            <w:sz w:val="24"/>
            <w:szCs w:val="24"/>
            <w:lang w:val="en-GB"/>
          </w:rPr>
          <w:t>N.J.</w:t>
        </w:r>
      </w:smartTag>
      <w:r w:rsidRPr="00136CBD">
        <w:rPr>
          <w:b/>
          <w:sz w:val="24"/>
          <w:szCs w:val="24"/>
          <w:lang w:val="en-GB"/>
        </w:rPr>
        <w:t xml:space="preserve"> and Johnson, K.A. (1979) </w:t>
      </w:r>
      <w:r w:rsidRPr="000C3505">
        <w:rPr>
          <w:bCs/>
          <w:sz w:val="24"/>
          <w:szCs w:val="24"/>
          <w:lang w:val="en-GB"/>
        </w:rPr>
        <w:t>Methods for the census of wallaby and possum in Tasmania. Unpublished Tasmanian National Parks and Wildlife Service Technical Report.</w:t>
      </w:r>
    </w:p>
    <w:p w14:paraId="7F3C6220" w14:textId="77777777" w:rsidR="001D2768" w:rsidRPr="000C3505" w:rsidRDefault="001D2768" w:rsidP="000C3505">
      <w:pPr>
        <w:widowControl/>
        <w:spacing w:after="120"/>
        <w:jc w:val="left"/>
        <w:rPr>
          <w:bCs/>
          <w:sz w:val="24"/>
          <w:szCs w:val="24"/>
          <w:lang w:val="en-GB"/>
        </w:rPr>
      </w:pPr>
      <w:r w:rsidRPr="00136CBD">
        <w:rPr>
          <w:b/>
          <w:sz w:val="24"/>
          <w:szCs w:val="24"/>
          <w:lang w:val="en-GB"/>
        </w:rPr>
        <w:t xml:space="preserve">Morton, S.R. and </w:t>
      </w:r>
      <w:smartTag w:uri="urn:schemas-microsoft-com:office:smarttags" w:element="City">
        <w:smartTag w:uri="urn:schemas-microsoft-com:office:smarttags" w:element="place">
          <w:r w:rsidRPr="00136CBD">
            <w:rPr>
              <w:b/>
              <w:sz w:val="24"/>
              <w:szCs w:val="24"/>
              <w:lang w:val="en-GB"/>
            </w:rPr>
            <w:t>Burton</w:t>
          </w:r>
        </w:smartTag>
      </w:smartTag>
      <w:r w:rsidRPr="00136CBD">
        <w:rPr>
          <w:b/>
          <w:sz w:val="24"/>
          <w:szCs w:val="24"/>
          <w:lang w:val="en-GB"/>
        </w:rPr>
        <w:t xml:space="preserve">, T.C. (1973) </w:t>
      </w:r>
      <w:r w:rsidRPr="000C3505">
        <w:rPr>
          <w:bCs/>
          <w:sz w:val="24"/>
          <w:szCs w:val="24"/>
          <w:lang w:val="en-GB"/>
        </w:rPr>
        <w:t xml:space="preserve">Observations on the behaviour of the macropodid marsupial Thylogale </w:t>
      </w:r>
      <w:proofErr w:type="spellStart"/>
      <w:r w:rsidRPr="000C3505">
        <w:rPr>
          <w:bCs/>
          <w:sz w:val="24"/>
          <w:szCs w:val="24"/>
          <w:lang w:val="en-GB"/>
        </w:rPr>
        <w:t>billardierii</w:t>
      </w:r>
      <w:proofErr w:type="spellEnd"/>
      <w:r w:rsidRPr="000C3505">
        <w:rPr>
          <w:bCs/>
          <w:sz w:val="24"/>
          <w:szCs w:val="24"/>
          <w:lang w:val="en-GB"/>
        </w:rPr>
        <w:t xml:space="preserve"> (Desmarest) in captivity. Aust. Zool. 18: 1-14.</w:t>
      </w:r>
    </w:p>
    <w:p w14:paraId="4A8D5CB0" w14:textId="3E8FB470" w:rsidR="001D2768" w:rsidRPr="000C3505" w:rsidRDefault="006964FF" w:rsidP="000C3505">
      <w:pPr>
        <w:widowControl/>
        <w:spacing w:after="120"/>
        <w:jc w:val="left"/>
        <w:rPr>
          <w:bCs/>
          <w:sz w:val="24"/>
          <w:szCs w:val="24"/>
          <w:lang w:val="en-GB"/>
        </w:rPr>
      </w:pPr>
      <w:r w:rsidRPr="00136CBD">
        <w:rPr>
          <w:b/>
          <w:sz w:val="24"/>
          <w:szCs w:val="24"/>
          <w:lang w:val="en-GB"/>
        </w:rPr>
        <w:t xml:space="preserve">NRET (2025) </w:t>
      </w:r>
      <w:r w:rsidRPr="000C3505">
        <w:rPr>
          <w:bCs/>
          <w:sz w:val="24"/>
          <w:szCs w:val="24"/>
          <w:lang w:val="en-GB"/>
        </w:rPr>
        <w:t>Annual Spotlight Surveys, Tasmania 2024. Nature Conservation Report 25/02. Department of Natural Resources and Environment, Tasmania</w:t>
      </w:r>
      <w:r w:rsidR="00D36EFD" w:rsidRPr="000C3505">
        <w:rPr>
          <w:bCs/>
          <w:sz w:val="24"/>
          <w:szCs w:val="24"/>
          <w:lang w:val="en-GB"/>
        </w:rPr>
        <w:t>.</w:t>
      </w:r>
    </w:p>
    <w:p w14:paraId="2C29978B" w14:textId="77777777" w:rsidR="00D36EFD" w:rsidRDefault="00D36EFD">
      <w:pPr>
        <w:widowControl/>
        <w:spacing w:after="120"/>
        <w:rPr>
          <w:sz w:val="24"/>
          <w:szCs w:val="24"/>
        </w:rPr>
      </w:pPr>
    </w:p>
    <w:p w14:paraId="52A76D89" w14:textId="77777777" w:rsidR="00D36EFD" w:rsidRDefault="00D36EFD">
      <w:pPr>
        <w:widowControl/>
        <w:spacing w:after="120"/>
        <w:rPr>
          <w:sz w:val="24"/>
          <w:szCs w:val="24"/>
        </w:rPr>
      </w:pPr>
    </w:p>
    <w:p w14:paraId="7C2209E4" w14:textId="77777777" w:rsidR="00D36EFD" w:rsidRDefault="00D36EFD">
      <w:pPr>
        <w:widowControl/>
        <w:spacing w:after="120"/>
        <w:rPr>
          <w:sz w:val="24"/>
          <w:szCs w:val="24"/>
        </w:rPr>
      </w:pPr>
    </w:p>
    <w:p w14:paraId="176E860C" w14:textId="77777777" w:rsidR="003A09DA" w:rsidRDefault="00D36EFD">
      <w:pPr>
        <w:widowControl/>
        <w:spacing w:after="120"/>
        <w:rPr>
          <w:sz w:val="24"/>
          <w:szCs w:val="24"/>
        </w:rPr>
      </w:pPr>
      <w:r>
        <w:rPr>
          <w:sz w:val="24"/>
          <w:szCs w:val="24"/>
        </w:rPr>
        <w:br w:type="column"/>
      </w:r>
    </w:p>
    <w:p w14:paraId="4E0AA9C1" w14:textId="43185480" w:rsidR="00D36EFD" w:rsidRDefault="00D36EFD">
      <w:pPr>
        <w:widowControl/>
        <w:spacing w:after="120"/>
        <w:rPr>
          <w:b/>
          <w:bCs/>
          <w:sz w:val="36"/>
          <w:szCs w:val="36"/>
        </w:rPr>
      </w:pPr>
      <w:r>
        <w:rPr>
          <w:b/>
          <w:bCs/>
          <w:sz w:val="36"/>
          <w:szCs w:val="36"/>
        </w:rPr>
        <w:t>Appendix 1</w:t>
      </w:r>
      <w:r w:rsidR="003A09DA">
        <w:rPr>
          <w:b/>
          <w:bCs/>
          <w:sz w:val="36"/>
          <w:szCs w:val="36"/>
        </w:rPr>
        <w:t xml:space="preserve"> - </w:t>
      </w:r>
      <w:r>
        <w:rPr>
          <w:b/>
          <w:bCs/>
          <w:sz w:val="36"/>
          <w:szCs w:val="36"/>
        </w:rPr>
        <w:t xml:space="preserve">Commercial purpose </w:t>
      </w:r>
      <w:r w:rsidR="008848AA">
        <w:rPr>
          <w:b/>
          <w:bCs/>
          <w:sz w:val="36"/>
          <w:szCs w:val="36"/>
        </w:rPr>
        <w:t>license</w:t>
      </w:r>
    </w:p>
    <w:p w14:paraId="5A8A4C62" w14:textId="77777777" w:rsidR="003A09DA" w:rsidRDefault="003A09DA">
      <w:pPr>
        <w:widowControl/>
        <w:spacing w:after="120"/>
        <w:rPr>
          <w:b/>
          <w:bCs/>
          <w:sz w:val="36"/>
          <w:szCs w:val="36"/>
        </w:rPr>
      </w:pPr>
    </w:p>
    <w:p w14:paraId="66F978BE" w14:textId="1AF0C5F5" w:rsidR="00906FC5" w:rsidRDefault="00BC1331">
      <w:pPr>
        <w:widowControl/>
        <w:spacing w:after="120"/>
        <w:rPr>
          <w:b/>
          <w:bCs/>
          <w:sz w:val="36"/>
          <w:szCs w:val="36"/>
        </w:rPr>
      </w:pPr>
      <w:r w:rsidRPr="00BC1331">
        <w:rPr>
          <w:b/>
          <w:bCs/>
          <w:sz w:val="36"/>
          <w:szCs w:val="36"/>
          <w:bdr w:val="single" w:sz="4" w:space="0" w:color="auto"/>
        </w:rPr>
        <w:drawing>
          <wp:inline distT="0" distB="0" distL="0" distR="0" wp14:anchorId="21E71376" wp14:editId="4B178887">
            <wp:extent cx="5006629" cy="7518400"/>
            <wp:effectExtent l="0" t="0" r="3810" b="6350"/>
            <wp:docPr id="1380279528" name="Picture 1" descr="A close-up of a document&#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79528" name="Picture 1" descr="A close-up of a document&#10;&#10;&#10;"/>
                    <pic:cNvPicPr/>
                  </pic:nvPicPr>
                  <pic:blipFill>
                    <a:blip r:embed="rId9"/>
                    <a:stretch>
                      <a:fillRect/>
                    </a:stretch>
                  </pic:blipFill>
                  <pic:spPr>
                    <a:xfrm>
                      <a:off x="0" y="0"/>
                      <a:ext cx="5010782" cy="7524637"/>
                    </a:xfrm>
                    <a:prstGeom prst="rect">
                      <a:avLst/>
                    </a:prstGeom>
                  </pic:spPr>
                </pic:pic>
              </a:graphicData>
            </a:graphic>
          </wp:inline>
        </w:drawing>
      </w:r>
    </w:p>
    <w:p w14:paraId="305A3254" w14:textId="6CA4AC27" w:rsidR="00D36EFD" w:rsidRDefault="00D36EFD">
      <w:pPr>
        <w:widowControl/>
        <w:spacing w:after="120"/>
        <w:rPr>
          <w:b/>
          <w:bCs/>
          <w:sz w:val="36"/>
          <w:szCs w:val="36"/>
        </w:rPr>
      </w:pPr>
      <w:r>
        <w:rPr>
          <w:b/>
          <w:bCs/>
          <w:sz w:val="36"/>
          <w:szCs w:val="36"/>
        </w:rPr>
        <w:br w:type="column"/>
      </w:r>
      <w:r>
        <w:rPr>
          <w:b/>
          <w:bCs/>
          <w:sz w:val="36"/>
          <w:szCs w:val="36"/>
        </w:rPr>
        <w:lastRenderedPageBreak/>
        <w:t>Appendix 2</w:t>
      </w:r>
      <w:r w:rsidR="00524E96">
        <w:rPr>
          <w:b/>
          <w:bCs/>
          <w:sz w:val="36"/>
          <w:szCs w:val="36"/>
        </w:rPr>
        <w:t xml:space="preserve"> - </w:t>
      </w:r>
      <w:r>
        <w:rPr>
          <w:b/>
          <w:bCs/>
          <w:sz w:val="36"/>
          <w:szCs w:val="36"/>
        </w:rPr>
        <w:t>Quarterly reports</w:t>
      </w:r>
    </w:p>
    <w:p w14:paraId="47215839" w14:textId="77777777" w:rsidR="00524E96" w:rsidRDefault="00524E96">
      <w:pPr>
        <w:widowControl/>
        <w:spacing w:after="120"/>
        <w:rPr>
          <w:b/>
          <w:bCs/>
          <w:sz w:val="36"/>
          <w:szCs w:val="36"/>
        </w:rPr>
      </w:pPr>
    </w:p>
    <w:p w14:paraId="0F499F9A" w14:textId="7F5F131D" w:rsidR="002850FA" w:rsidRDefault="009F34F7">
      <w:pPr>
        <w:widowControl/>
        <w:spacing w:after="120"/>
        <w:rPr>
          <w:b/>
          <w:bCs/>
          <w:sz w:val="36"/>
          <w:szCs w:val="36"/>
          <w:lang w:val="en-GB"/>
        </w:rPr>
      </w:pPr>
      <w:r w:rsidRPr="00E46461">
        <w:rPr>
          <w:b/>
          <w:bCs/>
          <w:sz w:val="36"/>
          <w:szCs w:val="36"/>
          <w:bdr w:val="single" w:sz="4" w:space="0" w:color="auto"/>
          <w:lang w:val="en-GB"/>
        </w:rPr>
        <w:drawing>
          <wp:inline distT="0" distB="0" distL="0" distR="0" wp14:anchorId="7D6D3F0F" wp14:editId="1D759766">
            <wp:extent cx="5079084" cy="2552700"/>
            <wp:effectExtent l="0" t="0" r="7620" b="0"/>
            <wp:docPr id="780761133" name="Picture 1" descr="A close-up of a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61133" name="Picture 1" descr="A close-up of a form"/>
                    <pic:cNvPicPr/>
                  </pic:nvPicPr>
                  <pic:blipFill>
                    <a:blip r:embed="rId10"/>
                    <a:stretch>
                      <a:fillRect/>
                    </a:stretch>
                  </pic:blipFill>
                  <pic:spPr>
                    <a:xfrm>
                      <a:off x="0" y="0"/>
                      <a:ext cx="5083691" cy="2555016"/>
                    </a:xfrm>
                    <a:prstGeom prst="rect">
                      <a:avLst/>
                    </a:prstGeom>
                  </pic:spPr>
                </pic:pic>
              </a:graphicData>
            </a:graphic>
          </wp:inline>
        </w:drawing>
      </w:r>
    </w:p>
    <w:p w14:paraId="167C9DAE" w14:textId="14CD9103" w:rsidR="00906FC5" w:rsidRDefault="00906FC5">
      <w:pPr>
        <w:widowControl/>
        <w:spacing w:after="120"/>
        <w:rPr>
          <w:b/>
          <w:bCs/>
          <w:sz w:val="36"/>
          <w:szCs w:val="36"/>
          <w:lang w:val="en-GB"/>
        </w:rPr>
      </w:pPr>
    </w:p>
    <w:p w14:paraId="6FD4E311" w14:textId="77777777" w:rsidR="00524E96" w:rsidRDefault="00524E96">
      <w:pPr>
        <w:widowControl/>
        <w:spacing w:after="120"/>
        <w:rPr>
          <w:b/>
          <w:bCs/>
          <w:sz w:val="36"/>
          <w:szCs w:val="36"/>
          <w:lang w:val="en-GB"/>
        </w:rPr>
      </w:pPr>
    </w:p>
    <w:p w14:paraId="36358AD4" w14:textId="39220E4F" w:rsidR="00A44134" w:rsidRPr="006B2D86" w:rsidRDefault="00E46461">
      <w:pPr>
        <w:widowControl/>
        <w:spacing w:after="120"/>
        <w:rPr>
          <w:b/>
          <w:bCs/>
          <w:sz w:val="36"/>
          <w:szCs w:val="36"/>
          <w:lang w:val="en-GB"/>
        </w:rPr>
      </w:pPr>
      <w:r w:rsidRPr="00E46461">
        <w:rPr>
          <w:b/>
          <w:bCs/>
          <w:sz w:val="36"/>
          <w:szCs w:val="36"/>
          <w:bdr w:val="single" w:sz="4" w:space="0" w:color="auto"/>
          <w:lang w:val="en-GB"/>
        </w:rPr>
        <w:drawing>
          <wp:inline distT="0" distB="0" distL="0" distR="0" wp14:anchorId="6A8BBE85" wp14:editId="2EE6158C">
            <wp:extent cx="5060950" cy="3195802"/>
            <wp:effectExtent l="0" t="0" r="6350" b="5080"/>
            <wp:docPr id="476241481" name="Picture 1" descr="A close-up of a paym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41481" name="Picture 1" descr="A close-up of a payment form"/>
                    <pic:cNvPicPr/>
                  </pic:nvPicPr>
                  <pic:blipFill>
                    <a:blip r:embed="rId11"/>
                    <a:stretch>
                      <a:fillRect/>
                    </a:stretch>
                  </pic:blipFill>
                  <pic:spPr>
                    <a:xfrm>
                      <a:off x="0" y="0"/>
                      <a:ext cx="5068621" cy="3200646"/>
                    </a:xfrm>
                    <a:prstGeom prst="rect">
                      <a:avLst/>
                    </a:prstGeom>
                  </pic:spPr>
                </pic:pic>
              </a:graphicData>
            </a:graphic>
          </wp:inline>
        </w:drawing>
      </w:r>
    </w:p>
    <w:sectPr w:rsidR="00A44134" w:rsidRPr="006B2D86">
      <w:endnotePr>
        <w:numFmt w:val="decimal"/>
      </w:endnotePr>
      <w:pgSz w:w="11906" w:h="16838"/>
      <w:pgMar w:top="953" w:right="1134" w:bottom="1304" w:left="1134" w:header="567" w:footer="482" w:gutter="56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82F9" w14:textId="77777777" w:rsidR="000B6950" w:rsidRDefault="000B6950">
      <w:pPr>
        <w:widowControl/>
      </w:pPr>
      <w:r>
        <w:separator/>
      </w:r>
    </w:p>
  </w:endnote>
  <w:endnote w:type="continuationSeparator" w:id="0">
    <w:p w14:paraId="456077A3" w14:textId="77777777" w:rsidR="000B6950" w:rsidRDefault="000B6950">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Light">
    <w:altName w:val="Calibri"/>
    <w:charset w:val="00"/>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Bold">
    <w:panose1 w:val="00000000000000000000"/>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A221" w14:textId="77777777" w:rsidR="000B6950" w:rsidRDefault="000B6950">
      <w:pPr>
        <w:widowControl/>
      </w:pPr>
      <w:r>
        <w:separator/>
      </w:r>
    </w:p>
  </w:footnote>
  <w:footnote w:type="continuationSeparator" w:id="0">
    <w:p w14:paraId="315EAE24" w14:textId="77777777" w:rsidR="000B6950" w:rsidRDefault="000B6950">
      <w:pPr>
        <w:widowContro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720A8FE"/>
    <w:lvl w:ilvl="0">
      <w:numFmt w:val="bullet"/>
      <w:lvlText w:val="*"/>
      <w:lvlJc w:val="left"/>
    </w:lvl>
  </w:abstractNum>
  <w:abstractNum w:abstractNumId="1" w15:restartNumberingAfterBreak="0">
    <w:nsid w:val="10217FFD"/>
    <w:multiLevelType w:val="multilevel"/>
    <w:tmpl w:val="D19CE10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B75EB6"/>
    <w:multiLevelType w:val="hybridMultilevel"/>
    <w:tmpl w:val="6570CE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FE71B4"/>
    <w:multiLevelType w:val="singleLevel"/>
    <w:tmpl w:val="AE00DD9E"/>
    <w:lvl w:ilvl="0">
      <w:start w:val="5"/>
      <w:numFmt w:val="decimal"/>
      <w:lvlText w:val="%1. "/>
      <w:legacy w:legacy="1" w:legacySpace="0" w:legacyIndent="283"/>
      <w:lvlJc w:val="left"/>
      <w:pPr>
        <w:ind w:left="283" w:hanging="283"/>
      </w:pPr>
      <w:rPr>
        <w:b/>
        <w:sz w:val="28"/>
      </w:rPr>
    </w:lvl>
  </w:abstractNum>
  <w:abstractNum w:abstractNumId="4" w15:restartNumberingAfterBreak="0">
    <w:nsid w:val="4C910A09"/>
    <w:multiLevelType w:val="singleLevel"/>
    <w:tmpl w:val="334684EC"/>
    <w:lvl w:ilvl="0">
      <w:start w:val="3"/>
      <w:numFmt w:val="decimal"/>
      <w:lvlText w:val="%1. "/>
      <w:legacy w:legacy="1" w:legacySpace="0" w:legacyIndent="283"/>
      <w:lvlJc w:val="left"/>
      <w:pPr>
        <w:ind w:left="283" w:hanging="283"/>
      </w:pPr>
      <w:rPr>
        <w:b/>
        <w:sz w:val="28"/>
      </w:rPr>
    </w:lvl>
  </w:abstractNum>
  <w:abstractNum w:abstractNumId="5" w15:restartNumberingAfterBreak="0">
    <w:nsid w:val="4D656D34"/>
    <w:multiLevelType w:val="singleLevel"/>
    <w:tmpl w:val="43DE085C"/>
    <w:lvl w:ilvl="0">
      <w:start w:val="2"/>
      <w:numFmt w:val="decimal"/>
      <w:lvlText w:val="5.%1 "/>
      <w:legacy w:legacy="1" w:legacySpace="0" w:legacyIndent="283"/>
      <w:lvlJc w:val="left"/>
      <w:pPr>
        <w:ind w:left="283" w:hanging="283"/>
      </w:pPr>
      <w:rPr>
        <w:b/>
        <w:sz w:val="28"/>
      </w:rPr>
    </w:lvl>
  </w:abstractNum>
  <w:abstractNum w:abstractNumId="6" w15:restartNumberingAfterBreak="0">
    <w:nsid w:val="5DC75B6C"/>
    <w:multiLevelType w:val="singleLevel"/>
    <w:tmpl w:val="F65CD59A"/>
    <w:lvl w:ilvl="0">
      <w:start w:val="7"/>
      <w:numFmt w:val="decimal"/>
      <w:lvlText w:val="%1. "/>
      <w:legacy w:legacy="1" w:legacySpace="0" w:legacyIndent="283"/>
      <w:lvlJc w:val="left"/>
      <w:pPr>
        <w:ind w:left="850" w:hanging="283"/>
      </w:pPr>
      <w:rPr>
        <w:b/>
        <w:sz w:val="28"/>
      </w:rPr>
    </w:lvl>
  </w:abstractNum>
  <w:abstractNum w:abstractNumId="7" w15:restartNumberingAfterBreak="0">
    <w:nsid w:val="68A124AD"/>
    <w:multiLevelType w:val="hybridMultilevel"/>
    <w:tmpl w:val="7D8A9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EF4CE4"/>
    <w:multiLevelType w:val="singleLevel"/>
    <w:tmpl w:val="04660006"/>
    <w:lvl w:ilvl="0">
      <w:start w:val="1"/>
      <w:numFmt w:val="decimal"/>
      <w:lvlText w:val="3.%1 "/>
      <w:lvlJc w:val="left"/>
      <w:pPr>
        <w:tabs>
          <w:tab w:val="num" w:pos="0"/>
        </w:tabs>
        <w:ind w:left="283" w:hanging="283"/>
      </w:pPr>
      <w:rPr>
        <w:rFonts w:hint="default"/>
        <w:b/>
        <w:i w:val="0"/>
        <w:sz w:val="24"/>
      </w:rPr>
    </w:lvl>
  </w:abstractNum>
  <w:abstractNum w:abstractNumId="9" w15:restartNumberingAfterBreak="0">
    <w:nsid w:val="7571514B"/>
    <w:multiLevelType w:val="singleLevel"/>
    <w:tmpl w:val="CFC68034"/>
    <w:lvl w:ilvl="0">
      <w:start w:val="6"/>
      <w:numFmt w:val="decimal"/>
      <w:lvlText w:val="%1. "/>
      <w:legacy w:legacy="1" w:legacySpace="0" w:legacyIndent="283"/>
      <w:lvlJc w:val="left"/>
      <w:pPr>
        <w:ind w:left="283" w:hanging="283"/>
      </w:pPr>
      <w:rPr>
        <w:b/>
        <w:sz w:val="28"/>
      </w:rPr>
    </w:lvl>
  </w:abstractNum>
  <w:abstractNum w:abstractNumId="10" w15:restartNumberingAfterBreak="0">
    <w:nsid w:val="7B7177F8"/>
    <w:multiLevelType w:val="hybridMultilevel"/>
    <w:tmpl w:val="6D747A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0314714">
    <w:abstractNumId w:val="4"/>
  </w:num>
  <w:num w:numId="2" w16cid:durableId="944969667">
    <w:abstractNumId w:val="8"/>
  </w:num>
  <w:num w:numId="3" w16cid:durableId="1326006333">
    <w:abstractNumId w:val="3"/>
  </w:num>
  <w:num w:numId="4" w16cid:durableId="405883909">
    <w:abstractNumId w:val="5"/>
  </w:num>
  <w:num w:numId="5" w16cid:durableId="815608384">
    <w:abstractNumId w:val="9"/>
  </w:num>
  <w:num w:numId="6" w16cid:durableId="1968048995">
    <w:abstractNumId w:val="6"/>
  </w:num>
  <w:num w:numId="7" w16cid:durableId="2077118076">
    <w:abstractNumId w:val="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8" w16cid:durableId="82138798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520654504">
    <w:abstractNumId w:val="0"/>
    <w:lvlOverride w:ilvl="0">
      <w:lvl w:ilvl="0">
        <w:start w:val="1"/>
        <w:numFmt w:val="bullet"/>
        <w:lvlText w:val=""/>
        <w:legacy w:legacy="1" w:legacySpace="0" w:legacyIndent="283"/>
        <w:lvlJc w:val="left"/>
        <w:pPr>
          <w:ind w:left="283" w:hanging="283"/>
        </w:pPr>
        <w:rPr>
          <w:rFonts w:ascii="Wingdings" w:hAnsi="Wingdings" w:hint="default"/>
          <w:sz w:val="24"/>
        </w:rPr>
      </w:lvl>
    </w:lvlOverride>
  </w:num>
  <w:num w:numId="10" w16cid:durableId="1679576143">
    <w:abstractNumId w:val="1"/>
  </w:num>
  <w:num w:numId="11" w16cid:durableId="1079863021">
    <w:abstractNumId w:val="7"/>
  </w:num>
  <w:num w:numId="12" w16cid:durableId="1322274828">
    <w:abstractNumId w:val="10"/>
  </w:num>
  <w:num w:numId="13" w16cid:durableId="955868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22"/>
    <w:rsid w:val="000030C3"/>
    <w:rsid w:val="00007C8D"/>
    <w:rsid w:val="00023B4F"/>
    <w:rsid w:val="00024346"/>
    <w:rsid w:val="00031B34"/>
    <w:rsid w:val="0004319B"/>
    <w:rsid w:val="00044534"/>
    <w:rsid w:val="00044AD6"/>
    <w:rsid w:val="00061955"/>
    <w:rsid w:val="000727A1"/>
    <w:rsid w:val="00074BF1"/>
    <w:rsid w:val="00081293"/>
    <w:rsid w:val="000826E9"/>
    <w:rsid w:val="000907A5"/>
    <w:rsid w:val="000A3A76"/>
    <w:rsid w:val="000B6950"/>
    <w:rsid w:val="000B719F"/>
    <w:rsid w:val="000C3505"/>
    <w:rsid w:val="000D03DE"/>
    <w:rsid w:val="000D4DFF"/>
    <w:rsid w:val="000F11AA"/>
    <w:rsid w:val="000F3510"/>
    <w:rsid w:val="000F3B56"/>
    <w:rsid w:val="000F78F7"/>
    <w:rsid w:val="00102F09"/>
    <w:rsid w:val="00115B37"/>
    <w:rsid w:val="001206A1"/>
    <w:rsid w:val="00125755"/>
    <w:rsid w:val="00136CBD"/>
    <w:rsid w:val="00136E42"/>
    <w:rsid w:val="00137E54"/>
    <w:rsid w:val="00144D88"/>
    <w:rsid w:val="00161DE9"/>
    <w:rsid w:val="001633C5"/>
    <w:rsid w:val="00164D3F"/>
    <w:rsid w:val="00174154"/>
    <w:rsid w:val="00197ABA"/>
    <w:rsid w:val="001A05A2"/>
    <w:rsid w:val="001A1A03"/>
    <w:rsid w:val="001A236A"/>
    <w:rsid w:val="001A43C1"/>
    <w:rsid w:val="001A489D"/>
    <w:rsid w:val="001B7CD9"/>
    <w:rsid w:val="001D11F2"/>
    <w:rsid w:val="001D2768"/>
    <w:rsid w:val="001E3C43"/>
    <w:rsid w:val="00211797"/>
    <w:rsid w:val="002541A8"/>
    <w:rsid w:val="0026426C"/>
    <w:rsid w:val="00266B07"/>
    <w:rsid w:val="00271281"/>
    <w:rsid w:val="002742B6"/>
    <w:rsid w:val="0028214F"/>
    <w:rsid w:val="002850FA"/>
    <w:rsid w:val="002854CA"/>
    <w:rsid w:val="00295916"/>
    <w:rsid w:val="002A164E"/>
    <w:rsid w:val="002B4CD1"/>
    <w:rsid w:val="002D1965"/>
    <w:rsid w:val="002E52FF"/>
    <w:rsid w:val="002E758F"/>
    <w:rsid w:val="002F1036"/>
    <w:rsid w:val="002F3518"/>
    <w:rsid w:val="002F4818"/>
    <w:rsid w:val="002F5635"/>
    <w:rsid w:val="00301BDD"/>
    <w:rsid w:val="0031047C"/>
    <w:rsid w:val="003128B8"/>
    <w:rsid w:val="003131A8"/>
    <w:rsid w:val="00336173"/>
    <w:rsid w:val="0034458F"/>
    <w:rsid w:val="00346470"/>
    <w:rsid w:val="0035138B"/>
    <w:rsid w:val="0035263E"/>
    <w:rsid w:val="00353A31"/>
    <w:rsid w:val="00364E1E"/>
    <w:rsid w:val="00374B61"/>
    <w:rsid w:val="00387272"/>
    <w:rsid w:val="00391DE8"/>
    <w:rsid w:val="003A09DA"/>
    <w:rsid w:val="003A4FDA"/>
    <w:rsid w:val="003D4A6A"/>
    <w:rsid w:val="003D53DF"/>
    <w:rsid w:val="003E3780"/>
    <w:rsid w:val="003F6819"/>
    <w:rsid w:val="00400837"/>
    <w:rsid w:val="0040271C"/>
    <w:rsid w:val="00407760"/>
    <w:rsid w:val="00410DFA"/>
    <w:rsid w:val="00411B58"/>
    <w:rsid w:val="00414616"/>
    <w:rsid w:val="00415F9F"/>
    <w:rsid w:val="00416286"/>
    <w:rsid w:val="004257C5"/>
    <w:rsid w:val="00431467"/>
    <w:rsid w:val="00432678"/>
    <w:rsid w:val="00444F80"/>
    <w:rsid w:val="00450775"/>
    <w:rsid w:val="004665AE"/>
    <w:rsid w:val="004731FD"/>
    <w:rsid w:val="00473B9B"/>
    <w:rsid w:val="004858A0"/>
    <w:rsid w:val="00487F4C"/>
    <w:rsid w:val="00494E42"/>
    <w:rsid w:val="00496DCA"/>
    <w:rsid w:val="004C036E"/>
    <w:rsid w:val="004D18FC"/>
    <w:rsid w:val="004E0E09"/>
    <w:rsid w:val="004E1C31"/>
    <w:rsid w:val="004E24DC"/>
    <w:rsid w:val="004F1EFD"/>
    <w:rsid w:val="004F38E4"/>
    <w:rsid w:val="005108C0"/>
    <w:rsid w:val="00524E96"/>
    <w:rsid w:val="00546ACC"/>
    <w:rsid w:val="00557494"/>
    <w:rsid w:val="00566C27"/>
    <w:rsid w:val="00571384"/>
    <w:rsid w:val="0058038A"/>
    <w:rsid w:val="00592F90"/>
    <w:rsid w:val="005959D6"/>
    <w:rsid w:val="005A0F4A"/>
    <w:rsid w:val="005A3241"/>
    <w:rsid w:val="005A6ADB"/>
    <w:rsid w:val="005A7A52"/>
    <w:rsid w:val="005B00D3"/>
    <w:rsid w:val="005B75A4"/>
    <w:rsid w:val="005B7705"/>
    <w:rsid w:val="005C033D"/>
    <w:rsid w:val="005C3B58"/>
    <w:rsid w:val="005E22D5"/>
    <w:rsid w:val="005E270E"/>
    <w:rsid w:val="005E5082"/>
    <w:rsid w:val="005E6DED"/>
    <w:rsid w:val="005E7BE9"/>
    <w:rsid w:val="005F25E1"/>
    <w:rsid w:val="0061629C"/>
    <w:rsid w:val="00617F92"/>
    <w:rsid w:val="00617FD3"/>
    <w:rsid w:val="0063017D"/>
    <w:rsid w:val="006508A4"/>
    <w:rsid w:val="00650D7E"/>
    <w:rsid w:val="006538B4"/>
    <w:rsid w:val="00656966"/>
    <w:rsid w:val="00667CAF"/>
    <w:rsid w:val="00685490"/>
    <w:rsid w:val="00692713"/>
    <w:rsid w:val="006927D9"/>
    <w:rsid w:val="006964FF"/>
    <w:rsid w:val="006B2D86"/>
    <w:rsid w:val="006B3853"/>
    <w:rsid w:val="006B4CCF"/>
    <w:rsid w:val="006D0DB7"/>
    <w:rsid w:val="006D0E7E"/>
    <w:rsid w:val="006D6393"/>
    <w:rsid w:val="006E61FD"/>
    <w:rsid w:val="006E749A"/>
    <w:rsid w:val="006F2263"/>
    <w:rsid w:val="006F32D3"/>
    <w:rsid w:val="006F44A0"/>
    <w:rsid w:val="007051DB"/>
    <w:rsid w:val="007157CF"/>
    <w:rsid w:val="00722D11"/>
    <w:rsid w:val="007236A9"/>
    <w:rsid w:val="00727125"/>
    <w:rsid w:val="00736F01"/>
    <w:rsid w:val="00740B69"/>
    <w:rsid w:val="00745549"/>
    <w:rsid w:val="00745FA8"/>
    <w:rsid w:val="00750718"/>
    <w:rsid w:val="0075460A"/>
    <w:rsid w:val="00763F31"/>
    <w:rsid w:val="0078272B"/>
    <w:rsid w:val="00786BB2"/>
    <w:rsid w:val="007A4AC8"/>
    <w:rsid w:val="007A6FEC"/>
    <w:rsid w:val="007B2209"/>
    <w:rsid w:val="007B2482"/>
    <w:rsid w:val="007F0799"/>
    <w:rsid w:val="00814CA1"/>
    <w:rsid w:val="00815804"/>
    <w:rsid w:val="008246FD"/>
    <w:rsid w:val="00826666"/>
    <w:rsid w:val="0085046F"/>
    <w:rsid w:val="00853FAD"/>
    <w:rsid w:val="0085418F"/>
    <w:rsid w:val="0085699B"/>
    <w:rsid w:val="00865080"/>
    <w:rsid w:val="008656BE"/>
    <w:rsid w:val="008848AA"/>
    <w:rsid w:val="00891BFA"/>
    <w:rsid w:val="008B217B"/>
    <w:rsid w:val="008B34C8"/>
    <w:rsid w:val="008B77D1"/>
    <w:rsid w:val="008C14F3"/>
    <w:rsid w:val="008C3715"/>
    <w:rsid w:val="008C7ED5"/>
    <w:rsid w:val="008E2903"/>
    <w:rsid w:val="008E34F2"/>
    <w:rsid w:val="008F0149"/>
    <w:rsid w:val="008F19C4"/>
    <w:rsid w:val="00900557"/>
    <w:rsid w:val="00900CE4"/>
    <w:rsid w:val="00906FC5"/>
    <w:rsid w:val="00923D22"/>
    <w:rsid w:val="009409C6"/>
    <w:rsid w:val="0094144F"/>
    <w:rsid w:val="00944B2A"/>
    <w:rsid w:val="00944FC0"/>
    <w:rsid w:val="0094597B"/>
    <w:rsid w:val="0095255B"/>
    <w:rsid w:val="009526A3"/>
    <w:rsid w:val="00954EDD"/>
    <w:rsid w:val="00964E5E"/>
    <w:rsid w:val="009737E0"/>
    <w:rsid w:val="009804AF"/>
    <w:rsid w:val="00984C3C"/>
    <w:rsid w:val="009B268C"/>
    <w:rsid w:val="009B672A"/>
    <w:rsid w:val="009B7DBD"/>
    <w:rsid w:val="009C5093"/>
    <w:rsid w:val="009D397C"/>
    <w:rsid w:val="009E4F14"/>
    <w:rsid w:val="009E5A7F"/>
    <w:rsid w:val="009F34F7"/>
    <w:rsid w:val="009F3543"/>
    <w:rsid w:val="009F3A40"/>
    <w:rsid w:val="00A027A5"/>
    <w:rsid w:val="00A129F7"/>
    <w:rsid w:val="00A25AC7"/>
    <w:rsid w:val="00A32A5A"/>
    <w:rsid w:val="00A36878"/>
    <w:rsid w:val="00A44134"/>
    <w:rsid w:val="00A5242F"/>
    <w:rsid w:val="00A5498F"/>
    <w:rsid w:val="00A70F10"/>
    <w:rsid w:val="00A73D1A"/>
    <w:rsid w:val="00A7476D"/>
    <w:rsid w:val="00A76DE8"/>
    <w:rsid w:val="00A778DB"/>
    <w:rsid w:val="00A8009A"/>
    <w:rsid w:val="00A8164B"/>
    <w:rsid w:val="00A87197"/>
    <w:rsid w:val="00A94E77"/>
    <w:rsid w:val="00AC5AC6"/>
    <w:rsid w:val="00AD7DB8"/>
    <w:rsid w:val="00AE1F6D"/>
    <w:rsid w:val="00AE5D99"/>
    <w:rsid w:val="00AF1DF5"/>
    <w:rsid w:val="00B0463E"/>
    <w:rsid w:val="00B055C1"/>
    <w:rsid w:val="00B1000A"/>
    <w:rsid w:val="00B42444"/>
    <w:rsid w:val="00B45F1D"/>
    <w:rsid w:val="00B65073"/>
    <w:rsid w:val="00B70188"/>
    <w:rsid w:val="00B72FDA"/>
    <w:rsid w:val="00B7707D"/>
    <w:rsid w:val="00B90109"/>
    <w:rsid w:val="00B9507C"/>
    <w:rsid w:val="00B9545C"/>
    <w:rsid w:val="00BA6D41"/>
    <w:rsid w:val="00BC0738"/>
    <w:rsid w:val="00BC0CEA"/>
    <w:rsid w:val="00BC1331"/>
    <w:rsid w:val="00BC5665"/>
    <w:rsid w:val="00BD3E33"/>
    <w:rsid w:val="00BF534A"/>
    <w:rsid w:val="00BF73E8"/>
    <w:rsid w:val="00C00032"/>
    <w:rsid w:val="00C04A43"/>
    <w:rsid w:val="00C10721"/>
    <w:rsid w:val="00C33757"/>
    <w:rsid w:val="00C37FBD"/>
    <w:rsid w:val="00C4230B"/>
    <w:rsid w:val="00C43013"/>
    <w:rsid w:val="00C7375D"/>
    <w:rsid w:val="00C9335C"/>
    <w:rsid w:val="00C97CD3"/>
    <w:rsid w:val="00CA3B20"/>
    <w:rsid w:val="00CC712D"/>
    <w:rsid w:val="00CD62C4"/>
    <w:rsid w:val="00D05D64"/>
    <w:rsid w:val="00D07FA5"/>
    <w:rsid w:val="00D2461C"/>
    <w:rsid w:val="00D34D82"/>
    <w:rsid w:val="00D36EFD"/>
    <w:rsid w:val="00D53365"/>
    <w:rsid w:val="00D66ABE"/>
    <w:rsid w:val="00D71037"/>
    <w:rsid w:val="00D76840"/>
    <w:rsid w:val="00D96CFE"/>
    <w:rsid w:val="00DC0518"/>
    <w:rsid w:val="00DC42F7"/>
    <w:rsid w:val="00DC4C3F"/>
    <w:rsid w:val="00DE70F9"/>
    <w:rsid w:val="00DF5373"/>
    <w:rsid w:val="00DF6F17"/>
    <w:rsid w:val="00E01AAF"/>
    <w:rsid w:val="00E27C33"/>
    <w:rsid w:val="00E333C7"/>
    <w:rsid w:val="00E43C20"/>
    <w:rsid w:val="00E46461"/>
    <w:rsid w:val="00E46CC1"/>
    <w:rsid w:val="00E760CB"/>
    <w:rsid w:val="00E8769B"/>
    <w:rsid w:val="00EE454D"/>
    <w:rsid w:val="00EF6254"/>
    <w:rsid w:val="00F33677"/>
    <w:rsid w:val="00F33E07"/>
    <w:rsid w:val="00F4685B"/>
    <w:rsid w:val="00F55040"/>
    <w:rsid w:val="00F556AE"/>
    <w:rsid w:val="00F71F6B"/>
    <w:rsid w:val="00F76688"/>
    <w:rsid w:val="00F82653"/>
    <w:rsid w:val="00FA1BAC"/>
    <w:rsid w:val="00FA28F7"/>
    <w:rsid w:val="00FB00E8"/>
    <w:rsid w:val="00FB17B5"/>
    <w:rsid w:val="00FB1E84"/>
    <w:rsid w:val="00FB56AF"/>
    <w:rsid w:val="00FB70D5"/>
    <w:rsid w:val="00FB7244"/>
    <w:rsid w:val="00FC052F"/>
    <w:rsid w:val="00FD2D11"/>
    <w:rsid w:val="00FE4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1C2CD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jc w:val="both"/>
      <w:textAlignment w:val="baseline"/>
    </w:pPr>
    <w:rPr>
      <w:lang w:val="en-US" w:eastAsia="en-US"/>
    </w:rPr>
  </w:style>
  <w:style w:type="paragraph" w:styleId="Heading1">
    <w:name w:val="heading 1"/>
    <w:basedOn w:val="Normal"/>
    <w:next w:val="Text"/>
    <w:qFormat/>
    <w:pPr>
      <w:keepNext/>
      <w:tabs>
        <w:tab w:val="left" w:pos="360"/>
      </w:tabs>
      <w:spacing w:before="240" w:after="240"/>
      <w:outlineLvl w:val="0"/>
    </w:pPr>
    <w:rPr>
      <w:rFonts w:ascii="Arial" w:hAnsi="Arial"/>
      <w:b/>
      <w:caps/>
      <w:kern w:val="28"/>
      <w:sz w:val="28"/>
    </w:rPr>
  </w:style>
  <w:style w:type="paragraph" w:styleId="Heading2">
    <w:name w:val="heading 2"/>
    <w:basedOn w:val="Normal"/>
    <w:next w:val="Text"/>
    <w:qFormat/>
    <w:pPr>
      <w:keepNext/>
      <w:tabs>
        <w:tab w:val="left" w:pos="720"/>
      </w:tabs>
      <w:spacing w:before="120" w:after="120"/>
      <w:outlineLvl w:val="1"/>
    </w:pPr>
    <w:rPr>
      <w:rFonts w:ascii="Arial" w:hAnsi="Arial"/>
      <w:b/>
      <w:sz w:val="22"/>
    </w:rPr>
  </w:style>
  <w:style w:type="paragraph" w:styleId="Heading3">
    <w:name w:val="heading 3"/>
    <w:basedOn w:val="Normal"/>
    <w:next w:val="Normal"/>
    <w:qFormat/>
    <w:pPr>
      <w:keepNext/>
      <w:tabs>
        <w:tab w:val="left" w:pos="0"/>
      </w:tabs>
      <w:spacing w:before="240" w:after="60"/>
      <w:outlineLvl w:val="2"/>
    </w:pPr>
    <w:rPr>
      <w:rFonts w:ascii="Arial" w:hAnsi="Arial"/>
      <w:sz w:val="24"/>
    </w:rPr>
  </w:style>
  <w:style w:type="paragraph" w:styleId="Heading4">
    <w:name w:val="heading 4"/>
    <w:basedOn w:val="Normal"/>
    <w:next w:val="Normal"/>
    <w:qFormat/>
    <w:pPr>
      <w:keepNext/>
      <w:tabs>
        <w:tab w:val="left" w:pos="0"/>
      </w:tabs>
      <w:spacing w:before="240" w:after="60"/>
      <w:outlineLvl w:val="3"/>
    </w:pPr>
    <w:rPr>
      <w:rFonts w:ascii="Arial" w:hAnsi="Arial"/>
      <w:b/>
      <w:sz w:val="28"/>
    </w:rPr>
  </w:style>
  <w:style w:type="paragraph" w:styleId="Heading8">
    <w:name w:val="heading 8"/>
    <w:basedOn w:val="Normal"/>
    <w:next w:val="Normal"/>
    <w:qFormat/>
    <w:pPr>
      <w:keepNext/>
      <w:ind w:left="567" w:right="-294"/>
      <w:jc w:val="center"/>
      <w:outlineLvl w:val="7"/>
    </w:pPr>
    <w:rPr>
      <w:rFonts w:ascii="Palatino" w:hAnsi="Palatin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spacing w:before="120" w:after="120"/>
    </w:pPr>
    <w:rPr>
      <w:rFonts w:ascii="Garamond" w:hAnsi="Garamond"/>
      <w:sz w:val="24"/>
    </w:rPr>
  </w:style>
  <w:style w:type="paragraph" w:customStyle="1" w:styleId="Bullet">
    <w:name w:val="Bullet"/>
    <w:basedOn w:val="Text"/>
    <w:pPr>
      <w:tabs>
        <w:tab w:val="left" w:pos="360"/>
      </w:tabs>
      <w:spacing w:before="60" w:after="60"/>
      <w:ind w:left="360" w:right="-1" w:hanging="360"/>
    </w:pPr>
    <w:rPr>
      <w:b/>
    </w:rPr>
  </w:style>
  <w:style w:type="character" w:styleId="PageNumber">
    <w:name w:val="page number"/>
    <w:rPr>
      <w:rFonts w:ascii="Arial" w:hAnsi="Arial"/>
      <w:sz w:val="20"/>
    </w:rPr>
  </w:style>
  <w:style w:type="paragraph" w:customStyle="1" w:styleId="Appendix">
    <w:name w:val="Appendix"/>
    <w:basedOn w:val="Text"/>
    <w:next w:val="Text"/>
    <w:rPr>
      <w:rFonts w:ascii="Arial" w:hAnsi="Arial"/>
      <w:b/>
      <w:sz w:val="28"/>
    </w:rPr>
  </w:style>
  <w:style w:type="paragraph" w:styleId="PlainText">
    <w:name w:val="Plain Text"/>
    <w:basedOn w:val="Normal"/>
    <w:rPr>
      <w:rFonts w:ascii="Courier New" w:hAnsi="Courier New"/>
    </w:rPr>
  </w:style>
  <w:style w:type="paragraph" w:styleId="Footer">
    <w:name w:val="footer"/>
    <w:basedOn w:val="Normal"/>
    <w:pPr>
      <w:tabs>
        <w:tab w:val="center" w:pos="4153"/>
        <w:tab w:val="right" w:pos="8306"/>
      </w:tabs>
    </w:pPr>
    <w:rPr>
      <w:rFonts w:ascii="Garamond" w:hAnsi="Garamond"/>
      <w:i/>
      <w:sz w:val="16"/>
    </w:rPr>
  </w:style>
  <w:style w:type="paragraph" w:styleId="BodyText">
    <w:name w:val="Body Text"/>
    <w:basedOn w:val="Normal"/>
    <w:pPr>
      <w:ind w:right="23"/>
    </w:pPr>
    <w:rPr>
      <w:color w:val="000000"/>
      <w:sz w:val="24"/>
    </w:rPr>
  </w:style>
  <w:style w:type="paragraph" w:styleId="BodyText2">
    <w:name w:val="Body Text 2"/>
    <w:basedOn w:val="Normal"/>
    <w:rPr>
      <w:sz w:val="24"/>
    </w:rPr>
  </w:style>
  <w:style w:type="paragraph" w:styleId="BodyText3">
    <w:name w:val="Body Text 3"/>
    <w:basedOn w:val="Normal"/>
    <w:rPr>
      <w:sz w:val="24"/>
    </w:rPr>
  </w:style>
  <w:style w:type="character" w:styleId="CommentReference">
    <w:name w:val="annotation reference"/>
    <w:semiHidden/>
    <w:rPr>
      <w:sz w:val="16"/>
    </w:rPr>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sz w:val="20"/>
      <w:vertAlign w:val="superscript"/>
    </w:rPr>
  </w:style>
  <w:style w:type="paragraph" w:styleId="BalloonText">
    <w:name w:val="Balloon Text"/>
    <w:basedOn w:val="Normal"/>
    <w:rPr>
      <w:rFonts w:ascii="Tahoma" w:hAnsi="Tahoma"/>
      <w:sz w:val="16"/>
    </w:rPr>
  </w:style>
  <w:style w:type="paragraph" w:styleId="CommentSubject">
    <w:name w:val="annotation subject"/>
    <w:basedOn w:val="CommentText"/>
    <w:next w:val="CommentText"/>
    <w:semiHidden/>
    <w:rPr>
      <w:b/>
      <w:bCs/>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Revision">
    <w:name w:val="Revision"/>
    <w:hidden/>
    <w:uiPriority w:val="99"/>
    <w:semiHidden/>
    <w:rsid w:val="001B7CD9"/>
    <w:rPr>
      <w:lang w:val="en-US" w:eastAsia="en-US"/>
    </w:rPr>
  </w:style>
  <w:style w:type="paragraph" w:customStyle="1" w:styleId="BodyText1">
    <w:name w:val="Body Text1"/>
    <w:basedOn w:val="Normal"/>
    <w:uiPriority w:val="1"/>
    <w:qFormat/>
    <w:rsid w:val="00A73D1A"/>
    <w:pPr>
      <w:tabs>
        <w:tab w:val="left" w:pos="4820"/>
      </w:tabs>
      <w:overflowPunct/>
      <w:spacing w:after="120" w:line="288" w:lineRule="auto"/>
      <w:ind w:right="13"/>
      <w:jc w:val="left"/>
      <w:textAlignment w:val="center"/>
    </w:pPr>
    <w:rPr>
      <w:rFonts w:ascii="GillSans Light" w:hAnsi="GillSans Light"/>
      <w:color w:val="000000"/>
      <w:sz w:val="28"/>
      <w:szCs w:val="28"/>
      <w:lang w:val="en-GB"/>
    </w:rPr>
  </w:style>
  <w:style w:type="table" w:styleId="TableGrid">
    <w:name w:val="Table Grid"/>
    <w:basedOn w:val="TableNormal"/>
    <w:uiPriority w:val="39"/>
    <w:rsid w:val="001A489D"/>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D41"/>
    <w:pPr>
      <w:autoSpaceDE w:val="0"/>
      <w:autoSpaceDN w:val="0"/>
      <w:adjustRightInd w:val="0"/>
    </w:pPr>
    <w:rPr>
      <w:rFonts w:ascii="Aptos" w:eastAsia="Calibri" w:hAnsi="Aptos" w:cs="Apto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2025-09-29T03:40:00Z</dcterms:created>
  <dcterms:modified xsi:type="dcterms:W3CDTF">2025-09-29T05:08:00Z</dcterms:modified>
</cp:coreProperties>
</file>