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7285" w14:textId="468B1E78" w:rsidR="00BF3199" w:rsidRPr="00CA30DC" w:rsidRDefault="00AB110F" w:rsidP="00A25D83">
      <w:pPr>
        <w:jc w:val="center"/>
        <w:rPr>
          <w:color w:val="4000A6"/>
        </w:rPr>
      </w:pPr>
      <w:r w:rsidRPr="006A6A6F">
        <w:rPr>
          <w:noProof/>
          <w:lang w:eastAsia="en-AU"/>
        </w:rPr>
        <w:drawing>
          <wp:inline distT="0" distB="0" distL="0" distR="0" wp14:anchorId="446C1DB9" wp14:editId="02BD1621">
            <wp:extent cx="3979469" cy="764943"/>
            <wp:effectExtent l="0" t="0" r="2540" b="0"/>
            <wp:docPr id="20" name="Picture 20" title="Australian Fisheries Manage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MA_inlinestri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2328" cy="771259"/>
                    </a:xfrm>
                    <a:prstGeom prst="rect">
                      <a:avLst/>
                    </a:prstGeom>
                  </pic:spPr>
                </pic:pic>
              </a:graphicData>
            </a:graphic>
          </wp:inline>
        </w:drawing>
      </w:r>
      <w:r w:rsidRPr="00CA30DC" w:rsidDel="00AB110F">
        <w:rPr>
          <w:color w:val="4000A6"/>
        </w:rPr>
        <w:t xml:space="preserve"> </w:t>
      </w:r>
    </w:p>
    <w:p w14:paraId="227A23F9" w14:textId="32F0D190" w:rsidR="00823E26" w:rsidRDefault="00823E26" w:rsidP="00A25D83">
      <w:pPr>
        <w:pStyle w:val="Title"/>
        <w:spacing w:before="2040"/>
        <w:contextualSpacing w:val="0"/>
        <w:jc w:val="center"/>
        <w:sectPr w:rsidR="00823E26" w:rsidSect="00445D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titlePg/>
          <w:docGrid w:linePitch="360"/>
        </w:sectPr>
      </w:pPr>
      <w:r w:rsidRPr="00FC0FCF">
        <w:rPr>
          <w:b/>
          <w:bCs/>
        </w:rPr>
        <w:t xml:space="preserve">Application for assessment of the </w:t>
      </w:r>
      <w:r w:rsidR="00FD4875" w:rsidRPr="00C70FB0">
        <w:rPr>
          <w:b/>
          <w:bCs/>
        </w:rPr>
        <w:t>Commonwealth Southern Squid Jig Fishery</w:t>
      </w:r>
      <w:r w:rsidRPr="0042395D">
        <w:rPr>
          <w:b/>
          <w:bCs/>
        </w:rPr>
        <w:t xml:space="preserve"> </w:t>
      </w:r>
      <w:r w:rsidRPr="00FC0FCF">
        <w:rPr>
          <w:b/>
          <w:bCs/>
        </w:rPr>
        <w:t xml:space="preserve">for approval under the </w:t>
      </w:r>
      <w:r w:rsidRPr="00C70FB0">
        <w:rPr>
          <w:b/>
          <w:bCs/>
        </w:rPr>
        <w:t>Environment Protection</w:t>
      </w:r>
      <w:r w:rsidRPr="00FC0FCF">
        <w:rPr>
          <w:b/>
          <w:bCs/>
          <w:i/>
          <w:iCs/>
        </w:rPr>
        <w:t xml:space="preserve"> and Biodiversity Conservation Act 1999</w:t>
      </w:r>
    </w:p>
    <w:sdt>
      <w:sdtPr>
        <w:rPr>
          <w:rFonts w:asciiTheme="minorHAnsi" w:eastAsiaTheme="minorEastAsia" w:hAnsiTheme="minorHAnsi" w:cstheme="minorBidi"/>
          <w:b w:val="0"/>
          <w:color w:val="auto"/>
          <w:sz w:val="22"/>
          <w:szCs w:val="22"/>
          <w:lang w:val="en-AU"/>
        </w:rPr>
        <w:id w:val="-1265219993"/>
        <w:docPartObj>
          <w:docPartGallery w:val="Table of Contents"/>
          <w:docPartUnique/>
        </w:docPartObj>
      </w:sdtPr>
      <w:sdtEndPr>
        <w:rPr>
          <w:sz w:val="2"/>
          <w:szCs w:val="2"/>
        </w:rPr>
      </w:sdtEndPr>
      <w:sdtContent>
        <w:p w14:paraId="6F1D23D6" w14:textId="6A492723" w:rsidR="000E77BE" w:rsidRDefault="000E77BE" w:rsidP="004E3085">
          <w:pPr>
            <w:pStyle w:val="TOCHeading"/>
            <w:spacing w:before="0"/>
          </w:pPr>
          <w:r>
            <w:t>Contents</w:t>
          </w:r>
        </w:p>
        <w:p w14:paraId="4626CD56" w14:textId="68400C11" w:rsidR="00C70FB0" w:rsidRDefault="006571DA">
          <w:pPr>
            <w:pStyle w:val="TOC1"/>
            <w:rPr>
              <w:rFonts w:eastAsiaTheme="minorEastAsia" w:cstheme="minorBidi"/>
              <w:b w:val="0"/>
              <w:bCs w:val="0"/>
              <w:caps w:val="0"/>
              <w:noProof/>
              <w:kern w:val="2"/>
              <w:sz w:val="24"/>
              <w:lang w:eastAsia="en-AU"/>
              <w14:ligatures w14:val="standardContextual"/>
            </w:rPr>
          </w:pPr>
          <w:r>
            <w:rPr>
              <w:i/>
              <w:iCs/>
              <w:sz w:val="24"/>
              <w:szCs w:val="28"/>
            </w:rPr>
            <w:fldChar w:fldCharType="begin"/>
          </w:r>
          <w:r>
            <w:rPr>
              <w:i/>
              <w:iCs/>
              <w:sz w:val="24"/>
              <w:szCs w:val="28"/>
            </w:rPr>
            <w:instrText xml:space="preserve"> TOC \o "1-3" \h \z \u </w:instrText>
          </w:r>
          <w:r>
            <w:rPr>
              <w:i/>
              <w:iCs/>
              <w:sz w:val="24"/>
              <w:szCs w:val="28"/>
            </w:rPr>
            <w:fldChar w:fldCharType="separate"/>
          </w:r>
          <w:hyperlink w:anchor="_Toc210975436" w:history="1">
            <w:r w:rsidR="00C70FB0" w:rsidRPr="0050003F">
              <w:rPr>
                <w:rStyle w:val="Hyperlink"/>
                <w:noProof/>
              </w:rPr>
              <w:t>Introduction</w:t>
            </w:r>
            <w:r w:rsidR="00C70FB0">
              <w:rPr>
                <w:noProof/>
                <w:webHidden/>
              </w:rPr>
              <w:tab/>
            </w:r>
            <w:r w:rsidR="00C70FB0">
              <w:rPr>
                <w:noProof/>
                <w:webHidden/>
              </w:rPr>
              <w:fldChar w:fldCharType="begin"/>
            </w:r>
            <w:r w:rsidR="00C70FB0">
              <w:rPr>
                <w:noProof/>
                <w:webHidden/>
              </w:rPr>
              <w:instrText xml:space="preserve"> PAGEREF _Toc210975436 \h </w:instrText>
            </w:r>
            <w:r w:rsidR="00C70FB0">
              <w:rPr>
                <w:noProof/>
                <w:webHidden/>
              </w:rPr>
            </w:r>
            <w:r w:rsidR="00C70FB0">
              <w:rPr>
                <w:noProof/>
                <w:webHidden/>
              </w:rPr>
              <w:fldChar w:fldCharType="separate"/>
            </w:r>
            <w:r w:rsidR="00C70FB0">
              <w:rPr>
                <w:noProof/>
                <w:webHidden/>
              </w:rPr>
              <w:t>4</w:t>
            </w:r>
            <w:r w:rsidR="00C70FB0">
              <w:rPr>
                <w:noProof/>
                <w:webHidden/>
              </w:rPr>
              <w:fldChar w:fldCharType="end"/>
            </w:r>
          </w:hyperlink>
        </w:p>
        <w:p w14:paraId="59A03B40" w14:textId="51C64FEA"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37" w:history="1">
            <w:r w:rsidRPr="0050003F">
              <w:rPr>
                <w:rStyle w:val="Hyperlink"/>
                <w:noProof/>
              </w:rPr>
              <w:t>The fishery</w:t>
            </w:r>
            <w:r>
              <w:rPr>
                <w:noProof/>
                <w:webHidden/>
              </w:rPr>
              <w:tab/>
            </w:r>
            <w:r>
              <w:rPr>
                <w:noProof/>
                <w:webHidden/>
              </w:rPr>
              <w:fldChar w:fldCharType="begin"/>
            </w:r>
            <w:r>
              <w:rPr>
                <w:noProof/>
                <w:webHidden/>
              </w:rPr>
              <w:instrText xml:space="preserve"> PAGEREF _Toc210975437 \h </w:instrText>
            </w:r>
            <w:r>
              <w:rPr>
                <w:noProof/>
                <w:webHidden/>
              </w:rPr>
            </w:r>
            <w:r>
              <w:rPr>
                <w:noProof/>
                <w:webHidden/>
              </w:rPr>
              <w:fldChar w:fldCharType="separate"/>
            </w:r>
            <w:r>
              <w:rPr>
                <w:noProof/>
                <w:webHidden/>
              </w:rPr>
              <w:t>4</w:t>
            </w:r>
            <w:r>
              <w:rPr>
                <w:noProof/>
                <w:webHidden/>
              </w:rPr>
              <w:fldChar w:fldCharType="end"/>
            </w:r>
          </w:hyperlink>
        </w:p>
        <w:p w14:paraId="730DEC60" w14:textId="288046AD"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38" w:history="1">
            <w:r w:rsidRPr="0050003F">
              <w:rPr>
                <w:rStyle w:val="Hyperlink"/>
                <w:noProof/>
              </w:rPr>
              <w:t>Description of the fishery</w:t>
            </w:r>
            <w:r>
              <w:rPr>
                <w:noProof/>
                <w:webHidden/>
              </w:rPr>
              <w:tab/>
            </w:r>
            <w:r>
              <w:rPr>
                <w:noProof/>
                <w:webHidden/>
              </w:rPr>
              <w:fldChar w:fldCharType="begin"/>
            </w:r>
            <w:r>
              <w:rPr>
                <w:noProof/>
                <w:webHidden/>
              </w:rPr>
              <w:instrText xml:space="preserve"> PAGEREF _Toc210975438 \h </w:instrText>
            </w:r>
            <w:r>
              <w:rPr>
                <w:noProof/>
                <w:webHidden/>
              </w:rPr>
            </w:r>
            <w:r>
              <w:rPr>
                <w:noProof/>
                <w:webHidden/>
              </w:rPr>
              <w:fldChar w:fldCharType="separate"/>
            </w:r>
            <w:r>
              <w:rPr>
                <w:noProof/>
                <w:webHidden/>
              </w:rPr>
              <w:t>4</w:t>
            </w:r>
            <w:r>
              <w:rPr>
                <w:noProof/>
                <w:webHidden/>
              </w:rPr>
              <w:fldChar w:fldCharType="end"/>
            </w:r>
          </w:hyperlink>
        </w:p>
        <w:p w14:paraId="78320ED1" w14:textId="705CFFC4"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39" w:history="1">
            <w:r w:rsidRPr="0050003F">
              <w:rPr>
                <w:rStyle w:val="Hyperlink"/>
                <w:noProof/>
              </w:rPr>
              <w:t>Fishing methods and gear</w:t>
            </w:r>
            <w:r>
              <w:rPr>
                <w:noProof/>
                <w:webHidden/>
              </w:rPr>
              <w:tab/>
            </w:r>
            <w:r>
              <w:rPr>
                <w:noProof/>
                <w:webHidden/>
              </w:rPr>
              <w:fldChar w:fldCharType="begin"/>
            </w:r>
            <w:r>
              <w:rPr>
                <w:noProof/>
                <w:webHidden/>
              </w:rPr>
              <w:instrText xml:space="preserve"> PAGEREF _Toc210975439 \h </w:instrText>
            </w:r>
            <w:r>
              <w:rPr>
                <w:noProof/>
                <w:webHidden/>
              </w:rPr>
            </w:r>
            <w:r>
              <w:rPr>
                <w:noProof/>
                <w:webHidden/>
              </w:rPr>
              <w:fldChar w:fldCharType="separate"/>
            </w:r>
            <w:r>
              <w:rPr>
                <w:noProof/>
                <w:webHidden/>
              </w:rPr>
              <w:t>5</w:t>
            </w:r>
            <w:r>
              <w:rPr>
                <w:noProof/>
                <w:webHidden/>
              </w:rPr>
              <w:fldChar w:fldCharType="end"/>
            </w:r>
          </w:hyperlink>
        </w:p>
        <w:p w14:paraId="336F5027" w14:textId="65EDA102"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0" w:history="1">
            <w:r w:rsidRPr="0050003F">
              <w:rPr>
                <w:rStyle w:val="Hyperlink"/>
                <w:noProof/>
              </w:rPr>
              <w:t>Target and byproduct species</w:t>
            </w:r>
            <w:r>
              <w:rPr>
                <w:noProof/>
                <w:webHidden/>
              </w:rPr>
              <w:tab/>
            </w:r>
            <w:r>
              <w:rPr>
                <w:noProof/>
                <w:webHidden/>
              </w:rPr>
              <w:fldChar w:fldCharType="begin"/>
            </w:r>
            <w:r>
              <w:rPr>
                <w:noProof/>
                <w:webHidden/>
              </w:rPr>
              <w:instrText xml:space="preserve"> PAGEREF _Toc210975440 \h </w:instrText>
            </w:r>
            <w:r>
              <w:rPr>
                <w:noProof/>
                <w:webHidden/>
              </w:rPr>
            </w:r>
            <w:r>
              <w:rPr>
                <w:noProof/>
                <w:webHidden/>
              </w:rPr>
              <w:fldChar w:fldCharType="separate"/>
            </w:r>
            <w:r>
              <w:rPr>
                <w:noProof/>
                <w:webHidden/>
              </w:rPr>
              <w:t>5</w:t>
            </w:r>
            <w:r>
              <w:rPr>
                <w:noProof/>
                <w:webHidden/>
              </w:rPr>
              <w:fldChar w:fldCharType="end"/>
            </w:r>
          </w:hyperlink>
        </w:p>
        <w:p w14:paraId="5062B51E" w14:textId="7D3F3254"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1" w:history="1">
            <w:r w:rsidRPr="0050003F">
              <w:rPr>
                <w:rStyle w:val="Hyperlink"/>
                <w:noProof/>
              </w:rPr>
              <w:t>Value of the fishery</w:t>
            </w:r>
            <w:r>
              <w:rPr>
                <w:noProof/>
                <w:webHidden/>
              </w:rPr>
              <w:tab/>
            </w:r>
            <w:r>
              <w:rPr>
                <w:noProof/>
                <w:webHidden/>
              </w:rPr>
              <w:fldChar w:fldCharType="begin"/>
            </w:r>
            <w:r>
              <w:rPr>
                <w:noProof/>
                <w:webHidden/>
              </w:rPr>
              <w:instrText xml:space="preserve"> PAGEREF _Toc210975441 \h </w:instrText>
            </w:r>
            <w:r>
              <w:rPr>
                <w:noProof/>
                <w:webHidden/>
              </w:rPr>
            </w:r>
            <w:r>
              <w:rPr>
                <w:noProof/>
                <w:webHidden/>
              </w:rPr>
              <w:fldChar w:fldCharType="separate"/>
            </w:r>
            <w:r>
              <w:rPr>
                <w:noProof/>
                <w:webHidden/>
              </w:rPr>
              <w:t>6</w:t>
            </w:r>
            <w:r>
              <w:rPr>
                <w:noProof/>
                <w:webHidden/>
              </w:rPr>
              <w:fldChar w:fldCharType="end"/>
            </w:r>
          </w:hyperlink>
        </w:p>
        <w:p w14:paraId="75CB2EA4" w14:textId="0DD57249"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42" w:history="1">
            <w:r w:rsidRPr="0050003F">
              <w:rPr>
                <w:rStyle w:val="Hyperlink"/>
                <w:noProof/>
              </w:rPr>
              <w:t>Management regime</w:t>
            </w:r>
            <w:r>
              <w:rPr>
                <w:noProof/>
                <w:webHidden/>
              </w:rPr>
              <w:tab/>
            </w:r>
            <w:r>
              <w:rPr>
                <w:noProof/>
                <w:webHidden/>
              </w:rPr>
              <w:fldChar w:fldCharType="begin"/>
            </w:r>
            <w:r>
              <w:rPr>
                <w:noProof/>
                <w:webHidden/>
              </w:rPr>
              <w:instrText xml:space="preserve"> PAGEREF _Toc210975442 \h </w:instrText>
            </w:r>
            <w:r>
              <w:rPr>
                <w:noProof/>
                <w:webHidden/>
              </w:rPr>
            </w:r>
            <w:r>
              <w:rPr>
                <w:noProof/>
                <w:webHidden/>
              </w:rPr>
              <w:fldChar w:fldCharType="separate"/>
            </w:r>
            <w:r>
              <w:rPr>
                <w:noProof/>
                <w:webHidden/>
              </w:rPr>
              <w:t>6</w:t>
            </w:r>
            <w:r>
              <w:rPr>
                <w:noProof/>
                <w:webHidden/>
              </w:rPr>
              <w:fldChar w:fldCharType="end"/>
            </w:r>
          </w:hyperlink>
        </w:p>
        <w:p w14:paraId="0EC93541" w14:textId="73D5CBA7"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3" w:history="1">
            <w:r w:rsidRPr="0050003F">
              <w:rPr>
                <w:rStyle w:val="Hyperlink"/>
                <w:noProof/>
              </w:rPr>
              <w:t>Description of the management regime</w:t>
            </w:r>
            <w:r>
              <w:rPr>
                <w:noProof/>
                <w:webHidden/>
              </w:rPr>
              <w:tab/>
            </w:r>
            <w:r>
              <w:rPr>
                <w:noProof/>
                <w:webHidden/>
              </w:rPr>
              <w:fldChar w:fldCharType="begin"/>
            </w:r>
            <w:r>
              <w:rPr>
                <w:noProof/>
                <w:webHidden/>
              </w:rPr>
              <w:instrText xml:space="preserve"> PAGEREF _Toc210975443 \h </w:instrText>
            </w:r>
            <w:r>
              <w:rPr>
                <w:noProof/>
                <w:webHidden/>
              </w:rPr>
            </w:r>
            <w:r>
              <w:rPr>
                <w:noProof/>
                <w:webHidden/>
              </w:rPr>
              <w:fldChar w:fldCharType="separate"/>
            </w:r>
            <w:r>
              <w:rPr>
                <w:noProof/>
                <w:webHidden/>
              </w:rPr>
              <w:t>6</w:t>
            </w:r>
            <w:r>
              <w:rPr>
                <w:noProof/>
                <w:webHidden/>
              </w:rPr>
              <w:fldChar w:fldCharType="end"/>
            </w:r>
          </w:hyperlink>
        </w:p>
        <w:p w14:paraId="580CB2D6" w14:textId="5936A96F"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4" w:history="1">
            <w:r w:rsidRPr="0050003F">
              <w:rPr>
                <w:rStyle w:val="Hyperlink"/>
                <w:noProof/>
              </w:rPr>
              <w:t>Consultation processes</w:t>
            </w:r>
            <w:r>
              <w:rPr>
                <w:noProof/>
                <w:webHidden/>
              </w:rPr>
              <w:tab/>
            </w:r>
            <w:r>
              <w:rPr>
                <w:noProof/>
                <w:webHidden/>
              </w:rPr>
              <w:fldChar w:fldCharType="begin"/>
            </w:r>
            <w:r>
              <w:rPr>
                <w:noProof/>
                <w:webHidden/>
              </w:rPr>
              <w:instrText xml:space="preserve"> PAGEREF _Toc210975444 \h </w:instrText>
            </w:r>
            <w:r>
              <w:rPr>
                <w:noProof/>
                <w:webHidden/>
              </w:rPr>
            </w:r>
            <w:r>
              <w:rPr>
                <w:noProof/>
                <w:webHidden/>
              </w:rPr>
              <w:fldChar w:fldCharType="separate"/>
            </w:r>
            <w:r>
              <w:rPr>
                <w:noProof/>
                <w:webHidden/>
              </w:rPr>
              <w:t>8</w:t>
            </w:r>
            <w:r>
              <w:rPr>
                <w:noProof/>
                <w:webHidden/>
              </w:rPr>
              <w:fldChar w:fldCharType="end"/>
            </w:r>
          </w:hyperlink>
        </w:p>
        <w:p w14:paraId="7A35ACBB" w14:textId="53CC8F53"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5" w:history="1">
            <w:r w:rsidRPr="0050003F">
              <w:rPr>
                <w:rStyle w:val="Hyperlink"/>
                <w:noProof/>
              </w:rPr>
              <w:t>Performance against objectives, performance indicators and performance measures</w:t>
            </w:r>
            <w:r>
              <w:rPr>
                <w:noProof/>
                <w:webHidden/>
              </w:rPr>
              <w:tab/>
            </w:r>
            <w:r>
              <w:rPr>
                <w:noProof/>
                <w:webHidden/>
              </w:rPr>
              <w:fldChar w:fldCharType="begin"/>
            </w:r>
            <w:r>
              <w:rPr>
                <w:noProof/>
                <w:webHidden/>
              </w:rPr>
              <w:instrText xml:space="preserve"> PAGEREF _Toc210975445 \h </w:instrText>
            </w:r>
            <w:r>
              <w:rPr>
                <w:noProof/>
                <w:webHidden/>
              </w:rPr>
            </w:r>
            <w:r>
              <w:rPr>
                <w:noProof/>
                <w:webHidden/>
              </w:rPr>
              <w:fldChar w:fldCharType="separate"/>
            </w:r>
            <w:r>
              <w:rPr>
                <w:noProof/>
                <w:webHidden/>
              </w:rPr>
              <w:t>8</w:t>
            </w:r>
            <w:r>
              <w:rPr>
                <w:noProof/>
                <w:webHidden/>
              </w:rPr>
              <w:fldChar w:fldCharType="end"/>
            </w:r>
          </w:hyperlink>
        </w:p>
        <w:p w14:paraId="78307ED6" w14:textId="3770220C"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6" w:history="1">
            <w:r w:rsidRPr="0050003F">
              <w:rPr>
                <w:rStyle w:val="Hyperlink"/>
                <w:noProof/>
              </w:rPr>
              <w:t>Controlling the level of harvest</w:t>
            </w:r>
            <w:r>
              <w:rPr>
                <w:noProof/>
                <w:webHidden/>
              </w:rPr>
              <w:tab/>
            </w:r>
            <w:r>
              <w:rPr>
                <w:noProof/>
                <w:webHidden/>
              </w:rPr>
              <w:fldChar w:fldCharType="begin"/>
            </w:r>
            <w:r>
              <w:rPr>
                <w:noProof/>
                <w:webHidden/>
              </w:rPr>
              <w:instrText xml:space="preserve"> PAGEREF _Toc210975446 \h </w:instrText>
            </w:r>
            <w:r>
              <w:rPr>
                <w:noProof/>
                <w:webHidden/>
              </w:rPr>
            </w:r>
            <w:r>
              <w:rPr>
                <w:noProof/>
                <w:webHidden/>
              </w:rPr>
              <w:fldChar w:fldCharType="separate"/>
            </w:r>
            <w:r>
              <w:rPr>
                <w:noProof/>
                <w:webHidden/>
              </w:rPr>
              <w:t>9</w:t>
            </w:r>
            <w:r>
              <w:rPr>
                <w:noProof/>
                <w:webHidden/>
              </w:rPr>
              <w:fldChar w:fldCharType="end"/>
            </w:r>
          </w:hyperlink>
        </w:p>
        <w:p w14:paraId="777ED026" w14:textId="4ACAAF37"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7" w:history="1">
            <w:r w:rsidRPr="0050003F">
              <w:rPr>
                <w:rStyle w:val="Hyperlink"/>
                <w:noProof/>
              </w:rPr>
              <w:t>Harvest strategy</w:t>
            </w:r>
            <w:r>
              <w:rPr>
                <w:noProof/>
                <w:webHidden/>
              </w:rPr>
              <w:tab/>
            </w:r>
            <w:r>
              <w:rPr>
                <w:noProof/>
                <w:webHidden/>
              </w:rPr>
              <w:fldChar w:fldCharType="begin"/>
            </w:r>
            <w:r>
              <w:rPr>
                <w:noProof/>
                <w:webHidden/>
              </w:rPr>
              <w:instrText xml:space="preserve"> PAGEREF _Toc210975447 \h </w:instrText>
            </w:r>
            <w:r>
              <w:rPr>
                <w:noProof/>
                <w:webHidden/>
              </w:rPr>
            </w:r>
            <w:r>
              <w:rPr>
                <w:noProof/>
                <w:webHidden/>
              </w:rPr>
              <w:fldChar w:fldCharType="separate"/>
            </w:r>
            <w:r>
              <w:rPr>
                <w:noProof/>
                <w:webHidden/>
              </w:rPr>
              <w:t>9</w:t>
            </w:r>
            <w:r>
              <w:rPr>
                <w:noProof/>
                <w:webHidden/>
              </w:rPr>
              <w:fldChar w:fldCharType="end"/>
            </w:r>
          </w:hyperlink>
        </w:p>
        <w:p w14:paraId="57043E1C" w14:textId="01A9FF8D"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8" w:history="1">
            <w:r w:rsidRPr="0050003F">
              <w:rPr>
                <w:rStyle w:val="Hyperlink"/>
                <w:noProof/>
              </w:rPr>
              <w:t>Recovery strategies for overfished stocks</w:t>
            </w:r>
            <w:r>
              <w:rPr>
                <w:noProof/>
                <w:webHidden/>
              </w:rPr>
              <w:tab/>
            </w:r>
            <w:r>
              <w:rPr>
                <w:noProof/>
                <w:webHidden/>
              </w:rPr>
              <w:fldChar w:fldCharType="begin"/>
            </w:r>
            <w:r>
              <w:rPr>
                <w:noProof/>
                <w:webHidden/>
              </w:rPr>
              <w:instrText xml:space="preserve"> PAGEREF _Toc210975448 \h </w:instrText>
            </w:r>
            <w:r>
              <w:rPr>
                <w:noProof/>
                <w:webHidden/>
              </w:rPr>
            </w:r>
            <w:r>
              <w:rPr>
                <w:noProof/>
                <w:webHidden/>
              </w:rPr>
              <w:fldChar w:fldCharType="separate"/>
            </w:r>
            <w:r>
              <w:rPr>
                <w:noProof/>
                <w:webHidden/>
              </w:rPr>
              <w:t>11</w:t>
            </w:r>
            <w:r>
              <w:rPr>
                <w:noProof/>
                <w:webHidden/>
              </w:rPr>
              <w:fldChar w:fldCharType="end"/>
            </w:r>
          </w:hyperlink>
        </w:p>
        <w:p w14:paraId="58CF9F32" w14:textId="0AC8B52C"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49" w:history="1">
            <w:r w:rsidRPr="0050003F">
              <w:rPr>
                <w:rStyle w:val="Hyperlink"/>
                <w:noProof/>
              </w:rPr>
              <w:t>Enforcement of the management arrangements</w:t>
            </w:r>
            <w:r>
              <w:rPr>
                <w:noProof/>
                <w:webHidden/>
              </w:rPr>
              <w:tab/>
            </w:r>
            <w:r>
              <w:rPr>
                <w:noProof/>
                <w:webHidden/>
              </w:rPr>
              <w:fldChar w:fldCharType="begin"/>
            </w:r>
            <w:r>
              <w:rPr>
                <w:noProof/>
                <w:webHidden/>
              </w:rPr>
              <w:instrText xml:space="preserve"> PAGEREF _Toc210975449 \h </w:instrText>
            </w:r>
            <w:r>
              <w:rPr>
                <w:noProof/>
                <w:webHidden/>
              </w:rPr>
            </w:r>
            <w:r>
              <w:rPr>
                <w:noProof/>
                <w:webHidden/>
              </w:rPr>
              <w:fldChar w:fldCharType="separate"/>
            </w:r>
            <w:r>
              <w:rPr>
                <w:noProof/>
                <w:webHidden/>
              </w:rPr>
              <w:t>12</w:t>
            </w:r>
            <w:r>
              <w:rPr>
                <w:noProof/>
                <w:webHidden/>
              </w:rPr>
              <w:fldChar w:fldCharType="end"/>
            </w:r>
          </w:hyperlink>
        </w:p>
        <w:p w14:paraId="301B3800" w14:textId="7F2C1484"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0" w:history="1">
            <w:r w:rsidRPr="0050003F">
              <w:rPr>
                <w:rStyle w:val="Hyperlink"/>
                <w:noProof/>
              </w:rPr>
              <w:t>Mitigating impacts on the wider ecosystem</w:t>
            </w:r>
            <w:r>
              <w:rPr>
                <w:noProof/>
                <w:webHidden/>
              </w:rPr>
              <w:tab/>
            </w:r>
            <w:r>
              <w:rPr>
                <w:noProof/>
                <w:webHidden/>
              </w:rPr>
              <w:fldChar w:fldCharType="begin"/>
            </w:r>
            <w:r>
              <w:rPr>
                <w:noProof/>
                <w:webHidden/>
              </w:rPr>
              <w:instrText xml:space="preserve"> PAGEREF _Toc210975450 \h </w:instrText>
            </w:r>
            <w:r>
              <w:rPr>
                <w:noProof/>
                <w:webHidden/>
              </w:rPr>
            </w:r>
            <w:r>
              <w:rPr>
                <w:noProof/>
                <w:webHidden/>
              </w:rPr>
              <w:fldChar w:fldCharType="separate"/>
            </w:r>
            <w:r>
              <w:rPr>
                <w:noProof/>
                <w:webHidden/>
              </w:rPr>
              <w:t>13</w:t>
            </w:r>
            <w:r>
              <w:rPr>
                <w:noProof/>
                <w:webHidden/>
              </w:rPr>
              <w:fldChar w:fldCharType="end"/>
            </w:r>
          </w:hyperlink>
        </w:p>
        <w:p w14:paraId="1F4034FD" w14:textId="25EE168E"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1" w:history="1">
            <w:r w:rsidRPr="0050003F">
              <w:rPr>
                <w:rStyle w:val="Hyperlink"/>
                <w:noProof/>
              </w:rPr>
              <w:t>National policies, plans and strategies</w:t>
            </w:r>
            <w:r>
              <w:rPr>
                <w:noProof/>
                <w:webHidden/>
              </w:rPr>
              <w:tab/>
            </w:r>
            <w:r>
              <w:rPr>
                <w:noProof/>
                <w:webHidden/>
              </w:rPr>
              <w:fldChar w:fldCharType="begin"/>
            </w:r>
            <w:r>
              <w:rPr>
                <w:noProof/>
                <w:webHidden/>
              </w:rPr>
              <w:instrText xml:space="preserve"> PAGEREF _Toc210975451 \h </w:instrText>
            </w:r>
            <w:r>
              <w:rPr>
                <w:noProof/>
                <w:webHidden/>
              </w:rPr>
            </w:r>
            <w:r>
              <w:rPr>
                <w:noProof/>
                <w:webHidden/>
              </w:rPr>
              <w:fldChar w:fldCharType="separate"/>
            </w:r>
            <w:r>
              <w:rPr>
                <w:noProof/>
                <w:webHidden/>
              </w:rPr>
              <w:t>14</w:t>
            </w:r>
            <w:r>
              <w:rPr>
                <w:noProof/>
                <w:webHidden/>
              </w:rPr>
              <w:fldChar w:fldCharType="end"/>
            </w:r>
          </w:hyperlink>
        </w:p>
        <w:p w14:paraId="7D3D9158" w14:textId="7A8BC455"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2" w:history="1">
            <w:r w:rsidRPr="0050003F">
              <w:rPr>
                <w:rStyle w:val="Hyperlink"/>
                <w:noProof/>
              </w:rPr>
              <w:t>Changes since the previous assessment</w:t>
            </w:r>
            <w:r>
              <w:rPr>
                <w:noProof/>
                <w:webHidden/>
              </w:rPr>
              <w:tab/>
            </w:r>
            <w:r>
              <w:rPr>
                <w:noProof/>
                <w:webHidden/>
              </w:rPr>
              <w:fldChar w:fldCharType="begin"/>
            </w:r>
            <w:r>
              <w:rPr>
                <w:noProof/>
                <w:webHidden/>
              </w:rPr>
              <w:instrText xml:space="preserve"> PAGEREF _Toc210975452 \h </w:instrText>
            </w:r>
            <w:r>
              <w:rPr>
                <w:noProof/>
                <w:webHidden/>
              </w:rPr>
            </w:r>
            <w:r>
              <w:rPr>
                <w:noProof/>
                <w:webHidden/>
              </w:rPr>
              <w:fldChar w:fldCharType="separate"/>
            </w:r>
            <w:r>
              <w:rPr>
                <w:noProof/>
                <w:webHidden/>
              </w:rPr>
              <w:t>14</w:t>
            </w:r>
            <w:r>
              <w:rPr>
                <w:noProof/>
                <w:webHidden/>
              </w:rPr>
              <w:fldChar w:fldCharType="end"/>
            </w:r>
          </w:hyperlink>
        </w:p>
        <w:p w14:paraId="3DFDC917" w14:textId="6A2D55AF"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53" w:history="1">
            <w:r w:rsidRPr="0050003F">
              <w:rPr>
                <w:rStyle w:val="Hyperlink"/>
                <w:noProof/>
              </w:rPr>
              <w:t>Monitoring and data collection</w:t>
            </w:r>
            <w:r>
              <w:rPr>
                <w:noProof/>
                <w:webHidden/>
              </w:rPr>
              <w:tab/>
            </w:r>
            <w:r>
              <w:rPr>
                <w:noProof/>
                <w:webHidden/>
              </w:rPr>
              <w:fldChar w:fldCharType="begin"/>
            </w:r>
            <w:r>
              <w:rPr>
                <w:noProof/>
                <w:webHidden/>
              </w:rPr>
              <w:instrText xml:space="preserve"> PAGEREF _Toc210975453 \h </w:instrText>
            </w:r>
            <w:r>
              <w:rPr>
                <w:noProof/>
                <w:webHidden/>
              </w:rPr>
            </w:r>
            <w:r>
              <w:rPr>
                <w:noProof/>
                <w:webHidden/>
              </w:rPr>
              <w:fldChar w:fldCharType="separate"/>
            </w:r>
            <w:r>
              <w:rPr>
                <w:noProof/>
                <w:webHidden/>
              </w:rPr>
              <w:t>16</w:t>
            </w:r>
            <w:r>
              <w:rPr>
                <w:noProof/>
                <w:webHidden/>
              </w:rPr>
              <w:fldChar w:fldCharType="end"/>
            </w:r>
          </w:hyperlink>
        </w:p>
        <w:p w14:paraId="4C185564" w14:textId="0A5BBFED"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4" w:history="1">
            <w:r w:rsidRPr="0050003F">
              <w:rPr>
                <w:rStyle w:val="Hyperlink"/>
                <w:noProof/>
              </w:rPr>
              <w:t>Data collection, data validation and data monitoring programs</w:t>
            </w:r>
            <w:r>
              <w:rPr>
                <w:noProof/>
                <w:webHidden/>
              </w:rPr>
              <w:tab/>
            </w:r>
            <w:r>
              <w:rPr>
                <w:noProof/>
                <w:webHidden/>
              </w:rPr>
              <w:fldChar w:fldCharType="begin"/>
            </w:r>
            <w:r>
              <w:rPr>
                <w:noProof/>
                <w:webHidden/>
              </w:rPr>
              <w:instrText xml:space="preserve"> PAGEREF _Toc210975454 \h </w:instrText>
            </w:r>
            <w:r>
              <w:rPr>
                <w:noProof/>
                <w:webHidden/>
              </w:rPr>
            </w:r>
            <w:r>
              <w:rPr>
                <w:noProof/>
                <w:webHidden/>
              </w:rPr>
              <w:fldChar w:fldCharType="separate"/>
            </w:r>
            <w:r>
              <w:rPr>
                <w:noProof/>
                <w:webHidden/>
              </w:rPr>
              <w:t>16</w:t>
            </w:r>
            <w:r>
              <w:rPr>
                <w:noProof/>
                <w:webHidden/>
              </w:rPr>
              <w:fldChar w:fldCharType="end"/>
            </w:r>
          </w:hyperlink>
        </w:p>
        <w:p w14:paraId="5C90B598" w14:textId="045B19E1"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55" w:history="1">
            <w:r w:rsidRPr="0050003F">
              <w:rPr>
                <w:rStyle w:val="Hyperlink"/>
                <w:noProof/>
              </w:rPr>
              <w:t>Stock assessments</w:t>
            </w:r>
            <w:r>
              <w:rPr>
                <w:noProof/>
                <w:webHidden/>
              </w:rPr>
              <w:tab/>
            </w:r>
            <w:r>
              <w:rPr>
                <w:noProof/>
                <w:webHidden/>
              </w:rPr>
              <w:fldChar w:fldCharType="begin"/>
            </w:r>
            <w:r>
              <w:rPr>
                <w:noProof/>
                <w:webHidden/>
              </w:rPr>
              <w:instrText xml:space="preserve"> PAGEREF _Toc210975455 \h </w:instrText>
            </w:r>
            <w:r>
              <w:rPr>
                <w:noProof/>
                <w:webHidden/>
              </w:rPr>
            </w:r>
            <w:r>
              <w:rPr>
                <w:noProof/>
                <w:webHidden/>
              </w:rPr>
              <w:fldChar w:fldCharType="separate"/>
            </w:r>
            <w:r>
              <w:rPr>
                <w:noProof/>
                <w:webHidden/>
              </w:rPr>
              <w:t>17</w:t>
            </w:r>
            <w:r>
              <w:rPr>
                <w:noProof/>
                <w:webHidden/>
              </w:rPr>
              <w:fldChar w:fldCharType="end"/>
            </w:r>
          </w:hyperlink>
        </w:p>
        <w:p w14:paraId="36936102" w14:textId="311AA350"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6" w:history="1">
            <w:r w:rsidRPr="0050003F">
              <w:rPr>
                <w:rStyle w:val="Hyperlink"/>
                <w:noProof/>
              </w:rPr>
              <w:t>Key target and byproduct species</w:t>
            </w:r>
            <w:r>
              <w:rPr>
                <w:noProof/>
                <w:webHidden/>
              </w:rPr>
              <w:tab/>
            </w:r>
            <w:r>
              <w:rPr>
                <w:noProof/>
                <w:webHidden/>
              </w:rPr>
              <w:fldChar w:fldCharType="begin"/>
            </w:r>
            <w:r>
              <w:rPr>
                <w:noProof/>
                <w:webHidden/>
              </w:rPr>
              <w:instrText xml:space="preserve"> PAGEREF _Toc210975456 \h </w:instrText>
            </w:r>
            <w:r>
              <w:rPr>
                <w:noProof/>
                <w:webHidden/>
              </w:rPr>
            </w:r>
            <w:r>
              <w:rPr>
                <w:noProof/>
                <w:webHidden/>
              </w:rPr>
              <w:fldChar w:fldCharType="separate"/>
            </w:r>
            <w:r>
              <w:rPr>
                <w:noProof/>
                <w:webHidden/>
              </w:rPr>
              <w:t>17</w:t>
            </w:r>
            <w:r>
              <w:rPr>
                <w:noProof/>
                <w:webHidden/>
              </w:rPr>
              <w:fldChar w:fldCharType="end"/>
            </w:r>
          </w:hyperlink>
        </w:p>
        <w:p w14:paraId="4EFD6CEE" w14:textId="744C15DA"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7" w:history="1">
            <w:r w:rsidRPr="0050003F">
              <w:rPr>
                <w:rStyle w:val="Hyperlink"/>
                <w:noProof/>
              </w:rPr>
              <w:t>Indicator species</w:t>
            </w:r>
            <w:r>
              <w:rPr>
                <w:noProof/>
                <w:webHidden/>
              </w:rPr>
              <w:tab/>
            </w:r>
            <w:r>
              <w:rPr>
                <w:noProof/>
                <w:webHidden/>
              </w:rPr>
              <w:fldChar w:fldCharType="begin"/>
            </w:r>
            <w:r>
              <w:rPr>
                <w:noProof/>
                <w:webHidden/>
              </w:rPr>
              <w:instrText xml:space="preserve"> PAGEREF _Toc210975457 \h </w:instrText>
            </w:r>
            <w:r>
              <w:rPr>
                <w:noProof/>
                <w:webHidden/>
              </w:rPr>
            </w:r>
            <w:r>
              <w:rPr>
                <w:noProof/>
                <w:webHidden/>
              </w:rPr>
              <w:fldChar w:fldCharType="separate"/>
            </w:r>
            <w:r>
              <w:rPr>
                <w:noProof/>
                <w:webHidden/>
              </w:rPr>
              <w:t>18</w:t>
            </w:r>
            <w:r>
              <w:rPr>
                <w:noProof/>
                <w:webHidden/>
              </w:rPr>
              <w:fldChar w:fldCharType="end"/>
            </w:r>
          </w:hyperlink>
        </w:p>
        <w:p w14:paraId="6B48D32E" w14:textId="65F15237"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8" w:history="1">
            <w:r w:rsidRPr="0050003F">
              <w:rPr>
                <w:rStyle w:val="Hyperlink"/>
                <w:noProof/>
              </w:rPr>
              <w:t>Distribution and spatial structure of key stocks</w:t>
            </w:r>
            <w:r>
              <w:rPr>
                <w:noProof/>
                <w:webHidden/>
              </w:rPr>
              <w:tab/>
            </w:r>
            <w:r>
              <w:rPr>
                <w:noProof/>
                <w:webHidden/>
              </w:rPr>
              <w:fldChar w:fldCharType="begin"/>
            </w:r>
            <w:r>
              <w:rPr>
                <w:noProof/>
                <w:webHidden/>
              </w:rPr>
              <w:instrText xml:space="preserve"> PAGEREF _Toc210975458 \h </w:instrText>
            </w:r>
            <w:r>
              <w:rPr>
                <w:noProof/>
                <w:webHidden/>
              </w:rPr>
            </w:r>
            <w:r>
              <w:rPr>
                <w:noProof/>
                <w:webHidden/>
              </w:rPr>
              <w:fldChar w:fldCharType="separate"/>
            </w:r>
            <w:r>
              <w:rPr>
                <w:noProof/>
                <w:webHidden/>
              </w:rPr>
              <w:t>19</w:t>
            </w:r>
            <w:r>
              <w:rPr>
                <w:noProof/>
                <w:webHidden/>
              </w:rPr>
              <w:fldChar w:fldCharType="end"/>
            </w:r>
          </w:hyperlink>
        </w:p>
        <w:p w14:paraId="63DA7B0D" w14:textId="7AAF687E"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59" w:history="1">
            <w:r w:rsidRPr="0050003F">
              <w:rPr>
                <w:rStyle w:val="Hyperlink"/>
                <w:noProof/>
              </w:rPr>
              <w:t>Estimates of total removals</w:t>
            </w:r>
            <w:r>
              <w:rPr>
                <w:noProof/>
                <w:webHidden/>
              </w:rPr>
              <w:tab/>
            </w:r>
            <w:r>
              <w:rPr>
                <w:noProof/>
                <w:webHidden/>
              </w:rPr>
              <w:fldChar w:fldCharType="begin"/>
            </w:r>
            <w:r>
              <w:rPr>
                <w:noProof/>
                <w:webHidden/>
              </w:rPr>
              <w:instrText xml:space="preserve"> PAGEREF _Toc210975459 \h </w:instrText>
            </w:r>
            <w:r>
              <w:rPr>
                <w:noProof/>
                <w:webHidden/>
              </w:rPr>
            </w:r>
            <w:r>
              <w:rPr>
                <w:noProof/>
                <w:webHidden/>
              </w:rPr>
              <w:fldChar w:fldCharType="separate"/>
            </w:r>
            <w:r>
              <w:rPr>
                <w:noProof/>
                <w:webHidden/>
              </w:rPr>
              <w:t>19</w:t>
            </w:r>
            <w:r>
              <w:rPr>
                <w:noProof/>
                <w:webHidden/>
              </w:rPr>
              <w:fldChar w:fldCharType="end"/>
            </w:r>
          </w:hyperlink>
        </w:p>
        <w:p w14:paraId="4FAF9EED" w14:textId="1D48E696"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60" w:history="1">
            <w:r w:rsidRPr="0050003F">
              <w:rPr>
                <w:rStyle w:val="Hyperlink"/>
                <w:noProof/>
              </w:rPr>
              <w:t>Bycatch</w:t>
            </w:r>
            <w:r>
              <w:rPr>
                <w:noProof/>
                <w:webHidden/>
              </w:rPr>
              <w:tab/>
            </w:r>
            <w:r>
              <w:rPr>
                <w:noProof/>
                <w:webHidden/>
              </w:rPr>
              <w:fldChar w:fldCharType="begin"/>
            </w:r>
            <w:r>
              <w:rPr>
                <w:noProof/>
                <w:webHidden/>
              </w:rPr>
              <w:instrText xml:space="preserve"> PAGEREF _Toc210975460 \h </w:instrText>
            </w:r>
            <w:r>
              <w:rPr>
                <w:noProof/>
                <w:webHidden/>
              </w:rPr>
            </w:r>
            <w:r>
              <w:rPr>
                <w:noProof/>
                <w:webHidden/>
              </w:rPr>
              <w:fldChar w:fldCharType="separate"/>
            </w:r>
            <w:r>
              <w:rPr>
                <w:noProof/>
                <w:webHidden/>
              </w:rPr>
              <w:t>20</w:t>
            </w:r>
            <w:r>
              <w:rPr>
                <w:noProof/>
                <w:webHidden/>
              </w:rPr>
              <w:fldChar w:fldCharType="end"/>
            </w:r>
          </w:hyperlink>
        </w:p>
        <w:p w14:paraId="1F70D7F2" w14:textId="1BD13253"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1" w:history="1">
            <w:r w:rsidRPr="0050003F">
              <w:rPr>
                <w:rStyle w:val="Hyperlink"/>
                <w:noProof/>
              </w:rPr>
              <w:t>Bycatch composition</w:t>
            </w:r>
            <w:r>
              <w:rPr>
                <w:noProof/>
                <w:webHidden/>
              </w:rPr>
              <w:tab/>
            </w:r>
            <w:r>
              <w:rPr>
                <w:noProof/>
                <w:webHidden/>
              </w:rPr>
              <w:fldChar w:fldCharType="begin"/>
            </w:r>
            <w:r>
              <w:rPr>
                <w:noProof/>
                <w:webHidden/>
              </w:rPr>
              <w:instrText xml:space="preserve"> PAGEREF _Toc210975461 \h </w:instrText>
            </w:r>
            <w:r>
              <w:rPr>
                <w:noProof/>
                <w:webHidden/>
              </w:rPr>
            </w:r>
            <w:r>
              <w:rPr>
                <w:noProof/>
                <w:webHidden/>
              </w:rPr>
              <w:fldChar w:fldCharType="separate"/>
            </w:r>
            <w:r>
              <w:rPr>
                <w:noProof/>
                <w:webHidden/>
              </w:rPr>
              <w:t>20</w:t>
            </w:r>
            <w:r>
              <w:rPr>
                <w:noProof/>
                <w:webHidden/>
              </w:rPr>
              <w:fldChar w:fldCharType="end"/>
            </w:r>
          </w:hyperlink>
        </w:p>
        <w:p w14:paraId="47191D54" w14:textId="4993DDC4"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2" w:history="1">
            <w:r w:rsidRPr="0050003F">
              <w:rPr>
                <w:rStyle w:val="Hyperlink"/>
                <w:noProof/>
              </w:rPr>
              <w:t>Risk assessment on the effects of fishing on bycatch</w:t>
            </w:r>
            <w:r>
              <w:rPr>
                <w:noProof/>
                <w:webHidden/>
              </w:rPr>
              <w:tab/>
            </w:r>
            <w:r>
              <w:rPr>
                <w:noProof/>
                <w:webHidden/>
              </w:rPr>
              <w:fldChar w:fldCharType="begin"/>
            </w:r>
            <w:r>
              <w:rPr>
                <w:noProof/>
                <w:webHidden/>
              </w:rPr>
              <w:instrText xml:space="preserve"> PAGEREF _Toc210975462 \h </w:instrText>
            </w:r>
            <w:r>
              <w:rPr>
                <w:noProof/>
                <w:webHidden/>
              </w:rPr>
            </w:r>
            <w:r>
              <w:rPr>
                <w:noProof/>
                <w:webHidden/>
              </w:rPr>
              <w:fldChar w:fldCharType="separate"/>
            </w:r>
            <w:r>
              <w:rPr>
                <w:noProof/>
                <w:webHidden/>
              </w:rPr>
              <w:t>20</w:t>
            </w:r>
            <w:r>
              <w:rPr>
                <w:noProof/>
                <w:webHidden/>
              </w:rPr>
              <w:fldChar w:fldCharType="end"/>
            </w:r>
          </w:hyperlink>
        </w:p>
        <w:p w14:paraId="2987051F" w14:textId="11BD7EEB"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3" w:history="1">
            <w:r w:rsidRPr="0050003F">
              <w:rPr>
                <w:rStyle w:val="Hyperlink"/>
                <w:noProof/>
              </w:rPr>
              <w:t>Bycatch mitigation measures</w:t>
            </w:r>
            <w:r>
              <w:rPr>
                <w:noProof/>
                <w:webHidden/>
              </w:rPr>
              <w:tab/>
            </w:r>
            <w:r>
              <w:rPr>
                <w:noProof/>
                <w:webHidden/>
              </w:rPr>
              <w:fldChar w:fldCharType="begin"/>
            </w:r>
            <w:r>
              <w:rPr>
                <w:noProof/>
                <w:webHidden/>
              </w:rPr>
              <w:instrText xml:space="preserve"> PAGEREF _Toc210975463 \h </w:instrText>
            </w:r>
            <w:r>
              <w:rPr>
                <w:noProof/>
                <w:webHidden/>
              </w:rPr>
            </w:r>
            <w:r>
              <w:rPr>
                <w:noProof/>
                <w:webHidden/>
              </w:rPr>
              <w:fldChar w:fldCharType="separate"/>
            </w:r>
            <w:r>
              <w:rPr>
                <w:noProof/>
                <w:webHidden/>
              </w:rPr>
              <w:t>20</w:t>
            </w:r>
            <w:r>
              <w:rPr>
                <w:noProof/>
                <w:webHidden/>
              </w:rPr>
              <w:fldChar w:fldCharType="end"/>
            </w:r>
          </w:hyperlink>
        </w:p>
        <w:p w14:paraId="3BDC356D" w14:textId="707DCB37"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4" w:history="1">
            <w:r w:rsidRPr="0050003F">
              <w:rPr>
                <w:rStyle w:val="Hyperlink"/>
                <w:noProof/>
              </w:rPr>
              <w:t>Indicator bycatch species</w:t>
            </w:r>
            <w:r>
              <w:rPr>
                <w:noProof/>
                <w:webHidden/>
              </w:rPr>
              <w:tab/>
            </w:r>
            <w:r>
              <w:rPr>
                <w:noProof/>
                <w:webHidden/>
              </w:rPr>
              <w:fldChar w:fldCharType="begin"/>
            </w:r>
            <w:r>
              <w:rPr>
                <w:noProof/>
                <w:webHidden/>
              </w:rPr>
              <w:instrText xml:space="preserve"> PAGEREF _Toc210975464 \h </w:instrText>
            </w:r>
            <w:r>
              <w:rPr>
                <w:noProof/>
                <w:webHidden/>
              </w:rPr>
            </w:r>
            <w:r>
              <w:rPr>
                <w:noProof/>
                <w:webHidden/>
              </w:rPr>
              <w:fldChar w:fldCharType="separate"/>
            </w:r>
            <w:r>
              <w:rPr>
                <w:noProof/>
                <w:webHidden/>
              </w:rPr>
              <w:t>20</w:t>
            </w:r>
            <w:r>
              <w:rPr>
                <w:noProof/>
                <w:webHidden/>
              </w:rPr>
              <w:fldChar w:fldCharType="end"/>
            </w:r>
          </w:hyperlink>
        </w:p>
        <w:p w14:paraId="09FA7529" w14:textId="3BBD529F"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5" w:history="1">
            <w:r w:rsidRPr="0050003F">
              <w:rPr>
                <w:rStyle w:val="Hyperlink"/>
                <w:noProof/>
              </w:rPr>
              <w:t>Management actions</w:t>
            </w:r>
            <w:r>
              <w:rPr>
                <w:noProof/>
                <w:webHidden/>
              </w:rPr>
              <w:tab/>
            </w:r>
            <w:r>
              <w:rPr>
                <w:noProof/>
                <w:webHidden/>
              </w:rPr>
              <w:fldChar w:fldCharType="begin"/>
            </w:r>
            <w:r>
              <w:rPr>
                <w:noProof/>
                <w:webHidden/>
              </w:rPr>
              <w:instrText xml:space="preserve"> PAGEREF _Toc210975465 \h </w:instrText>
            </w:r>
            <w:r>
              <w:rPr>
                <w:noProof/>
                <w:webHidden/>
              </w:rPr>
            </w:r>
            <w:r>
              <w:rPr>
                <w:noProof/>
                <w:webHidden/>
              </w:rPr>
              <w:fldChar w:fldCharType="separate"/>
            </w:r>
            <w:r>
              <w:rPr>
                <w:noProof/>
                <w:webHidden/>
              </w:rPr>
              <w:t>20</w:t>
            </w:r>
            <w:r>
              <w:rPr>
                <w:noProof/>
                <w:webHidden/>
              </w:rPr>
              <w:fldChar w:fldCharType="end"/>
            </w:r>
          </w:hyperlink>
        </w:p>
        <w:p w14:paraId="686D6236" w14:textId="45D82F28"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66" w:history="1">
            <w:r w:rsidRPr="0050003F">
              <w:rPr>
                <w:rStyle w:val="Hyperlink"/>
                <w:noProof/>
              </w:rPr>
              <w:t>Protected species and threatened ecological communities</w:t>
            </w:r>
            <w:r>
              <w:rPr>
                <w:noProof/>
                <w:webHidden/>
              </w:rPr>
              <w:tab/>
            </w:r>
            <w:r>
              <w:rPr>
                <w:noProof/>
                <w:webHidden/>
              </w:rPr>
              <w:fldChar w:fldCharType="begin"/>
            </w:r>
            <w:r>
              <w:rPr>
                <w:noProof/>
                <w:webHidden/>
              </w:rPr>
              <w:instrText xml:space="preserve"> PAGEREF _Toc210975466 \h </w:instrText>
            </w:r>
            <w:r>
              <w:rPr>
                <w:noProof/>
                <w:webHidden/>
              </w:rPr>
            </w:r>
            <w:r>
              <w:rPr>
                <w:noProof/>
                <w:webHidden/>
              </w:rPr>
              <w:fldChar w:fldCharType="separate"/>
            </w:r>
            <w:r>
              <w:rPr>
                <w:noProof/>
                <w:webHidden/>
              </w:rPr>
              <w:t>21</w:t>
            </w:r>
            <w:r>
              <w:rPr>
                <w:noProof/>
                <w:webHidden/>
              </w:rPr>
              <w:fldChar w:fldCharType="end"/>
            </w:r>
          </w:hyperlink>
        </w:p>
        <w:p w14:paraId="475D93EC" w14:textId="423F2CFB"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7" w:history="1">
            <w:r w:rsidRPr="0050003F">
              <w:rPr>
                <w:rStyle w:val="Hyperlink"/>
                <w:noProof/>
              </w:rPr>
              <w:t>Fishery impacts on protected species and communities</w:t>
            </w:r>
            <w:r>
              <w:rPr>
                <w:noProof/>
                <w:webHidden/>
              </w:rPr>
              <w:tab/>
            </w:r>
            <w:r>
              <w:rPr>
                <w:noProof/>
                <w:webHidden/>
              </w:rPr>
              <w:fldChar w:fldCharType="begin"/>
            </w:r>
            <w:r>
              <w:rPr>
                <w:noProof/>
                <w:webHidden/>
              </w:rPr>
              <w:instrText xml:space="preserve"> PAGEREF _Toc210975467 \h </w:instrText>
            </w:r>
            <w:r>
              <w:rPr>
                <w:noProof/>
                <w:webHidden/>
              </w:rPr>
            </w:r>
            <w:r>
              <w:rPr>
                <w:noProof/>
                <w:webHidden/>
              </w:rPr>
              <w:fldChar w:fldCharType="separate"/>
            </w:r>
            <w:r>
              <w:rPr>
                <w:noProof/>
                <w:webHidden/>
              </w:rPr>
              <w:t>21</w:t>
            </w:r>
            <w:r>
              <w:rPr>
                <w:noProof/>
                <w:webHidden/>
              </w:rPr>
              <w:fldChar w:fldCharType="end"/>
            </w:r>
          </w:hyperlink>
        </w:p>
        <w:p w14:paraId="6C00AA8F" w14:textId="76840EF1"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8" w:history="1">
            <w:r w:rsidRPr="0050003F">
              <w:rPr>
                <w:rStyle w:val="Hyperlink"/>
                <w:noProof/>
              </w:rPr>
              <w:t>Mitigating risks to protected species</w:t>
            </w:r>
            <w:r>
              <w:rPr>
                <w:noProof/>
                <w:webHidden/>
              </w:rPr>
              <w:tab/>
            </w:r>
            <w:r>
              <w:rPr>
                <w:noProof/>
                <w:webHidden/>
              </w:rPr>
              <w:fldChar w:fldCharType="begin"/>
            </w:r>
            <w:r>
              <w:rPr>
                <w:noProof/>
                <w:webHidden/>
              </w:rPr>
              <w:instrText xml:space="preserve"> PAGEREF _Toc210975468 \h </w:instrText>
            </w:r>
            <w:r>
              <w:rPr>
                <w:noProof/>
                <w:webHidden/>
              </w:rPr>
            </w:r>
            <w:r>
              <w:rPr>
                <w:noProof/>
                <w:webHidden/>
              </w:rPr>
              <w:fldChar w:fldCharType="separate"/>
            </w:r>
            <w:r>
              <w:rPr>
                <w:noProof/>
                <w:webHidden/>
              </w:rPr>
              <w:t>21</w:t>
            </w:r>
            <w:r>
              <w:rPr>
                <w:noProof/>
                <w:webHidden/>
              </w:rPr>
              <w:fldChar w:fldCharType="end"/>
            </w:r>
          </w:hyperlink>
        </w:p>
        <w:p w14:paraId="709C2A61" w14:textId="4309B3A8"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69" w:history="1">
            <w:r w:rsidRPr="0050003F">
              <w:rPr>
                <w:rStyle w:val="Hyperlink"/>
                <w:noProof/>
              </w:rPr>
              <w:t>CITES-listed species</w:t>
            </w:r>
            <w:r>
              <w:rPr>
                <w:noProof/>
                <w:webHidden/>
              </w:rPr>
              <w:tab/>
            </w:r>
            <w:r>
              <w:rPr>
                <w:noProof/>
                <w:webHidden/>
              </w:rPr>
              <w:fldChar w:fldCharType="begin"/>
            </w:r>
            <w:r>
              <w:rPr>
                <w:noProof/>
                <w:webHidden/>
              </w:rPr>
              <w:instrText xml:space="preserve"> PAGEREF _Toc210975469 \h </w:instrText>
            </w:r>
            <w:r>
              <w:rPr>
                <w:noProof/>
                <w:webHidden/>
              </w:rPr>
            </w:r>
            <w:r>
              <w:rPr>
                <w:noProof/>
                <w:webHidden/>
              </w:rPr>
              <w:fldChar w:fldCharType="separate"/>
            </w:r>
            <w:r>
              <w:rPr>
                <w:noProof/>
                <w:webHidden/>
              </w:rPr>
              <w:t>21</w:t>
            </w:r>
            <w:r>
              <w:rPr>
                <w:noProof/>
                <w:webHidden/>
              </w:rPr>
              <w:fldChar w:fldCharType="end"/>
            </w:r>
          </w:hyperlink>
        </w:p>
        <w:p w14:paraId="3212C3F3" w14:textId="779DFF0C"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70" w:history="1">
            <w:r w:rsidRPr="0050003F">
              <w:rPr>
                <w:rStyle w:val="Hyperlink"/>
                <w:noProof/>
              </w:rPr>
              <w:t>Ecosystem</w:t>
            </w:r>
            <w:r>
              <w:rPr>
                <w:noProof/>
                <w:webHidden/>
              </w:rPr>
              <w:tab/>
            </w:r>
            <w:r>
              <w:rPr>
                <w:noProof/>
                <w:webHidden/>
              </w:rPr>
              <w:fldChar w:fldCharType="begin"/>
            </w:r>
            <w:r>
              <w:rPr>
                <w:noProof/>
                <w:webHidden/>
              </w:rPr>
              <w:instrText xml:space="preserve"> PAGEREF _Toc210975470 \h </w:instrText>
            </w:r>
            <w:r>
              <w:rPr>
                <w:noProof/>
                <w:webHidden/>
              </w:rPr>
            </w:r>
            <w:r>
              <w:rPr>
                <w:noProof/>
                <w:webHidden/>
              </w:rPr>
              <w:fldChar w:fldCharType="separate"/>
            </w:r>
            <w:r>
              <w:rPr>
                <w:noProof/>
                <w:webHidden/>
              </w:rPr>
              <w:t>21</w:t>
            </w:r>
            <w:r>
              <w:rPr>
                <w:noProof/>
                <w:webHidden/>
              </w:rPr>
              <w:fldChar w:fldCharType="end"/>
            </w:r>
          </w:hyperlink>
        </w:p>
        <w:p w14:paraId="14F40CBC" w14:textId="74318C70"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71" w:history="1">
            <w:r w:rsidRPr="0050003F">
              <w:rPr>
                <w:rStyle w:val="Hyperlink"/>
                <w:noProof/>
              </w:rPr>
              <w:t>Ecosystem management actions</w:t>
            </w:r>
            <w:r>
              <w:rPr>
                <w:noProof/>
                <w:webHidden/>
              </w:rPr>
              <w:tab/>
            </w:r>
            <w:r>
              <w:rPr>
                <w:noProof/>
                <w:webHidden/>
              </w:rPr>
              <w:fldChar w:fldCharType="begin"/>
            </w:r>
            <w:r>
              <w:rPr>
                <w:noProof/>
                <w:webHidden/>
              </w:rPr>
              <w:instrText xml:space="preserve"> PAGEREF _Toc210975471 \h </w:instrText>
            </w:r>
            <w:r>
              <w:rPr>
                <w:noProof/>
                <w:webHidden/>
              </w:rPr>
            </w:r>
            <w:r>
              <w:rPr>
                <w:noProof/>
                <w:webHidden/>
              </w:rPr>
              <w:fldChar w:fldCharType="separate"/>
            </w:r>
            <w:r>
              <w:rPr>
                <w:noProof/>
                <w:webHidden/>
              </w:rPr>
              <w:t>21</w:t>
            </w:r>
            <w:r>
              <w:rPr>
                <w:noProof/>
                <w:webHidden/>
              </w:rPr>
              <w:fldChar w:fldCharType="end"/>
            </w:r>
          </w:hyperlink>
        </w:p>
        <w:p w14:paraId="71993866" w14:textId="21786429"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72" w:history="1">
            <w:r w:rsidRPr="0050003F">
              <w:rPr>
                <w:rStyle w:val="Hyperlink"/>
                <w:noProof/>
              </w:rPr>
              <w:t>Management responses</w:t>
            </w:r>
            <w:r>
              <w:rPr>
                <w:noProof/>
                <w:webHidden/>
              </w:rPr>
              <w:tab/>
            </w:r>
            <w:r>
              <w:rPr>
                <w:noProof/>
                <w:webHidden/>
              </w:rPr>
              <w:fldChar w:fldCharType="begin"/>
            </w:r>
            <w:r>
              <w:rPr>
                <w:noProof/>
                <w:webHidden/>
              </w:rPr>
              <w:instrText xml:space="preserve"> PAGEREF _Toc210975472 \h </w:instrText>
            </w:r>
            <w:r>
              <w:rPr>
                <w:noProof/>
                <w:webHidden/>
              </w:rPr>
            </w:r>
            <w:r>
              <w:rPr>
                <w:noProof/>
                <w:webHidden/>
              </w:rPr>
              <w:fldChar w:fldCharType="separate"/>
            </w:r>
            <w:r>
              <w:rPr>
                <w:noProof/>
                <w:webHidden/>
              </w:rPr>
              <w:t>22</w:t>
            </w:r>
            <w:r>
              <w:rPr>
                <w:noProof/>
                <w:webHidden/>
              </w:rPr>
              <w:fldChar w:fldCharType="end"/>
            </w:r>
          </w:hyperlink>
        </w:p>
        <w:p w14:paraId="1E15926C" w14:textId="063DBD92"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73" w:history="1">
            <w:r w:rsidRPr="0050003F">
              <w:rPr>
                <w:rStyle w:val="Hyperlink"/>
                <w:noProof/>
              </w:rPr>
              <w:t>Marine bioregional plans</w:t>
            </w:r>
            <w:r>
              <w:rPr>
                <w:noProof/>
                <w:webHidden/>
              </w:rPr>
              <w:tab/>
            </w:r>
            <w:r>
              <w:rPr>
                <w:noProof/>
                <w:webHidden/>
              </w:rPr>
              <w:fldChar w:fldCharType="begin"/>
            </w:r>
            <w:r>
              <w:rPr>
                <w:noProof/>
                <w:webHidden/>
              </w:rPr>
              <w:instrText xml:space="preserve"> PAGEREF _Toc210975473 \h </w:instrText>
            </w:r>
            <w:r>
              <w:rPr>
                <w:noProof/>
                <w:webHidden/>
              </w:rPr>
            </w:r>
            <w:r>
              <w:rPr>
                <w:noProof/>
                <w:webHidden/>
              </w:rPr>
              <w:fldChar w:fldCharType="separate"/>
            </w:r>
            <w:r>
              <w:rPr>
                <w:noProof/>
                <w:webHidden/>
              </w:rPr>
              <w:t>22</w:t>
            </w:r>
            <w:r>
              <w:rPr>
                <w:noProof/>
                <w:webHidden/>
              </w:rPr>
              <w:fldChar w:fldCharType="end"/>
            </w:r>
          </w:hyperlink>
        </w:p>
        <w:p w14:paraId="3C9F0C55" w14:textId="1640676A"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74" w:history="1">
            <w:r w:rsidRPr="0050003F">
              <w:rPr>
                <w:rStyle w:val="Hyperlink"/>
                <w:noProof/>
              </w:rPr>
              <w:t>Research</w:t>
            </w:r>
            <w:r>
              <w:rPr>
                <w:noProof/>
                <w:webHidden/>
              </w:rPr>
              <w:tab/>
            </w:r>
            <w:r>
              <w:rPr>
                <w:noProof/>
                <w:webHidden/>
              </w:rPr>
              <w:fldChar w:fldCharType="begin"/>
            </w:r>
            <w:r>
              <w:rPr>
                <w:noProof/>
                <w:webHidden/>
              </w:rPr>
              <w:instrText xml:space="preserve"> PAGEREF _Toc210975474 \h </w:instrText>
            </w:r>
            <w:r>
              <w:rPr>
                <w:noProof/>
                <w:webHidden/>
              </w:rPr>
            </w:r>
            <w:r>
              <w:rPr>
                <w:noProof/>
                <w:webHidden/>
              </w:rPr>
              <w:fldChar w:fldCharType="separate"/>
            </w:r>
            <w:r>
              <w:rPr>
                <w:noProof/>
                <w:webHidden/>
              </w:rPr>
              <w:t>23</w:t>
            </w:r>
            <w:r>
              <w:rPr>
                <w:noProof/>
                <w:webHidden/>
              </w:rPr>
              <w:fldChar w:fldCharType="end"/>
            </w:r>
          </w:hyperlink>
        </w:p>
        <w:p w14:paraId="3CA8DD37" w14:textId="1017F7AE"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75" w:history="1">
            <w:r w:rsidRPr="0050003F">
              <w:rPr>
                <w:rStyle w:val="Hyperlink"/>
                <w:noProof/>
              </w:rPr>
              <w:t>COMRAC – FRDC</w:t>
            </w:r>
            <w:r>
              <w:rPr>
                <w:noProof/>
                <w:webHidden/>
              </w:rPr>
              <w:tab/>
            </w:r>
            <w:r>
              <w:rPr>
                <w:noProof/>
                <w:webHidden/>
              </w:rPr>
              <w:fldChar w:fldCharType="begin"/>
            </w:r>
            <w:r>
              <w:rPr>
                <w:noProof/>
                <w:webHidden/>
              </w:rPr>
              <w:instrText xml:space="preserve"> PAGEREF _Toc210975475 \h </w:instrText>
            </w:r>
            <w:r>
              <w:rPr>
                <w:noProof/>
                <w:webHidden/>
              </w:rPr>
            </w:r>
            <w:r>
              <w:rPr>
                <w:noProof/>
                <w:webHidden/>
              </w:rPr>
              <w:fldChar w:fldCharType="separate"/>
            </w:r>
            <w:r>
              <w:rPr>
                <w:noProof/>
                <w:webHidden/>
              </w:rPr>
              <w:t>23</w:t>
            </w:r>
            <w:r>
              <w:rPr>
                <w:noProof/>
                <w:webHidden/>
              </w:rPr>
              <w:fldChar w:fldCharType="end"/>
            </w:r>
          </w:hyperlink>
        </w:p>
        <w:p w14:paraId="353B53A2" w14:textId="56F82CAB"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76" w:history="1">
            <w:r w:rsidRPr="0050003F">
              <w:rPr>
                <w:rStyle w:val="Hyperlink"/>
                <w:noProof/>
              </w:rPr>
              <w:t>Progress against current Conditions</w:t>
            </w:r>
            <w:r>
              <w:rPr>
                <w:noProof/>
                <w:webHidden/>
              </w:rPr>
              <w:tab/>
            </w:r>
            <w:r>
              <w:rPr>
                <w:noProof/>
                <w:webHidden/>
              </w:rPr>
              <w:fldChar w:fldCharType="begin"/>
            </w:r>
            <w:r>
              <w:rPr>
                <w:noProof/>
                <w:webHidden/>
              </w:rPr>
              <w:instrText xml:space="preserve"> PAGEREF _Toc210975476 \h </w:instrText>
            </w:r>
            <w:r>
              <w:rPr>
                <w:noProof/>
                <w:webHidden/>
              </w:rPr>
            </w:r>
            <w:r>
              <w:rPr>
                <w:noProof/>
                <w:webHidden/>
              </w:rPr>
              <w:fldChar w:fldCharType="separate"/>
            </w:r>
            <w:r>
              <w:rPr>
                <w:noProof/>
                <w:webHidden/>
              </w:rPr>
              <w:t>24</w:t>
            </w:r>
            <w:r>
              <w:rPr>
                <w:noProof/>
                <w:webHidden/>
              </w:rPr>
              <w:fldChar w:fldCharType="end"/>
            </w:r>
          </w:hyperlink>
        </w:p>
        <w:p w14:paraId="400440B9" w14:textId="05A30E16"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77" w:history="1">
            <w:r w:rsidRPr="0050003F">
              <w:rPr>
                <w:rStyle w:val="Hyperlink"/>
                <w:noProof/>
              </w:rPr>
              <w:t>References</w:t>
            </w:r>
            <w:r>
              <w:rPr>
                <w:noProof/>
                <w:webHidden/>
              </w:rPr>
              <w:tab/>
            </w:r>
            <w:r>
              <w:rPr>
                <w:noProof/>
                <w:webHidden/>
              </w:rPr>
              <w:fldChar w:fldCharType="begin"/>
            </w:r>
            <w:r>
              <w:rPr>
                <w:noProof/>
                <w:webHidden/>
              </w:rPr>
              <w:instrText xml:space="preserve"> PAGEREF _Toc210975477 \h </w:instrText>
            </w:r>
            <w:r>
              <w:rPr>
                <w:noProof/>
                <w:webHidden/>
              </w:rPr>
            </w:r>
            <w:r>
              <w:rPr>
                <w:noProof/>
                <w:webHidden/>
              </w:rPr>
              <w:fldChar w:fldCharType="separate"/>
            </w:r>
            <w:r>
              <w:rPr>
                <w:noProof/>
                <w:webHidden/>
              </w:rPr>
              <w:t>24</w:t>
            </w:r>
            <w:r>
              <w:rPr>
                <w:noProof/>
                <w:webHidden/>
              </w:rPr>
              <w:fldChar w:fldCharType="end"/>
            </w:r>
          </w:hyperlink>
        </w:p>
        <w:p w14:paraId="7E33CEFF" w14:textId="10412CFA" w:rsidR="00C70FB0" w:rsidRDefault="00C70FB0">
          <w:pPr>
            <w:pStyle w:val="TOC1"/>
            <w:rPr>
              <w:rFonts w:eastAsiaTheme="minorEastAsia" w:cstheme="minorBidi"/>
              <w:b w:val="0"/>
              <w:bCs w:val="0"/>
              <w:caps w:val="0"/>
              <w:noProof/>
              <w:kern w:val="2"/>
              <w:sz w:val="24"/>
              <w:lang w:eastAsia="en-AU"/>
              <w14:ligatures w14:val="standardContextual"/>
            </w:rPr>
          </w:pPr>
          <w:hyperlink w:anchor="_Toc210975478" w:history="1">
            <w:r w:rsidRPr="0050003F">
              <w:rPr>
                <w:rStyle w:val="Hyperlink"/>
                <w:noProof/>
              </w:rPr>
              <w:t>Appended Data Tables</w:t>
            </w:r>
            <w:r>
              <w:rPr>
                <w:noProof/>
                <w:webHidden/>
              </w:rPr>
              <w:tab/>
            </w:r>
            <w:r>
              <w:rPr>
                <w:noProof/>
                <w:webHidden/>
              </w:rPr>
              <w:fldChar w:fldCharType="begin"/>
            </w:r>
            <w:r>
              <w:rPr>
                <w:noProof/>
                <w:webHidden/>
              </w:rPr>
              <w:instrText xml:space="preserve"> PAGEREF _Toc210975478 \h </w:instrText>
            </w:r>
            <w:r>
              <w:rPr>
                <w:noProof/>
                <w:webHidden/>
              </w:rPr>
            </w:r>
            <w:r>
              <w:rPr>
                <w:noProof/>
                <w:webHidden/>
              </w:rPr>
              <w:fldChar w:fldCharType="separate"/>
            </w:r>
            <w:r>
              <w:rPr>
                <w:noProof/>
                <w:webHidden/>
              </w:rPr>
              <w:t>26</w:t>
            </w:r>
            <w:r>
              <w:rPr>
                <w:noProof/>
                <w:webHidden/>
              </w:rPr>
              <w:fldChar w:fldCharType="end"/>
            </w:r>
          </w:hyperlink>
        </w:p>
        <w:p w14:paraId="24990C04" w14:textId="22B688F9"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79" w:history="1">
            <w:r w:rsidRPr="0050003F">
              <w:rPr>
                <w:rStyle w:val="Hyperlink"/>
                <w:noProof/>
              </w:rPr>
              <w:t>APPENDIX 1 – Retained catch data (target and byproduct species)</w:t>
            </w:r>
            <w:r>
              <w:rPr>
                <w:noProof/>
                <w:webHidden/>
              </w:rPr>
              <w:tab/>
            </w:r>
            <w:r>
              <w:rPr>
                <w:noProof/>
                <w:webHidden/>
              </w:rPr>
              <w:fldChar w:fldCharType="begin"/>
            </w:r>
            <w:r>
              <w:rPr>
                <w:noProof/>
                <w:webHidden/>
              </w:rPr>
              <w:instrText xml:space="preserve"> PAGEREF _Toc210975479 \h </w:instrText>
            </w:r>
            <w:r>
              <w:rPr>
                <w:noProof/>
                <w:webHidden/>
              </w:rPr>
            </w:r>
            <w:r>
              <w:rPr>
                <w:noProof/>
                <w:webHidden/>
              </w:rPr>
              <w:fldChar w:fldCharType="separate"/>
            </w:r>
            <w:r>
              <w:rPr>
                <w:noProof/>
                <w:webHidden/>
              </w:rPr>
              <w:t>26</w:t>
            </w:r>
            <w:r>
              <w:rPr>
                <w:noProof/>
                <w:webHidden/>
              </w:rPr>
              <w:fldChar w:fldCharType="end"/>
            </w:r>
          </w:hyperlink>
        </w:p>
        <w:p w14:paraId="1E6EC734" w14:textId="68A29229"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80" w:history="1">
            <w:r w:rsidRPr="0050003F">
              <w:rPr>
                <w:rStyle w:val="Hyperlink"/>
                <w:noProof/>
              </w:rPr>
              <w:t>APPENDIX 2 – Discarded catch data (target and non-target species)</w:t>
            </w:r>
            <w:r>
              <w:rPr>
                <w:noProof/>
                <w:webHidden/>
              </w:rPr>
              <w:tab/>
            </w:r>
            <w:r>
              <w:rPr>
                <w:noProof/>
                <w:webHidden/>
              </w:rPr>
              <w:fldChar w:fldCharType="begin"/>
            </w:r>
            <w:r>
              <w:rPr>
                <w:noProof/>
                <w:webHidden/>
              </w:rPr>
              <w:instrText xml:space="preserve"> PAGEREF _Toc210975480 \h </w:instrText>
            </w:r>
            <w:r>
              <w:rPr>
                <w:noProof/>
                <w:webHidden/>
              </w:rPr>
            </w:r>
            <w:r>
              <w:rPr>
                <w:noProof/>
                <w:webHidden/>
              </w:rPr>
              <w:fldChar w:fldCharType="separate"/>
            </w:r>
            <w:r>
              <w:rPr>
                <w:noProof/>
                <w:webHidden/>
              </w:rPr>
              <w:t>27</w:t>
            </w:r>
            <w:r>
              <w:rPr>
                <w:noProof/>
                <w:webHidden/>
              </w:rPr>
              <w:fldChar w:fldCharType="end"/>
            </w:r>
          </w:hyperlink>
        </w:p>
        <w:p w14:paraId="1ADCCFE3" w14:textId="620EB97B"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81" w:history="1">
            <w:r w:rsidRPr="0050003F">
              <w:rPr>
                <w:rStyle w:val="Hyperlink"/>
                <w:noProof/>
              </w:rPr>
              <w:t>*Where no discarded weight or no. of animals is recorded this indicates species caught but not landed in the vessel</w:t>
            </w:r>
            <w:r>
              <w:rPr>
                <w:noProof/>
                <w:webHidden/>
              </w:rPr>
              <w:tab/>
            </w:r>
            <w:r>
              <w:rPr>
                <w:noProof/>
                <w:webHidden/>
              </w:rPr>
              <w:fldChar w:fldCharType="begin"/>
            </w:r>
            <w:r>
              <w:rPr>
                <w:noProof/>
                <w:webHidden/>
              </w:rPr>
              <w:instrText xml:space="preserve"> PAGEREF _Toc210975481 \h </w:instrText>
            </w:r>
            <w:r>
              <w:rPr>
                <w:noProof/>
                <w:webHidden/>
              </w:rPr>
            </w:r>
            <w:r>
              <w:rPr>
                <w:noProof/>
                <w:webHidden/>
              </w:rPr>
              <w:fldChar w:fldCharType="separate"/>
            </w:r>
            <w:r>
              <w:rPr>
                <w:noProof/>
                <w:webHidden/>
              </w:rPr>
              <w:t>27</w:t>
            </w:r>
            <w:r>
              <w:rPr>
                <w:noProof/>
                <w:webHidden/>
              </w:rPr>
              <w:fldChar w:fldCharType="end"/>
            </w:r>
          </w:hyperlink>
        </w:p>
        <w:p w14:paraId="24200192" w14:textId="7D860D05"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82" w:history="1">
            <w:r w:rsidRPr="0050003F">
              <w:rPr>
                <w:rStyle w:val="Hyperlink"/>
                <w:noProof/>
              </w:rPr>
              <w:t>** Anecdotal information from Industry suggests that it is highly unlikely that commercial scallop could be caught on squid boats with computerised gear (which is majority of the fleet) as the computer stops the line/jigs before they touch the seabed floor.</w:t>
            </w:r>
            <w:r>
              <w:rPr>
                <w:noProof/>
                <w:webHidden/>
              </w:rPr>
              <w:tab/>
            </w:r>
            <w:r>
              <w:rPr>
                <w:noProof/>
                <w:webHidden/>
              </w:rPr>
              <w:fldChar w:fldCharType="begin"/>
            </w:r>
            <w:r>
              <w:rPr>
                <w:noProof/>
                <w:webHidden/>
              </w:rPr>
              <w:instrText xml:space="preserve"> PAGEREF _Toc210975482 \h </w:instrText>
            </w:r>
            <w:r>
              <w:rPr>
                <w:noProof/>
                <w:webHidden/>
              </w:rPr>
            </w:r>
            <w:r>
              <w:rPr>
                <w:noProof/>
                <w:webHidden/>
              </w:rPr>
              <w:fldChar w:fldCharType="separate"/>
            </w:r>
            <w:r>
              <w:rPr>
                <w:noProof/>
                <w:webHidden/>
              </w:rPr>
              <w:t>27</w:t>
            </w:r>
            <w:r>
              <w:rPr>
                <w:noProof/>
                <w:webHidden/>
              </w:rPr>
              <w:fldChar w:fldCharType="end"/>
            </w:r>
          </w:hyperlink>
        </w:p>
        <w:p w14:paraId="7AE90A2A" w14:textId="32B602F1"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83" w:history="1">
            <w:r w:rsidRPr="0050003F">
              <w:rPr>
                <w:rStyle w:val="Hyperlink"/>
                <w:noProof/>
              </w:rPr>
              <w:t>APPENDIX 3 – Protected species interaction data</w:t>
            </w:r>
            <w:r>
              <w:rPr>
                <w:noProof/>
                <w:webHidden/>
              </w:rPr>
              <w:tab/>
            </w:r>
            <w:r>
              <w:rPr>
                <w:noProof/>
                <w:webHidden/>
              </w:rPr>
              <w:fldChar w:fldCharType="begin"/>
            </w:r>
            <w:r>
              <w:rPr>
                <w:noProof/>
                <w:webHidden/>
              </w:rPr>
              <w:instrText xml:space="preserve"> PAGEREF _Toc210975483 \h </w:instrText>
            </w:r>
            <w:r>
              <w:rPr>
                <w:noProof/>
                <w:webHidden/>
              </w:rPr>
            </w:r>
            <w:r>
              <w:rPr>
                <w:noProof/>
                <w:webHidden/>
              </w:rPr>
              <w:fldChar w:fldCharType="separate"/>
            </w:r>
            <w:r>
              <w:rPr>
                <w:noProof/>
                <w:webHidden/>
              </w:rPr>
              <w:t>28</w:t>
            </w:r>
            <w:r>
              <w:rPr>
                <w:noProof/>
                <w:webHidden/>
              </w:rPr>
              <w:fldChar w:fldCharType="end"/>
            </w:r>
          </w:hyperlink>
        </w:p>
        <w:p w14:paraId="5937DC13" w14:textId="6FDFB043" w:rsidR="00C70FB0" w:rsidRDefault="00C70FB0">
          <w:pPr>
            <w:pStyle w:val="TOC2"/>
            <w:tabs>
              <w:tab w:val="right" w:leader="dot" w:pos="9016"/>
            </w:tabs>
            <w:rPr>
              <w:rFonts w:eastAsiaTheme="minorEastAsia" w:cstheme="minorBidi"/>
              <w:smallCaps w:val="0"/>
              <w:noProof/>
              <w:kern w:val="2"/>
              <w:sz w:val="24"/>
              <w:lang w:eastAsia="en-AU"/>
              <w14:ligatures w14:val="standardContextual"/>
            </w:rPr>
          </w:pPr>
          <w:hyperlink w:anchor="_Toc210975484" w:history="1">
            <w:r w:rsidRPr="0050003F">
              <w:rPr>
                <w:rStyle w:val="Hyperlink"/>
                <w:noProof/>
              </w:rPr>
              <w:t>APPENDIX 4 – Fishing effort</w:t>
            </w:r>
            <w:r>
              <w:rPr>
                <w:noProof/>
                <w:webHidden/>
              </w:rPr>
              <w:tab/>
            </w:r>
            <w:r>
              <w:rPr>
                <w:noProof/>
                <w:webHidden/>
              </w:rPr>
              <w:fldChar w:fldCharType="begin"/>
            </w:r>
            <w:r>
              <w:rPr>
                <w:noProof/>
                <w:webHidden/>
              </w:rPr>
              <w:instrText xml:space="preserve"> PAGEREF _Toc210975484 \h </w:instrText>
            </w:r>
            <w:r>
              <w:rPr>
                <w:noProof/>
                <w:webHidden/>
              </w:rPr>
            </w:r>
            <w:r>
              <w:rPr>
                <w:noProof/>
                <w:webHidden/>
              </w:rPr>
              <w:fldChar w:fldCharType="separate"/>
            </w:r>
            <w:r>
              <w:rPr>
                <w:noProof/>
                <w:webHidden/>
              </w:rPr>
              <w:t>29</w:t>
            </w:r>
            <w:r>
              <w:rPr>
                <w:noProof/>
                <w:webHidden/>
              </w:rPr>
              <w:fldChar w:fldCharType="end"/>
            </w:r>
          </w:hyperlink>
        </w:p>
        <w:p w14:paraId="4BF4AC79" w14:textId="31EAAF01" w:rsidR="000E77BE" w:rsidRPr="004E3085" w:rsidRDefault="006571DA" w:rsidP="004E3085">
          <w:pPr>
            <w:spacing w:after="0"/>
            <w:rPr>
              <w:sz w:val="2"/>
              <w:szCs w:val="2"/>
            </w:rPr>
          </w:pPr>
          <w:r>
            <w:rPr>
              <w:rFonts w:cstheme="minorHAnsi"/>
              <w:b/>
              <w:bCs/>
              <w:i/>
              <w:iCs/>
              <w:sz w:val="24"/>
              <w:szCs w:val="28"/>
            </w:rPr>
            <w:fldChar w:fldCharType="end"/>
          </w:r>
        </w:p>
      </w:sdtContent>
    </w:sdt>
    <w:p w14:paraId="51B4E324" w14:textId="606906A0" w:rsidR="001D33A1" w:rsidRDefault="001D33A1" w:rsidP="00817DFE">
      <w:pPr>
        <w:pStyle w:val="Heading1"/>
        <w:rPr>
          <w:b w:val="0"/>
          <w:bCs/>
          <w:sz w:val="36"/>
          <w:szCs w:val="36"/>
        </w:rPr>
      </w:pPr>
      <w:bookmarkStart w:id="0" w:name="_Toc210975436"/>
      <w:r>
        <w:rPr>
          <w:bCs/>
          <w:sz w:val="36"/>
          <w:szCs w:val="36"/>
        </w:rPr>
        <w:t>Int</w:t>
      </w:r>
      <w:r w:rsidR="00C81DCE">
        <w:rPr>
          <w:bCs/>
          <w:sz w:val="36"/>
          <w:szCs w:val="36"/>
        </w:rPr>
        <w:t>roduction</w:t>
      </w:r>
      <w:bookmarkEnd w:id="0"/>
    </w:p>
    <w:p w14:paraId="1B4C148C" w14:textId="36046D79" w:rsidR="00C81DCE" w:rsidRDefault="008D2875" w:rsidP="00C81DCE">
      <w:r w:rsidRPr="008D2875">
        <w:t xml:space="preserve">This submission meets the requirements for </w:t>
      </w:r>
      <w:r w:rsidR="00177F2E">
        <w:t>a</w:t>
      </w:r>
      <w:r w:rsidRPr="008D2875">
        <w:t xml:space="preserve">ssessment </w:t>
      </w:r>
      <w:r w:rsidR="00177F2E">
        <w:t>of</w:t>
      </w:r>
      <w:r w:rsidRPr="008D2875">
        <w:t xml:space="preserve"> the </w:t>
      </w:r>
      <w:r w:rsidR="00811672" w:rsidRPr="00811672">
        <w:t>Commonwealth</w:t>
      </w:r>
      <w:r w:rsidR="00811672">
        <w:t xml:space="preserve"> Southern Squid Jig Fishery</w:t>
      </w:r>
      <w:r w:rsidR="006B314D">
        <w:t xml:space="preserve"> (SSJF)</w:t>
      </w:r>
      <w:r w:rsidR="000C4C1E" w:rsidRPr="00CA30DC">
        <w:rPr>
          <w:color w:val="4000A6"/>
        </w:rPr>
        <w:t xml:space="preserve"> </w:t>
      </w:r>
      <w:r w:rsidR="000C4C1E">
        <w:t>under</w:t>
      </w:r>
      <w:r w:rsidR="00157D36">
        <w:t xml:space="preserve"> </w:t>
      </w:r>
      <w:r w:rsidR="00157D36" w:rsidRPr="00AE4A4A">
        <w:rPr>
          <w:color w:val="7030A0"/>
        </w:rPr>
        <w:t>[Part 13 and/or Part 13A of]</w:t>
      </w:r>
      <w:r w:rsidR="000C4C1E" w:rsidRPr="00AE4A4A">
        <w:rPr>
          <w:color w:val="7030A0"/>
        </w:rPr>
        <w:t xml:space="preserve"> </w:t>
      </w:r>
      <w:r w:rsidR="000C4C1E">
        <w:t xml:space="preserve">the </w:t>
      </w:r>
      <w:r w:rsidR="007E0DCE" w:rsidRPr="007E0DCE">
        <w:rPr>
          <w:i/>
        </w:rPr>
        <w:t xml:space="preserve">Environment Protection and Biodiversity Conservation Act 1999 </w:t>
      </w:r>
      <w:r w:rsidR="007E0DCE" w:rsidRPr="007E0DCE">
        <w:rPr>
          <w:iCs/>
        </w:rPr>
        <w:t>(</w:t>
      </w:r>
      <w:proofErr w:type="spellStart"/>
      <w:r w:rsidR="007E0DCE" w:rsidRPr="007E0DCE">
        <w:rPr>
          <w:iCs/>
        </w:rPr>
        <w:t>Cth</w:t>
      </w:r>
      <w:proofErr w:type="spellEnd"/>
      <w:r w:rsidR="007E0DCE" w:rsidRPr="007E0DCE">
        <w:rPr>
          <w:iCs/>
        </w:rPr>
        <w:t>)</w:t>
      </w:r>
      <w:r w:rsidR="007E0DCE" w:rsidRPr="007E0DCE">
        <w:t xml:space="preserve"> (EPBC Act)</w:t>
      </w:r>
      <w:r w:rsidR="007B079F">
        <w:t>.</w:t>
      </w:r>
    </w:p>
    <w:p w14:paraId="5E159FBA" w14:textId="0E217311" w:rsidR="002E3BCE" w:rsidRPr="00C81DCE" w:rsidRDefault="002E3BCE" w:rsidP="00C81DCE">
      <w:r w:rsidRPr="002E3BCE">
        <w:t xml:space="preserve">This submission has been produced to enable the </w:t>
      </w:r>
      <w:r w:rsidR="00E639BF" w:rsidRPr="00E639BF">
        <w:t>Department of Climate Change, Energy, the Environment and Water</w:t>
      </w:r>
      <w:r w:rsidR="00752D11">
        <w:t xml:space="preserve"> (DCCEEW)</w:t>
      </w:r>
      <w:r w:rsidR="00E639BF" w:rsidRPr="00E639BF">
        <w:t xml:space="preserve"> </w:t>
      </w:r>
      <w:r w:rsidRPr="002E3BCE">
        <w:t xml:space="preserve">to assess the </w:t>
      </w:r>
      <w:r w:rsidR="006B314D" w:rsidRPr="006B314D">
        <w:t>SSJF</w:t>
      </w:r>
      <w:r w:rsidR="00B02C5C" w:rsidRPr="00CA30DC">
        <w:rPr>
          <w:color w:val="4000A6"/>
        </w:rPr>
        <w:t xml:space="preserve"> </w:t>
      </w:r>
      <w:r w:rsidRPr="002E3BCE">
        <w:t xml:space="preserve">management arrangements </w:t>
      </w:r>
      <w:r w:rsidR="00B02C5C">
        <w:t xml:space="preserve">against the </w:t>
      </w:r>
      <w:r w:rsidR="00B02C5C" w:rsidRPr="00B02C5C">
        <w:rPr>
          <w:i/>
          <w:iCs/>
        </w:rPr>
        <w:t>Guidelines for the Ecologically Sustainable Management of Fisheries – 2nd Edition</w:t>
      </w:r>
      <w:r w:rsidR="00B02C5C" w:rsidRPr="00B02C5C">
        <w:t xml:space="preserve"> </w:t>
      </w:r>
      <w:r w:rsidR="00752D11" w:rsidRPr="00A91A12">
        <w:rPr>
          <w:rStyle w:val="cf21"/>
          <w:rFonts w:asciiTheme="minorHAnsi" w:hAnsiTheme="minorHAnsi" w:cstheme="minorHAnsi"/>
          <w:sz w:val="22"/>
          <w:szCs w:val="22"/>
        </w:rPr>
        <w:t>and the requirements set out in relevant sections of the EPBC Act</w:t>
      </w:r>
      <w:r w:rsidR="00752D11">
        <w:rPr>
          <w:rStyle w:val="cf21"/>
          <w:rFonts w:asciiTheme="minorHAnsi" w:hAnsiTheme="minorHAnsi" w:cstheme="minorHAnsi"/>
          <w:sz w:val="24"/>
          <w:szCs w:val="24"/>
        </w:rPr>
        <w:t>.</w:t>
      </w:r>
      <w:bookmarkStart w:id="1" w:name="_Hlk128641001"/>
    </w:p>
    <w:p w14:paraId="736206EE" w14:textId="4FA86461" w:rsidR="006B2F3F" w:rsidRPr="003D1EC6" w:rsidRDefault="00536EB0" w:rsidP="00817DFE">
      <w:pPr>
        <w:pStyle w:val="Heading1"/>
        <w:rPr>
          <w:b w:val="0"/>
          <w:bCs/>
          <w:sz w:val="36"/>
          <w:szCs w:val="36"/>
        </w:rPr>
      </w:pPr>
      <w:bookmarkStart w:id="2" w:name="_Toc210975437"/>
      <w:r w:rsidRPr="003D1EC6">
        <w:rPr>
          <w:bCs/>
          <w:sz w:val="36"/>
          <w:szCs w:val="36"/>
        </w:rPr>
        <w:t xml:space="preserve">The </w:t>
      </w:r>
      <w:r w:rsidR="00DF7A90">
        <w:rPr>
          <w:bCs/>
          <w:sz w:val="36"/>
          <w:szCs w:val="36"/>
        </w:rPr>
        <w:t>f</w:t>
      </w:r>
      <w:r w:rsidRPr="003D1EC6">
        <w:rPr>
          <w:bCs/>
          <w:sz w:val="36"/>
          <w:szCs w:val="36"/>
        </w:rPr>
        <w:t>ishery</w:t>
      </w:r>
      <w:bookmarkEnd w:id="1"/>
      <w:bookmarkEnd w:id="2"/>
    </w:p>
    <w:p w14:paraId="3DBF1968" w14:textId="4642357A" w:rsidR="00CA30DC" w:rsidRDefault="00536EB0" w:rsidP="00CA30DC">
      <w:pPr>
        <w:pStyle w:val="Heading2"/>
      </w:pPr>
      <w:bookmarkStart w:id="3" w:name="_Hlk128641136"/>
      <w:bookmarkStart w:id="4" w:name="_Toc210975438"/>
      <w:r w:rsidRPr="00EB720C">
        <w:t>Description of the fishery</w:t>
      </w:r>
      <w:bookmarkEnd w:id="3"/>
      <w:bookmarkEnd w:id="4"/>
    </w:p>
    <w:p w14:paraId="64290A5E" w14:textId="77777777" w:rsidR="00704B14" w:rsidRDefault="00F303AF" w:rsidP="00CA30DC">
      <w:pPr>
        <w:rPr>
          <w:rStyle w:val="cf21"/>
          <w:rFonts w:asciiTheme="minorHAnsi" w:hAnsiTheme="minorHAnsi" w:cstheme="minorHAnsi"/>
          <w:sz w:val="22"/>
          <w:szCs w:val="22"/>
        </w:rPr>
      </w:pPr>
      <w:bookmarkStart w:id="5" w:name="_Hlk128641227"/>
      <w:r w:rsidRPr="00F303AF">
        <w:rPr>
          <w:rStyle w:val="cf21"/>
          <w:rFonts w:asciiTheme="minorHAnsi" w:hAnsiTheme="minorHAnsi" w:cstheme="minorHAnsi"/>
          <w:sz w:val="22"/>
          <w:szCs w:val="22"/>
        </w:rPr>
        <w:t>The SSJF is a low impact, single method, single species fishery</w:t>
      </w:r>
      <w:r w:rsidR="008829F8">
        <w:rPr>
          <w:rStyle w:val="cf21"/>
          <w:rFonts w:asciiTheme="minorHAnsi" w:hAnsiTheme="minorHAnsi" w:cstheme="minorHAnsi"/>
          <w:sz w:val="22"/>
          <w:szCs w:val="22"/>
        </w:rPr>
        <w:t xml:space="preserve">. </w:t>
      </w:r>
      <w:r w:rsidR="00664568" w:rsidRPr="00664568">
        <w:rPr>
          <w:rStyle w:val="cf21"/>
          <w:rFonts w:asciiTheme="minorHAnsi" w:hAnsiTheme="minorHAnsi" w:cstheme="minorHAnsi"/>
          <w:sz w:val="22"/>
          <w:szCs w:val="22"/>
        </w:rPr>
        <w:t>It encompasses Commonwealth waters from Sandy Cape on Fraser Island (latitude 24°30'S), to the South Australian/Western Australian border (longitude 129°00'E), including Commonwealth waters adjacent to NSW, Victoria, South Australia and Tasmania.</w:t>
      </w:r>
      <w:r w:rsidR="00F04B38">
        <w:rPr>
          <w:rStyle w:val="cf21"/>
          <w:rFonts w:asciiTheme="minorHAnsi" w:hAnsiTheme="minorHAnsi" w:cstheme="minorHAnsi"/>
          <w:sz w:val="22"/>
          <w:szCs w:val="22"/>
        </w:rPr>
        <w:t xml:space="preserve"> </w:t>
      </w:r>
    </w:p>
    <w:p w14:paraId="7BBA5856" w14:textId="3EDE15C2" w:rsidR="00CA30DC" w:rsidRPr="0068670F" w:rsidRDefault="005D781B" w:rsidP="00CA30DC">
      <w:pPr>
        <w:rPr>
          <w:rFonts w:cstheme="minorHAnsi"/>
        </w:rPr>
      </w:pPr>
      <w:proofErr w:type="gramStart"/>
      <w:r>
        <w:rPr>
          <w:rStyle w:val="cf21"/>
          <w:rFonts w:asciiTheme="minorHAnsi" w:hAnsiTheme="minorHAnsi" w:cstheme="minorHAnsi"/>
          <w:sz w:val="22"/>
          <w:szCs w:val="22"/>
        </w:rPr>
        <w:t>The majority</w:t>
      </w:r>
      <w:r w:rsidR="00310E18">
        <w:rPr>
          <w:rStyle w:val="cf21"/>
          <w:rFonts w:asciiTheme="minorHAnsi" w:hAnsiTheme="minorHAnsi" w:cstheme="minorHAnsi"/>
          <w:sz w:val="22"/>
          <w:szCs w:val="22"/>
        </w:rPr>
        <w:t xml:space="preserve"> of</w:t>
      </w:r>
      <w:proofErr w:type="gramEnd"/>
      <w:r w:rsidR="00310E18">
        <w:rPr>
          <w:rStyle w:val="cf21"/>
          <w:rFonts w:asciiTheme="minorHAnsi" w:hAnsiTheme="minorHAnsi" w:cstheme="minorHAnsi"/>
          <w:sz w:val="22"/>
          <w:szCs w:val="22"/>
        </w:rPr>
        <w:t xml:space="preserve"> fishing effort and catch occurs</w:t>
      </w:r>
      <w:r w:rsidR="00B74E0F" w:rsidRPr="00B74E0F">
        <w:t xml:space="preserve"> </w:t>
      </w:r>
      <w:r w:rsidR="00B74E0F" w:rsidRPr="00B74E0F">
        <w:rPr>
          <w:rStyle w:val="cf21"/>
          <w:rFonts w:asciiTheme="minorHAnsi" w:hAnsiTheme="minorHAnsi" w:cstheme="minorHAnsi"/>
          <w:sz w:val="22"/>
          <w:szCs w:val="22"/>
        </w:rPr>
        <w:t xml:space="preserve">between Queenscliff and Portland, off the Victorian coastline, and south of Kangaroo Island off the South Australian coast </w:t>
      </w:r>
      <w:r w:rsidR="00DC7925">
        <w:rPr>
          <w:rStyle w:val="cf21"/>
          <w:rFonts w:asciiTheme="minorHAnsi" w:hAnsiTheme="minorHAnsi" w:cstheme="minorHAnsi"/>
          <w:sz w:val="22"/>
          <w:szCs w:val="22"/>
        </w:rPr>
        <w:t>and</w:t>
      </w:r>
      <w:r w:rsidR="002C6BEE">
        <w:rPr>
          <w:rStyle w:val="cf21"/>
          <w:rFonts w:asciiTheme="minorHAnsi" w:hAnsiTheme="minorHAnsi" w:cstheme="minorHAnsi"/>
          <w:sz w:val="22"/>
          <w:szCs w:val="22"/>
        </w:rPr>
        <w:t xml:space="preserve"> around</w:t>
      </w:r>
      <w:r w:rsidR="00B74E0F" w:rsidRPr="00B74E0F">
        <w:rPr>
          <w:rStyle w:val="cf21"/>
          <w:rFonts w:asciiTheme="minorHAnsi" w:hAnsiTheme="minorHAnsi" w:cstheme="minorHAnsi"/>
          <w:sz w:val="22"/>
          <w:szCs w:val="22"/>
        </w:rPr>
        <w:t xml:space="preserve"> Tasmania. Most catch is taken between January and June each year, with the highest catches concentrated in March and April.</w:t>
      </w:r>
      <w:r w:rsidR="001602D8">
        <w:rPr>
          <w:rStyle w:val="cf21"/>
          <w:rFonts w:asciiTheme="minorHAnsi" w:hAnsiTheme="minorHAnsi" w:cstheme="minorHAnsi"/>
          <w:sz w:val="22"/>
          <w:szCs w:val="22"/>
        </w:rPr>
        <w:t xml:space="preserve"> </w:t>
      </w:r>
      <w:r w:rsidR="00F303AF" w:rsidRPr="00F303AF">
        <w:rPr>
          <w:rStyle w:val="cf21"/>
          <w:rFonts w:asciiTheme="minorHAnsi" w:hAnsiTheme="minorHAnsi" w:cstheme="minorHAnsi"/>
          <w:sz w:val="22"/>
          <w:szCs w:val="22"/>
        </w:rPr>
        <w:t xml:space="preserve">The major landing ports </w:t>
      </w:r>
      <w:proofErr w:type="gramStart"/>
      <w:r w:rsidR="00F303AF" w:rsidRPr="00F303AF">
        <w:rPr>
          <w:rStyle w:val="cf21"/>
          <w:rFonts w:asciiTheme="minorHAnsi" w:hAnsiTheme="minorHAnsi" w:cstheme="minorHAnsi"/>
          <w:sz w:val="22"/>
          <w:szCs w:val="22"/>
        </w:rPr>
        <w:t>are located in</w:t>
      </w:r>
      <w:proofErr w:type="gramEnd"/>
      <w:r w:rsidR="00F303AF" w:rsidRPr="00F303AF">
        <w:rPr>
          <w:rStyle w:val="cf21"/>
          <w:rFonts w:asciiTheme="minorHAnsi" w:hAnsiTheme="minorHAnsi" w:cstheme="minorHAnsi"/>
          <w:sz w:val="22"/>
          <w:szCs w:val="22"/>
        </w:rPr>
        <w:t xml:space="preserve"> Portland (Victoria), Queenscliff (Victoria) and Triabunna (Tasmania). </w:t>
      </w:r>
    </w:p>
    <w:p w14:paraId="754B051F" w14:textId="5A107138" w:rsidR="00FF0D04" w:rsidRDefault="00FF0D04" w:rsidP="00CA30DC">
      <w:pPr>
        <w:rPr>
          <w:color w:val="4000A6"/>
        </w:rPr>
      </w:pPr>
      <w:r>
        <w:rPr>
          <w:noProof/>
          <w:lang w:eastAsia="en-AU"/>
        </w:rPr>
        <w:lastRenderedPageBreak/>
        <w:drawing>
          <wp:inline distT="0" distB="0" distL="0" distR="0" wp14:anchorId="43D44E08" wp14:editId="42C256D5">
            <wp:extent cx="5492750" cy="3475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5492750" cy="3475854"/>
                    </a:xfrm>
                    <a:prstGeom prst="rect">
                      <a:avLst/>
                    </a:prstGeom>
                  </pic:spPr>
                </pic:pic>
              </a:graphicData>
            </a:graphic>
          </wp:inline>
        </w:drawing>
      </w:r>
    </w:p>
    <w:p w14:paraId="4F769498" w14:textId="6510E112" w:rsidR="00691B88" w:rsidRDefault="00691B88" w:rsidP="00CA30DC">
      <w:pPr>
        <w:rPr>
          <w:color w:val="4000A6"/>
        </w:rPr>
      </w:pPr>
      <w:r w:rsidRPr="00733EAB">
        <w:rPr>
          <w:rFonts w:cstheme="minorHAnsi"/>
          <w:b/>
          <w:sz w:val="20"/>
          <w:szCs w:val="20"/>
        </w:rPr>
        <w:t xml:space="preserve">Figure </w:t>
      </w:r>
      <w:r w:rsidRPr="00733EAB">
        <w:rPr>
          <w:rFonts w:cstheme="minorHAnsi"/>
          <w:b/>
          <w:sz w:val="20"/>
          <w:szCs w:val="20"/>
        </w:rPr>
        <w:fldChar w:fldCharType="begin"/>
      </w:r>
      <w:r w:rsidRPr="00733EAB">
        <w:rPr>
          <w:rFonts w:cstheme="minorHAnsi"/>
          <w:b/>
          <w:sz w:val="20"/>
          <w:szCs w:val="20"/>
        </w:rPr>
        <w:instrText xml:space="preserve"> SEQ Figure \* ARABIC </w:instrText>
      </w:r>
      <w:r w:rsidRPr="00733EAB">
        <w:rPr>
          <w:rFonts w:cstheme="minorHAnsi"/>
          <w:b/>
          <w:sz w:val="20"/>
          <w:szCs w:val="20"/>
        </w:rPr>
        <w:fldChar w:fldCharType="separate"/>
      </w:r>
      <w:r w:rsidR="003D76E1">
        <w:rPr>
          <w:rFonts w:cstheme="minorHAnsi"/>
          <w:b/>
          <w:noProof/>
          <w:sz w:val="20"/>
          <w:szCs w:val="20"/>
        </w:rPr>
        <w:t>1</w:t>
      </w:r>
      <w:r w:rsidRPr="00733EAB">
        <w:rPr>
          <w:rFonts w:cstheme="minorHAnsi"/>
          <w:b/>
          <w:sz w:val="20"/>
          <w:szCs w:val="20"/>
        </w:rPr>
        <w:fldChar w:fldCharType="end"/>
      </w:r>
      <w:r w:rsidRPr="00733EAB">
        <w:rPr>
          <w:rFonts w:cstheme="minorHAnsi"/>
          <w:b/>
          <w:sz w:val="20"/>
          <w:szCs w:val="20"/>
        </w:rPr>
        <w:t xml:space="preserve">. Area of the </w:t>
      </w:r>
      <w:r w:rsidR="00E94653">
        <w:rPr>
          <w:rFonts w:cstheme="minorHAnsi"/>
          <w:b/>
          <w:sz w:val="20"/>
          <w:szCs w:val="20"/>
        </w:rPr>
        <w:t>Southern Squid Jig Fishery</w:t>
      </w:r>
    </w:p>
    <w:p w14:paraId="202D03F0" w14:textId="4DA53DEA" w:rsidR="004C6021" w:rsidRDefault="004C6021" w:rsidP="00EB720C">
      <w:pPr>
        <w:pStyle w:val="Heading2"/>
      </w:pPr>
      <w:bookmarkStart w:id="6" w:name="_Toc210975439"/>
      <w:r w:rsidRPr="004C6021">
        <w:t xml:space="preserve">Fishing methods and </w:t>
      </w:r>
      <w:r w:rsidR="00EA5568">
        <w:t>g</w:t>
      </w:r>
      <w:r w:rsidRPr="004C6021">
        <w:t>ear</w:t>
      </w:r>
      <w:bookmarkEnd w:id="6"/>
    </w:p>
    <w:p w14:paraId="16A9A79A" w14:textId="3FAB2225" w:rsidR="007C1BEB" w:rsidRDefault="00824533" w:rsidP="008A3D04">
      <w:pPr>
        <w:rPr>
          <w:color w:val="000000" w:themeColor="text1"/>
        </w:rPr>
      </w:pPr>
      <w:r>
        <w:rPr>
          <w:color w:val="000000" w:themeColor="text1"/>
        </w:rPr>
        <w:t>S</w:t>
      </w:r>
      <w:r w:rsidR="00750B82">
        <w:rPr>
          <w:color w:val="000000" w:themeColor="text1"/>
        </w:rPr>
        <w:t>quid</w:t>
      </w:r>
      <w:r>
        <w:rPr>
          <w:color w:val="000000" w:themeColor="text1"/>
        </w:rPr>
        <w:t xml:space="preserve"> in the SSJF </w:t>
      </w:r>
      <w:r w:rsidR="00D0427C">
        <w:rPr>
          <w:color w:val="000000" w:themeColor="text1"/>
        </w:rPr>
        <w:t>is</w:t>
      </w:r>
      <w:r>
        <w:rPr>
          <w:color w:val="000000" w:themeColor="text1"/>
        </w:rPr>
        <w:t xml:space="preserve"> targeted using </w:t>
      </w:r>
      <w:r w:rsidR="00572404" w:rsidRPr="1044C1B3">
        <w:rPr>
          <w:color w:val="000000" w:themeColor="text1"/>
        </w:rPr>
        <w:t>automatic</w:t>
      </w:r>
      <w:r w:rsidR="001D2CBF" w:rsidRPr="1044C1B3">
        <w:rPr>
          <w:color w:val="000000" w:themeColor="text1"/>
        </w:rPr>
        <w:t xml:space="preserve"> jigging machines with 20 to 25 jigs attached to each line</w:t>
      </w:r>
      <w:r w:rsidR="00DE2780" w:rsidRPr="1044C1B3">
        <w:rPr>
          <w:color w:val="000000" w:themeColor="text1"/>
        </w:rPr>
        <w:t xml:space="preserve"> (see </w:t>
      </w:r>
      <w:r w:rsidR="00DE2780" w:rsidRPr="1044C1B3">
        <w:rPr>
          <w:b/>
          <w:color w:val="000000" w:themeColor="text1"/>
        </w:rPr>
        <w:t xml:space="preserve">Figure </w:t>
      </w:r>
      <w:r w:rsidR="003925A4">
        <w:rPr>
          <w:b/>
          <w:color w:val="000000" w:themeColor="text1"/>
        </w:rPr>
        <w:t>2</w:t>
      </w:r>
      <w:r w:rsidR="00DE2780" w:rsidRPr="1044C1B3">
        <w:rPr>
          <w:color w:val="000000" w:themeColor="text1"/>
        </w:rPr>
        <w:t>)</w:t>
      </w:r>
      <w:r w:rsidR="001D2CBF" w:rsidRPr="1044C1B3">
        <w:rPr>
          <w:color w:val="000000" w:themeColor="text1"/>
        </w:rPr>
        <w:t xml:space="preserve">. </w:t>
      </w:r>
      <w:r w:rsidR="009212E9" w:rsidRPr="009212E9">
        <w:rPr>
          <w:color w:val="000000" w:themeColor="text1"/>
        </w:rPr>
        <w:t>Squid jig vessels traditionally operate at night in continental shelf waters at depths ranging from 60 to 1</w:t>
      </w:r>
      <w:r w:rsidR="00262C28">
        <w:rPr>
          <w:color w:val="000000" w:themeColor="text1"/>
        </w:rPr>
        <w:t>60</w:t>
      </w:r>
      <w:r w:rsidR="009212E9" w:rsidRPr="009212E9">
        <w:rPr>
          <w:color w:val="000000" w:themeColor="text1"/>
        </w:rPr>
        <w:t xml:space="preserve"> meters. </w:t>
      </w:r>
    </w:p>
    <w:p w14:paraId="73BBF4F9" w14:textId="6B728525" w:rsidR="008A3D04" w:rsidRPr="008A3D04" w:rsidRDefault="008A3D04" w:rsidP="008A3D04">
      <w:pPr>
        <w:rPr>
          <w:color w:val="000000"/>
        </w:rPr>
      </w:pPr>
      <w:r w:rsidRPr="1044C1B3">
        <w:rPr>
          <w:color w:val="000000" w:themeColor="text1"/>
        </w:rPr>
        <w:t>Squid jigging vessels have overhead lights which illuminate the water and attract squid, which then gather in the shaded area under the boat.</w:t>
      </w:r>
      <w:r w:rsidR="00CB452E">
        <w:rPr>
          <w:color w:val="000000"/>
        </w:rPr>
        <w:t xml:space="preserve"> </w:t>
      </w:r>
      <w:r w:rsidRPr="008A3D04">
        <w:rPr>
          <w:color w:val="000000"/>
        </w:rPr>
        <w:t>The squid are caught using barbless lures on monofilament fishing lines which are jigged up and down in the water by machines. The jigs used are cylindrically in shape and spaced approximately 1 metre apart. Instead of normal fishing hooks, each jig contains multiple tiers of closely spaced spikes, which face towards the top of the jig. When squid try to attack the jig, they become tangled around the vertically facing spikes.</w:t>
      </w:r>
    </w:p>
    <w:p w14:paraId="6A49DB0B" w14:textId="24CCFCE4" w:rsidR="00D87550" w:rsidRDefault="008A3D04" w:rsidP="008A3D04">
      <w:pPr>
        <w:rPr>
          <w:color w:val="000000"/>
        </w:rPr>
      </w:pPr>
      <w:r w:rsidRPr="00D77686">
        <w:rPr>
          <w:color w:val="000000"/>
        </w:rPr>
        <w:t xml:space="preserve">Each jigging machine has a roller which extends out from the side of the boat, allowing the line to be lowered into the water column away from the edge of the boat, and be jigged up and down without causing abrasion to the line. Barbless lures are used so that as lures are recovered over the end rollers, squid fall off into the boat. This assists in reducing the handling time required to individually remove squid from the lures. </w:t>
      </w:r>
    </w:p>
    <w:p w14:paraId="380AE4F8" w14:textId="60CB574E" w:rsidR="001A2C46" w:rsidRPr="00CA30DC" w:rsidRDefault="00D50E9C" w:rsidP="00D50E9C">
      <w:pPr>
        <w:jc w:val="center"/>
        <w:rPr>
          <w:color w:val="4000A6"/>
        </w:rPr>
      </w:pPr>
      <w:r>
        <w:rPr>
          <w:noProof/>
          <w:color w:val="4000A6"/>
        </w:rPr>
        <w:lastRenderedPageBreak/>
        <w:drawing>
          <wp:inline distT="0" distB="0" distL="0" distR="0" wp14:anchorId="73E1465E" wp14:editId="46688EEA">
            <wp:extent cx="4290710" cy="3009900"/>
            <wp:effectExtent l="0" t="0" r="0" b="0"/>
            <wp:docPr id="992159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59292" name="Picture 992159292"/>
                    <pic:cNvPicPr/>
                  </pic:nvPicPr>
                  <pic:blipFill>
                    <a:blip r:embed="rId19">
                      <a:extLst>
                        <a:ext uri="{28A0092B-C50C-407E-A947-70E740481C1C}">
                          <a14:useLocalDpi xmlns:a14="http://schemas.microsoft.com/office/drawing/2010/main" val="0"/>
                        </a:ext>
                      </a:extLst>
                    </a:blip>
                    <a:stretch>
                      <a:fillRect/>
                    </a:stretch>
                  </pic:blipFill>
                  <pic:spPr>
                    <a:xfrm>
                      <a:off x="0" y="0"/>
                      <a:ext cx="4353153" cy="3053703"/>
                    </a:xfrm>
                    <a:prstGeom prst="rect">
                      <a:avLst/>
                    </a:prstGeom>
                  </pic:spPr>
                </pic:pic>
              </a:graphicData>
            </a:graphic>
          </wp:inline>
        </w:drawing>
      </w:r>
    </w:p>
    <w:p w14:paraId="0A62DC47" w14:textId="4A4C262B" w:rsidR="00673122" w:rsidRDefault="00997D35" w:rsidP="00AD6C26">
      <w:pPr>
        <w:rPr>
          <w:color w:val="000000"/>
        </w:rPr>
      </w:pPr>
      <w:r w:rsidRPr="00D77686">
        <w:rPr>
          <w:b/>
          <w:bCs/>
          <w:color w:val="000000"/>
        </w:rPr>
        <w:t xml:space="preserve">Figure </w:t>
      </w:r>
      <w:r w:rsidR="003925A4">
        <w:rPr>
          <w:b/>
          <w:bCs/>
          <w:color w:val="000000"/>
        </w:rPr>
        <w:t>2</w:t>
      </w:r>
      <w:r w:rsidRPr="00D77686">
        <w:rPr>
          <w:b/>
          <w:bCs/>
          <w:color w:val="000000"/>
        </w:rPr>
        <w:t>.</w:t>
      </w:r>
      <w:r w:rsidRPr="00D77686">
        <w:rPr>
          <w:color w:val="000000"/>
        </w:rPr>
        <w:t> </w:t>
      </w:r>
      <w:r w:rsidR="00861AD8" w:rsidRPr="00D77686">
        <w:rPr>
          <w:color w:val="000000"/>
        </w:rPr>
        <w:t>Diagram</w:t>
      </w:r>
      <w:r w:rsidRPr="00D77686">
        <w:rPr>
          <w:color w:val="000000"/>
        </w:rPr>
        <w:t xml:space="preserve"> of squid jigging vessel setup, showing jigging machines, overhead lights, and barbless lures.</w:t>
      </w:r>
    </w:p>
    <w:p w14:paraId="35A6D315" w14:textId="5C1D0A55" w:rsidR="005A176F" w:rsidRPr="00D77686" w:rsidRDefault="00823E39" w:rsidP="00AD6C26">
      <w:pPr>
        <w:rPr>
          <w:color w:val="000000"/>
        </w:rPr>
      </w:pPr>
      <w:r>
        <w:rPr>
          <w:color w:val="000000"/>
        </w:rPr>
        <w:t>Source: ‘</w:t>
      </w:r>
      <w:hyperlink r:id="rId20" w:history="1">
        <w:r w:rsidR="00C6027B">
          <w:rPr>
            <w:rStyle w:val="Hyperlink"/>
          </w:rPr>
          <w:t>Methods and gear’ AFMA Website</w:t>
        </w:r>
      </w:hyperlink>
    </w:p>
    <w:p w14:paraId="137D5B22" w14:textId="7E28A152" w:rsidR="00536EB0" w:rsidRPr="00EB720C" w:rsidRDefault="00186515" w:rsidP="00EB720C">
      <w:pPr>
        <w:pStyle w:val="Heading2"/>
      </w:pPr>
      <w:bookmarkStart w:id="7" w:name="_Hlk129069877"/>
      <w:bookmarkStart w:id="8" w:name="_Toc210975440"/>
      <w:r w:rsidRPr="00EB720C">
        <w:t>Target and byproduct species</w:t>
      </w:r>
      <w:bookmarkEnd w:id="7"/>
      <w:bookmarkEnd w:id="8"/>
    </w:p>
    <w:p w14:paraId="0B496FFD" w14:textId="77777777" w:rsidR="000107FF" w:rsidRDefault="00F22E94" w:rsidP="000107FF">
      <w:pPr>
        <w:rPr>
          <w:color w:val="000000"/>
        </w:rPr>
      </w:pPr>
      <w:r w:rsidRPr="00F22E94">
        <w:rPr>
          <w:color w:val="000000"/>
        </w:rPr>
        <w:t>The primary species targeted in the Southern Squid Jig Fishery (SSJF) is Gould’s squid (</w:t>
      </w:r>
      <w:proofErr w:type="spellStart"/>
      <w:r w:rsidRPr="00026C2D">
        <w:rPr>
          <w:i/>
          <w:iCs/>
          <w:color w:val="000000"/>
        </w:rPr>
        <w:t>Nototodarus</w:t>
      </w:r>
      <w:proofErr w:type="spellEnd"/>
      <w:r w:rsidRPr="00026C2D">
        <w:rPr>
          <w:i/>
          <w:iCs/>
          <w:color w:val="000000"/>
        </w:rPr>
        <w:t xml:space="preserve"> gouldi</w:t>
      </w:r>
      <w:r w:rsidRPr="00F22E94">
        <w:rPr>
          <w:color w:val="000000"/>
        </w:rPr>
        <w:t xml:space="preserve">), also known as arrow squid. This species is also commonly caught as bycatch in the </w:t>
      </w:r>
      <w:proofErr w:type="gramStart"/>
      <w:r w:rsidRPr="00F22E94">
        <w:rPr>
          <w:color w:val="000000"/>
        </w:rPr>
        <w:t>South East</w:t>
      </w:r>
      <w:proofErr w:type="gramEnd"/>
      <w:r w:rsidRPr="00F22E94">
        <w:rPr>
          <w:color w:val="000000"/>
        </w:rPr>
        <w:t xml:space="preserve"> Trawl and Great Australian Bight Trawl fisheries.</w:t>
      </w:r>
      <w:r w:rsidR="000107FF">
        <w:rPr>
          <w:color w:val="000000"/>
        </w:rPr>
        <w:t xml:space="preserve"> </w:t>
      </w:r>
      <w:r w:rsidR="000107FF" w:rsidRPr="001C77EF">
        <w:rPr>
          <w:color w:val="000000"/>
        </w:rPr>
        <w:t>There is limited information on the population dynamics and biology of Gould’s squid, however they are known to be highly fecund, complete their life cycle within 12 months, and reproduce throughout the year. Recruitment is variable, possibly due to environmental factors.</w:t>
      </w:r>
    </w:p>
    <w:p w14:paraId="67B39DF0" w14:textId="3AE7CC56" w:rsidR="00F24AD2" w:rsidRPr="00F24AD2" w:rsidRDefault="001A2C3B" w:rsidP="00CF3116">
      <w:pPr>
        <w:rPr>
          <w:color w:val="000000"/>
        </w:rPr>
      </w:pPr>
      <w:r>
        <w:rPr>
          <w:color w:val="000000"/>
        </w:rPr>
        <w:t>B</w:t>
      </w:r>
      <w:r w:rsidR="00F22E94" w:rsidRPr="00F22E94">
        <w:rPr>
          <w:color w:val="000000"/>
        </w:rPr>
        <w:t xml:space="preserve">yproduct species </w:t>
      </w:r>
      <w:r w:rsidR="005959FE">
        <w:rPr>
          <w:color w:val="000000"/>
        </w:rPr>
        <w:t>primarily consist of</w:t>
      </w:r>
      <w:r w:rsidR="00F22E94" w:rsidRPr="00F22E94">
        <w:rPr>
          <w:color w:val="000000"/>
        </w:rPr>
        <w:t xml:space="preserve"> other squid species, including southern calamari (</w:t>
      </w:r>
      <w:proofErr w:type="spellStart"/>
      <w:r w:rsidR="00F22E94" w:rsidRPr="00026C2D">
        <w:rPr>
          <w:i/>
          <w:iCs/>
          <w:color w:val="000000"/>
        </w:rPr>
        <w:t>Sepioteuthis</w:t>
      </w:r>
      <w:proofErr w:type="spellEnd"/>
      <w:r w:rsidR="00F22E94" w:rsidRPr="00026C2D">
        <w:rPr>
          <w:i/>
          <w:iCs/>
          <w:color w:val="000000"/>
        </w:rPr>
        <w:t xml:space="preserve"> australis</w:t>
      </w:r>
      <w:r w:rsidR="00F22E94" w:rsidRPr="00F22E94">
        <w:rPr>
          <w:color w:val="000000"/>
        </w:rPr>
        <w:t>), big</w:t>
      </w:r>
      <w:r w:rsidR="002404AE">
        <w:rPr>
          <w:color w:val="000000"/>
        </w:rPr>
        <w:t>-</w:t>
      </w:r>
      <w:r w:rsidR="00F22E94" w:rsidRPr="00F22E94">
        <w:rPr>
          <w:color w:val="000000"/>
        </w:rPr>
        <w:t>fin reef squid (</w:t>
      </w:r>
      <w:proofErr w:type="spellStart"/>
      <w:r w:rsidR="00F22E94" w:rsidRPr="00026C2D">
        <w:rPr>
          <w:i/>
          <w:iCs/>
          <w:color w:val="000000"/>
        </w:rPr>
        <w:t>Sepioteuthis</w:t>
      </w:r>
      <w:proofErr w:type="spellEnd"/>
      <w:r w:rsidR="00F22E94" w:rsidRPr="00026C2D">
        <w:rPr>
          <w:i/>
          <w:iCs/>
          <w:color w:val="000000"/>
        </w:rPr>
        <w:t xml:space="preserve"> </w:t>
      </w:r>
      <w:proofErr w:type="spellStart"/>
      <w:r w:rsidR="00F22E94" w:rsidRPr="00026C2D">
        <w:rPr>
          <w:i/>
          <w:iCs/>
          <w:color w:val="000000"/>
        </w:rPr>
        <w:t>lessoniana</w:t>
      </w:r>
      <w:proofErr w:type="spellEnd"/>
      <w:r w:rsidR="00F22E94" w:rsidRPr="00F22E94">
        <w:rPr>
          <w:color w:val="000000"/>
        </w:rPr>
        <w:t xml:space="preserve">), and </w:t>
      </w:r>
      <w:proofErr w:type="gramStart"/>
      <w:r w:rsidR="00F22E94" w:rsidRPr="00F22E94">
        <w:rPr>
          <w:color w:val="000000"/>
        </w:rPr>
        <w:t>southern ocean</w:t>
      </w:r>
      <w:proofErr w:type="gramEnd"/>
      <w:r w:rsidR="00F22E94" w:rsidRPr="00F22E94">
        <w:rPr>
          <w:color w:val="000000"/>
        </w:rPr>
        <w:t xml:space="preserve"> arrow squid (</w:t>
      </w:r>
      <w:proofErr w:type="spellStart"/>
      <w:r w:rsidR="00F22E94" w:rsidRPr="00026C2D">
        <w:rPr>
          <w:i/>
          <w:iCs/>
          <w:color w:val="000000"/>
        </w:rPr>
        <w:t>Nototodarus</w:t>
      </w:r>
      <w:proofErr w:type="spellEnd"/>
      <w:r w:rsidR="00F22E94" w:rsidRPr="00026C2D">
        <w:rPr>
          <w:i/>
          <w:iCs/>
          <w:color w:val="000000"/>
        </w:rPr>
        <w:t xml:space="preserve"> </w:t>
      </w:r>
      <w:proofErr w:type="spellStart"/>
      <w:r w:rsidR="00F22E94" w:rsidRPr="00026C2D">
        <w:rPr>
          <w:i/>
          <w:iCs/>
          <w:color w:val="000000"/>
        </w:rPr>
        <w:t>sloanii</w:t>
      </w:r>
      <w:proofErr w:type="spellEnd"/>
      <w:r w:rsidR="00F22E94" w:rsidRPr="00F22E94">
        <w:rPr>
          <w:color w:val="000000"/>
        </w:rPr>
        <w:t>)</w:t>
      </w:r>
      <w:r w:rsidR="0082694D">
        <w:rPr>
          <w:color w:val="000000"/>
        </w:rPr>
        <w:t>.</w:t>
      </w:r>
      <w:r w:rsidR="00C61C73">
        <w:rPr>
          <w:color w:val="000000"/>
        </w:rPr>
        <w:t xml:space="preserve"> </w:t>
      </w:r>
      <w:r w:rsidR="00F22E94" w:rsidRPr="00F22E94">
        <w:rPr>
          <w:color w:val="000000"/>
        </w:rPr>
        <w:t xml:space="preserve">Appendix 1 provides </w:t>
      </w:r>
      <w:r w:rsidR="00CE3F01" w:rsidRPr="00DE0193">
        <w:rPr>
          <w:color w:val="000000"/>
        </w:rPr>
        <w:t xml:space="preserve">data on landed catches </w:t>
      </w:r>
      <w:r w:rsidR="00E625FC" w:rsidRPr="00DE0193">
        <w:rPr>
          <w:color w:val="000000"/>
        </w:rPr>
        <w:t xml:space="preserve">in the SSJF </w:t>
      </w:r>
      <w:r w:rsidR="00F22E94" w:rsidRPr="00F22E94">
        <w:rPr>
          <w:color w:val="000000"/>
        </w:rPr>
        <w:t>over the past five years</w:t>
      </w:r>
      <w:r w:rsidR="00B67B97">
        <w:rPr>
          <w:color w:val="000000"/>
        </w:rPr>
        <w:t>.</w:t>
      </w:r>
      <w:r w:rsidR="00F22E94" w:rsidRPr="00F22E94">
        <w:rPr>
          <w:color w:val="000000"/>
        </w:rPr>
        <w:t xml:space="preserve"> </w:t>
      </w:r>
    </w:p>
    <w:p w14:paraId="0E4C1532" w14:textId="33268E47" w:rsidR="00186515" w:rsidRPr="00EB720C" w:rsidRDefault="004C6021" w:rsidP="00EB720C">
      <w:pPr>
        <w:pStyle w:val="Heading2"/>
      </w:pPr>
      <w:bookmarkStart w:id="9" w:name="_Toc210975441"/>
      <w:bookmarkEnd w:id="5"/>
      <w:r w:rsidRPr="00EB720C">
        <w:t>Value of the fishery</w:t>
      </w:r>
      <w:bookmarkEnd w:id="9"/>
    </w:p>
    <w:p w14:paraId="25527108" w14:textId="03DAED89" w:rsidR="000E27E1" w:rsidRPr="000E27E1" w:rsidRDefault="000E27E1" w:rsidP="000E27E1">
      <w:pPr>
        <w:rPr>
          <w:color w:val="000000"/>
        </w:rPr>
      </w:pPr>
      <w:r w:rsidRPr="000E27E1">
        <w:rPr>
          <w:color w:val="000000"/>
        </w:rPr>
        <w:t>There have been no recent surveys of the Southern Squid Jig Fishery (SSJF) to estimate Net Economic Returns (NER). Indicators such as catch, Gross Value of Production (GVP), and Catch Per Unit Effort (CPUE) show high variability, which may reflect fluctuations in squid stock and availability</w:t>
      </w:r>
      <w:r w:rsidR="002244EB">
        <w:rPr>
          <w:color w:val="000000"/>
        </w:rPr>
        <w:t xml:space="preserve">. </w:t>
      </w:r>
      <w:r w:rsidRPr="000E27E1">
        <w:rPr>
          <w:color w:val="000000"/>
        </w:rPr>
        <w:t>This aligns with the challenges of consistently locating squid and the increasing costs of fishing. The relatively long delay in economic returns suggests that NER is likely low.</w:t>
      </w:r>
    </w:p>
    <w:p w14:paraId="12B45D8B" w14:textId="55BDC49C" w:rsidR="00F8492F" w:rsidRDefault="000E27E1" w:rsidP="000E27E1">
      <w:pPr>
        <w:rPr>
          <w:color w:val="000000"/>
        </w:rPr>
      </w:pPr>
      <w:r w:rsidRPr="000E27E1">
        <w:rPr>
          <w:color w:val="000000"/>
        </w:rPr>
        <w:t>Most vessels in the SSJF lack onboard refrigeration or processing capabilities. While the catch is chilled at sea, it must be brought back to port each morning for processing or freezing, which limits the volume of squid that can be harvested per trip. The squid is sold in Melbourne after being processed into tubes. Domestic demand for squid is generally strong, leaving little room for export. This is evident in Australia’s status as a net importer of squid. Additionally, infrastructure constraints hinder export opportunities, despite some interest from international buyers</w:t>
      </w:r>
      <w:r w:rsidR="00714233">
        <w:rPr>
          <w:color w:val="000000"/>
        </w:rPr>
        <w:t>.</w:t>
      </w:r>
    </w:p>
    <w:p w14:paraId="32C38FFA" w14:textId="13774024" w:rsidR="00F26EB5" w:rsidRDefault="00F26EB5" w:rsidP="000E27E1">
      <w:pPr>
        <w:rPr>
          <w:color w:val="000000"/>
        </w:rPr>
      </w:pPr>
      <w:r>
        <w:rPr>
          <w:noProof/>
        </w:rPr>
        <w:lastRenderedPageBreak/>
        <w:drawing>
          <wp:inline distT="0" distB="0" distL="0" distR="0" wp14:anchorId="60E46225" wp14:editId="382D7570">
            <wp:extent cx="5731510" cy="2865755"/>
            <wp:effectExtent l="0" t="0" r="2540" b="0"/>
            <wp:docPr id="278982411" name="Picture 6" descr="This bar graph with trend line shows the gross value of production (GVP) between 2012–13 and 2022–23 and average unit prices between 2015–16 and 2022–23 in real terms (2022–23 dollars). &#10;&#10;GVP data for 2013–14 are confidential. Real GVP fluctuated significantly over the time period, ranging from $0.3 million in 2012–13 to $3.2 million in 2017–18, with peaks in 2020–21 ($1.8 million) and 2022–23 ($2.7 million).&#10;&#10;Real average unit prices increased from $3.27 per kilogram in 2015–16 to $5.69 per kilogram in 2019–20, then trended downwards to $4.25 per kilogram in 2022–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82411" name="Picture 6" descr="This bar graph with trend line shows the gross value of production (GVP) between 2012–13 and 2022–23 and average unit prices between 2015–16 and 2022–23 in real terms (2022–23 dollars). &#10;&#10;GVP data for 2013–14 are confidential. Real GVP fluctuated significantly over the time period, ranging from $0.3 million in 2012–13 to $3.2 million in 2017–18, with peaks in 2020–21 ($1.8 million) and 2022–23 ($2.7 million).&#10;&#10;Real average unit prices increased from $3.27 per kilogram in 2015–16 to $5.69 per kilogram in 2019–20, then trended downwards to $4.25 per kilogram in 2022–23.&#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6CFB3106" w14:textId="77777777" w:rsidR="009D7C86" w:rsidRPr="001221D6" w:rsidRDefault="009D7C86" w:rsidP="009D7C86">
      <w:pPr>
        <w:pStyle w:val="FigureTableNoteSource"/>
      </w:pPr>
      <w:r w:rsidRPr="001221D6">
        <w:rPr>
          <w:rStyle w:val="Strong"/>
        </w:rPr>
        <w:t>GVP</w:t>
      </w:r>
      <w:r>
        <w:rPr>
          <w:lang w:eastAsia="ja-JP"/>
        </w:rPr>
        <w:t xml:space="preserve"> </w:t>
      </w:r>
      <w:r w:rsidRPr="001221D6">
        <w:t>Gross value of production.</w:t>
      </w:r>
    </w:p>
    <w:p w14:paraId="7B94B135" w14:textId="77777777" w:rsidR="009D7C86" w:rsidRPr="001221D6" w:rsidRDefault="009D7C86" w:rsidP="009D7C86">
      <w:pPr>
        <w:pStyle w:val="FigureTableNoteSource"/>
      </w:pPr>
      <w:r w:rsidRPr="00A72A9A">
        <w:rPr>
          <w:rStyle w:val="Strong"/>
        </w:rPr>
        <w:t>Note:</w:t>
      </w:r>
      <w:r w:rsidRPr="001221D6">
        <w:t xml:space="preserve"> ‘Real’ indicates that value has been adjusted for inflation.</w:t>
      </w:r>
    </w:p>
    <w:p w14:paraId="4ED23CEF" w14:textId="34BBE551" w:rsidR="00F26EB5" w:rsidRDefault="00EC4520" w:rsidP="000E27E1">
      <w:pPr>
        <w:rPr>
          <w:color w:val="000000"/>
        </w:rPr>
      </w:pPr>
      <w:r w:rsidRPr="006E7584">
        <w:rPr>
          <w:b/>
          <w:bCs/>
          <w:color w:val="000000"/>
        </w:rPr>
        <w:t xml:space="preserve">Figure </w:t>
      </w:r>
      <w:r w:rsidR="003925A4">
        <w:rPr>
          <w:b/>
          <w:bCs/>
          <w:color w:val="000000"/>
        </w:rPr>
        <w:t>3</w:t>
      </w:r>
      <w:r w:rsidR="00BE4CD2" w:rsidRPr="006E7584">
        <w:rPr>
          <w:b/>
          <w:bCs/>
          <w:color w:val="000000"/>
        </w:rPr>
        <w:t>.</w:t>
      </w:r>
      <w:r w:rsidR="00BE4CD2">
        <w:rPr>
          <w:color w:val="000000"/>
        </w:rPr>
        <w:t xml:space="preserve"> Southern Squid Fishery – real GVP and average unit prices</w:t>
      </w:r>
      <w:r w:rsidR="004157E0">
        <w:rPr>
          <w:color w:val="000000"/>
        </w:rPr>
        <w:t>, 2012-13 to 2022-2023</w:t>
      </w:r>
    </w:p>
    <w:p w14:paraId="03655C60" w14:textId="45913D01" w:rsidR="00F523F9" w:rsidRPr="000E27E1" w:rsidRDefault="00F523F9" w:rsidP="000E27E1">
      <w:pPr>
        <w:rPr>
          <w:color w:val="000000"/>
        </w:rPr>
      </w:pPr>
      <w:r>
        <w:rPr>
          <w:color w:val="000000"/>
        </w:rPr>
        <w:t xml:space="preserve">Source: </w:t>
      </w:r>
      <w:hyperlink r:id="rId22" w:history="1">
        <w:r w:rsidRPr="00D431A5">
          <w:rPr>
            <w:rStyle w:val="Hyperlink"/>
          </w:rPr>
          <w:t>ABARES 2024</w:t>
        </w:r>
      </w:hyperlink>
    </w:p>
    <w:p w14:paraId="727E654E" w14:textId="31E47F7F" w:rsidR="00DF37FD" w:rsidRDefault="00DF37FD" w:rsidP="00314F4F">
      <w:pPr>
        <w:pStyle w:val="Heading1"/>
      </w:pPr>
      <w:bookmarkStart w:id="10" w:name="_Toc210975442"/>
      <w:r w:rsidRPr="00527876">
        <w:rPr>
          <w:bCs/>
          <w:sz w:val="36"/>
          <w:szCs w:val="36"/>
        </w:rPr>
        <w:t xml:space="preserve">Management </w:t>
      </w:r>
      <w:r w:rsidR="00DF7A90">
        <w:rPr>
          <w:bCs/>
          <w:sz w:val="36"/>
          <w:szCs w:val="36"/>
        </w:rPr>
        <w:t>r</w:t>
      </w:r>
      <w:r w:rsidRPr="00527876">
        <w:rPr>
          <w:bCs/>
          <w:sz w:val="36"/>
          <w:szCs w:val="36"/>
        </w:rPr>
        <w:t>egime</w:t>
      </w:r>
      <w:bookmarkEnd w:id="10"/>
    </w:p>
    <w:p w14:paraId="2F425E68" w14:textId="056A0D44" w:rsidR="00DF37FD" w:rsidRPr="00906715" w:rsidRDefault="004B05AE" w:rsidP="00906715">
      <w:pPr>
        <w:pStyle w:val="Heading2"/>
      </w:pPr>
      <w:bookmarkStart w:id="11" w:name="_Toc210975443"/>
      <w:r w:rsidRPr="00906715">
        <w:t>Description of the management regime</w:t>
      </w:r>
      <w:bookmarkEnd w:id="11"/>
    </w:p>
    <w:p w14:paraId="13BB5AAD" w14:textId="2D8413AE" w:rsidR="00CA4B6C" w:rsidRPr="00CA4B6C" w:rsidRDefault="00CA4B6C" w:rsidP="00CA4B6C">
      <w:pPr>
        <w:rPr>
          <w:color w:val="000000"/>
        </w:rPr>
      </w:pPr>
      <w:r w:rsidRPr="00CA4B6C">
        <w:rPr>
          <w:color w:val="000000"/>
        </w:rPr>
        <w:t>The SSJF is managed through a combination of input and output controls as prescribed in the:</w:t>
      </w:r>
    </w:p>
    <w:p w14:paraId="15926821" w14:textId="77777777" w:rsidR="00CA4B6C" w:rsidRPr="00CA4B6C" w:rsidRDefault="00CA4B6C" w:rsidP="00CA4B6C">
      <w:pPr>
        <w:numPr>
          <w:ilvl w:val="0"/>
          <w:numId w:val="32"/>
        </w:numPr>
        <w:rPr>
          <w:color w:val="000000"/>
        </w:rPr>
      </w:pPr>
      <w:hyperlink r:id="rId23" w:history="1">
        <w:r w:rsidRPr="00CA4B6C">
          <w:rPr>
            <w:rStyle w:val="Hyperlink"/>
            <w:i/>
            <w:iCs/>
          </w:rPr>
          <w:t>Fisheries Management Act 1991</w:t>
        </w:r>
      </w:hyperlink>
      <w:r w:rsidRPr="00CA4B6C">
        <w:rPr>
          <w:i/>
          <w:iCs/>
          <w:color w:val="000000"/>
        </w:rPr>
        <w:t xml:space="preserve"> </w:t>
      </w:r>
      <w:r w:rsidRPr="00CA4B6C">
        <w:rPr>
          <w:color w:val="000000"/>
        </w:rPr>
        <w:t xml:space="preserve">(the Act) and associated amendments and temporary </w:t>
      </w:r>
      <w:proofErr w:type="gramStart"/>
      <w:r w:rsidRPr="00CA4B6C">
        <w:rPr>
          <w:color w:val="000000"/>
        </w:rPr>
        <w:t>orders;</w:t>
      </w:r>
      <w:proofErr w:type="gramEnd"/>
    </w:p>
    <w:p w14:paraId="2CB18631" w14:textId="58BE64B6" w:rsidR="00CA4B6C" w:rsidRPr="00CA4B6C" w:rsidRDefault="00CA4B6C" w:rsidP="00CA4B6C">
      <w:pPr>
        <w:numPr>
          <w:ilvl w:val="0"/>
          <w:numId w:val="32"/>
        </w:numPr>
        <w:rPr>
          <w:color w:val="000000"/>
        </w:rPr>
      </w:pPr>
      <w:r w:rsidRPr="00CA4B6C">
        <w:rPr>
          <w:color w:val="000000"/>
        </w:rPr>
        <w:t xml:space="preserve">the </w:t>
      </w:r>
      <w:hyperlink r:id="rId24" w:history="1">
        <w:r w:rsidR="005E1AE3" w:rsidRPr="00AD779E">
          <w:rPr>
            <w:rStyle w:val="Hyperlink"/>
          </w:rPr>
          <w:t>Southern Squid Jig Fishery Management Plan 2005</w:t>
        </w:r>
      </w:hyperlink>
      <w:r w:rsidR="005E1AE3">
        <w:rPr>
          <w:color w:val="000000"/>
        </w:rPr>
        <w:t xml:space="preserve"> </w:t>
      </w:r>
      <w:r w:rsidRPr="00CA4B6C">
        <w:rPr>
          <w:color w:val="000000"/>
        </w:rPr>
        <w:t xml:space="preserve">and associated amendments, directions and </w:t>
      </w:r>
      <w:proofErr w:type="gramStart"/>
      <w:r w:rsidRPr="00CA4B6C">
        <w:rPr>
          <w:color w:val="000000"/>
        </w:rPr>
        <w:t>determinations;</w:t>
      </w:r>
      <w:proofErr w:type="gramEnd"/>
    </w:p>
    <w:p w14:paraId="3175D53A" w14:textId="77777777" w:rsidR="00CA4B6C" w:rsidRPr="00CA4B6C" w:rsidRDefault="00CA4B6C" w:rsidP="00CA4B6C">
      <w:pPr>
        <w:numPr>
          <w:ilvl w:val="0"/>
          <w:numId w:val="32"/>
        </w:numPr>
        <w:rPr>
          <w:color w:val="000000"/>
        </w:rPr>
      </w:pPr>
      <w:r w:rsidRPr="00CA4B6C">
        <w:rPr>
          <w:color w:val="000000"/>
        </w:rPr>
        <w:t xml:space="preserve">the </w:t>
      </w:r>
      <w:hyperlink r:id="rId25" w:anchor="referenced-section-9" w:history="1">
        <w:r w:rsidRPr="00CA4B6C">
          <w:rPr>
            <w:rStyle w:val="Hyperlink"/>
          </w:rPr>
          <w:t>SSJF Harvest Strategy</w:t>
        </w:r>
      </w:hyperlink>
      <w:r w:rsidRPr="00CA4B6C">
        <w:rPr>
          <w:color w:val="000000"/>
        </w:rPr>
        <w:t xml:space="preserve"> developed in accordance with the </w:t>
      </w:r>
      <w:r w:rsidRPr="00CA4B6C">
        <w:rPr>
          <w:i/>
          <w:iCs/>
          <w:color w:val="000000"/>
        </w:rPr>
        <w:t xml:space="preserve">Commonwealth Fisheries Harvest Strategy Policy 2018; </w:t>
      </w:r>
      <w:r w:rsidRPr="00CA4B6C">
        <w:rPr>
          <w:color w:val="000000"/>
        </w:rPr>
        <w:t>and</w:t>
      </w:r>
    </w:p>
    <w:p w14:paraId="1081DA3B" w14:textId="77777777" w:rsidR="00CA4B6C" w:rsidRPr="00CA4B6C" w:rsidRDefault="00CA4B6C" w:rsidP="00CA4B6C">
      <w:pPr>
        <w:numPr>
          <w:ilvl w:val="0"/>
          <w:numId w:val="32"/>
        </w:numPr>
        <w:rPr>
          <w:color w:val="000000"/>
        </w:rPr>
      </w:pPr>
      <w:r w:rsidRPr="00CA4B6C">
        <w:rPr>
          <w:color w:val="000000"/>
        </w:rPr>
        <w:t>conditions on gear SFRs.</w:t>
      </w:r>
    </w:p>
    <w:p w14:paraId="3C934683" w14:textId="5126B0E8" w:rsidR="009F12E9" w:rsidRDefault="00CA4B6C" w:rsidP="001026F4">
      <w:pPr>
        <w:rPr>
          <w:color w:val="000000"/>
        </w:rPr>
      </w:pPr>
      <w:r w:rsidRPr="00CA4B6C">
        <w:rPr>
          <w:color w:val="000000"/>
        </w:rPr>
        <w:t xml:space="preserve">A copy of the 2025 SSJF gear SFR concession conditions can be found on the </w:t>
      </w:r>
      <w:hyperlink r:id="rId26" w:history="1">
        <w:r w:rsidRPr="00CA4B6C">
          <w:rPr>
            <w:rStyle w:val="Hyperlink"/>
          </w:rPr>
          <w:t>AFMA website</w:t>
        </w:r>
      </w:hyperlink>
      <w:r w:rsidRPr="00CA4B6C">
        <w:rPr>
          <w:color w:val="000000"/>
        </w:rPr>
        <w:t xml:space="preserve"> (‘Services for Fishers’ – ‘Concession Holders’ – ‘Southern Squid Jig Fishery’)</w:t>
      </w:r>
    </w:p>
    <w:p w14:paraId="11839FF5" w14:textId="70A87B03" w:rsidR="00555235" w:rsidRPr="00555235" w:rsidRDefault="00555235" w:rsidP="00555235">
      <w:pPr>
        <w:rPr>
          <w:color w:val="000000"/>
        </w:rPr>
      </w:pPr>
      <w:r w:rsidRPr="00555235">
        <w:rPr>
          <w:color w:val="000000"/>
        </w:rPr>
        <w:t xml:space="preserve">The Management Plan outlines management arrangements for the SSJF. The SSJF is managed by input controls with a Total Allowable Effort </w:t>
      </w:r>
      <w:r w:rsidR="00BE6FDB">
        <w:rPr>
          <w:color w:val="000000"/>
        </w:rPr>
        <w:t xml:space="preserve">(TAE) </w:t>
      </w:r>
      <w:r w:rsidRPr="00555235">
        <w:rPr>
          <w:color w:val="000000"/>
        </w:rPr>
        <w:t>determined each year. The Management Plan specifies effort controls based on a set number of standard squid jigging machines allocated to a gear SFR. The objectives of the Management Plan are to:</w:t>
      </w:r>
    </w:p>
    <w:p w14:paraId="019C4191" w14:textId="3F2607BB" w:rsidR="00555235" w:rsidRPr="00EA7997" w:rsidRDefault="00555235" w:rsidP="00EA7997">
      <w:pPr>
        <w:pStyle w:val="ListParagraph"/>
        <w:numPr>
          <w:ilvl w:val="0"/>
          <w:numId w:val="40"/>
        </w:numPr>
        <w:rPr>
          <w:color w:val="000000"/>
        </w:rPr>
      </w:pPr>
      <w:r w:rsidRPr="00EA7997">
        <w:rPr>
          <w:color w:val="000000"/>
        </w:rPr>
        <w:t>manage the SSJF efficiently and cost-effectively</w:t>
      </w:r>
    </w:p>
    <w:p w14:paraId="628BF6B2" w14:textId="5305909B" w:rsidR="00555235" w:rsidRPr="00EA7997" w:rsidRDefault="00555235" w:rsidP="00EA7997">
      <w:pPr>
        <w:pStyle w:val="ListParagraph"/>
        <w:numPr>
          <w:ilvl w:val="0"/>
          <w:numId w:val="40"/>
        </w:numPr>
        <w:rPr>
          <w:color w:val="000000"/>
        </w:rPr>
      </w:pPr>
      <w:r w:rsidRPr="00EA7997">
        <w:rPr>
          <w:color w:val="000000"/>
        </w:rPr>
        <w:t>exercise the precautionary principle regarding the impact of fishing activities on non-target species and the long-term sustainability of the marine environment</w:t>
      </w:r>
    </w:p>
    <w:p w14:paraId="2E83EC26" w14:textId="75EDF96D" w:rsidR="00555235" w:rsidRPr="00EA7997" w:rsidRDefault="00555235" w:rsidP="00EA7997">
      <w:pPr>
        <w:pStyle w:val="ListParagraph"/>
        <w:numPr>
          <w:ilvl w:val="0"/>
          <w:numId w:val="40"/>
        </w:numPr>
        <w:rPr>
          <w:color w:val="000000"/>
        </w:rPr>
      </w:pPr>
      <w:r w:rsidRPr="00EA7997">
        <w:rPr>
          <w:color w:val="000000"/>
        </w:rPr>
        <w:lastRenderedPageBreak/>
        <w:t>ensure accountability to the fishing industry and Australian community in the management of the SSJF</w:t>
      </w:r>
    </w:p>
    <w:p w14:paraId="160738D0" w14:textId="5C68FB17" w:rsidR="00555235" w:rsidRPr="00EA7997" w:rsidRDefault="00555235" w:rsidP="00EA7997">
      <w:pPr>
        <w:pStyle w:val="ListParagraph"/>
        <w:numPr>
          <w:ilvl w:val="0"/>
          <w:numId w:val="40"/>
        </w:numPr>
        <w:rPr>
          <w:color w:val="000000"/>
        </w:rPr>
      </w:pPr>
      <w:r w:rsidRPr="00EA7997">
        <w:rPr>
          <w:color w:val="000000"/>
        </w:rPr>
        <w:t>achieve government targets for cost recovery</w:t>
      </w:r>
    </w:p>
    <w:p w14:paraId="2E1B3039" w14:textId="5DAAD9BA" w:rsidR="00555235" w:rsidRPr="00EA7997" w:rsidRDefault="00555235" w:rsidP="00EA7997">
      <w:pPr>
        <w:pStyle w:val="ListParagraph"/>
        <w:numPr>
          <w:ilvl w:val="0"/>
          <w:numId w:val="40"/>
        </w:numPr>
        <w:rPr>
          <w:color w:val="000000"/>
        </w:rPr>
      </w:pPr>
      <w:r w:rsidRPr="00EA7997">
        <w:rPr>
          <w:color w:val="000000"/>
        </w:rPr>
        <w:t xml:space="preserve">maximise economic efficiency in the exploitation of the resources of the SSJF </w:t>
      </w:r>
    </w:p>
    <w:p w14:paraId="6415B812" w14:textId="1418F1EC" w:rsidR="00555235" w:rsidRPr="00EA7997" w:rsidRDefault="00555235" w:rsidP="00EA7997">
      <w:pPr>
        <w:pStyle w:val="ListParagraph"/>
        <w:numPr>
          <w:ilvl w:val="0"/>
          <w:numId w:val="40"/>
        </w:numPr>
        <w:rPr>
          <w:color w:val="000000"/>
        </w:rPr>
      </w:pPr>
      <w:r w:rsidRPr="00EA7997">
        <w:rPr>
          <w:color w:val="000000"/>
        </w:rPr>
        <w:t>achieve the best use of the living resources of the Australian Fishing Zone (AFZ).</w:t>
      </w:r>
    </w:p>
    <w:p w14:paraId="304381AD" w14:textId="2B6E8919" w:rsidR="00555235" w:rsidRPr="00555235" w:rsidRDefault="00555235" w:rsidP="00555235">
      <w:pPr>
        <w:rPr>
          <w:color w:val="000000"/>
        </w:rPr>
      </w:pPr>
      <w:r w:rsidRPr="00555235">
        <w:rPr>
          <w:color w:val="000000"/>
        </w:rPr>
        <w:t xml:space="preserve">Access to the SSJF is provided through gear SFRs allocated by AFMA under the Management Plan. Gear SFRs authorise the use of a certain number of squid jigging machines during the year. </w:t>
      </w:r>
      <w:r w:rsidR="00E5032F" w:rsidRPr="00E5032F">
        <w:rPr>
          <w:color w:val="000000"/>
        </w:rPr>
        <w:t xml:space="preserve">A boat must be nominated to an SFR </w:t>
      </w:r>
      <w:proofErr w:type="gramStart"/>
      <w:r w:rsidR="00E5032F" w:rsidRPr="00E5032F">
        <w:rPr>
          <w:color w:val="000000"/>
        </w:rPr>
        <w:t>in order to</w:t>
      </w:r>
      <w:proofErr w:type="gramEnd"/>
      <w:r w:rsidR="00E5032F" w:rsidRPr="00E5032F">
        <w:rPr>
          <w:color w:val="000000"/>
        </w:rPr>
        <w:t xml:space="preserve"> operate in the fishery.</w:t>
      </w:r>
    </w:p>
    <w:p w14:paraId="348D8FFE" w14:textId="77777777" w:rsidR="00D01062" w:rsidRPr="00D01062" w:rsidRDefault="00555235" w:rsidP="00D01062">
      <w:pPr>
        <w:tabs>
          <w:tab w:val="left" w:pos="284"/>
          <w:tab w:val="left" w:pos="567"/>
          <w:tab w:val="left" w:pos="851"/>
        </w:tabs>
        <w:rPr>
          <w:color w:val="000000"/>
        </w:rPr>
      </w:pPr>
      <w:r w:rsidRPr="00434A08">
        <w:rPr>
          <w:color w:val="000000"/>
        </w:rPr>
        <w:t>The number</w:t>
      </w:r>
      <w:r w:rsidRPr="00555235">
        <w:rPr>
          <w:color w:val="000000"/>
        </w:rPr>
        <w:t xml:space="preserve"> of standard squid jigging machines allocated to a gear SFR for a fishing year is calculated by dividing the TAE for the fishing year by the total number of </w:t>
      </w:r>
      <w:proofErr w:type="gramStart"/>
      <w:r w:rsidRPr="00555235">
        <w:rPr>
          <w:color w:val="000000"/>
        </w:rPr>
        <w:t>gear</w:t>
      </w:r>
      <w:proofErr w:type="gramEnd"/>
      <w:r w:rsidRPr="00555235">
        <w:rPr>
          <w:color w:val="000000"/>
        </w:rPr>
        <w:t xml:space="preserve"> SFRs at the start of the fishing year. </w:t>
      </w:r>
      <w:r w:rsidR="00D01062" w:rsidRPr="00D01062">
        <w:rPr>
          <w:color w:val="000000"/>
        </w:rPr>
        <w:t xml:space="preserve">As of August 2025, there were 33 SFR holders and a total of 4,800 SFR units held in the fishery. </w:t>
      </w:r>
    </w:p>
    <w:p w14:paraId="35D9CFB4" w14:textId="5174DC1E" w:rsidR="00D01062" w:rsidRPr="00D01062" w:rsidRDefault="00D01062" w:rsidP="00D01062">
      <w:pPr>
        <w:tabs>
          <w:tab w:val="left" w:pos="284"/>
          <w:tab w:val="left" w:pos="567"/>
          <w:tab w:val="left" w:pos="851"/>
        </w:tabs>
        <w:rPr>
          <w:color w:val="000000"/>
        </w:rPr>
      </w:pPr>
      <w:r w:rsidRPr="00D01062">
        <w:rPr>
          <w:color w:val="000000"/>
        </w:rPr>
        <w:t xml:space="preserve">Current quota ownership and </w:t>
      </w:r>
      <w:r w:rsidR="0066309E">
        <w:rPr>
          <w:color w:val="000000"/>
        </w:rPr>
        <w:t xml:space="preserve">unit </w:t>
      </w:r>
      <w:r w:rsidRPr="00D01062">
        <w:rPr>
          <w:color w:val="000000"/>
        </w:rPr>
        <w:t xml:space="preserve">holdings can be found on the AFMA website at: </w:t>
      </w:r>
      <w:hyperlink r:id="rId27" w:history="1">
        <w:r w:rsidRPr="00D01062">
          <w:rPr>
            <w:rStyle w:val="Hyperlink"/>
          </w:rPr>
          <w:t>https://www.afma.gov.au/commercial-fishers/resources/concession-holders-and-sfr-conditions</w:t>
        </w:r>
      </w:hyperlink>
      <w:r w:rsidRPr="00D01062">
        <w:rPr>
          <w:color w:val="000000"/>
        </w:rPr>
        <w:t>.</w:t>
      </w:r>
    </w:p>
    <w:p w14:paraId="28D29C58" w14:textId="0001EA5C" w:rsidR="00555235" w:rsidRDefault="00555235" w:rsidP="00EA7997">
      <w:pPr>
        <w:tabs>
          <w:tab w:val="left" w:pos="284"/>
          <w:tab w:val="left" w:pos="567"/>
          <w:tab w:val="left" w:pos="851"/>
        </w:tabs>
        <w:rPr>
          <w:color w:val="000000"/>
        </w:rPr>
      </w:pPr>
      <w:r w:rsidRPr="00555235">
        <w:rPr>
          <w:color w:val="000000"/>
        </w:rPr>
        <w:t xml:space="preserve">Operators typically nominate SFRs to their boats in lots of 100. The TAE is shared equally across all </w:t>
      </w:r>
      <w:r w:rsidR="008F25D9">
        <w:rPr>
          <w:color w:val="000000"/>
        </w:rPr>
        <w:t>4,8</w:t>
      </w:r>
      <w:r w:rsidRPr="00555235">
        <w:rPr>
          <w:color w:val="000000"/>
        </w:rPr>
        <w:t>00 SFRs. For example, the 20</w:t>
      </w:r>
      <w:r w:rsidR="00B42752">
        <w:rPr>
          <w:color w:val="000000"/>
        </w:rPr>
        <w:t>25</w:t>
      </w:r>
      <w:r w:rsidRPr="00555235">
        <w:rPr>
          <w:color w:val="000000"/>
        </w:rPr>
        <w:t xml:space="preserve"> TAE for the SSJF is set at 550 standard squid jigging machines which require fishers to hold </w:t>
      </w:r>
      <w:r w:rsidR="007F3A12">
        <w:rPr>
          <w:color w:val="000000"/>
        </w:rPr>
        <w:t>8.73</w:t>
      </w:r>
      <w:r w:rsidRPr="00555235">
        <w:rPr>
          <w:color w:val="000000"/>
        </w:rPr>
        <w:t xml:space="preserve"> SFRs per standard jig machine</w:t>
      </w:r>
      <w:r w:rsidR="002F1389">
        <w:rPr>
          <w:color w:val="000000"/>
        </w:rPr>
        <w:t xml:space="preserve">, as per </w:t>
      </w:r>
      <w:r w:rsidR="002F1389" w:rsidRPr="00EA7997">
        <w:rPr>
          <w:b/>
          <w:bCs/>
          <w:color w:val="000000"/>
        </w:rPr>
        <w:t>Table 1</w:t>
      </w:r>
      <w:r w:rsidRPr="00555235">
        <w:rPr>
          <w:color w:val="000000"/>
        </w:rPr>
        <w:t xml:space="preserve">. </w:t>
      </w:r>
    </w:p>
    <w:p w14:paraId="7DC392E6" w14:textId="75AAD1FC" w:rsidR="00280D48" w:rsidRPr="0079226B" w:rsidRDefault="00280D48" w:rsidP="00280D48">
      <w:pPr>
        <w:pStyle w:val="Caption"/>
        <w:rPr>
          <w:rFonts w:asciiTheme="minorHAnsi" w:hAnsiTheme="minorHAnsi" w:cstheme="minorHAnsi"/>
        </w:rPr>
      </w:pPr>
      <w:r w:rsidRPr="0079226B">
        <w:rPr>
          <w:rFonts w:asciiTheme="minorHAnsi" w:hAnsiTheme="minorHAnsi" w:cstheme="minorHAnsi"/>
        </w:rPr>
        <w:t xml:space="preserve">Table </w:t>
      </w:r>
      <w:r w:rsidRPr="0079226B">
        <w:rPr>
          <w:rFonts w:asciiTheme="minorHAnsi" w:hAnsiTheme="minorHAnsi" w:cstheme="minorHAnsi"/>
        </w:rPr>
        <w:fldChar w:fldCharType="begin"/>
      </w:r>
      <w:r w:rsidRPr="0079226B">
        <w:rPr>
          <w:rFonts w:asciiTheme="minorHAnsi" w:hAnsiTheme="minorHAnsi" w:cstheme="minorHAnsi"/>
        </w:rPr>
        <w:instrText xml:space="preserve"> SEQ Table \* ARABIC </w:instrText>
      </w:r>
      <w:r w:rsidRPr="0079226B">
        <w:rPr>
          <w:rFonts w:asciiTheme="minorHAnsi" w:hAnsiTheme="minorHAnsi" w:cstheme="minorHAnsi"/>
        </w:rPr>
        <w:fldChar w:fldCharType="separate"/>
      </w:r>
      <w:r w:rsidR="003D76E1">
        <w:rPr>
          <w:rFonts w:asciiTheme="minorHAnsi" w:hAnsiTheme="minorHAnsi" w:cstheme="minorHAnsi"/>
          <w:noProof/>
        </w:rPr>
        <w:t>1</w:t>
      </w:r>
      <w:r w:rsidRPr="0079226B">
        <w:rPr>
          <w:rFonts w:asciiTheme="minorHAnsi" w:hAnsiTheme="minorHAnsi" w:cstheme="minorHAnsi"/>
          <w:noProof/>
        </w:rPr>
        <w:fldChar w:fldCharType="end"/>
      </w:r>
      <w:r w:rsidRPr="0079226B">
        <w:rPr>
          <w:rFonts w:asciiTheme="minorHAnsi" w:hAnsiTheme="minorHAnsi" w:cstheme="minorHAnsi"/>
        </w:rPr>
        <w:t xml:space="preserve">. TAE and gear SFR conversion factors for the </w:t>
      </w:r>
      <w:r>
        <w:rPr>
          <w:rFonts w:asciiTheme="minorHAnsi" w:hAnsiTheme="minorHAnsi" w:cstheme="minorHAnsi"/>
        </w:rPr>
        <w:t>2025</w:t>
      </w:r>
      <w:r w:rsidRPr="0079226B">
        <w:rPr>
          <w:rFonts w:asciiTheme="minorHAnsi" w:hAnsiTheme="minorHAnsi" w:cstheme="minorHAnsi"/>
        </w:rPr>
        <w:t xml:space="preserve"> fishing year</w:t>
      </w:r>
    </w:p>
    <w:tbl>
      <w:tblPr>
        <w:tblStyle w:val="AFMA-default"/>
        <w:tblW w:w="5000" w:type="pct"/>
        <w:tblLook w:val="04A0" w:firstRow="1" w:lastRow="0" w:firstColumn="1" w:lastColumn="0" w:noHBand="0" w:noVBand="1"/>
      </w:tblPr>
      <w:tblGrid>
        <w:gridCol w:w="2254"/>
        <w:gridCol w:w="2254"/>
        <w:gridCol w:w="2254"/>
        <w:gridCol w:w="2254"/>
      </w:tblGrid>
      <w:tr w:rsidR="0046161D" w:rsidRPr="0079226B" w14:paraId="507978ED" w14:textId="77777777" w:rsidTr="002A4580">
        <w:trPr>
          <w:cnfStyle w:val="100000000000" w:firstRow="1" w:lastRow="0" w:firstColumn="0" w:lastColumn="0" w:oddVBand="0" w:evenVBand="0" w:oddHBand="0" w:evenHBand="0" w:firstRowFirstColumn="0" w:firstRowLastColumn="0" w:lastRowFirstColumn="0" w:lastRowLastColumn="0"/>
        </w:trPr>
        <w:tc>
          <w:tcPr>
            <w:tcW w:w="1250" w:type="pct"/>
          </w:tcPr>
          <w:p w14:paraId="52E786ED" w14:textId="77777777" w:rsidR="00280D48" w:rsidRPr="0079226B" w:rsidRDefault="00280D48" w:rsidP="002A4580">
            <w:pPr>
              <w:rPr>
                <w:rFonts w:asciiTheme="minorHAnsi" w:hAnsiTheme="minorHAnsi" w:cstheme="minorHAnsi"/>
                <w:sz w:val="22"/>
              </w:rPr>
            </w:pPr>
          </w:p>
        </w:tc>
        <w:tc>
          <w:tcPr>
            <w:tcW w:w="1250" w:type="pct"/>
          </w:tcPr>
          <w:p w14:paraId="173023C4" w14:textId="77777777" w:rsidR="00280D48" w:rsidRPr="0079226B" w:rsidRDefault="00280D48" w:rsidP="002A4580">
            <w:pPr>
              <w:rPr>
                <w:rFonts w:asciiTheme="minorHAnsi" w:hAnsiTheme="minorHAnsi" w:cstheme="minorHAnsi"/>
                <w:sz w:val="22"/>
              </w:rPr>
            </w:pPr>
            <w:r w:rsidRPr="0079226B">
              <w:rPr>
                <w:rFonts w:asciiTheme="minorHAnsi" w:hAnsiTheme="minorHAnsi" w:cstheme="minorHAnsi"/>
                <w:sz w:val="22"/>
              </w:rPr>
              <w:t xml:space="preserve">TAE </w:t>
            </w:r>
          </w:p>
        </w:tc>
        <w:tc>
          <w:tcPr>
            <w:tcW w:w="1250" w:type="pct"/>
          </w:tcPr>
          <w:p w14:paraId="2CD8DEBC" w14:textId="77777777" w:rsidR="00280D48" w:rsidRPr="0079226B" w:rsidRDefault="00280D48" w:rsidP="002A4580">
            <w:pPr>
              <w:rPr>
                <w:rFonts w:asciiTheme="minorHAnsi" w:hAnsiTheme="minorHAnsi" w:cstheme="minorHAnsi"/>
                <w:sz w:val="22"/>
              </w:rPr>
            </w:pPr>
            <w:r w:rsidRPr="0079226B">
              <w:rPr>
                <w:rFonts w:asciiTheme="minorHAnsi" w:hAnsiTheme="minorHAnsi" w:cstheme="minorHAnsi"/>
                <w:sz w:val="22"/>
              </w:rPr>
              <w:t xml:space="preserve">Number of </w:t>
            </w:r>
            <w:proofErr w:type="gramStart"/>
            <w:r w:rsidRPr="0079226B">
              <w:rPr>
                <w:rFonts w:asciiTheme="minorHAnsi" w:hAnsiTheme="minorHAnsi" w:cstheme="minorHAnsi"/>
                <w:sz w:val="22"/>
              </w:rPr>
              <w:t>gear</w:t>
            </w:r>
            <w:proofErr w:type="gramEnd"/>
            <w:r w:rsidRPr="0079226B">
              <w:rPr>
                <w:rFonts w:asciiTheme="minorHAnsi" w:hAnsiTheme="minorHAnsi" w:cstheme="minorHAnsi"/>
                <w:sz w:val="22"/>
              </w:rPr>
              <w:t xml:space="preserve"> SFRs </w:t>
            </w:r>
          </w:p>
        </w:tc>
        <w:tc>
          <w:tcPr>
            <w:tcW w:w="1250" w:type="pct"/>
          </w:tcPr>
          <w:p w14:paraId="16E5A58C" w14:textId="77777777" w:rsidR="00280D48" w:rsidRPr="0079226B" w:rsidRDefault="00280D48" w:rsidP="002A4580">
            <w:pPr>
              <w:rPr>
                <w:rFonts w:asciiTheme="minorHAnsi" w:hAnsiTheme="minorHAnsi" w:cstheme="minorHAnsi"/>
                <w:sz w:val="22"/>
              </w:rPr>
            </w:pPr>
            <w:r w:rsidRPr="0079226B">
              <w:rPr>
                <w:rFonts w:asciiTheme="minorHAnsi" w:hAnsiTheme="minorHAnsi" w:cstheme="minorHAnsi"/>
                <w:sz w:val="22"/>
              </w:rPr>
              <w:t>Conversion factor (TAE/SFR)</w:t>
            </w:r>
          </w:p>
        </w:tc>
      </w:tr>
      <w:tr w:rsidR="00280D48" w:rsidRPr="00F4014B" w14:paraId="459B3681" w14:textId="77777777" w:rsidTr="002A4580">
        <w:tc>
          <w:tcPr>
            <w:tcW w:w="1250" w:type="pct"/>
          </w:tcPr>
          <w:p w14:paraId="152724FB" w14:textId="77777777" w:rsidR="00280D48" w:rsidRPr="00F4014B" w:rsidRDefault="00280D48" w:rsidP="002A4580">
            <w:pPr>
              <w:rPr>
                <w:rFonts w:asciiTheme="minorHAnsi" w:hAnsiTheme="minorHAnsi" w:cstheme="minorHAnsi"/>
              </w:rPr>
            </w:pPr>
            <w:r w:rsidRPr="00F4014B">
              <w:rPr>
                <w:rFonts w:asciiTheme="minorHAnsi" w:hAnsiTheme="minorHAnsi" w:cstheme="minorHAnsi"/>
              </w:rPr>
              <w:t>Standard squid jig machines</w:t>
            </w:r>
          </w:p>
        </w:tc>
        <w:tc>
          <w:tcPr>
            <w:tcW w:w="1250" w:type="pct"/>
          </w:tcPr>
          <w:p w14:paraId="19C25E72" w14:textId="77777777" w:rsidR="00280D48" w:rsidRPr="00F4014B" w:rsidRDefault="00280D48" w:rsidP="002A4580">
            <w:pPr>
              <w:rPr>
                <w:rFonts w:asciiTheme="minorHAnsi" w:hAnsiTheme="minorHAnsi" w:cstheme="minorHAnsi"/>
              </w:rPr>
            </w:pPr>
            <w:r w:rsidRPr="00F4014B">
              <w:rPr>
                <w:rFonts w:asciiTheme="minorHAnsi" w:hAnsiTheme="minorHAnsi" w:cstheme="minorHAnsi"/>
              </w:rPr>
              <w:t>550</w:t>
            </w:r>
          </w:p>
        </w:tc>
        <w:tc>
          <w:tcPr>
            <w:tcW w:w="1250" w:type="pct"/>
          </w:tcPr>
          <w:p w14:paraId="50ADFACD" w14:textId="77777777" w:rsidR="00280D48" w:rsidRPr="00F4014B" w:rsidRDefault="00280D48" w:rsidP="002A4580">
            <w:pPr>
              <w:rPr>
                <w:rFonts w:asciiTheme="minorHAnsi" w:hAnsiTheme="minorHAnsi" w:cstheme="minorHAnsi"/>
              </w:rPr>
            </w:pPr>
            <w:r w:rsidRPr="00F4014B">
              <w:rPr>
                <w:rFonts w:asciiTheme="minorHAnsi" w:hAnsiTheme="minorHAnsi" w:cstheme="minorHAnsi"/>
              </w:rPr>
              <w:t>4,800</w:t>
            </w:r>
          </w:p>
        </w:tc>
        <w:tc>
          <w:tcPr>
            <w:tcW w:w="1250" w:type="pct"/>
          </w:tcPr>
          <w:p w14:paraId="3D7B7DF0" w14:textId="77777777" w:rsidR="00280D48" w:rsidRPr="00F4014B" w:rsidRDefault="00280D48" w:rsidP="002A4580">
            <w:pPr>
              <w:rPr>
                <w:rFonts w:asciiTheme="minorHAnsi" w:hAnsiTheme="minorHAnsi" w:cstheme="minorHAnsi"/>
              </w:rPr>
            </w:pPr>
            <w:r w:rsidRPr="00C76C33">
              <w:rPr>
                <w:rFonts w:asciiTheme="minorHAnsi" w:hAnsiTheme="minorHAnsi" w:cstheme="minorHAnsi"/>
              </w:rPr>
              <w:t>8.72727</w:t>
            </w:r>
          </w:p>
        </w:tc>
      </w:tr>
    </w:tbl>
    <w:p w14:paraId="17840F18" w14:textId="77777777" w:rsidR="00280D48" w:rsidRPr="00555235" w:rsidRDefault="00280D48" w:rsidP="00555235">
      <w:pPr>
        <w:rPr>
          <w:color w:val="000000"/>
        </w:rPr>
      </w:pPr>
    </w:p>
    <w:p w14:paraId="6B378860" w14:textId="23DE35A7" w:rsidR="000C50E9" w:rsidRPr="00EA7997" w:rsidRDefault="000C50E9" w:rsidP="00EA7997">
      <w:pPr>
        <w:tabs>
          <w:tab w:val="left" w:pos="284"/>
          <w:tab w:val="left" w:pos="567"/>
          <w:tab w:val="left" w:pos="851"/>
        </w:tabs>
        <w:rPr>
          <w:rFonts w:eastAsia="Times" w:cstheme="minorHAnsi"/>
          <w:color w:val="333333"/>
          <w:szCs w:val="20"/>
        </w:rPr>
      </w:pPr>
      <w:r w:rsidRPr="00555235">
        <w:rPr>
          <w:color w:val="000000"/>
        </w:rPr>
        <w:t xml:space="preserve">SFRs are fully tradeable, allowing operators to increase or decrease the number of squid jigging machines they can use on their vessel. </w:t>
      </w:r>
    </w:p>
    <w:p w14:paraId="235BCFB4" w14:textId="644A0FB3" w:rsidR="00AB303B" w:rsidRDefault="00555235" w:rsidP="00AB303B">
      <w:pPr>
        <w:rPr>
          <w:color w:val="000000"/>
        </w:rPr>
      </w:pPr>
      <w:r w:rsidRPr="00555235">
        <w:rPr>
          <w:color w:val="000000"/>
        </w:rPr>
        <w:t xml:space="preserve">Along with conditions on gear SFRs, the Management Plan details concession holders’ obligations when fishing </w:t>
      </w:r>
      <w:proofErr w:type="gramStart"/>
      <w:r w:rsidRPr="00555235">
        <w:rPr>
          <w:color w:val="000000"/>
        </w:rPr>
        <w:t>in the area of</w:t>
      </w:r>
      <w:proofErr w:type="gramEnd"/>
      <w:r w:rsidRPr="00555235">
        <w:rPr>
          <w:color w:val="000000"/>
        </w:rPr>
        <w:t xml:space="preserve"> the fishery. Copies of the Management Plan are available from the Commonwealth of Australia Law (</w:t>
      </w:r>
      <w:proofErr w:type="spellStart"/>
      <w:r w:rsidRPr="00555235">
        <w:rPr>
          <w:color w:val="000000"/>
        </w:rPr>
        <w:t>ComLaw</w:t>
      </w:r>
      <w:proofErr w:type="spellEnd"/>
      <w:r w:rsidRPr="00555235">
        <w:rPr>
          <w:color w:val="000000"/>
        </w:rPr>
        <w:t>) website at:</w:t>
      </w:r>
      <w:r w:rsidR="002622D2">
        <w:rPr>
          <w:color w:val="000000"/>
        </w:rPr>
        <w:t xml:space="preserve"> </w:t>
      </w:r>
      <w:hyperlink r:id="rId28" w:history="1">
        <w:r w:rsidR="002622D2" w:rsidRPr="00403658">
          <w:rPr>
            <w:rStyle w:val="Hyperlink"/>
            <w:rFonts w:eastAsia="Times"/>
          </w:rPr>
          <w:t>www.comlaw.gov.au/Details/F2012C00161</w:t>
        </w:r>
      </w:hyperlink>
      <w:r w:rsidR="002622D2" w:rsidRPr="00A0087C">
        <w:rPr>
          <w:rFonts w:eastAsia="Times"/>
        </w:rPr>
        <w:t>.</w:t>
      </w:r>
    </w:p>
    <w:p w14:paraId="3E51028F" w14:textId="77777777" w:rsidR="00506476" w:rsidRPr="00026C2D" w:rsidRDefault="00506476" w:rsidP="00506476"/>
    <w:p w14:paraId="2E117F49" w14:textId="68959DBA" w:rsidR="004657F1" w:rsidRPr="00906715" w:rsidRDefault="003B69D3" w:rsidP="00906715">
      <w:pPr>
        <w:pStyle w:val="Heading2"/>
      </w:pPr>
      <w:bookmarkStart w:id="12" w:name="_Toc210975444"/>
      <w:r w:rsidRPr="00906715">
        <w:t>Consultation</w:t>
      </w:r>
      <w:r w:rsidR="000B0CC4">
        <w:t xml:space="preserve"> processes</w:t>
      </w:r>
      <w:bookmarkEnd w:id="12"/>
    </w:p>
    <w:p w14:paraId="467BC6E2" w14:textId="2BDFD1A9" w:rsidR="00D25F9A" w:rsidRPr="00A25D83" w:rsidRDefault="00195F55" w:rsidP="008729EE">
      <w:r w:rsidRPr="00A25D83">
        <w:t xml:space="preserve">The SSJF </w:t>
      </w:r>
      <w:r w:rsidR="001C58AC" w:rsidRPr="00A25D83">
        <w:t xml:space="preserve">undertake a consultation process with </w:t>
      </w:r>
      <w:r w:rsidR="00330510" w:rsidRPr="00A25D83">
        <w:t xml:space="preserve">the </w:t>
      </w:r>
      <w:r w:rsidR="008729EE" w:rsidRPr="00A25D83">
        <w:t>Squid</w:t>
      </w:r>
      <w:r w:rsidR="00EE62D5" w:rsidRPr="00A25D83">
        <w:t xml:space="preserve"> Resource Assessment Group </w:t>
      </w:r>
      <w:r w:rsidR="00D25F9A" w:rsidRPr="00A25D83">
        <w:t>(</w:t>
      </w:r>
      <w:proofErr w:type="spellStart"/>
      <w:r w:rsidR="00D25F9A" w:rsidRPr="00A25D83">
        <w:t>SquidRAG</w:t>
      </w:r>
      <w:proofErr w:type="spellEnd"/>
      <w:r w:rsidR="00D25F9A" w:rsidRPr="00A25D83">
        <w:t xml:space="preserve">) </w:t>
      </w:r>
      <w:r w:rsidR="00EE62D5" w:rsidRPr="00A25D83">
        <w:t xml:space="preserve">and the </w:t>
      </w:r>
      <w:proofErr w:type="gramStart"/>
      <w:r w:rsidR="00EE62D5" w:rsidRPr="00A25D83">
        <w:t>South East</w:t>
      </w:r>
      <w:proofErr w:type="gramEnd"/>
      <w:r w:rsidR="00EE62D5" w:rsidRPr="00A25D83">
        <w:t xml:space="preserve"> Management </w:t>
      </w:r>
      <w:r w:rsidR="00D25F9A" w:rsidRPr="00A25D83">
        <w:t>Advisory Committee (SEMAC)</w:t>
      </w:r>
      <w:r w:rsidR="00AD2564" w:rsidRPr="00A25D83">
        <w:t>. Members of the</w:t>
      </w:r>
      <w:r w:rsidR="00677C6E" w:rsidRPr="00A25D83">
        <w:t>se groups provide a range of perspectives involving representatives</w:t>
      </w:r>
      <w:r w:rsidR="001E69E1" w:rsidRPr="00A25D83">
        <w:t xml:space="preserve"> for Industry, economics, conservation groups, state and territory governments</w:t>
      </w:r>
      <w:r w:rsidR="009D19EB" w:rsidRPr="00A25D83">
        <w:t xml:space="preserve">, </w:t>
      </w:r>
      <w:r w:rsidR="00084EF3" w:rsidRPr="00A25D83">
        <w:t>recreational</w:t>
      </w:r>
      <w:r w:rsidR="009D19EB" w:rsidRPr="00A25D83">
        <w:t xml:space="preserve"> and scientific fields</w:t>
      </w:r>
      <w:r w:rsidR="00735C57" w:rsidRPr="00A25D83">
        <w:t>.</w:t>
      </w:r>
    </w:p>
    <w:p w14:paraId="561C38AB" w14:textId="77777777" w:rsidR="008729EE" w:rsidRPr="00A25D83" w:rsidRDefault="000B3180" w:rsidP="001D013C">
      <w:proofErr w:type="spellStart"/>
      <w:r w:rsidRPr="00A25D83">
        <w:t>SquidRAG</w:t>
      </w:r>
      <w:proofErr w:type="spellEnd"/>
      <w:r w:rsidRPr="00A25D83">
        <w:t xml:space="preserve"> </w:t>
      </w:r>
      <w:r w:rsidR="008729EE" w:rsidRPr="00A25D83">
        <w:t>provides advice and recommendations to the SEMAC, AFMA management, the AFMA Commission and the AFMA Research Committee (ARC) on the status of the Gould’s squid stock, the impact of squid jigging on the marine environment and the type of information needed for stock assessments. They also evaluate the impact over time of the SSJF Harvest Strategy, stock depletion and recovery rates, confidence levels for fishery assessments and risk to the success of fishery objectives. Compliance and economic factors affecting the fishery are also evaluated and reported on by this group.</w:t>
      </w:r>
    </w:p>
    <w:p w14:paraId="13B6D81B" w14:textId="77777777" w:rsidR="008729EE" w:rsidRPr="00A25D83" w:rsidRDefault="008729EE" w:rsidP="00A25D83">
      <w:r w:rsidRPr="00A25D83">
        <w:lastRenderedPageBreak/>
        <w:t xml:space="preserve">SEMAC is the overarching committee that provides management advice to AFMA on the Southern and Eastern </w:t>
      </w:r>
      <w:proofErr w:type="spellStart"/>
      <w:r w:rsidRPr="00A25D83">
        <w:t>Scalefish</w:t>
      </w:r>
      <w:proofErr w:type="spellEnd"/>
      <w:r w:rsidRPr="00A25D83">
        <w:t xml:space="preserve"> and Shark Fishery; Small Pelagic Fishery; and the SSJF. Specifically, SEMAC provides management advice to the AFMA Commission and AFMA management on the scientific and economic status of fish stocks, sub-stocks, species (target and non-target) and the impacts of fishing on the marine environment. SEMAC provides a forum where management issues relating to fisheries are discussed and possible solutions developed.</w:t>
      </w:r>
    </w:p>
    <w:p w14:paraId="78A360FC" w14:textId="77777777" w:rsidR="00E4634A" w:rsidRPr="006A6A6F" w:rsidRDefault="00E4634A" w:rsidP="00E4634A">
      <w:r w:rsidRPr="006A6A6F">
        <w:t>The AFMA Commission is the final decision-making body within the agency providing final outcomes for domestic fisheries management and foreign compliance.</w:t>
      </w:r>
    </w:p>
    <w:p w14:paraId="16F63D19" w14:textId="583E4E54" w:rsidR="00CA75CE" w:rsidRDefault="00E4634A" w:rsidP="003B69D3">
      <w:pPr>
        <w:rPr>
          <w:color w:val="4000A6"/>
        </w:rPr>
      </w:pPr>
      <w:r w:rsidRPr="006A6A6F">
        <w:t>RAG and MAC meetings are not open for public invitation, however the minutes of the meeting</w:t>
      </w:r>
      <w:r w:rsidR="00230C81">
        <w:t>s</w:t>
      </w:r>
      <w:r w:rsidRPr="006A6A6F">
        <w:t xml:space="preserve"> including the agenda and outcomes are published online on the </w:t>
      </w:r>
      <w:hyperlink r:id="rId29" w:history="1">
        <w:r w:rsidRPr="006A6A6F">
          <w:rPr>
            <w:rStyle w:val="Hyperlink"/>
          </w:rPr>
          <w:t>AFMA website</w:t>
        </w:r>
      </w:hyperlink>
      <w:r w:rsidRPr="006A6A6F">
        <w:rPr>
          <w:color w:val="4000A6"/>
        </w:rPr>
        <w:t>.</w:t>
      </w:r>
    </w:p>
    <w:p w14:paraId="35EDC7D5" w14:textId="77777777" w:rsidR="00506476" w:rsidRDefault="00506476" w:rsidP="003B69D3">
      <w:pPr>
        <w:rPr>
          <w:color w:val="4000A6"/>
        </w:rPr>
      </w:pPr>
    </w:p>
    <w:p w14:paraId="578864D6" w14:textId="6A98BEE0" w:rsidR="00746F21" w:rsidRPr="00195CE5" w:rsidRDefault="00906715" w:rsidP="00CA75CE">
      <w:pPr>
        <w:pStyle w:val="Heading2"/>
        <w:rPr>
          <w:color w:val="auto"/>
          <w:u w:val="single"/>
          <w:lang w:val="en"/>
        </w:rPr>
      </w:pPr>
      <w:bookmarkStart w:id="13" w:name="_Toc210975445"/>
      <w:r w:rsidRPr="00906715">
        <w:t xml:space="preserve">Performance against objectives, performance indicators and performance </w:t>
      </w:r>
      <w:r w:rsidRPr="00195CE5">
        <w:rPr>
          <w:color w:val="auto"/>
        </w:rPr>
        <w:t>measures</w:t>
      </w:r>
      <w:bookmarkEnd w:id="13"/>
    </w:p>
    <w:p w14:paraId="1541CAC2" w14:textId="7CF717E1" w:rsidR="00161173" w:rsidRPr="00A25D83" w:rsidRDefault="00161173" w:rsidP="00161173">
      <w:pPr>
        <w:rPr>
          <w:color w:val="000000"/>
        </w:rPr>
      </w:pPr>
      <w:r w:rsidRPr="00A25D83">
        <w:rPr>
          <w:color w:val="000000" w:themeColor="text1"/>
        </w:rPr>
        <w:t>AFMA’s performance measurement is a multi-faceted process that involves clear objectives, relevant performance indicators, and measurable performance measures. Some of these measures are mandated by fisheries legislation, including annual reporting requirements.</w:t>
      </w:r>
    </w:p>
    <w:p w14:paraId="4C4420FC" w14:textId="4316C2BB" w:rsidR="00161173" w:rsidRPr="00A25D83" w:rsidRDefault="00161173" w:rsidP="00161173">
      <w:pPr>
        <w:rPr>
          <w:color w:val="000000"/>
        </w:rPr>
      </w:pPr>
      <w:r w:rsidRPr="00A25D83">
        <w:rPr>
          <w:color w:val="000000"/>
        </w:rPr>
        <w:t xml:space="preserve">Strategic objectives and performance measures are broadly defined in the </w:t>
      </w:r>
      <w:r w:rsidRPr="00A25D83">
        <w:rPr>
          <w:i/>
          <w:iCs/>
          <w:color w:val="000000"/>
        </w:rPr>
        <w:t>Fisheries Management Act 1991</w:t>
      </w:r>
      <w:r w:rsidRPr="006A6A6F">
        <w:rPr>
          <w:i/>
          <w:iCs/>
        </w:rPr>
        <w:t xml:space="preserve">. </w:t>
      </w:r>
      <w:hyperlink r:id="rId30" w:history="1">
        <w:r w:rsidR="006C3F0B">
          <w:rPr>
            <w:rStyle w:val="Hyperlink"/>
          </w:rPr>
          <w:t>The SSJF Management Plan</w:t>
        </w:r>
      </w:hyperlink>
      <w:r w:rsidR="001B335E">
        <w:t xml:space="preserve"> </w:t>
      </w:r>
      <w:r w:rsidR="001B335E" w:rsidRPr="00A25D83">
        <w:rPr>
          <w:color w:val="000000"/>
        </w:rPr>
        <w:t>contains</w:t>
      </w:r>
      <w:r w:rsidRPr="00A25D83">
        <w:rPr>
          <w:color w:val="000000"/>
        </w:rPr>
        <w:t xml:space="preserve"> fishery-specific objectives, performance measures, and performance criteria.</w:t>
      </w:r>
    </w:p>
    <w:p w14:paraId="6CB24613" w14:textId="77777777" w:rsidR="00161173" w:rsidRPr="00A25D83" w:rsidRDefault="00161173" w:rsidP="00161173">
      <w:pPr>
        <w:rPr>
          <w:color w:val="000000"/>
        </w:rPr>
      </w:pPr>
      <w:r w:rsidRPr="00A25D83">
        <w:rPr>
          <w:color w:val="000000"/>
        </w:rPr>
        <w:t>Management actions to achieve these objectives are identified in the risk management strategy and harvest strategy for this fishery. The Commonwealth Fisheries Harvest Strategy Policy and Guidelines provide the basis for developing the harvest strategy for this fishery, which includes objectives, harvest control rules, reference/trigger point, performance measures, and decision rules.</w:t>
      </w:r>
    </w:p>
    <w:p w14:paraId="0E3741A3" w14:textId="21DF4F80" w:rsidR="00161173" w:rsidRPr="006A6A6F" w:rsidRDefault="00161173" w:rsidP="00161173">
      <w:pPr>
        <w:rPr>
          <w:color w:val="333333"/>
        </w:rPr>
      </w:pPr>
      <w:r w:rsidRPr="00A25D83">
        <w:rPr>
          <w:color w:val="000000"/>
        </w:rPr>
        <w:t>Key information from these strategy documents is contained in the</w:t>
      </w:r>
      <w:r w:rsidRPr="006A6A6F">
        <w:rPr>
          <w:color w:val="333333"/>
        </w:rPr>
        <w:t xml:space="preserve"> </w:t>
      </w:r>
      <w:hyperlink r:id="rId31" w:history="1">
        <w:r w:rsidRPr="005A746C">
          <w:rPr>
            <w:rStyle w:val="Hyperlink"/>
          </w:rPr>
          <w:t>management arrangements booklet</w:t>
        </w:r>
        <w:r w:rsidR="002015A7" w:rsidRPr="005A746C">
          <w:rPr>
            <w:rStyle w:val="Hyperlink"/>
          </w:rPr>
          <w:t>.</w:t>
        </w:r>
      </w:hyperlink>
    </w:p>
    <w:p w14:paraId="78DDD211" w14:textId="1DC7482D" w:rsidR="00161173" w:rsidRPr="00A25D83" w:rsidRDefault="00161173" w:rsidP="00161173">
      <w:pPr>
        <w:rPr>
          <w:color w:val="000000"/>
        </w:rPr>
      </w:pPr>
      <w:r w:rsidRPr="00A25D83">
        <w:rPr>
          <w:color w:val="000000" w:themeColor="text1"/>
        </w:rPr>
        <w:t xml:space="preserve">AFMA’s ecological risk management framework uses a hierarchical approach to assess the sources of risk, their consequences, and likelihood of occurrence. The approach is used to assess the risks </w:t>
      </w:r>
      <w:r w:rsidR="00D70EAC" w:rsidRPr="00A25D83">
        <w:rPr>
          <w:color w:val="000000" w:themeColor="text1"/>
        </w:rPr>
        <w:t xml:space="preserve">of </w:t>
      </w:r>
      <w:r w:rsidRPr="00A25D83">
        <w:rPr>
          <w:color w:val="000000" w:themeColor="text1"/>
        </w:rPr>
        <w:t>fishing to target and non-target species, protected species, habitats and communities.</w:t>
      </w:r>
    </w:p>
    <w:p w14:paraId="180C3631" w14:textId="743AF49B" w:rsidR="00161173" w:rsidRPr="00A25D83" w:rsidRDefault="00161173" w:rsidP="00161173">
      <w:pPr>
        <w:rPr>
          <w:color w:val="000000"/>
        </w:rPr>
      </w:pPr>
      <w:r w:rsidRPr="00A25D83">
        <w:rPr>
          <w:color w:val="000000" w:themeColor="text1"/>
        </w:rPr>
        <w:t>AFMA’s performance is regularly monitored throughout the year, reviewed annually through the various RAGs and MAC</w:t>
      </w:r>
      <w:r w:rsidR="00E1080B" w:rsidRPr="00A25D83">
        <w:rPr>
          <w:color w:val="000000" w:themeColor="text1"/>
        </w:rPr>
        <w:t>s</w:t>
      </w:r>
      <w:r w:rsidRPr="00A25D83">
        <w:rPr>
          <w:color w:val="000000" w:themeColor="text1"/>
        </w:rPr>
        <w:t>, and reported through catch reports, surveys, annual stock assessments and in the AFMA</w:t>
      </w:r>
      <w:r w:rsidRPr="6CED2B81">
        <w:rPr>
          <w:color w:val="333333"/>
        </w:rPr>
        <w:t xml:space="preserve"> </w:t>
      </w:r>
      <w:hyperlink r:id="rId32">
        <w:r w:rsidRPr="6CED2B81">
          <w:rPr>
            <w:rStyle w:val="Hyperlink"/>
          </w:rPr>
          <w:t>annual report.</w:t>
        </w:r>
      </w:hyperlink>
      <w:r>
        <w:t xml:space="preserve"> </w:t>
      </w:r>
      <w:r w:rsidRPr="00A25D83">
        <w:rPr>
          <w:color w:val="000000" w:themeColor="text1"/>
        </w:rPr>
        <w:t xml:space="preserve">Periodic reviews of the harvest strategy itself are also conducted as required. These reports provide a transparent overview of AFMA’s activities and their impacts on fisheries. The information contained in these reports is used by stakeholders, including industry, government and the public, to assess the effectiveness of AFMA’s management and to inform future decisions. </w:t>
      </w:r>
    </w:p>
    <w:p w14:paraId="17D9AC42" w14:textId="3B84D433" w:rsidR="00161173" w:rsidRPr="006A6A6F" w:rsidRDefault="00161173" w:rsidP="00161173">
      <w:pPr>
        <w:rPr>
          <w:color w:val="4000A6"/>
        </w:rPr>
      </w:pPr>
      <w:r w:rsidRPr="00A25D83">
        <w:rPr>
          <w:color w:val="000000"/>
        </w:rPr>
        <w:t>Independent assessments are performed every year by the Australian Bureau of Agricultural and Resource Economics and Sciences (ABARES), the yearly reports provide an independent evaluation of the biological and economic status of fish stocks managed solely or jointly by the Australian Government. The most recent report and outcomes can be seen</w:t>
      </w:r>
      <w:r w:rsidRPr="006A6A6F">
        <w:rPr>
          <w:color w:val="333333"/>
        </w:rPr>
        <w:t xml:space="preserve"> </w:t>
      </w:r>
      <w:hyperlink r:id="rId33" w:history="1">
        <w:r w:rsidRPr="006A6A6F">
          <w:rPr>
            <w:rStyle w:val="Hyperlink"/>
          </w:rPr>
          <w:t>here.</w:t>
        </w:r>
      </w:hyperlink>
    </w:p>
    <w:p w14:paraId="46BA7679" w14:textId="77777777" w:rsidR="00161173" w:rsidRDefault="00161173" w:rsidP="00906715">
      <w:pPr>
        <w:rPr>
          <w:color w:val="4000A6"/>
        </w:rPr>
      </w:pPr>
    </w:p>
    <w:p w14:paraId="7D00FCB3" w14:textId="00DB881E" w:rsidR="00787EDD" w:rsidRPr="00DE62C0" w:rsidRDefault="004E2F54" w:rsidP="00A25D83">
      <w:pPr>
        <w:pStyle w:val="Heading2"/>
        <w:ind w:left="0"/>
      </w:pPr>
      <w:bookmarkStart w:id="14" w:name="_Toc210975446"/>
      <w:r>
        <w:lastRenderedPageBreak/>
        <w:t>C</w:t>
      </w:r>
      <w:r w:rsidR="007F5C88" w:rsidRPr="00DE62C0">
        <w:t>ontrolling the level of harvest</w:t>
      </w:r>
      <w:bookmarkEnd w:id="14"/>
    </w:p>
    <w:p w14:paraId="602CA7C4" w14:textId="198FF1C2" w:rsidR="00DC0C24" w:rsidRPr="0046064A" w:rsidRDefault="00CC1197" w:rsidP="00DC0C24">
      <w:pPr>
        <w:rPr>
          <w:color w:val="000000"/>
          <w:highlight w:val="yellow"/>
        </w:rPr>
      </w:pPr>
      <w:r w:rsidRPr="0046064A">
        <w:rPr>
          <w:color w:val="000000"/>
        </w:rPr>
        <w:t xml:space="preserve">There is no Total Allowable Catch (TAC) or catch quota for the SSJF. A TAC is unable to be determined as there is insufficient scientific information available to set biological reference points. </w:t>
      </w:r>
      <w:r w:rsidR="00B939E3" w:rsidRPr="0046064A">
        <w:rPr>
          <w:color w:val="000000"/>
        </w:rPr>
        <w:t>Harvest</w:t>
      </w:r>
      <w:r w:rsidR="00DC0C24" w:rsidRPr="0046064A">
        <w:rPr>
          <w:color w:val="000000"/>
        </w:rPr>
        <w:t xml:space="preserve"> levels in the SSJF </w:t>
      </w:r>
      <w:r w:rsidR="00255A5E" w:rsidRPr="0046064A">
        <w:rPr>
          <w:color w:val="000000"/>
        </w:rPr>
        <w:t>are</w:t>
      </w:r>
      <w:r w:rsidR="00DC0C24" w:rsidRPr="0046064A">
        <w:rPr>
          <w:color w:val="000000"/>
        </w:rPr>
        <w:t xml:space="preserve"> </w:t>
      </w:r>
      <w:r w:rsidR="00585407" w:rsidRPr="0046064A">
        <w:rPr>
          <w:color w:val="000000"/>
        </w:rPr>
        <w:t xml:space="preserve">therefore </w:t>
      </w:r>
      <w:r w:rsidR="00DC0C24" w:rsidRPr="0046064A">
        <w:rPr>
          <w:color w:val="000000"/>
        </w:rPr>
        <w:t xml:space="preserve">controlled primarily by managing fishing effort; including restricting how </w:t>
      </w:r>
      <w:r w:rsidR="00E4160F">
        <w:rPr>
          <w:color w:val="000000"/>
        </w:rPr>
        <w:t xml:space="preserve">much gear </w:t>
      </w:r>
      <w:r w:rsidR="00B7396B">
        <w:rPr>
          <w:color w:val="000000"/>
        </w:rPr>
        <w:t xml:space="preserve">(effort) </w:t>
      </w:r>
      <w:r w:rsidR="00E4160F">
        <w:rPr>
          <w:color w:val="000000"/>
        </w:rPr>
        <w:t xml:space="preserve">can be used </w:t>
      </w:r>
      <w:proofErr w:type="gramStart"/>
      <w:r w:rsidR="00CA1F6A">
        <w:rPr>
          <w:color w:val="000000"/>
        </w:rPr>
        <w:t xml:space="preserve">in </w:t>
      </w:r>
      <w:r w:rsidR="00DC0C24" w:rsidRPr="0046064A">
        <w:rPr>
          <w:color w:val="000000"/>
        </w:rPr>
        <w:t>the area of</w:t>
      </w:r>
      <w:proofErr w:type="gramEnd"/>
      <w:r w:rsidR="00DC0C24" w:rsidRPr="0046064A">
        <w:rPr>
          <w:color w:val="000000"/>
        </w:rPr>
        <w:t xml:space="preserve"> the fishery and </w:t>
      </w:r>
      <w:r w:rsidR="00E4160F">
        <w:rPr>
          <w:color w:val="000000"/>
        </w:rPr>
        <w:t xml:space="preserve">type of </w:t>
      </w:r>
      <w:r w:rsidR="00DC0C24" w:rsidRPr="0046064A">
        <w:rPr>
          <w:color w:val="000000"/>
        </w:rPr>
        <w:t xml:space="preserve">gear </w:t>
      </w:r>
      <w:r w:rsidR="00E4160F">
        <w:rPr>
          <w:color w:val="000000"/>
        </w:rPr>
        <w:t xml:space="preserve">that </w:t>
      </w:r>
      <w:r w:rsidR="00DC0C24" w:rsidRPr="0046064A">
        <w:rPr>
          <w:color w:val="000000"/>
        </w:rPr>
        <w:t>can be used.</w:t>
      </w:r>
      <w:r w:rsidR="007A0E1D" w:rsidRPr="0046064A">
        <w:rPr>
          <w:color w:val="000000"/>
        </w:rPr>
        <w:t xml:space="preserve"> </w:t>
      </w:r>
    </w:p>
    <w:p w14:paraId="1A17AD47" w14:textId="29437DBC" w:rsidR="00DB5652" w:rsidRPr="00A25D83" w:rsidRDefault="00EE512D" w:rsidP="00DB5652">
      <w:pPr>
        <w:tabs>
          <w:tab w:val="left" w:pos="284"/>
          <w:tab w:val="left" w:pos="567"/>
          <w:tab w:val="left" w:pos="851"/>
        </w:tabs>
        <w:spacing w:before="120"/>
        <w:jc w:val="both"/>
        <w:rPr>
          <w:rFonts w:eastAsia="Times" w:cstheme="minorHAnsi"/>
          <w:color w:val="000000"/>
          <w:szCs w:val="20"/>
        </w:rPr>
      </w:pPr>
      <w:r w:rsidRPr="00A25D83">
        <w:rPr>
          <w:rFonts w:cstheme="minorHAnsi"/>
          <w:color w:val="000000"/>
        </w:rPr>
        <w:t xml:space="preserve">Prior to the start of the SSJF fishing year (1 January each year), the AFMA Commission determines the TAE as the total number of jig machines that can operate in the fishery. In setting the TAE, the AFMA Commission considers advice from </w:t>
      </w:r>
      <w:proofErr w:type="spellStart"/>
      <w:r w:rsidRPr="00A25D83">
        <w:rPr>
          <w:rFonts w:cstheme="minorHAnsi"/>
          <w:color w:val="000000"/>
        </w:rPr>
        <w:t>SquidRAG</w:t>
      </w:r>
      <w:proofErr w:type="spellEnd"/>
      <w:r w:rsidRPr="00A25D83">
        <w:rPr>
          <w:rFonts w:cstheme="minorHAnsi"/>
          <w:color w:val="000000"/>
        </w:rPr>
        <w:t xml:space="preserve"> and SEMAC</w:t>
      </w:r>
      <w:r w:rsidR="00CC1197" w:rsidRPr="0046064A">
        <w:rPr>
          <w:color w:val="000000"/>
        </w:rPr>
        <w:t xml:space="preserve">. </w:t>
      </w:r>
      <w:r w:rsidR="00C12BF3" w:rsidRPr="00A25D83">
        <w:rPr>
          <w:rFonts w:eastAsia="Times" w:cstheme="minorHAnsi"/>
          <w:color w:val="000000"/>
          <w:szCs w:val="20"/>
        </w:rPr>
        <w:t>Statutory Fishing Right (SFR) owners are notified of the TAE prior to the commencement of each SSJF Fishing Year. For the 2025 fishing year, the TAE is 550 standard squid jigging machines.</w:t>
      </w:r>
    </w:p>
    <w:p w14:paraId="3AF49BBC" w14:textId="053920DA" w:rsidR="008D065B" w:rsidRPr="0046064A" w:rsidRDefault="00831A30" w:rsidP="009E63ED">
      <w:pPr>
        <w:rPr>
          <w:color w:val="000000"/>
        </w:rPr>
      </w:pPr>
      <w:r w:rsidRPr="0046064A">
        <w:rPr>
          <w:color w:val="000000"/>
        </w:rPr>
        <w:t>All catches are monitored and managed in accordance with the SSJF</w:t>
      </w:r>
      <w:r w:rsidR="006C1F73" w:rsidRPr="0046064A">
        <w:rPr>
          <w:color w:val="000000"/>
        </w:rPr>
        <w:t xml:space="preserve"> Harvest Strategy</w:t>
      </w:r>
      <w:r w:rsidR="00333A40" w:rsidRPr="0046064A">
        <w:rPr>
          <w:color w:val="000000"/>
        </w:rPr>
        <w:t xml:space="preserve"> </w:t>
      </w:r>
      <w:r w:rsidR="00B94711" w:rsidRPr="0046064A">
        <w:rPr>
          <w:color w:val="000000"/>
        </w:rPr>
        <w:t>using</w:t>
      </w:r>
      <w:r w:rsidR="0008046D" w:rsidRPr="0046064A">
        <w:rPr>
          <w:color w:val="000000"/>
        </w:rPr>
        <w:t xml:space="preserve"> </w:t>
      </w:r>
      <w:r w:rsidR="00AB34B8" w:rsidRPr="0046064A">
        <w:rPr>
          <w:color w:val="000000"/>
        </w:rPr>
        <w:t>within</w:t>
      </w:r>
      <w:r w:rsidR="006C1F73" w:rsidRPr="0046064A">
        <w:rPr>
          <w:color w:val="000000"/>
        </w:rPr>
        <w:t xml:space="preserve">-season monitoring against catch and effort triggers </w:t>
      </w:r>
      <w:r w:rsidR="00AB34B8" w:rsidRPr="0046064A">
        <w:rPr>
          <w:color w:val="000000"/>
        </w:rPr>
        <w:t>informed by hist</w:t>
      </w:r>
      <w:r w:rsidR="00656FB3" w:rsidRPr="0046064A">
        <w:rPr>
          <w:color w:val="000000"/>
        </w:rPr>
        <w:t xml:space="preserve">orical </w:t>
      </w:r>
      <w:r w:rsidR="006C1F73" w:rsidRPr="0046064A">
        <w:rPr>
          <w:color w:val="000000"/>
        </w:rPr>
        <w:t xml:space="preserve">catch and effort levels. </w:t>
      </w:r>
      <w:proofErr w:type="gramStart"/>
      <w:r w:rsidR="006C1F73" w:rsidRPr="0046064A">
        <w:rPr>
          <w:color w:val="000000"/>
        </w:rPr>
        <w:t>In the even</w:t>
      </w:r>
      <w:r w:rsidR="006D3A08" w:rsidRPr="0046064A">
        <w:rPr>
          <w:color w:val="000000"/>
        </w:rPr>
        <w:t>t</w:t>
      </w:r>
      <w:r w:rsidR="006C1F73" w:rsidRPr="0046064A">
        <w:rPr>
          <w:color w:val="000000"/>
        </w:rPr>
        <w:t xml:space="preserve"> that</w:t>
      </w:r>
      <w:proofErr w:type="gramEnd"/>
      <w:r w:rsidR="006C1F73" w:rsidRPr="0046064A">
        <w:rPr>
          <w:color w:val="000000"/>
        </w:rPr>
        <w:t xml:space="preserve"> </w:t>
      </w:r>
      <w:proofErr w:type="gramStart"/>
      <w:r w:rsidR="006C1F73" w:rsidRPr="0046064A">
        <w:rPr>
          <w:color w:val="000000"/>
        </w:rPr>
        <w:t>catch</w:t>
      </w:r>
      <w:proofErr w:type="gramEnd"/>
      <w:r w:rsidR="006C1F73" w:rsidRPr="0046064A">
        <w:rPr>
          <w:color w:val="000000"/>
        </w:rPr>
        <w:t xml:space="preserve"> and effort exceed the triggers, advice will be provided by </w:t>
      </w:r>
      <w:proofErr w:type="spellStart"/>
      <w:r w:rsidR="006C1F73" w:rsidRPr="0046064A">
        <w:rPr>
          <w:color w:val="000000"/>
        </w:rPr>
        <w:t>SquidRAG</w:t>
      </w:r>
      <w:proofErr w:type="spellEnd"/>
      <w:r w:rsidR="006C1F73" w:rsidRPr="0046064A">
        <w:rPr>
          <w:color w:val="000000"/>
        </w:rPr>
        <w:t xml:space="preserve"> on an appropriate management response (i.e. the need for a stock assessment o</w:t>
      </w:r>
      <w:r w:rsidR="00C82CB6" w:rsidRPr="0046064A">
        <w:rPr>
          <w:color w:val="000000"/>
        </w:rPr>
        <w:t>r a</w:t>
      </w:r>
      <w:r w:rsidR="006C1F73" w:rsidRPr="0046064A">
        <w:rPr>
          <w:color w:val="000000"/>
        </w:rPr>
        <w:t xml:space="preserve"> review of management arrangements).</w:t>
      </w:r>
    </w:p>
    <w:p w14:paraId="1C89365A" w14:textId="4D37795F" w:rsidR="00CA75CE" w:rsidRPr="00F45E06" w:rsidRDefault="00CA75CE" w:rsidP="001A225A">
      <w:pPr>
        <w:rPr>
          <w:color w:val="000000" w:themeColor="text1"/>
        </w:rPr>
      </w:pPr>
    </w:p>
    <w:p w14:paraId="61E406F7" w14:textId="4633B810" w:rsidR="00406C7E" w:rsidRPr="00AB7DB7" w:rsidRDefault="004944FD" w:rsidP="00B63B90">
      <w:pPr>
        <w:pStyle w:val="Heading2"/>
        <w:ind w:left="0"/>
      </w:pPr>
      <w:bookmarkStart w:id="15" w:name="_Toc210975447"/>
      <w:r w:rsidRPr="00AB7DB7">
        <w:t xml:space="preserve">Harvest </w:t>
      </w:r>
      <w:r w:rsidR="00445DEF" w:rsidRPr="00AB7DB7">
        <w:t>s</w:t>
      </w:r>
      <w:r w:rsidRPr="00AB7DB7">
        <w:t>trategy</w:t>
      </w:r>
      <w:bookmarkEnd w:id="15"/>
    </w:p>
    <w:p w14:paraId="292AA154" w14:textId="1057B6E5" w:rsidR="008B74CF" w:rsidRDefault="008128C9" w:rsidP="001F130A">
      <w:pPr>
        <w:rPr>
          <w:color w:val="000000"/>
        </w:rPr>
      </w:pPr>
      <w:r w:rsidRPr="008128C9">
        <w:rPr>
          <w:color w:val="000000"/>
        </w:rPr>
        <w:t>The</w:t>
      </w:r>
      <w:r w:rsidR="00C15BA9">
        <w:rPr>
          <w:color w:val="000000"/>
        </w:rPr>
        <w:t xml:space="preserve"> </w:t>
      </w:r>
      <w:r w:rsidR="008A51CA">
        <w:rPr>
          <w:color w:val="000000"/>
        </w:rPr>
        <w:t xml:space="preserve">SSJF is </w:t>
      </w:r>
      <w:r w:rsidR="000A39F1">
        <w:rPr>
          <w:color w:val="000000"/>
        </w:rPr>
        <w:t xml:space="preserve">subject to </w:t>
      </w:r>
      <w:r w:rsidR="008A51CA">
        <w:rPr>
          <w:color w:val="000000"/>
        </w:rPr>
        <w:t>manage</w:t>
      </w:r>
      <w:r w:rsidR="00255530">
        <w:rPr>
          <w:color w:val="000000"/>
        </w:rPr>
        <w:t>ment arrangements specified</w:t>
      </w:r>
      <w:r w:rsidR="008A51CA">
        <w:rPr>
          <w:color w:val="000000"/>
        </w:rPr>
        <w:t xml:space="preserve"> in the</w:t>
      </w:r>
      <w:hyperlink r:id="rId34" w:anchor="referenced-section-9" w:history="1">
        <w:r w:rsidR="008A51CA">
          <w:rPr>
            <w:rStyle w:val="Hyperlink"/>
          </w:rPr>
          <w:t xml:space="preserve"> Southern Squid Jig Fishery Harvest Strategy 2022</w:t>
        </w:r>
      </w:hyperlink>
      <w:r w:rsidR="008E672F">
        <w:rPr>
          <w:color w:val="000000"/>
        </w:rPr>
        <w:t xml:space="preserve"> (</w:t>
      </w:r>
      <w:r w:rsidR="00A223FA">
        <w:rPr>
          <w:color w:val="000000"/>
        </w:rPr>
        <w:t>the Harvest Strategy)</w:t>
      </w:r>
      <w:r w:rsidR="00B1199C">
        <w:rPr>
          <w:color w:val="000000"/>
        </w:rPr>
        <w:t>.</w:t>
      </w:r>
      <w:r w:rsidR="00580CCB">
        <w:rPr>
          <w:color w:val="000000"/>
        </w:rPr>
        <w:t xml:space="preserve"> </w:t>
      </w:r>
      <w:r w:rsidR="00B1199C">
        <w:rPr>
          <w:color w:val="000000"/>
        </w:rPr>
        <w:t xml:space="preserve">The </w:t>
      </w:r>
      <w:r w:rsidR="0085185D">
        <w:rPr>
          <w:color w:val="000000"/>
        </w:rPr>
        <w:t xml:space="preserve">Harvest Strategy </w:t>
      </w:r>
      <w:r w:rsidR="008A2628">
        <w:rPr>
          <w:color w:val="000000"/>
        </w:rPr>
        <w:t>specifies</w:t>
      </w:r>
      <w:r w:rsidR="009E7D7E">
        <w:rPr>
          <w:color w:val="000000"/>
        </w:rPr>
        <w:t xml:space="preserve"> </w:t>
      </w:r>
      <w:r w:rsidR="009F432B">
        <w:rPr>
          <w:color w:val="000000"/>
        </w:rPr>
        <w:t>process</w:t>
      </w:r>
      <w:r w:rsidR="0085185D">
        <w:rPr>
          <w:color w:val="000000"/>
        </w:rPr>
        <w:t>es</w:t>
      </w:r>
      <w:r w:rsidR="00C5437D">
        <w:rPr>
          <w:color w:val="000000"/>
        </w:rPr>
        <w:t xml:space="preserve"> for monitoring and conducting assessments of the </w:t>
      </w:r>
      <w:r w:rsidR="0062799F">
        <w:rPr>
          <w:color w:val="000000"/>
        </w:rPr>
        <w:t>biological and economic conditions of the fishery.</w:t>
      </w:r>
      <w:r w:rsidR="000D2BC4">
        <w:rPr>
          <w:color w:val="000000"/>
        </w:rPr>
        <w:t xml:space="preserve"> The Harvest Strategy </w:t>
      </w:r>
      <w:r w:rsidR="006C3244" w:rsidRPr="006C3244">
        <w:rPr>
          <w:color w:val="000000"/>
        </w:rPr>
        <w:t>covers the SSJF as well as sectors of the SESSF and other fisheries that may take Gould’s squid in the Australian Fishing Zone.</w:t>
      </w:r>
    </w:p>
    <w:p w14:paraId="26F1BBE0" w14:textId="390F1BA0" w:rsidR="00277BEE" w:rsidRPr="0079226B" w:rsidRDefault="00277BEE" w:rsidP="001F484D">
      <w:pPr>
        <w:tabs>
          <w:tab w:val="left" w:pos="284"/>
          <w:tab w:val="left" w:pos="567"/>
          <w:tab w:val="left" w:pos="851"/>
        </w:tabs>
        <w:spacing w:before="120"/>
        <w:jc w:val="both"/>
        <w:rPr>
          <w:rFonts w:eastAsia="Times" w:cstheme="minorHAnsi"/>
          <w:color w:val="333333"/>
        </w:rPr>
      </w:pPr>
      <w:r w:rsidRPr="0079226B">
        <w:rPr>
          <w:rFonts w:eastAsia="Times" w:cstheme="minorHAnsi"/>
          <w:color w:val="333333"/>
        </w:rPr>
        <w:t xml:space="preserve">The SSJF Harvest Strategy uses a system of within-season monitoring against catch triggers for the SSJF and the Commonwealth Trawl Sector (CTS) and Great Australian Bight Trawl Sector (GABTS) of Southern and Eastern </w:t>
      </w:r>
      <w:proofErr w:type="spellStart"/>
      <w:r w:rsidRPr="0079226B">
        <w:rPr>
          <w:rFonts w:eastAsia="Times" w:cstheme="minorHAnsi"/>
          <w:color w:val="333333"/>
        </w:rPr>
        <w:t>Scalefish</w:t>
      </w:r>
      <w:proofErr w:type="spellEnd"/>
      <w:r w:rsidRPr="0079226B">
        <w:rPr>
          <w:rFonts w:eastAsia="Times" w:cstheme="minorHAnsi"/>
          <w:color w:val="333333"/>
        </w:rPr>
        <w:t xml:space="preserve"> and Shark Fishery</w:t>
      </w:r>
      <w:r>
        <w:rPr>
          <w:rFonts w:eastAsia="Times" w:cstheme="minorHAnsi"/>
          <w:color w:val="333333"/>
        </w:rPr>
        <w:t xml:space="preserve"> (SESSF)</w:t>
      </w:r>
      <w:r w:rsidRPr="0079226B">
        <w:rPr>
          <w:rFonts w:eastAsia="Times" w:cstheme="minorHAnsi"/>
          <w:color w:val="333333"/>
        </w:rPr>
        <w:t>. The triggers are categorised as combined (</w:t>
      </w:r>
      <w:r>
        <w:rPr>
          <w:rFonts w:eastAsia="Times" w:cstheme="minorHAnsi"/>
          <w:color w:val="333333"/>
        </w:rPr>
        <w:t>t</w:t>
      </w:r>
      <w:r w:rsidRPr="0079226B">
        <w:rPr>
          <w:rFonts w:eastAsia="Times" w:cstheme="minorHAnsi"/>
          <w:color w:val="333333"/>
        </w:rPr>
        <w:t xml:space="preserve">rawl </w:t>
      </w:r>
      <w:r>
        <w:rPr>
          <w:rFonts w:eastAsia="Times" w:cstheme="minorHAnsi"/>
          <w:color w:val="333333"/>
        </w:rPr>
        <w:t>s</w:t>
      </w:r>
      <w:r w:rsidRPr="0079226B">
        <w:rPr>
          <w:rFonts w:eastAsia="Times" w:cstheme="minorHAnsi"/>
          <w:color w:val="333333"/>
        </w:rPr>
        <w:t xml:space="preserve">ectors and SSJF) and then individual triggers for the SSJF and the trawl sectors, as follows: </w:t>
      </w:r>
    </w:p>
    <w:p w14:paraId="22C15040" w14:textId="77777777" w:rsidR="00277BEE" w:rsidRPr="0079226B" w:rsidRDefault="00277BEE" w:rsidP="00277BEE">
      <w:pPr>
        <w:tabs>
          <w:tab w:val="left" w:pos="284"/>
          <w:tab w:val="left" w:pos="567"/>
          <w:tab w:val="left" w:pos="851"/>
        </w:tabs>
        <w:jc w:val="both"/>
        <w:rPr>
          <w:rFonts w:eastAsia="Times" w:cstheme="minorHAnsi"/>
          <w:b/>
          <w:color w:val="333333"/>
        </w:rPr>
      </w:pPr>
      <w:r w:rsidRPr="0079226B">
        <w:rPr>
          <w:rFonts w:eastAsia="Times" w:cstheme="minorHAnsi"/>
          <w:b/>
          <w:color w:val="333333"/>
        </w:rPr>
        <w:t xml:space="preserve">Annual Combined trigger (all methods) </w:t>
      </w:r>
    </w:p>
    <w:p w14:paraId="6D3072DA" w14:textId="4BD96A66" w:rsidR="00277BEE" w:rsidRPr="0079226B" w:rsidRDefault="00277BEE" w:rsidP="00277BEE">
      <w:pPr>
        <w:pStyle w:val="ListParagraph"/>
        <w:numPr>
          <w:ilvl w:val="0"/>
          <w:numId w:val="24"/>
        </w:numPr>
        <w:tabs>
          <w:tab w:val="left" w:pos="284"/>
          <w:tab w:val="left" w:pos="567"/>
          <w:tab w:val="left" w:pos="851"/>
        </w:tabs>
        <w:ind w:left="714" w:hanging="357"/>
        <w:contextualSpacing w:val="0"/>
        <w:jc w:val="both"/>
        <w:rPr>
          <w:rFonts w:eastAsia="Times" w:cstheme="minorHAnsi"/>
          <w:color w:val="333333"/>
        </w:rPr>
      </w:pPr>
      <w:r w:rsidRPr="0079226B">
        <w:rPr>
          <w:rFonts w:eastAsia="Times" w:cstheme="minorHAnsi"/>
          <w:color w:val="333333"/>
        </w:rPr>
        <w:t>Intermediate trigger – 4,000 tonnes</w:t>
      </w:r>
    </w:p>
    <w:p w14:paraId="76B2F999" w14:textId="77777777" w:rsidR="00277BEE" w:rsidRPr="0079226B" w:rsidRDefault="00277BEE" w:rsidP="00277BEE">
      <w:pPr>
        <w:pStyle w:val="ListParagraph"/>
        <w:numPr>
          <w:ilvl w:val="0"/>
          <w:numId w:val="24"/>
        </w:numPr>
        <w:tabs>
          <w:tab w:val="left" w:pos="284"/>
          <w:tab w:val="left" w:pos="567"/>
          <w:tab w:val="left" w:pos="851"/>
        </w:tabs>
        <w:ind w:left="714" w:hanging="357"/>
        <w:contextualSpacing w:val="0"/>
        <w:jc w:val="both"/>
        <w:rPr>
          <w:rFonts w:eastAsia="Times" w:cstheme="minorHAnsi"/>
          <w:color w:val="333333"/>
        </w:rPr>
      </w:pPr>
      <w:r w:rsidRPr="0079226B">
        <w:rPr>
          <w:rFonts w:eastAsia="Times" w:cstheme="minorHAnsi"/>
          <w:color w:val="333333"/>
        </w:rPr>
        <w:t xml:space="preserve">Limit trigger – 6,000 tonnes </w:t>
      </w:r>
    </w:p>
    <w:p w14:paraId="4B1E4BB5" w14:textId="77777777" w:rsidR="00277BEE" w:rsidRPr="0079226B" w:rsidRDefault="00277BEE" w:rsidP="00277BEE">
      <w:pPr>
        <w:tabs>
          <w:tab w:val="left" w:pos="284"/>
          <w:tab w:val="left" w:pos="567"/>
          <w:tab w:val="left" w:pos="851"/>
        </w:tabs>
        <w:jc w:val="both"/>
        <w:rPr>
          <w:rFonts w:eastAsia="Times" w:cstheme="minorHAnsi"/>
          <w:b/>
          <w:color w:val="333333"/>
        </w:rPr>
      </w:pPr>
      <w:r w:rsidRPr="0079226B">
        <w:rPr>
          <w:rFonts w:eastAsia="Times" w:cstheme="minorHAnsi"/>
          <w:b/>
          <w:color w:val="333333"/>
        </w:rPr>
        <w:t>SSJF triggers (jig only)</w:t>
      </w:r>
    </w:p>
    <w:p w14:paraId="644B3299" w14:textId="77777777" w:rsidR="00277BEE" w:rsidRDefault="00277BEE" w:rsidP="00277BEE">
      <w:pPr>
        <w:pStyle w:val="ListParagraph"/>
        <w:numPr>
          <w:ilvl w:val="0"/>
          <w:numId w:val="25"/>
        </w:numPr>
        <w:tabs>
          <w:tab w:val="left" w:pos="284"/>
          <w:tab w:val="left" w:pos="567"/>
          <w:tab w:val="left" w:pos="851"/>
        </w:tabs>
        <w:ind w:left="714" w:hanging="357"/>
        <w:contextualSpacing w:val="0"/>
        <w:jc w:val="both"/>
        <w:rPr>
          <w:rFonts w:eastAsia="Times" w:cstheme="minorHAnsi"/>
          <w:color w:val="333333"/>
        </w:rPr>
      </w:pPr>
      <w:r w:rsidRPr="00B159E2">
        <w:rPr>
          <w:rFonts w:cstheme="minorHAnsi"/>
          <w:color w:val="333333"/>
        </w:rPr>
        <w:t xml:space="preserve">Lower catch and </w:t>
      </w:r>
      <w:r>
        <w:rPr>
          <w:rFonts w:cstheme="minorHAnsi"/>
          <w:color w:val="333333"/>
        </w:rPr>
        <w:t>e</w:t>
      </w:r>
      <w:r w:rsidRPr="00B159E2">
        <w:rPr>
          <w:rFonts w:cstheme="minorHAnsi"/>
          <w:color w:val="333333"/>
        </w:rPr>
        <w:t>ffort trigger</w:t>
      </w:r>
      <w:r>
        <w:rPr>
          <w:rFonts w:cstheme="minorHAnsi"/>
          <w:color w:val="333333"/>
        </w:rPr>
        <w:t xml:space="preserve"> (end of year)</w:t>
      </w:r>
      <w:r w:rsidRPr="00B159E2">
        <w:rPr>
          <w:rFonts w:cstheme="minorHAnsi"/>
          <w:color w:val="333333"/>
        </w:rPr>
        <w:t xml:space="preserve"> - 360 t (total catch by SSJF) and/or 213 days (total days fished by SSJF</w:t>
      </w:r>
      <w:r w:rsidRPr="0079226B">
        <w:rPr>
          <w:rFonts w:eastAsia="Times" w:cstheme="minorHAnsi"/>
          <w:color w:val="333333"/>
        </w:rPr>
        <w:t xml:space="preserve"> </w:t>
      </w:r>
    </w:p>
    <w:p w14:paraId="33E0FB3D" w14:textId="77777777" w:rsidR="00277BEE" w:rsidRPr="0079226B" w:rsidRDefault="00277BEE" w:rsidP="00277BEE">
      <w:pPr>
        <w:pStyle w:val="ListParagraph"/>
        <w:numPr>
          <w:ilvl w:val="0"/>
          <w:numId w:val="25"/>
        </w:numPr>
        <w:tabs>
          <w:tab w:val="left" w:pos="284"/>
          <w:tab w:val="left" w:pos="567"/>
          <w:tab w:val="left" w:pos="851"/>
        </w:tabs>
        <w:ind w:left="714" w:hanging="357"/>
        <w:contextualSpacing w:val="0"/>
        <w:jc w:val="both"/>
        <w:rPr>
          <w:rFonts w:eastAsia="Times" w:cstheme="minorHAnsi"/>
          <w:color w:val="333333"/>
        </w:rPr>
      </w:pPr>
      <w:r w:rsidRPr="0079226B">
        <w:rPr>
          <w:rFonts w:eastAsia="Times" w:cstheme="minorHAnsi"/>
          <w:color w:val="333333"/>
        </w:rPr>
        <w:t xml:space="preserve">SSJF intermediate trigger – 3,000 tonnes </w:t>
      </w:r>
    </w:p>
    <w:p w14:paraId="59131CF7" w14:textId="77777777" w:rsidR="00277BEE" w:rsidRPr="0079226B" w:rsidRDefault="00277BEE" w:rsidP="00277BEE">
      <w:pPr>
        <w:pStyle w:val="ListParagraph"/>
        <w:numPr>
          <w:ilvl w:val="0"/>
          <w:numId w:val="25"/>
        </w:numPr>
        <w:tabs>
          <w:tab w:val="left" w:pos="284"/>
          <w:tab w:val="left" w:pos="567"/>
          <w:tab w:val="left" w:pos="851"/>
        </w:tabs>
        <w:ind w:left="714" w:hanging="357"/>
        <w:contextualSpacing w:val="0"/>
        <w:jc w:val="both"/>
        <w:rPr>
          <w:rFonts w:eastAsia="Times" w:cstheme="minorHAnsi"/>
          <w:color w:val="333333"/>
        </w:rPr>
      </w:pPr>
      <w:r w:rsidRPr="0079226B">
        <w:rPr>
          <w:rFonts w:eastAsia="Times" w:cstheme="minorHAnsi"/>
          <w:color w:val="333333"/>
        </w:rPr>
        <w:t>SSJF limit trigger – 5,000 tonnes</w:t>
      </w:r>
    </w:p>
    <w:p w14:paraId="4D4B0659" w14:textId="77777777" w:rsidR="00277BEE" w:rsidRPr="0079226B" w:rsidRDefault="00277BEE" w:rsidP="00277BEE">
      <w:pPr>
        <w:tabs>
          <w:tab w:val="left" w:pos="284"/>
          <w:tab w:val="left" w:pos="567"/>
          <w:tab w:val="left" w:pos="851"/>
        </w:tabs>
        <w:jc w:val="both"/>
        <w:rPr>
          <w:rFonts w:eastAsia="Times" w:cstheme="minorHAnsi"/>
          <w:b/>
          <w:color w:val="333333"/>
        </w:rPr>
      </w:pPr>
      <w:r w:rsidRPr="0079226B">
        <w:rPr>
          <w:rFonts w:eastAsia="Times" w:cstheme="minorHAnsi"/>
          <w:b/>
          <w:color w:val="333333"/>
        </w:rPr>
        <w:t>Combined trawl trigger (all trawl methods)</w:t>
      </w:r>
    </w:p>
    <w:p w14:paraId="523F5D45" w14:textId="77777777" w:rsidR="00277BEE" w:rsidRPr="0079226B" w:rsidRDefault="00277BEE" w:rsidP="00277BEE">
      <w:pPr>
        <w:pStyle w:val="ListParagraph"/>
        <w:numPr>
          <w:ilvl w:val="0"/>
          <w:numId w:val="26"/>
        </w:numPr>
        <w:tabs>
          <w:tab w:val="left" w:pos="284"/>
          <w:tab w:val="left" w:pos="567"/>
          <w:tab w:val="left" w:pos="851"/>
        </w:tabs>
        <w:jc w:val="both"/>
        <w:rPr>
          <w:rFonts w:eastAsia="Times" w:cstheme="minorHAnsi"/>
          <w:color w:val="333333"/>
        </w:rPr>
      </w:pPr>
      <w:r w:rsidRPr="0079226B">
        <w:rPr>
          <w:rFonts w:eastAsia="Times" w:cstheme="minorHAnsi"/>
          <w:color w:val="333333"/>
        </w:rPr>
        <w:t>Limit trigger – 2,000 tonnes</w:t>
      </w:r>
    </w:p>
    <w:p w14:paraId="63EA1135" w14:textId="77777777" w:rsidR="00277BEE" w:rsidRDefault="00277BEE" w:rsidP="00277BEE">
      <w:pPr>
        <w:tabs>
          <w:tab w:val="left" w:pos="284"/>
          <w:tab w:val="left" w:pos="567"/>
          <w:tab w:val="left" w:pos="851"/>
        </w:tabs>
        <w:jc w:val="both"/>
        <w:rPr>
          <w:rFonts w:eastAsia="Times" w:cstheme="minorHAnsi"/>
          <w:color w:val="333333"/>
        </w:rPr>
      </w:pPr>
      <w:r w:rsidRPr="0079226B">
        <w:rPr>
          <w:rFonts w:eastAsia="Times" w:cstheme="minorHAnsi"/>
          <w:color w:val="333333"/>
        </w:rPr>
        <w:lastRenderedPageBreak/>
        <w:t>The combined intermediate catch trigger (4</w:t>
      </w:r>
      <w:r>
        <w:rPr>
          <w:rFonts w:eastAsia="Times" w:cstheme="minorHAnsi"/>
          <w:color w:val="333333"/>
        </w:rPr>
        <w:t>,</w:t>
      </w:r>
      <w:r w:rsidRPr="0079226B">
        <w:rPr>
          <w:rFonts w:eastAsia="Times" w:cstheme="minorHAnsi"/>
          <w:color w:val="333333"/>
        </w:rPr>
        <w:t>000 tonne</w:t>
      </w:r>
      <w:r>
        <w:rPr>
          <w:rFonts w:eastAsia="Times" w:cstheme="minorHAnsi"/>
          <w:color w:val="333333"/>
        </w:rPr>
        <w:t>s</w:t>
      </w:r>
      <w:r w:rsidRPr="0079226B">
        <w:rPr>
          <w:rFonts w:eastAsia="Times" w:cstheme="minorHAnsi"/>
          <w:color w:val="333333"/>
        </w:rPr>
        <w:t xml:space="preserve">) equates to half the highest historic annual catch by squid fishing </w:t>
      </w:r>
      <w:r>
        <w:rPr>
          <w:rFonts w:eastAsia="Times" w:cstheme="minorHAnsi"/>
          <w:color w:val="333333"/>
        </w:rPr>
        <w:t>boat</w:t>
      </w:r>
      <w:r w:rsidRPr="0079226B">
        <w:rPr>
          <w:rFonts w:eastAsia="Times" w:cstheme="minorHAnsi"/>
          <w:color w:val="333333"/>
        </w:rPr>
        <w:t xml:space="preserve">s off southern Australia. There is also an additional effort trigger of 30 ‘standard </w:t>
      </w:r>
      <w:r>
        <w:rPr>
          <w:rFonts w:eastAsia="Times" w:cstheme="minorHAnsi"/>
          <w:color w:val="333333"/>
        </w:rPr>
        <w:t>boats</w:t>
      </w:r>
      <w:r w:rsidRPr="0079226B">
        <w:rPr>
          <w:rFonts w:eastAsia="Times" w:cstheme="minorHAnsi"/>
          <w:color w:val="333333"/>
        </w:rPr>
        <w:t xml:space="preserve">’ (defined as a </w:t>
      </w:r>
      <w:r>
        <w:rPr>
          <w:rFonts w:eastAsia="Times" w:cstheme="minorHAnsi"/>
          <w:color w:val="333333"/>
        </w:rPr>
        <w:t>boat</w:t>
      </w:r>
      <w:r w:rsidRPr="0079226B">
        <w:rPr>
          <w:rFonts w:eastAsia="Times" w:cstheme="minorHAnsi"/>
          <w:color w:val="333333"/>
        </w:rPr>
        <w:t xml:space="preserve"> carrying 10 standard squid jigging machines) operating in the fishery.</w:t>
      </w:r>
    </w:p>
    <w:p w14:paraId="25A302BC" w14:textId="77777777" w:rsidR="00277BEE" w:rsidRPr="00A41303" w:rsidRDefault="00277BEE" w:rsidP="00277BEE">
      <w:pPr>
        <w:jc w:val="both"/>
        <w:rPr>
          <w:rFonts w:cstheme="minorHAnsi"/>
          <w:color w:val="333333"/>
        </w:rPr>
      </w:pPr>
      <w:r w:rsidRPr="00A41303">
        <w:rPr>
          <w:rFonts w:cstheme="minorHAnsi"/>
          <w:color w:val="333333"/>
        </w:rPr>
        <w:t>If the lower catch and effort trigger is reached, a review of the available catch and effort data is required to ensure there are no risks associated with the increase in catch or effort. If any sustainability concerns are identified a management response will be considered which may include effort limits or investing in additional analysis.</w:t>
      </w:r>
    </w:p>
    <w:p w14:paraId="79ACB006" w14:textId="77777777" w:rsidR="00277BEE" w:rsidRPr="0079226B" w:rsidRDefault="00277BEE" w:rsidP="00277BEE">
      <w:pPr>
        <w:tabs>
          <w:tab w:val="left" w:pos="284"/>
          <w:tab w:val="left" w:pos="567"/>
          <w:tab w:val="left" w:pos="851"/>
        </w:tabs>
        <w:jc w:val="both"/>
        <w:rPr>
          <w:rFonts w:eastAsia="Times" w:cstheme="minorHAnsi"/>
          <w:color w:val="333333"/>
        </w:rPr>
      </w:pPr>
      <w:r w:rsidRPr="0079226B">
        <w:rPr>
          <w:rFonts w:eastAsia="Times" w:cstheme="minorHAnsi"/>
          <w:color w:val="333333"/>
        </w:rPr>
        <w:t xml:space="preserve">If any of the </w:t>
      </w:r>
      <w:r>
        <w:rPr>
          <w:rFonts w:eastAsia="Times" w:cstheme="minorHAnsi"/>
          <w:color w:val="333333"/>
        </w:rPr>
        <w:t xml:space="preserve">above </w:t>
      </w:r>
      <w:r w:rsidRPr="0079226B">
        <w:rPr>
          <w:rFonts w:eastAsia="Times" w:cstheme="minorHAnsi"/>
          <w:color w:val="333333"/>
        </w:rPr>
        <w:t xml:space="preserve">triggers are reached, a </w:t>
      </w:r>
      <w:proofErr w:type="spellStart"/>
      <w:r>
        <w:rPr>
          <w:rFonts w:eastAsia="Times" w:cstheme="minorHAnsi"/>
          <w:color w:val="333333"/>
        </w:rPr>
        <w:t>SquidRAG</w:t>
      </w:r>
      <w:proofErr w:type="spellEnd"/>
      <w:r w:rsidRPr="0079226B">
        <w:rPr>
          <w:rFonts w:eastAsia="Times" w:cstheme="minorHAnsi"/>
          <w:color w:val="333333"/>
        </w:rPr>
        <w:t xml:space="preserve"> meeting must be held and a depletion analysis undertaken to estimate the impact of fishing in that year. </w:t>
      </w:r>
    </w:p>
    <w:p w14:paraId="70E9CC30" w14:textId="77777777" w:rsidR="00277BEE" w:rsidRPr="0079226B" w:rsidRDefault="00277BEE" w:rsidP="00277BEE">
      <w:pPr>
        <w:tabs>
          <w:tab w:val="left" w:pos="284"/>
          <w:tab w:val="left" w:pos="567"/>
          <w:tab w:val="left" w:pos="851"/>
        </w:tabs>
        <w:jc w:val="both"/>
        <w:rPr>
          <w:rFonts w:eastAsia="Times" w:cstheme="minorHAnsi"/>
          <w:color w:val="333333"/>
        </w:rPr>
      </w:pPr>
      <w:r w:rsidRPr="0079226B">
        <w:rPr>
          <w:rFonts w:eastAsia="Times" w:cstheme="minorHAnsi"/>
          <w:color w:val="333333"/>
        </w:rPr>
        <w:t>At the intermediate catch triggers – 3</w:t>
      </w:r>
      <w:r>
        <w:rPr>
          <w:rFonts w:eastAsia="Times" w:cstheme="minorHAnsi"/>
          <w:color w:val="333333"/>
        </w:rPr>
        <w:t>,</w:t>
      </w:r>
      <w:r w:rsidRPr="0079226B">
        <w:rPr>
          <w:rFonts w:eastAsia="Times" w:cstheme="minorHAnsi"/>
          <w:color w:val="333333"/>
        </w:rPr>
        <w:t xml:space="preserve">000 tonnes for the SSJF or 4,000 tonnes for the SSJF and </w:t>
      </w:r>
      <w:r>
        <w:rPr>
          <w:rFonts w:eastAsia="Times" w:cstheme="minorHAnsi"/>
          <w:color w:val="333333"/>
        </w:rPr>
        <w:t>trawl sectors</w:t>
      </w:r>
      <w:r w:rsidRPr="0079226B">
        <w:rPr>
          <w:rFonts w:eastAsia="Times" w:cstheme="minorHAnsi"/>
          <w:color w:val="333333"/>
        </w:rPr>
        <w:t xml:space="preserve"> combined – if no impact is detected, then fishing can continue until the limit trigger is reached. If there is evidence of an impact to the stock, then a review of the sustainability of the fishery, and potentially a review of the triggers, is required. </w:t>
      </w:r>
    </w:p>
    <w:p w14:paraId="544B50F0" w14:textId="77777777" w:rsidR="00277BEE" w:rsidRPr="0079226B" w:rsidRDefault="00277BEE" w:rsidP="00277BEE">
      <w:pPr>
        <w:tabs>
          <w:tab w:val="left" w:pos="284"/>
          <w:tab w:val="left" w:pos="567"/>
          <w:tab w:val="left" w:pos="851"/>
        </w:tabs>
        <w:jc w:val="both"/>
        <w:rPr>
          <w:rFonts w:eastAsia="Times" w:cstheme="minorHAnsi"/>
          <w:color w:val="333333"/>
        </w:rPr>
      </w:pPr>
      <w:r w:rsidRPr="0079226B">
        <w:rPr>
          <w:rFonts w:eastAsia="Times" w:cstheme="minorHAnsi"/>
          <w:color w:val="333333"/>
        </w:rPr>
        <w:t>At the limit catch triggers – 5</w:t>
      </w:r>
      <w:r>
        <w:rPr>
          <w:rFonts w:eastAsia="Times" w:cstheme="minorHAnsi"/>
          <w:color w:val="333333"/>
        </w:rPr>
        <w:t>,</w:t>
      </w:r>
      <w:r w:rsidRPr="0079226B">
        <w:rPr>
          <w:rFonts w:eastAsia="Times" w:cstheme="minorHAnsi"/>
          <w:color w:val="333333"/>
        </w:rPr>
        <w:t>000 tonnes for SSJF or 6</w:t>
      </w:r>
      <w:r>
        <w:rPr>
          <w:rFonts w:eastAsia="Times" w:cstheme="minorHAnsi"/>
          <w:color w:val="333333"/>
        </w:rPr>
        <w:t>,</w:t>
      </w:r>
      <w:r w:rsidRPr="0079226B">
        <w:rPr>
          <w:rFonts w:eastAsia="Times" w:cstheme="minorHAnsi"/>
          <w:color w:val="333333"/>
        </w:rPr>
        <w:t>000 tonnes for the SS</w:t>
      </w:r>
      <w:r>
        <w:rPr>
          <w:rFonts w:eastAsia="Times" w:cstheme="minorHAnsi"/>
          <w:color w:val="333333"/>
        </w:rPr>
        <w:t>JF</w:t>
      </w:r>
      <w:r w:rsidRPr="0079226B">
        <w:rPr>
          <w:rFonts w:eastAsia="Times" w:cstheme="minorHAnsi"/>
          <w:color w:val="333333"/>
        </w:rPr>
        <w:t xml:space="preserve"> and trawl sectors combined – fishing should cease, and if no impact is detected, then fishing can continue provided additional real-time monitoring is implemented. If there is evidence of an impact on the stock, then the triggers should be revised and catch and effort in the fishery should not increase the following year unless the depletion analysis demonstrates it is sustainable</w:t>
      </w:r>
      <w:r>
        <w:rPr>
          <w:rFonts w:eastAsia="Times" w:cstheme="minorHAnsi"/>
          <w:color w:val="333333"/>
        </w:rPr>
        <w:t xml:space="preserve"> to do so</w:t>
      </w:r>
      <w:r w:rsidRPr="0079226B">
        <w:rPr>
          <w:rFonts w:eastAsia="Times" w:cstheme="minorHAnsi"/>
          <w:color w:val="333333"/>
        </w:rPr>
        <w:t>.</w:t>
      </w:r>
    </w:p>
    <w:p w14:paraId="54C2484B" w14:textId="32915C44" w:rsidR="0010746D" w:rsidRPr="003D1236" w:rsidRDefault="0010746D" w:rsidP="0010746D">
      <w:pPr>
        <w:jc w:val="both"/>
        <w:rPr>
          <w:b/>
          <w:bCs/>
          <w:iCs/>
        </w:rPr>
      </w:pPr>
      <w:r w:rsidRPr="003D1236">
        <w:rPr>
          <w:b/>
          <w:bCs/>
          <w:iCs/>
        </w:rPr>
        <w:t xml:space="preserve">Table </w:t>
      </w:r>
      <w:r w:rsidR="00466CA6" w:rsidRPr="003D1236">
        <w:rPr>
          <w:b/>
          <w:bCs/>
          <w:iCs/>
        </w:rPr>
        <w:t>2</w:t>
      </w:r>
      <w:r w:rsidRPr="003D1236">
        <w:rPr>
          <w:b/>
          <w:bCs/>
          <w:iCs/>
        </w:rPr>
        <w:t>. Harvest strategy control rules for Gould’s squid.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671"/>
        <w:gridCol w:w="5338"/>
      </w:tblGrid>
      <w:tr w:rsidR="0010746D" w:rsidRPr="00B5786E" w14:paraId="456511F1" w14:textId="77777777" w:rsidTr="002A4580">
        <w:trPr>
          <w:cantSplit/>
          <w:trHeight w:val="300"/>
          <w:tblHeader/>
        </w:trPr>
        <w:tc>
          <w:tcPr>
            <w:tcW w:w="2007" w:type="dxa"/>
            <w:shd w:val="clear" w:color="auto" w:fill="D9D9D9"/>
            <w:hideMark/>
          </w:tcPr>
          <w:p w14:paraId="3C5C374B" w14:textId="77777777" w:rsidR="0010746D" w:rsidRPr="001B1C64" w:rsidRDefault="0010746D" w:rsidP="002A4580">
            <w:pPr>
              <w:spacing w:before="60" w:after="60"/>
              <w:jc w:val="center"/>
              <w:rPr>
                <w:rFonts w:eastAsia="Calibri"/>
                <w:b/>
                <w:bCs/>
              </w:rPr>
            </w:pPr>
            <w:r w:rsidRPr="001B1C64">
              <w:rPr>
                <w:rFonts w:eastAsia="Calibri"/>
                <w:b/>
                <w:bCs/>
              </w:rPr>
              <w:t>Fishery</w:t>
            </w:r>
          </w:p>
        </w:tc>
        <w:tc>
          <w:tcPr>
            <w:tcW w:w="1671" w:type="dxa"/>
            <w:shd w:val="clear" w:color="auto" w:fill="D9D9D9"/>
            <w:hideMark/>
          </w:tcPr>
          <w:p w14:paraId="38C20E1D" w14:textId="77777777" w:rsidR="0010746D" w:rsidRPr="001B1C64" w:rsidRDefault="0010746D" w:rsidP="002A4580">
            <w:pPr>
              <w:spacing w:before="60" w:after="60"/>
              <w:jc w:val="center"/>
              <w:rPr>
                <w:rFonts w:eastAsia="Calibri"/>
                <w:b/>
                <w:bCs/>
              </w:rPr>
            </w:pPr>
            <w:r w:rsidRPr="001B1C64">
              <w:rPr>
                <w:rFonts w:eastAsia="Calibri"/>
                <w:b/>
                <w:bCs/>
              </w:rPr>
              <w:t>Trigger</w:t>
            </w:r>
          </w:p>
        </w:tc>
        <w:tc>
          <w:tcPr>
            <w:tcW w:w="5338" w:type="dxa"/>
            <w:shd w:val="clear" w:color="auto" w:fill="D9D9D9"/>
            <w:hideMark/>
          </w:tcPr>
          <w:p w14:paraId="07A44E86" w14:textId="77777777" w:rsidR="0010746D" w:rsidRPr="001B1C64" w:rsidRDefault="0010746D" w:rsidP="002A4580">
            <w:pPr>
              <w:spacing w:before="60" w:after="60"/>
              <w:jc w:val="both"/>
              <w:rPr>
                <w:rFonts w:eastAsia="Calibri"/>
                <w:b/>
                <w:bCs/>
              </w:rPr>
            </w:pPr>
            <w:r w:rsidRPr="001B1C64">
              <w:rPr>
                <w:rFonts w:eastAsia="Calibri"/>
                <w:b/>
                <w:bCs/>
              </w:rPr>
              <w:t>Control rule</w:t>
            </w:r>
            <w:r>
              <w:rPr>
                <w:rFonts w:eastAsia="Calibri"/>
                <w:b/>
                <w:bCs/>
              </w:rPr>
              <w:t>:</w:t>
            </w:r>
            <w:r w:rsidRPr="001B1C64">
              <w:rPr>
                <w:rFonts w:eastAsia="Calibri"/>
                <w:b/>
                <w:bCs/>
              </w:rPr>
              <w:t xml:space="preserve"> </w:t>
            </w:r>
            <w:r>
              <w:rPr>
                <w:rFonts w:eastAsia="Calibri"/>
                <w:b/>
                <w:bCs/>
              </w:rPr>
              <w:t>m</w:t>
            </w:r>
            <w:r w:rsidRPr="001B1C64">
              <w:rPr>
                <w:rFonts w:eastAsia="Calibri"/>
                <w:b/>
                <w:bCs/>
              </w:rPr>
              <w:t>anagement response</w:t>
            </w:r>
            <w:r>
              <w:rPr>
                <w:rFonts w:eastAsia="Calibri"/>
                <w:b/>
                <w:bCs/>
              </w:rPr>
              <w:t xml:space="preserve"> if trigger exceeded</w:t>
            </w:r>
          </w:p>
        </w:tc>
      </w:tr>
      <w:tr w:rsidR="0010746D" w:rsidRPr="00B5786E" w14:paraId="579AE435" w14:textId="77777777" w:rsidTr="002A4580">
        <w:trPr>
          <w:trHeight w:val="464"/>
        </w:trPr>
        <w:tc>
          <w:tcPr>
            <w:tcW w:w="2007" w:type="dxa"/>
            <w:vMerge w:val="restart"/>
            <w:vAlign w:val="center"/>
            <w:hideMark/>
          </w:tcPr>
          <w:p w14:paraId="516E2B48" w14:textId="77777777" w:rsidR="0010746D" w:rsidRPr="001B1C64" w:rsidRDefault="0010746D" w:rsidP="002A4580">
            <w:pPr>
              <w:spacing w:before="60" w:after="60"/>
              <w:jc w:val="center"/>
              <w:rPr>
                <w:rFonts w:eastAsia="Calibri"/>
              </w:rPr>
            </w:pPr>
            <w:r w:rsidRPr="001B1C64">
              <w:rPr>
                <w:rFonts w:eastAsia="Calibri"/>
              </w:rPr>
              <w:t>Jig fishery</w:t>
            </w:r>
          </w:p>
        </w:tc>
        <w:tc>
          <w:tcPr>
            <w:tcW w:w="1671" w:type="dxa"/>
            <w:vAlign w:val="center"/>
            <w:hideMark/>
          </w:tcPr>
          <w:p w14:paraId="0A7F561B" w14:textId="77777777" w:rsidR="0010746D" w:rsidRPr="001B1C64" w:rsidRDefault="0010746D" w:rsidP="002A4580">
            <w:pPr>
              <w:spacing w:before="60" w:after="60"/>
              <w:jc w:val="center"/>
              <w:rPr>
                <w:rFonts w:eastAsia="Calibri"/>
              </w:rPr>
            </w:pPr>
            <w:r w:rsidRPr="00B41B14">
              <w:rPr>
                <w:rFonts w:eastAsia="Calibri"/>
              </w:rPr>
              <w:t>360 t or 213 days (total days fished by SSJF</w:t>
            </w:r>
          </w:p>
        </w:tc>
        <w:tc>
          <w:tcPr>
            <w:tcW w:w="5338" w:type="dxa"/>
            <w:hideMark/>
          </w:tcPr>
          <w:p w14:paraId="52170154" w14:textId="77777777" w:rsidR="0010746D" w:rsidRPr="00026C2D" w:rsidRDefault="0010746D" w:rsidP="002A4580">
            <w:pPr>
              <w:jc w:val="both"/>
              <w:rPr>
                <w:rFonts w:cstheme="minorHAnsi"/>
                <w:color w:val="333333"/>
              </w:rPr>
            </w:pPr>
            <w:r>
              <w:rPr>
                <w:rFonts w:cstheme="minorHAnsi"/>
              </w:rPr>
              <w:t xml:space="preserve">Fishing continues. A </w:t>
            </w:r>
            <w:r w:rsidRPr="0005697F">
              <w:rPr>
                <w:rFonts w:cstheme="minorHAnsi"/>
              </w:rPr>
              <w:t xml:space="preserve">review of the available catch and effort data is required to ensure there are no risks associated with the increase in catch or effort. </w:t>
            </w:r>
            <w:r w:rsidRPr="00A41303">
              <w:rPr>
                <w:rFonts w:cstheme="minorHAnsi"/>
                <w:color w:val="333333"/>
              </w:rPr>
              <w:t>If any sustainability concerns are identified a management response will be considered which may include effort limits or investing in additional analysis.</w:t>
            </w:r>
          </w:p>
        </w:tc>
      </w:tr>
      <w:tr w:rsidR="0010746D" w:rsidRPr="00B5786E" w14:paraId="34DBEA47" w14:textId="77777777" w:rsidTr="002A4580">
        <w:trPr>
          <w:trHeight w:val="464"/>
        </w:trPr>
        <w:tc>
          <w:tcPr>
            <w:tcW w:w="2007" w:type="dxa"/>
            <w:vMerge/>
            <w:vAlign w:val="center"/>
          </w:tcPr>
          <w:p w14:paraId="6C31A649" w14:textId="77777777" w:rsidR="0010746D" w:rsidRPr="001B1C64" w:rsidRDefault="0010746D" w:rsidP="002A4580">
            <w:pPr>
              <w:spacing w:before="60" w:after="60"/>
              <w:jc w:val="center"/>
              <w:rPr>
                <w:rFonts w:eastAsia="Calibri"/>
              </w:rPr>
            </w:pPr>
          </w:p>
        </w:tc>
        <w:tc>
          <w:tcPr>
            <w:tcW w:w="1671" w:type="dxa"/>
            <w:vAlign w:val="center"/>
          </w:tcPr>
          <w:p w14:paraId="47C520FA" w14:textId="77777777" w:rsidR="0010746D" w:rsidRPr="001B1C64" w:rsidRDefault="0010746D" w:rsidP="002A4580">
            <w:pPr>
              <w:spacing w:before="60" w:after="60"/>
              <w:jc w:val="center"/>
              <w:rPr>
                <w:rFonts w:eastAsia="Calibri"/>
              </w:rPr>
            </w:pPr>
            <w:r w:rsidRPr="001B1C64">
              <w:rPr>
                <w:rFonts w:eastAsia="Calibri"/>
              </w:rPr>
              <w:t>3000</w:t>
            </w:r>
            <w:r>
              <w:rPr>
                <w:rFonts w:eastAsia="Calibri"/>
              </w:rPr>
              <w:t xml:space="preserve"> </w:t>
            </w:r>
            <w:r w:rsidRPr="001B1C64">
              <w:rPr>
                <w:rFonts w:eastAsia="Calibri"/>
              </w:rPr>
              <w:t>t</w:t>
            </w:r>
            <w:r>
              <w:rPr>
                <w:rFonts w:eastAsia="Calibri"/>
              </w:rPr>
              <w:t>onne</w:t>
            </w:r>
            <w:r w:rsidRPr="001B1C64">
              <w:rPr>
                <w:rFonts w:eastAsia="Calibri"/>
              </w:rPr>
              <w:t xml:space="preserve"> catch or 30 active vessels</w:t>
            </w:r>
          </w:p>
        </w:tc>
        <w:tc>
          <w:tcPr>
            <w:tcW w:w="5338" w:type="dxa"/>
          </w:tcPr>
          <w:p w14:paraId="708EE45E" w14:textId="77777777" w:rsidR="0010746D" w:rsidRPr="001B1C64" w:rsidRDefault="0010746D" w:rsidP="002A4580">
            <w:pPr>
              <w:spacing w:before="60" w:after="60"/>
              <w:ind w:right="141"/>
              <w:jc w:val="both"/>
              <w:rPr>
                <w:rFonts w:eastAsia="Calibri"/>
              </w:rPr>
            </w:pPr>
            <w:r w:rsidRPr="001B1C64">
              <w:rPr>
                <w:rFonts w:eastAsia="Calibri"/>
              </w:rPr>
              <w:t>Fishing continues. Requires a depletion analysis and increased investment in fishery monitoring and biological data collection. If there is no indication of impact (depletion) fishing may continue to the next trigger limit.</w:t>
            </w:r>
          </w:p>
        </w:tc>
      </w:tr>
      <w:tr w:rsidR="0010746D" w:rsidRPr="00B5786E" w14:paraId="2B6660F4" w14:textId="77777777" w:rsidTr="002A4580">
        <w:trPr>
          <w:trHeight w:val="1500"/>
        </w:trPr>
        <w:tc>
          <w:tcPr>
            <w:tcW w:w="2007" w:type="dxa"/>
            <w:vMerge/>
            <w:shd w:val="clear" w:color="auto" w:fill="F2F2F2"/>
            <w:vAlign w:val="center"/>
            <w:hideMark/>
          </w:tcPr>
          <w:p w14:paraId="73B770A5" w14:textId="77777777" w:rsidR="0010746D" w:rsidRPr="001B1C64" w:rsidRDefault="0010746D" w:rsidP="002A4580">
            <w:pPr>
              <w:spacing w:before="60" w:after="60"/>
              <w:jc w:val="center"/>
              <w:rPr>
                <w:rFonts w:eastAsia="Calibri"/>
              </w:rPr>
            </w:pPr>
          </w:p>
        </w:tc>
        <w:tc>
          <w:tcPr>
            <w:tcW w:w="1671" w:type="dxa"/>
            <w:vAlign w:val="center"/>
            <w:hideMark/>
          </w:tcPr>
          <w:p w14:paraId="5F695563" w14:textId="77777777" w:rsidR="0010746D" w:rsidRPr="001B1C64" w:rsidRDefault="0010746D" w:rsidP="002A4580">
            <w:pPr>
              <w:spacing w:before="60" w:after="60"/>
              <w:jc w:val="center"/>
              <w:rPr>
                <w:rFonts w:eastAsia="Calibri"/>
              </w:rPr>
            </w:pPr>
            <w:r w:rsidRPr="001B1C64">
              <w:rPr>
                <w:rFonts w:eastAsia="Calibri"/>
              </w:rPr>
              <w:t>5000</w:t>
            </w:r>
            <w:r>
              <w:rPr>
                <w:rFonts w:eastAsia="Calibri"/>
              </w:rPr>
              <w:t xml:space="preserve"> </w:t>
            </w:r>
            <w:r w:rsidRPr="001B1C64">
              <w:rPr>
                <w:rFonts w:eastAsia="Calibri"/>
              </w:rPr>
              <w:t>t</w:t>
            </w:r>
            <w:r>
              <w:rPr>
                <w:rFonts w:eastAsia="Calibri"/>
              </w:rPr>
              <w:t>onne</w:t>
            </w:r>
            <w:r w:rsidRPr="001B1C64">
              <w:rPr>
                <w:rFonts w:eastAsia="Calibri"/>
              </w:rPr>
              <w:t xml:space="preserve"> catch or 45 active vessels</w:t>
            </w:r>
          </w:p>
        </w:tc>
        <w:tc>
          <w:tcPr>
            <w:tcW w:w="5338" w:type="dxa"/>
            <w:hideMark/>
          </w:tcPr>
          <w:p w14:paraId="66FDA316" w14:textId="77777777" w:rsidR="0010746D" w:rsidRPr="001B1C64" w:rsidRDefault="0010746D" w:rsidP="002A4580">
            <w:pPr>
              <w:spacing w:before="60" w:after="60"/>
              <w:ind w:right="141"/>
              <w:jc w:val="both"/>
              <w:rPr>
                <w:rFonts w:eastAsia="Calibri"/>
              </w:rPr>
            </w:pPr>
            <w:r w:rsidRPr="001B1C64">
              <w:rPr>
                <w:rFonts w:eastAsia="Calibri"/>
              </w:rPr>
              <w:t>Further catches are suspended pending another depletion analysis. If there is no indication of depletion a further, higher trigger may be considered. If there is impact, catch or effort may be capped. Fishing beyond this trigger will require more rapid real-time monitoring of the fishery.</w:t>
            </w:r>
          </w:p>
        </w:tc>
      </w:tr>
      <w:tr w:rsidR="0010746D" w:rsidRPr="00B5786E" w14:paraId="27EE10E4" w14:textId="77777777" w:rsidTr="002A4580">
        <w:trPr>
          <w:trHeight w:val="436"/>
        </w:trPr>
        <w:tc>
          <w:tcPr>
            <w:tcW w:w="2007" w:type="dxa"/>
            <w:shd w:val="clear" w:color="auto" w:fill="F2F2F2"/>
            <w:vAlign w:val="center"/>
            <w:hideMark/>
          </w:tcPr>
          <w:p w14:paraId="11A241F1" w14:textId="77777777" w:rsidR="0010746D" w:rsidRPr="001B1C64" w:rsidRDefault="0010746D" w:rsidP="002A4580">
            <w:pPr>
              <w:spacing w:before="60" w:after="60"/>
              <w:jc w:val="center"/>
              <w:rPr>
                <w:rFonts w:eastAsia="Calibri"/>
              </w:rPr>
            </w:pPr>
            <w:r w:rsidRPr="001B1C64">
              <w:rPr>
                <w:rFonts w:eastAsia="Calibri"/>
              </w:rPr>
              <w:t>Combined trawl sector</w:t>
            </w:r>
          </w:p>
        </w:tc>
        <w:tc>
          <w:tcPr>
            <w:tcW w:w="1671" w:type="dxa"/>
            <w:shd w:val="clear" w:color="auto" w:fill="F2F2F2"/>
            <w:vAlign w:val="center"/>
            <w:hideMark/>
          </w:tcPr>
          <w:p w14:paraId="18C8711A" w14:textId="77777777" w:rsidR="0010746D" w:rsidRPr="001B1C64" w:rsidRDefault="0010746D" w:rsidP="002A4580">
            <w:pPr>
              <w:spacing w:before="60" w:after="60"/>
              <w:jc w:val="center"/>
              <w:rPr>
                <w:rFonts w:eastAsia="Calibri"/>
              </w:rPr>
            </w:pPr>
            <w:r w:rsidRPr="001B1C64">
              <w:rPr>
                <w:rFonts w:eastAsia="Calibri"/>
              </w:rPr>
              <w:t>2000</w:t>
            </w:r>
            <w:r>
              <w:rPr>
                <w:rFonts w:eastAsia="Calibri"/>
              </w:rPr>
              <w:t xml:space="preserve"> </w:t>
            </w:r>
            <w:r w:rsidRPr="001B1C64">
              <w:rPr>
                <w:rFonts w:eastAsia="Calibri"/>
              </w:rPr>
              <w:t>t</w:t>
            </w:r>
            <w:r>
              <w:rPr>
                <w:rFonts w:eastAsia="Calibri"/>
              </w:rPr>
              <w:t>onne catch</w:t>
            </w:r>
          </w:p>
        </w:tc>
        <w:tc>
          <w:tcPr>
            <w:tcW w:w="5338" w:type="dxa"/>
            <w:shd w:val="clear" w:color="auto" w:fill="F2F2F2"/>
            <w:hideMark/>
          </w:tcPr>
          <w:p w14:paraId="5CA7AEE9" w14:textId="77777777" w:rsidR="0010746D" w:rsidRPr="001B1C64" w:rsidRDefault="0010746D" w:rsidP="002A4580">
            <w:pPr>
              <w:spacing w:before="60" w:after="60"/>
              <w:ind w:right="141"/>
              <w:jc w:val="both"/>
              <w:rPr>
                <w:rFonts w:eastAsia="Calibri"/>
              </w:rPr>
            </w:pPr>
            <w:r w:rsidRPr="001B1C64">
              <w:rPr>
                <w:rFonts w:eastAsia="Calibri"/>
              </w:rPr>
              <w:t>Fishing continues. Decision rules require depletion analyses equivalent to those required for the jig fishery rules. Catch limits may be set depending on the outcome of the analyses.</w:t>
            </w:r>
          </w:p>
        </w:tc>
      </w:tr>
      <w:tr w:rsidR="0010746D" w:rsidRPr="00B5786E" w14:paraId="64C13D56" w14:textId="77777777" w:rsidTr="002A4580">
        <w:trPr>
          <w:trHeight w:val="1200"/>
        </w:trPr>
        <w:tc>
          <w:tcPr>
            <w:tcW w:w="2007" w:type="dxa"/>
            <w:vMerge w:val="restart"/>
            <w:vAlign w:val="center"/>
            <w:hideMark/>
          </w:tcPr>
          <w:p w14:paraId="730AB20C" w14:textId="77777777" w:rsidR="0010746D" w:rsidRPr="001B1C64" w:rsidRDefault="0010746D" w:rsidP="002A4580">
            <w:pPr>
              <w:spacing w:before="60" w:after="60"/>
              <w:jc w:val="center"/>
              <w:rPr>
                <w:rFonts w:eastAsia="Calibri"/>
              </w:rPr>
            </w:pPr>
            <w:r w:rsidRPr="001B1C64">
              <w:rPr>
                <w:rFonts w:eastAsia="Calibri"/>
              </w:rPr>
              <w:lastRenderedPageBreak/>
              <w:t>Combined jig fishery and trawl sector</w:t>
            </w:r>
          </w:p>
        </w:tc>
        <w:tc>
          <w:tcPr>
            <w:tcW w:w="1671" w:type="dxa"/>
            <w:vAlign w:val="center"/>
            <w:hideMark/>
          </w:tcPr>
          <w:p w14:paraId="7C5D718A" w14:textId="77777777" w:rsidR="0010746D" w:rsidRPr="001B1C64" w:rsidRDefault="0010746D" w:rsidP="002A4580">
            <w:pPr>
              <w:spacing w:before="60" w:after="60"/>
              <w:jc w:val="center"/>
              <w:rPr>
                <w:rFonts w:eastAsia="Calibri"/>
              </w:rPr>
            </w:pPr>
            <w:r w:rsidRPr="001B1C64">
              <w:rPr>
                <w:rFonts w:eastAsia="Calibri"/>
              </w:rPr>
              <w:t>4000</w:t>
            </w:r>
            <w:r>
              <w:rPr>
                <w:rFonts w:eastAsia="Calibri"/>
              </w:rPr>
              <w:t xml:space="preserve"> </w:t>
            </w:r>
            <w:r w:rsidRPr="001B1C64">
              <w:rPr>
                <w:rFonts w:eastAsia="Calibri"/>
              </w:rPr>
              <w:t>t</w:t>
            </w:r>
            <w:r>
              <w:rPr>
                <w:rFonts w:eastAsia="Calibri"/>
              </w:rPr>
              <w:t>onne catch</w:t>
            </w:r>
          </w:p>
        </w:tc>
        <w:tc>
          <w:tcPr>
            <w:tcW w:w="5338" w:type="dxa"/>
            <w:hideMark/>
          </w:tcPr>
          <w:p w14:paraId="27D9ACA7" w14:textId="77777777" w:rsidR="0010746D" w:rsidRPr="001B1C64" w:rsidRDefault="0010746D" w:rsidP="002A4580">
            <w:pPr>
              <w:spacing w:before="60" w:after="60"/>
              <w:ind w:right="141"/>
              <w:jc w:val="both"/>
              <w:rPr>
                <w:rFonts w:eastAsia="Calibri"/>
              </w:rPr>
            </w:pPr>
            <w:r w:rsidRPr="001B1C64">
              <w:rPr>
                <w:rFonts w:eastAsia="Calibri"/>
              </w:rPr>
              <w:t xml:space="preserve">The combined jig and trawl catch triggers the decision rules at this level are equivalent to those applying to the </w:t>
            </w:r>
            <w:proofErr w:type="gramStart"/>
            <w:r w:rsidRPr="001B1C64">
              <w:rPr>
                <w:rFonts w:eastAsia="Calibri"/>
              </w:rPr>
              <w:t>3000</w:t>
            </w:r>
            <w:r>
              <w:rPr>
                <w:rFonts w:eastAsia="Calibri"/>
              </w:rPr>
              <w:t xml:space="preserve"> </w:t>
            </w:r>
            <w:r w:rsidRPr="001B1C64">
              <w:rPr>
                <w:rFonts w:eastAsia="Calibri"/>
              </w:rPr>
              <w:t>t</w:t>
            </w:r>
            <w:r>
              <w:rPr>
                <w:rFonts w:eastAsia="Calibri"/>
              </w:rPr>
              <w:t>onne</w:t>
            </w:r>
            <w:proofErr w:type="gramEnd"/>
            <w:r w:rsidRPr="001B1C64">
              <w:rPr>
                <w:rFonts w:eastAsia="Calibri"/>
              </w:rPr>
              <w:t xml:space="preserve"> intermediate jig catch trigger however assessment would involve depletion analysis for both fisheries.</w:t>
            </w:r>
          </w:p>
        </w:tc>
      </w:tr>
      <w:tr w:rsidR="0010746D" w:rsidRPr="00B5786E" w14:paraId="6A4B2954" w14:textId="77777777" w:rsidTr="002A4580">
        <w:trPr>
          <w:trHeight w:val="1200"/>
        </w:trPr>
        <w:tc>
          <w:tcPr>
            <w:tcW w:w="2007" w:type="dxa"/>
            <w:vMerge/>
            <w:hideMark/>
          </w:tcPr>
          <w:p w14:paraId="645AEEB2" w14:textId="77777777" w:rsidR="0010746D" w:rsidRPr="001B1C64" w:rsidRDefault="0010746D" w:rsidP="002A4580">
            <w:pPr>
              <w:spacing w:before="60" w:after="60"/>
              <w:rPr>
                <w:rFonts w:eastAsia="Calibri"/>
              </w:rPr>
            </w:pPr>
          </w:p>
        </w:tc>
        <w:tc>
          <w:tcPr>
            <w:tcW w:w="1671" w:type="dxa"/>
            <w:vAlign w:val="center"/>
            <w:hideMark/>
          </w:tcPr>
          <w:p w14:paraId="0F84166E" w14:textId="77777777" w:rsidR="0010746D" w:rsidRPr="001B1C64" w:rsidRDefault="0010746D" w:rsidP="002A4580">
            <w:pPr>
              <w:spacing w:before="60" w:after="60"/>
              <w:jc w:val="center"/>
              <w:rPr>
                <w:rFonts w:eastAsia="Calibri"/>
              </w:rPr>
            </w:pPr>
            <w:r w:rsidRPr="001B1C64">
              <w:rPr>
                <w:rFonts w:eastAsia="Calibri"/>
              </w:rPr>
              <w:t>6000</w:t>
            </w:r>
            <w:r>
              <w:rPr>
                <w:rFonts w:eastAsia="Calibri"/>
              </w:rPr>
              <w:t xml:space="preserve"> </w:t>
            </w:r>
            <w:r w:rsidRPr="001B1C64">
              <w:rPr>
                <w:rFonts w:eastAsia="Calibri"/>
              </w:rPr>
              <w:t>t</w:t>
            </w:r>
            <w:r>
              <w:rPr>
                <w:rFonts w:eastAsia="Calibri"/>
              </w:rPr>
              <w:t>onne catch</w:t>
            </w:r>
          </w:p>
        </w:tc>
        <w:tc>
          <w:tcPr>
            <w:tcW w:w="5338" w:type="dxa"/>
            <w:hideMark/>
          </w:tcPr>
          <w:p w14:paraId="595D45CA" w14:textId="77777777" w:rsidR="0010746D" w:rsidRPr="001B1C64" w:rsidRDefault="0010746D" w:rsidP="002A4580">
            <w:pPr>
              <w:spacing w:before="60" w:after="60"/>
              <w:ind w:right="141"/>
              <w:jc w:val="both"/>
              <w:rPr>
                <w:rFonts w:eastAsia="Calibri"/>
              </w:rPr>
            </w:pPr>
            <w:r w:rsidRPr="001B1C64">
              <w:rPr>
                <w:rFonts w:eastAsia="Calibri"/>
              </w:rPr>
              <w:t xml:space="preserve">Decision rules are equivalent to the </w:t>
            </w:r>
            <w:proofErr w:type="gramStart"/>
            <w:r w:rsidRPr="001B1C64">
              <w:rPr>
                <w:rFonts w:eastAsia="Calibri"/>
              </w:rPr>
              <w:t>5000</w:t>
            </w:r>
            <w:r>
              <w:rPr>
                <w:rFonts w:eastAsia="Calibri"/>
              </w:rPr>
              <w:t xml:space="preserve"> </w:t>
            </w:r>
            <w:r w:rsidRPr="001B1C64">
              <w:rPr>
                <w:rFonts w:eastAsia="Calibri"/>
              </w:rPr>
              <w:t>t</w:t>
            </w:r>
            <w:r>
              <w:rPr>
                <w:rFonts w:eastAsia="Calibri"/>
              </w:rPr>
              <w:t>onne</w:t>
            </w:r>
            <w:proofErr w:type="gramEnd"/>
            <w:r w:rsidRPr="001B1C64">
              <w:rPr>
                <w:rFonts w:eastAsia="Calibri"/>
              </w:rPr>
              <w:t xml:space="preserve"> jig catch trigger however assessment will involve depletion analysis using data for both fisheries and any changes to catch triggers will require agreement from both the SSJF and the SESSF resource assessment groups.</w:t>
            </w:r>
          </w:p>
        </w:tc>
      </w:tr>
    </w:tbl>
    <w:p w14:paraId="5BE02B6C" w14:textId="2EDAC7C1" w:rsidR="00CA75CE" w:rsidRDefault="00CA75CE" w:rsidP="004944FD">
      <w:pPr>
        <w:rPr>
          <w:color w:val="4000A6"/>
        </w:rPr>
      </w:pPr>
    </w:p>
    <w:p w14:paraId="6A6A182F" w14:textId="4FDB5869" w:rsidR="0076131B" w:rsidRDefault="0076131B" w:rsidP="0076131B">
      <w:pPr>
        <w:pStyle w:val="Heading2"/>
      </w:pPr>
      <w:bookmarkStart w:id="16" w:name="_Toc210975448"/>
      <w:r>
        <w:t>R</w:t>
      </w:r>
      <w:r w:rsidRPr="0076131B">
        <w:t>ecovery strategies for overfished stocks</w:t>
      </w:r>
      <w:bookmarkEnd w:id="16"/>
    </w:p>
    <w:p w14:paraId="65E9A697" w14:textId="21583897" w:rsidR="00121980" w:rsidRPr="00FE1CDC" w:rsidRDefault="00121980" w:rsidP="00121980">
      <w:pPr>
        <w:rPr>
          <w:bCs/>
          <w:color w:val="000000" w:themeColor="text1"/>
        </w:rPr>
      </w:pPr>
      <w:r>
        <w:rPr>
          <w:bCs/>
          <w:color w:val="000000" w:themeColor="text1"/>
        </w:rPr>
        <w:t>Southern squid</w:t>
      </w:r>
      <w:r w:rsidRPr="00FE1CDC">
        <w:rPr>
          <w:bCs/>
          <w:color w:val="000000" w:themeColor="text1"/>
        </w:rPr>
        <w:t xml:space="preserve"> is currently</w:t>
      </w:r>
      <w:r w:rsidRPr="00FE1CDC">
        <w:rPr>
          <w:bCs/>
          <w:color w:val="000000" w:themeColor="text1"/>
          <w:lang w:val="en-US"/>
        </w:rPr>
        <w:t> not considered overfished </w:t>
      </w:r>
      <w:r w:rsidRPr="00FE1CDC">
        <w:rPr>
          <w:bCs/>
          <w:color w:val="000000" w:themeColor="text1"/>
        </w:rPr>
        <w:t>and is</w:t>
      </w:r>
      <w:r w:rsidRPr="00FE1CDC">
        <w:rPr>
          <w:bCs/>
          <w:color w:val="000000" w:themeColor="text1"/>
          <w:lang w:val="en-US"/>
        </w:rPr>
        <w:t> </w:t>
      </w:r>
      <w:r>
        <w:rPr>
          <w:bCs/>
          <w:color w:val="000000" w:themeColor="text1"/>
          <w:lang w:val="en-US"/>
        </w:rPr>
        <w:t>below the</w:t>
      </w:r>
      <w:r w:rsidR="00D37D03">
        <w:rPr>
          <w:bCs/>
          <w:color w:val="000000" w:themeColor="text1"/>
          <w:lang w:val="en-US"/>
        </w:rPr>
        <w:t xml:space="preserve"> </w:t>
      </w:r>
      <w:r w:rsidR="005F01C4">
        <w:rPr>
          <w:bCs/>
          <w:color w:val="000000" w:themeColor="text1"/>
          <w:lang w:val="en-US"/>
        </w:rPr>
        <w:t xml:space="preserve">limit </w:t>
      </w:r>
      <w:r w:rsidR="00A26059">
        <w:rPr>
          <w:bCs/>
          <w:color w:val="000000" w:themeColor="text1"/>
          <w:lang w:val="en-US"/>
        </w:rPr>
        <w:t>catch</w:t>
      </w:r>
      <w:r w:rsidR="004366F6">
        <w:rPr>
          <w:bCs/>
          <w:color w:val="000000" w:themeColor="text1"/>
          <w:lang w:val="en-US"/>
        </w:rPr>
        <w:t xml:space="preserve"> </w:t>
      </w:r>
      <w:r w:rsidR="00D37D03">
        <w:rPr>
          <w:bCs/>
          <w:color w:val="000000" w:themeColor="text1"/>
          <w:lang w:val="en-US"/>
        </w:rPr>
        <w:t>trigger</w:t>
      </w:r>
      <w:r w:rsidR="00791F75">
        <w:rPr>
          <w:bCs/>
          <w:color w:val="000000" w:themeColor="text1"/>
          <w:lang w:val="en-US"/>
        </w:rPr>
        <w:t>s</w:t>
      </w:r>
      <w:r w:rsidR="00D37D03">
        <w:rPr>
          <w:bCs/>
          <w:color w:val="000000" w:themeColor="text1"/>
          <w:lang w:val="en-US"/>
        </w:rPr>
        <w:t xml:space="preserve"> </w:t>
      </w:r>
      <w:r w:rsidRPr="00FE1CDC">
        <w:rPr>
          <w:bCs/>
          <w:color w:val="000000" w:themeColor="text1"/>
        </w:rPr>
        <w:t>defined in the harvest strategy. As such,</w:t>
      </w:r>
      <w:r w:rsidRPr="00FE1CDC">
        <w:rPr>
          <w:bCs/>
          <w:color w:val="000000" w:themeColor="text1"/>
          <w:lang w:val="en-US"/>
        </w:rPr>
        <w:t xml:space="preserve"> no formal recovery strategy is </w:t>
      </w:r>
      <w:r w:rsidR="00D37D03">
        <w:rPr>
          <w:bCs/>
          <w:color w:val="000000" w:themeColor="text1"/>
          <w:lang w:val="en-US"/>
        </w:rPr>
        <w:t>required</w:t>
      </w:r>
      <w:r w:rsidRPr="00FE1CDC">
        <w:rPr>
          <w:bCs/>
          <w:color w:val="000000" w:themeColor="text1"/>
        </w:rPr>
        <w:t>.</w:t>
      </w:r>
    </w:p>
    <w:p w14:paraId="1D165014" w14:textId="314E8E58" w:rsidR="00121980" w:rsidRPr="00FE1CDC" w:rsidRDefault="00121980" w:rsidP="00FE1CDC">
      <w:pPr>
        <w:rPr>
          <w:bCs/>
          <w:color w:val="000000" w:themeColor="text1"/>
        </w:rPr>
      </w:pPr>
      <w:r w:rsidRPr="00FE1CDC">
        <w:rPr>
          <w:bCs/>
          <w:color w:val="000000" w:themeColor="text1"/>
        </w:rPr>
        <w:t>However, proactive management measures are implemented to ensure the stock remains at sustainable levels. These include:</w:t>
      </w:r>
    </w:p>
    <w:p w14:paraId="7C0AC8A8" w14:textId="1F03C21F" w:rsidR="00121980" w:rsidRPr="00FE1CDC" w:rsidRDefault="00D37D03" w:rsidP="00121980">
      <w:pPr>
        <w:numPr>
          <w:ilvl w:val="0"/>
          <w:numId w:val="47"/>
        </w:numPr>
        <w:rPr>
          <w:bCs/>
          <w:color w:val="000000" w:themeColor="text1"/>
        </w:rPr>
      </w:pPr>
      <w:r>
        <w:rPr>
          <w:bCs/>
          <w:color w:val="000000" w:themeColor="text1"/>
        </w:rPr>
        <w:t>A h</w:t>
      </w:r>
      <w:r w:rsidR="00121980" w:rsidRPr="00FE1CDC">
        <w:rPr>
          <w:bCs/>
          <w:color w:val="000000" w:themeColor="text1"/>
        </w:rPr>
        <w:t xml:space="preserve">arvest </w:t>
      </w:r>
      <w:r w:rsidR="00FE1CDC" w:rsidRPr="00FE1CDC">
        <w:rPr>
          <w:bCs/>
          <w:color w:val="000000" w:themeColor="text1"/>
        </w:rPr>
        <w:t>strategy</w:t>
      </w:r>
      <w:r w:rsidR="00121980" w:rsidRPr="00FE1CDC">
        <w:rPr>
          <w:bCs/>
          <w:color w:val="000000" w:themeColor="text1"/>
          <w:lang w:val="en-US"/>
        </w:rPr>
        <w:t> </w:t>
      </w:r>
      <w:r w:rsidR="00121980" w:rsidRPr="00FE1CDC">
        <w:rPr>
          <w:bCs/>
          <w:color w:val="000000" w:themeColor="text1"/>
        </w:rPr>
        <w:t xml:space="preserve">with </w:t>
      </w:r>
      <w:r>
        <w:rPr>
          <w:bCs/>
          <w:color w:val="000000" w:themeColor="text1"/>
        </w:rPr>
        <w:t>in-season monitoring against catc</w:t>
      </w:r>
      <w:r w:rsidR="005E40BE">
        <w:rPr>
          <w:bCs/>
          <w:color w:val="000000" w:themeColor="text1"/>
        </w:rPr>
        <w:t xml:space="preserve">h </w:t>
      </w:r>
      <w:r>
        <w:rPr>
          <w:bCs/>
          <w:color w:val="000000" w:themeColor="text1"/>
        </w:rPr>
        <w:t>triggers</w:t>
      </w:r>
      <w:r w:rsidR="00121980" w:rsidRPr="00FE1CDC">
        <w:rPr>
          <w:bCs/>
          <w:color w:val="000000" w:themeColor="text1"/>
        </w:rPr>
        <w:t xml:space="preserve"> and decision rules.</w:t>
      </w:r>
    </w:p>
    <w:p w14:paraId="44C0DA7B" w14:textId="77777777" w:rsidR="00121980" w:rsidRPr="00FE1CDC" w:rsidRDefault="00121980" w:rsidP="00121980">
      <w:pPr>
        <w:numPr>
          <w:ilvl w:val="0"/>
          <w:numId w:val="47"/>
        </w:numPr>
        <w:rPr>
          <w:bCs/>
          <w:color w:val="000000" w:themeColor="text1"/>
        </w:rPr>
      </w:pPr>
      <w:r w:rsidRPr="00FE1CDC">
        <w:rPr>
          <w:bCs/>
          <w:color w:val="000000" w:themeColor="text1"/>
        </w:rPr>
        <w:t>Adaptive management</w:t>
      </w:r>
      <w:r w:rsidRPr="00FE1CDC">
        <w:rPr>
          <w:bCs/>
          <w:color w:val="000000" w:themeColor="text1"/>
          <w:lang w:val="en-US"/>
        </w:rPr>
        <w:t> </w:t>
      </w:r>
      <w:r w:rsidRPr="00FE1CDC">
        <w:rPr>
          <w:bCs/>
          <w:color w:val="000000" w:themeColor="text1"/>
        </w:rPr>
        <w:t>that allows for timely adjustments to catch limits if indicators suggest a risk of depletion.</w:t>
      </w:r>
    </w:p>
    <w:p w14:paraId="358A677E" w14:textId="77777777" w:rsidR="00121980" w:rsidRPr="00FE1CDC" w:rsidRDefault="00121980" w:rsidP="00121980">
      <w:pPr>
        <w:rPr>
          <w:bCs/>
          <w:color w:val="000000" w:themeColor="text1"/>
        </w:rPr>
      </w:pPr>
      <w:r w:rsidRPr="00FE1CDC">
        <w:rPr>
          <w:bCs/>
          <w:color w:val="000000" w:themeColor="text1"/>
        </w:rPr>
        <w:t>These measures are designed to</w:t>
      </w:r>
      <w:r w:rsidRPr="00FE1CDC">
        <w:rPr>
          <w:bCs/>
          <w:color w:val="000000" w:themeColor="text1"/>
          <w:lang w:val="en-US"/>
        </w:rPr>
        <w:t> prevent the need for recovery strategies </w:t>
      </w:r>
      <w:r w:rsidRPr="00FE1CDC">
        <w:rPr>
          <w:bCs/>
          <w:color w:val="000000" w:themeColor="text1"/>
        </w:rPr>
        <w:t>by maintaining stock health and sustainability.</w:t>
      </w:r>
    </w:p>
    <w:p w14:paraId="2ED1F59C" w14:textId="77777777" w:rsidR="00E75410" w:rsidRPr="00704DBB" w:rsidRDefault="00E75410" w:rsidP="00704DBB">
      <w:pPr>
        <w:rPr>
          <w:b/>
          <w:color w:val="4000A6"/>
        </w:rPr>
      </w:pPr>
    </w:p>
    <w:p w14:paraId="31F1FABA" w14:textId="011EA8FA" w:rsidR="005B11D1" w:rsidRPr="00600CF2" w:rsidRDefault="00600CF2" w:rsidP="00704DBB">
      <w:pPr>
        <w:pStyle w:val="Heading2"/>
      </w:pPr>
      <w:bookmarkStart w:id="17" w:name="_Toc210975449"/>
      <w:r w:rsidRPr="00600CF2">
        <w:t>E</w:t>
      </w:r>
      <w:r w:rsidR="005B11D1" w:rsidRPr="00600CF2">
        <w:t>nforc</w:t>
      </w:r>
      <w:r w:rsidRPr="00600CF2">
        <w:t>ement</w:t>
      </w:r>
      <w:r w:rsidR="004B4287">
        <w:t xml:space="preserve"> of</w:t>
      </w:r>
      <w:r w:rsidR="005B11D1" w:rsidRPr="00600CF2">
        <w:t xml:space="preserve"> the management arrangements</w:t>
      </w:r>
      <w:bookmarkEnd w:id="17"/>
    </w:p>
    <w:p w14:paraId="63AFFACD" w14:textId="6C8CF391" w:rsidR="00886C26" w:rsidRPr="006A6A6F" w:rsidRDefault="00886C26" w:rsidP="00886C26">
      <w:r w:rsidRPr="006A6A6F">
        <w:t xml:space="preserve">AFMA’s </w:t>
      </w:r>
      <w:hyperlink r:id="rId35" w:history="1">
        <w:r w:rsidR="000A0910" w:rsidRPr="000A0910">
          <w:rPr>
            <w:rStyle w:val="Hyperlink"/>
          </w:rPr>
          <w:t>National Compliance and Enforcement Program</w:t>
        </w:r>
      </w:hyperlink>
      <w:r w:rsidRPr="006A6A6F">
        <w:t xml:space="preserve"> is ultimately designed to maintain the integrity of fisheries management arrangements and protect Australia’s fishing resources. AFMA seeks to achieve a level of compliance consistent with its legislative objectives by maximising voluntary compliance and creating effective deterrents to non-compliance.</w:t>
      </w:r>
    </w:p>
    <w:p w14:paraId="71356356" w14:textId="77777777" w:rsidR="00886C26" w:rsidRPr="006A6A6F" w:rsidRDefault="00886C26" w:rsidP="00886C26">
      <w:r w:rsidRPr="006A6A6F">
        <w:t>The main functions of the compliance program include:</w:t>
      </w:r>
    </w:p>
    <w:p w14:paraId="2830C46B" w14:textId="77777777" w:rsidR="00886C26" w:rsidRPr="006A6A6F" w:rsidRDefault="00886C26" w:rsidP="00886C26">
      <w:pPr>
        <w:pStyle w:val="ListParagraph"/>
        <w:numPr>
          <w:ilvl w:val="0"/>
          <w:numId w:val="30"/>
        </w:numPr>
      </w:pPr>
      <w:r w:rsidRPr="006A6A6F">
        <w:t xml:space="preserve">ensuring compliance with AFMA’s domestic fisheries management </w:t>
      </w:r>
      <w:proofErr w:type="gramStart"/>
      <w:r w:rsidRPr="006A6A6F">
        <w:t>measures;</w:t>
      </w:r>
      <w:proofErr w:type="gramEnd"/>
    </w:p>
    <w:p w14:paraId="71EBFF2E" w14:textId="77777777" w:rsidR="00886C26" w:rsidRPr="006A6A6F" w:rsidRDefault="00886C26" w:rsidP="00886C26">
      <w:pPr>
        <w:pStyle w:val="ListParagraph"/>
        <w:numPr>
          <w:ilvl w:val="0"/>
          <w:numId w:val="30"/>
        </w:numPr>
      </w:pPr>
      <w:r w:rsidRPr="006A6A6F">
        <w:t xml:space="preserve">ensuring licensed boats comply with fishing conditions within the </w:t>
      </w:r>
      <w:proofErr w:type="gramStart"/>
      <w:r w:rsidRPr="006A6A6F">
        <w:t>AFZ;</w:t>
      </w:r>
      <w:proofErr w:type="gramEnd"/>
    </w:p>
    <w:p w14:paraId="05A97E67" w14:textId="77777777" w:rsidR="00886C26" w:rsidRPr="006A6A6F" w:rsidRDefault="00886C26" w:rsidP="00886C26">
      <w:pPr>
        <w:pStyle w:val="ListParagraph"/>
        <w:numPr>
          <w:ilvl w:val="0"/>
          <w:numId w:val="30"/>
        </w:numPr>
      </w:pPr>
      <w:r w:rsidRPr="006A6A6F">
        <w:t xml:space="preserve">ensuring that there are no unlicensed foreign boats operating in the </w:t>
      </w:r>
      <w:proofErr w:type="gramStart"/>
      <w:r w:rsidRPr="006A6A6F">
        <w:t>AFZ;</w:t>
      </w:r>
      <w:proofErr w:type="gramEnd"/>
    </w:p>
    <w:p w14:paraId="5262DE1A" w14:textId="77777777" w:rsidR="00886C26" w:rsidRPr="006A6A6F" w:rsidRDefault="00886C26" w:rsidP="00886C26">
      <w:pPr>
        <w:pStyle w:val="ListParagraph"/>
        <w:numPr>
          <w:ilvl w:val="0"/>
          <w:numId w:val="30"/>
        </w:numPr>
      </w:pPr>
      <w:r w:rsidRPr="006A6A6F">
        <w:t>managing port access for foreign boats; and</w:t>
      </w:r>
    </w:p>
    <w:p w14:paraId="35EF7D7D" w14:textId="77777777" w:rsidR="00886C26" w:rsidRPr="006A6A6F" w:rsidRDefault="00886C26" w:rsidP="00886C26">
      <w:pPr>
        <w:pStyle w:val="ListParagraph"/>
        <w:numPr>
          <w:ilvl w:val="0"/>
          <w:numId w:val="30"/>
        </w:numPr>
      </w:pPr>
      <w:r w:rsidRPr="006A6A6F">
        <w:t>surveillance and apprehension of foreign boats fishing illegally in the AFZ.</w:t>
      </w:r>
    </w:p>
    <w:p w14:paraId="3FADE96B" w14:textId="5864FBA0" w:rsidR="00886C26" w:rsidRPr="006A6A6F" w:rsidRDefault="00886C26" w:rsidP="00886C26">
      <w:hyperlink r:id="rId36" w:history="1">
        <w:r w:rsidRPr="00697BCD">
          <w:rPr>
            <w:rStyle w:val="Hyperlink"/>
          </w:rPr>
          <w:t>The National Compliance and Enforcement Program</w:t>
        </w:r>
      </w:hyperlink>
      <w:r w:rsidRPr="006A6A6F">
        <w:t xml:space="preserve"> is conducted via the use of a </w:t>
      </w:r>
      <w:proofErr w:type="gramStart"/>
      <w:r w:rsidRPr="006A6A6F">
        <w:t>risk based</w:t>
      </w:r>
      <w:proofErr w:type="gramEnd"/>
      <w:r w:rsidRPr="006A6A6F">
        <w:t xml:space="preserve"> approach, which enables AFMA’s resources to be targeted to the areas where they are most needed and where they will prove most effective. It involves a series of steps to identify and assess non-compliance risks and the apply appropriate enforcement actions to mitigate these risks.</w:t>
      </w:r>
    </w:p>
    <w:p w14:paraId="0DE092E1" w14:textId="77777777" w:rsidR="00886C26" w:rsidRPr="006A6A6F" w:rsidRDefault="00886C26" w:rsidP="00886C26">
      <w:r w:rsidRPr="006A6A6F">
        <w:lastRenderedPageBreak/>
        <w:t xml:space="preserve">A risk-based compliance and enforcement assessment is undertaken on a biennial basis. The assessment is informed by compliance intelligence, including information via </w:t>
      </w:r>
      <w:hyperlink r:id="rId37" w:history="1">
        <w:proofErr w:type="spellStart"/>
        <w:r w:rsidRPr="006A6A6F">
          <w:rPr>
            <w:rStyle w:val="Hyperlink"/>
          </w:rPr>
          <w:t>Crimfish</w:t>
        </w:r>
        <w:proofErr w:type="spellEnd"/>
      </w:hyperlink>
      <w:r w:rsidRPr="006A6A6F">
        <w:t>. Priority risks are identified for ongoing investigation including quota invasion, failure to report interaction/retention of protected or prohibited species and misreporting or mishandling of bycatch and discards.</w:t>
      </w:r>
    </w:p>
    <w:p w14:paraId="65D5272E" w14:textId="7668E148" w:rsidR="00D264D5" w:rsidRDefault="00886C26" w:rsidP="00886C26">
      <w:r w:rsidRPr="006A6A6F">
        <w:t xml:space="preserve">In addition to the risk treatment model, it is essential that AFMA maintains a general deterrence program. By maintaining a presence </w:t>
      </w:r>
      <w:r w:rsidR="00E81853">
        <w:t>across Australia’s ports</w:t>
      </w:r>
      <w:r w:rsidRPr="006A6A6F">
        <w:t xml:space="preserve"> (and at sea), AFMA discourages those members of the fishing community who do not wish to comply with the rules and regulations. It also reassures those who are complying that non-compliant activity is likely to be detected. Further AFMA officers can assist those wishing to comply (but not knowing how) by providing advice and/or instructions on operator’s responsibilities.</w:t>
      </w:r>
    </w:p>
    <w:p w14:paraId="73142ECE" w14:textId="77777777" w:rsidR="00E377F8" w:rsidRPr="00026C2D" w:rsidRDefault="00E377F8" w:rsidP="00E377F8">
      <w:pPr>
        <w:rPr>
          <w:b/>
          <w:bCs/>
        </w:rPr>
      </w:pPr>
      <w:r w:rsidRPr="00026C2D">
        <w:rPr>
          <w:b/>
          <w:bCs/>
        </w:rPr>
        <w:t>Vessel Monitoring System (VMS) monitoring</w:t>
      </w:r>
    </w:p>
    <w:p w14:paraId="685478A3" w14:textId="77777777" w:rsidR="00E377F8" w:rsidRDefault="00E377F8" w:rsidP="00E377F8">
      <w:r>
        <w:t>VMS systems provide AFMA with information on fishing effort and the position, speed, and direction of vessels.</w:t>
      </w:r>
    </w:p>
    <w:p w14:paraId="0BA50353" w14:textId="3EE3352C" w:rsidR="00E377F8" w:rsidRDefault="00E377F8" w:rsidP="00E377F8">
      <w:r>
        <w:t xml:space="preserve">Under the Fisheries Management Regulations 2019 </w:t>
      </w:r>
      <w:r w:rsidR="00085571">
        <w:t>i</w:t>
      </w:r>
      <w:r>
        <w:t xml:space="preserve">t is a concession holders’ responsibility to ensure that any boat nominated to their concession is fitted with a VMS of a category specified in the register of AFMA approved units. AFMA requires the VMS unit to be </w:t>
      </w:r>
      <w:proofErr w:type="gramStart"/>
      <w:r>
        <w:t>switched on at all times</w:t>
      </w:r>
      <w:proofErr w:type="gramEnd"/>
      <w:r>
        <w:t xml:space="preserve"> that the boat is nominated to a Commonwealth concession, including when in port or engaged in State fishing. The concession holder must ensure VMS is reporting correctly before going out to sea for the first time and that no interference occurs with the correct operation of the VMS unit. On becoming aware of a problem with </w:t>
      </w:r>
      <w:r w:rsidR="00C13EF1">
        <w:t>the</w:t>
      </w:r>
      <w:r>
        <w:t xml:space="preserve"> VMS functioning, the concession holder must advise AFMA as soon as practicable.</w:t>
      </w:r>
    </w:p>
    <w:p w14:paraId="5121D985" w14:textId="7FDD4087" w:rsidR="00E377F8" w:rsidRDefault="00E377F8" w:rsidP="00E377F8">
      <w:r>
        <w:t xml:space="preserve">If the VMS is not operating or is malfunctioning, the boat must remain in port until the VMS is inspected, repaired if necessary and AFMA received confirmation from an authorised technician. Depending on the circumstances, and in accordance with its enforcement decision principles as outlined in the </w:t>
      </w:r>
      <w:hyperlink r:id="rId38" w:history="1">
        <w:r w:rsidRPr="00A25D83">
          <w:rPr>
            <w:rStyle w:val="Hyperlink"/>
            <w:i/>
          </w:rPr>
          <w:t>National Compliance and Enforcement Policy</w:t>
        </w:r>
      </w:hyperlink>
      <w:r>
        <w:t>, if a nominated boat’s VMS unit stops reporting, AFMA may require the boat to immediately return to, and/or remain in port until such a time as AFMA is satisfied that problems with the VMS unit have been rectified.</w:t>
      </w:r>
    </w:p>
    <w:p w14:paraId="49D6D83A" w14:textId="50CB085E" w:rsidR="00FE441B" w:rsidRPr="00026C2D" w:rsidRDefault="00FE441B" w:rsidP="00E377F8">
      <w:pPr>
        <w:rPr>
          <w:b/>
          <w:bCs/>
        </w:rPr>
      </w:pPr>
      <w:r w:rsidRPr="00026C2D">
        <w:rPr>
          <w:b/>
          <w:bCs/>
        </w:rPr>
        <w:t>Independent Monitoring</w:t>
      </w:r>
    </w:p>
    <w:p w14:paraId="77CE9F2B" w14:textId="53DF19FE" w:rsidR="00FE441B" w:rsidRPr="006A6A6F" w:rsidRDefault="00693BE8" w:rsidP="00E377F8">
      <w:r w:rsidRPr="00693BE8">
        <w:t xml:space="preserve">Random in-port and at-sea inspections </w:t>
      </w:r>
      <w:r>
        <w:t>may</w:t>
      </w:r>
      <w:r w:rsidRPr="00693BE8">
        <w:t xml:space="preserve"> be carried out on active boats in the fishery during the year</w:t>
      </w:r>
      <w:r w:rsidR="009D1FF6">
        <w:t xml:space="preserve"> including </w:t>
      </w:r>
      <w:r w:rsidR="005976B3">
        <w:t>the use of on</w:t>
      </w:r>
      <w:r w:rsidR="009F033A" w:rsidRPr="009F033A">
        <w:t>-board observer</w:t>
      </w:r>
      <w:r w:rsidR="005976B3">
        <w:t>s</w:t>
      </w:r>
      <w:r w:rsidR="009F033A" w:rsidRPr="009F033A">
        <w:t>. A fishing operator must carry an AFMA observer upon request by AFMA. The role of an observer is to collect independent, accurate and reliable data on Commonwealth fishing operations, catches and interactions with the environment by the boat and its fishing gear.</w:t>
      </w:r>
    </w:p>
    <w:p w14:paraId="4183430C" w14:textId="77777777" w:rsidR="00886C26" w:rsidRPr="00E76043" w:rsidRDefault="00886C26" w:rsidP="00E76043">
      <w:pPr>
        <w:rPr>
          <w:color w:val="4000A6"/>
        </w:rPr>
      </w:pPr>
    </w:p>
    <w:p w14:paraId="5DB7545A" w14:textId="242B85D3" w:rsidR="00C2539A" w:rsidRPr="001F04DC" w:rsidRDefault="001017DE" w:rsidP="001F04DC">
      <w:pPr>
        <w:pStyle w:val="Heading2"/>
      </w:pPr>
      <w:bookmarkStart w:id="18" w:name="_Toc210975450"/>
      <w:r>
        <w:t>Mitigating i</w:t>
      </w:r>
      <w:r w:rsidR="000A3698" w:rsidRPr="001F04DC">
        <w:t>mpacts on the wider ecosystem</w:t>
      </w:r>
      <w:bookmarkEnd w:id="18"/>
    </w:p>
    <w:p w14:paraId="6BECDFD3" w14:textId="0665535D" w:rsidR="004475F5" w:rsidRPr="006A6A6F" w:rsidRDefault="00B82650" w:rsidP="004475F5">
      <w:r w:rsidRPr="00B82650">
        <w:t>An ecological risk assessment of the SSJF was conducted in 2007 in alignment with AFMA’s ecologically sustainable development (ESD) objectives.</w:t>
      </w:r>
      <w:r>
        <w:t xml:space="preserve"> T</w:t>
      </w:r>
      <w:r w:rsidR="004475F5" w:rsidRPr="006A6A6F">
        <w:t xml:space="preserve">his is an ecosystem-based approach by managing the effects of fisheries on the marine environment. AFMA utilises an ecological risk management (ERM) framework and the ecological risk assessment for the effects of fishing (ERAEF) to inform management decisions consistent with its objectives and the Commonwealth fisheries </w:t>
      </w:r>
      <w:r w:rsidR="004475F5" w:rsidRPr="006A6A6F">
        <w:lastRenderedPageBreak/>
        <w:t xml:space="preserve">harvest strategy policy and guidelines, the Commonwealth fisheries bycatch policy, and the EPBC act assessment and reporting obligations (Figure </w:t>
      </w:r>
      <w:r w:rsidR="009A0D89">
        <w:t>4</w:t>
      </w:r>
      <w:r w:rsidR="004475F5" w:rsidRPr="006A6A6F">
        <w:t xml:space="preserve">). </w:t>
      </w:r>
    </w:p>
    <w:p w14:paraId="4D34C7FC" w14:textId="77777777" w:rsidR="00A21797" w:rsidRPr="00AD5AE3" w:rsidRDefault="00A21797" w:rsidP="00602AA6">
      <w:pPr>
        <w:rPr>
          <w:color w:val="000000"/>
        </w:rPr>
      </w:pPr>
    </w:p>
    <w:p w14:paraId="2E7DB817" w14:textId="713579D6" w:rsidR="00A21797" w:rsidRDefault="00AD5AE3" w:rsidP="00602AA6">
      <w:pPr>
        <w:rPr>
          <w:color w:val="000000"/>
        </w:rPr>
      </w:pPr>
      <w:r w:rsidRPr="006A6A6F">
        <w:rPr>
          <w:noProof/>
        </w:rPr>
        <w:drawing>
          <wp:inline distT="0" distB="0" distL="0" distR="0" wp14:anchorId="2B900A9E" wp14:editId="4FF41D40">
            <wp:extent cx="5622328" cy="3071495"/>
            <wp:effectExtent l="0" t="0" r="0" b="0"/>
            <wp:docPr id="1993867534" name="Picture 1993867534" descr="A group of rectangular box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67534" name="Picture 1993867534" descr="A group of rectangular boxes with text&#10;&#10;Description automatically generated"/>
                    <pic:cNvPicPr/>
                  </pic:nvPicPr>
                  <pic:blipFill rotWithShape="1">
                    <a:blip r:embed="rId39"/>
                    <a:srcRect l="1905"/>
                    <a:stretch/>
                  </pic:blipFill>
                  <pic:spPr bwMode="auto">
                    <a:xfrm>
                      <a:off x="0" y="0"/>
                      <a:ext cx="5622328" cy="3071495"/>
                    </a:xfrm>
                    <a:prstGeom prst="rect">
                      <a:avLst/>
                    </a:prstGeom>
                    <a:ln>
                      <a:noFill/>
                    </a:ln>
                    <a:extLst>
                      <a:ext uri="{53640926-AAD7-44D8-BBD7-CCE9431645EC}">
                        <a14:shadowObscured xmlns:a14="http://schemas.microsoft.com/office/drawing/2010/main"/>
                      </a:ext>
                    </a:extLst>
                  </pic:spPr>
                </pic:pic>
              </a:graphicData>
            </a:graphic>
          </wp:inline>
        </w:drawing>
      </w:r>
    </w:p>
    <w:p w14:paraId="73D4DA05" w14:textId="6D2B6A4A" w:rsidR="005A4DD5" w:rsidRPr="003D1236" w:rsidRDefault="005A4DD5" w:rsidP="00602AA6">
      <w:pPr>
        <w:rPr>
          <w:b/>
          <w:bCs/>
          <w:color w:val="000000"/>
          <w:szCs w:val="20"/>
        </w:rPr>
      </w:pPr>
      <w:r w:rsidRPr="003D1236">
        <w:rPr>
          <w:b/>
          <w:bCs/>
          <w:color w:val="000000"/>
          <w:szCs w:val="20"/>
        </w:rPr>
        <w:t xml:space="preserve">Figure </w:t>
      </w:r>
      <w:r w:rsidR="009A0D89" w:rsidRPr="003D1236">
        <w:rPr>
          <w:b/>
          <w:bCs/>
          <w:color w:val="000000"/>
          <w:szCs w:val="20"/>
        </w:rPr>
        <w:t>4</w:t>
      </w:r>
      <w:r w:rsidRPr="003D1236">
        <w:rPr>
          <w:b/>
          <w:bCs/>
          <w:color w:val="000000"/>
          <w:szCs w:val="20"/>
        </w:rPr>
        <w:t xml:space="preserve">. AFMA’s </w:t>
      </w:r>
      <w:proofErr w:type="gramStart"/>
      <w:r w:rsidRPr="003D1236">
        <w:rPr>
          <w:b/>
          <w:bCs/>
          <w:color w:val="000000"/>
          <w:szCs w:val="20"/>
        </w:rPr>
        <w:t>ecosystem based</w:t>
      </w:r>
      <w:proofErr w:type="gramEnd"/>
      <w:r w:rsidRPr="003D1236">
        <w:rPr>
          <w:b/>
          <w:bCs/>
          <w:color w:val="000000"/>
          <w:szCs w:val="20"/>
        </w:rPr>
        <w:t xml:space="preserve"> fisheries management framework.</w:t>
      </w:r>
    </w:p>
    <w:p w14:paraId="2DFFB17F" w14:textId="77777777" w:rsidR="00B65132" w:rsidRDefault="00B65132" w:rsidP="00602AA6">
      <w:pPr>
        <w:rPr>
          <w:color w:val="000000"/>
        </w:rPr>
      </w:pPr>
      <w:r w:rsidRPr="00B65132">
        <w:rPr>
          <w:color w:val="000000"/>
        </w:rPr>
        <w:t xml:space="preserve">The fishery's ERA takes into consideration the possible effects of fishing on the following five elements of the marine environment - target, byproduct, bycatch/discards, protected species, and the habitats and communities in which those species occur. </w:t>
      </w:r>
    </w:p>
    <w:p w14:paraId="18698B9B" w14:textId="6E3B5971" w:rsidR="0058343C" w:rsidRDefault="0059005A" w:rsidP="00602AA6">
      <w:pPr>
        <w:rPr>
          <w:color w:val="000000"/>
        </w:rPr>
      </w:pPr>
      <w:r>
        <w:rPr>
          <w:color w:val="000000"/>
        </w:rPr>
        <w:t>The</w:t>
      </w:r>
      <w:r w:rsidR="0058343C" w:rsidRPr="004C4547">
        <w:rPr>
          <w:color w:val="000000"/>
        </w:rPr>
        <w:t xml:space="preserve"> impacts of the SSJF on the ecosystem are considered minimal. Due to the highly selective nature of squid jigging, there is normally no bycatch or interactions with protected species. There is no damage to the sea floor as the fishing gear does not </w:t>
      </w:r>
      <w:proofErr w:type="gramStart"/>
      <w:r w:rsidR="0058343C" w:rsidRPr="004C4547">
        <w:rPr>
          <w:color w:val="000000"/>
        </w:rPr>
        <w:t>come into contact with</w:t>
      </w:r>
      <w:proofErr w:type="gramEnd"/>
      <w:r w:rsidR="0058343C" w:rsidRPr="004C4547">
        <w:rPr>
          <w:color w:val="000000"/>
        </w:rPr>
        <w:t xml:space="preserve"> the bottom. No significant threats were identified in the SSJF based on a Level 1 Ecological Risk Assessment in 2007 and an Ecological Risk Management report in 2009.</w:t>
      </w:r>
      <w:r w:rsidR="00926E69">
        <w:rPr>
          <w:color w:val="000000"/>
        </w:rPr>
        <w:t xml:space="preserve"> </w:t>
      </w:r>
      <w:r w:rsidR="00926E69" w:rsidRPr="004C4547">
        <w:rPr>
          <w:color w:val="000000"/>
        </w:rPr>
        <w:t xml:space="preserve">A copy of the ecological risk assessment and ecological risk mitigation strategy are available at </w:t>
      </w:r>
      <w:hyperlink r:id="rId40" w:history="1">
        <w:r w:rsidR="00AA5B61" w:rsidRPr="00AA5B61">
          <w:rPr>
            <w:rStyle w:val="Hyperlink"/>
          </w:rPr>
          <w:t>Ecological risk management strategies | Australian Fisheries Management Authority</w:t>
        </w:r>
      </w:hyperlink>
      <w:r w:rsidR="004C4547">
        <w:rPr>
          <w:color w:val="000000"/>
        </w:rPr>
        <w:t>.</w:t>
      </w:r>
    </w:p>
    <w:p w14:paraId="4F9E8463" w14:textId="77777777" w:rsidR="00A7429B" w:rsidRDefault="00A7429B" w:rsidP="00A25D83"/>
    <w:p w14:paraId="21AF50B5" w14:textId="125B321F" w:rsidR="00C420E6" w:rsidRPr="00406C7E" w:rsidRDefault="00406C7E" w:rsidP="00406C7E">
      <w:pPr>
        <w:pStyle w:val="Heading2"/>
      </w:pPr>
      <w:bookmarkStart w:id="19" w:name="_Toc210975451"/>
      <w:r w:rsidRPr="00406C7E">
        <w:t>N</w:t>
      </w:r>
      <w:r w:rsidR="00C420E6" w:rsidRPr="00406C7E">
        <w:t xml:space="preserve">ational </w:t>
      </w:r>
      <w:r w:rsidR="006B2F3F" w:rsidRPr="00406C7E">
        <w:t>policies</w:t>
      </w:r>
      <w:r w:rsidR="00BF5ED4">
        <w:t>, plans</w:t>
      </w:r>
      <w:r w:rsidR="006B2F3F" w:rsidRPr="00406C7E">
        <w:t xml:space="preserve"> and strategies</w:t>
      </w:r>
      <w:bookmarkEnd w:id="19"/>
    </w:p>
    <w:p w14:paraId="3452A795" w14:textId="04CA6838" w:rsidR="00AA3F45" w:rsidRPr="006A6A6F" w:rsidRDefault="00AA3F45" w:rsidP="00AA3F45">
      <w:r w:rsidRPr="006A6A6F">
        <w:t xml:space="preserve">There are </w:t>
      </w:r>
      <w:proofErr w:type="gramStart"/>
      <w:r w:rsidRPr="006A6A6F">
        <w:t>a number of</w:t>
      </w:r>
      <w:proofErr w:type="gramEnd"/>
      <w:r w:rsidRPr="006A6A6F">
        <w:t xml:space="preserve"> National and Commonwealth plans, policies and strategies relevant to the S</w:t>
      </w:r>
      <w:r>
        <w:t>SJF</w:t>
      </w:r>
      <w:r w:rsidRPr="006A6A6F">
        <w:t xml:space="preserve"> that aim to mitigate impacts to target and non-target species, and to the marine environment in which the fishery operates. </w:t>
      </w:r>
    </w:p>
    <w:p w14:paraId="61F3DBD0" w14:textId="40C454B5" w:rsidR="00AA3F45" w:rsidRPr="006A6A6F" w:rsidRDefault="00AA3F45" w:rsidP="00AA3F45">
      <w:r w:rsidRPr="006A6A6F">
        <w:t xml:space="preserve">Key National and </w:t>
      </w:r>
      <w:r w:rsidRPr="006A6A6F" w:rsidDel="006A02A9">
        <w:t>C</w:t>
      </w:r>
      <w:r w:rsidRPr="006A6A6F">
        <w:t xml:space="preserve">ommonwealth plans, policies and strategies relevant to the </w:t>
      </w:r>
      <w:r w:rsidR="00A61B01">
        <w:t>SSJF</w:t>
      </w:r>
      <w:r w:rsidRPr="006A6A6F">
        <w:t xml:space="preserve"> include:</w:t>
      </w:r>
    </w:p>
    <w:p w14:paraId="6344AED9" w14:textId="77777777" w:rsidR="00AA3F45" w:rsidRPr="006A6A6F" w:rsidRDefault="00AA3F45" w:rsidP="00AA3F45">
      <w:pPr>
        <w:pStyle w:val="ListParagraph"/>
        <w:numPr>
          <w:ilvl w:val="0"/>
          <w:numId w:val="37"/>
        </w:numPr>
      </w:pPr>
      <w:hyperlink r:id="rId41" w:history="1">
        <w:r w:rsidRPr="006A6A6F">
          <w:rPr>
            <w:rStyle w:val="Hyperlink"/>
          </w:rPr>
          <w:t>Commonwealth Bycatch Policy and Guidelines</w:t>
        </w:r>
      </w:hyperlink>
    </w:p>
    <w:p w14:paraId="5CF4B770" w14:textId="77777777" w:rsidR="00AA3F45" w:rsidRPr="006A6A6F" w:rsidRDefault="00AA3F45" w:rsidP="00AA3F45">
      <w:pPr>
        <w:pStyle w:val="ListParagraph"/>
        <w:numPr>
          <w:ilvl w:val="0"/>
          <w:numId w:val="37"/>
        </w:numPr>
      </w:pPr>
      <w:hyperlink r:id="rId42" w:history="1">
        <w:r w:rsidRPr="006A6A6F">
          <w:rPr>
            <w:rStyle w:val="Hyperlink"/>
          </w:rPr>
          <w:t>Commonwealth Harvest Strategy Policy and Guidelines</w:t>
        </w:r>
      </w:hyperlink>
    </w:p>
    <w:p w14:paraId="0B943131" w14:textId="77777777" w:rsidR="00AA3F45" w:rsidRPr="006A6A6F" w:rsidRDefault="00AA3F45" w:rsidP="00AA3F45">
      <w:pPr>
        <w:pStyle w:val="ListParagraph"/>
        <w:numPr>
          <w:ilvl w:val="0"/>
          <w:numId w:val="37"/>
        </w:numPr>
      </w:pPr>
      <w:hyperlink r:id="rId43" w:history="1">
        <w:r w:rsidRPr="006A6A6F">
          <w:rPr>
            <w:rStyle w:val="Hyperlink"/>
          </w:rPr>
          <w:t>Threat abatement plan for the impacts of marine debris on the vertebrate wildlife of Australia’s coast and oceans</w:t>
        </w:r>
      </w:hyperlink>
    </w:p>
    <w:p w14:paraId="4F2FE10B" w14:textId="77777777" w:rsidR="00AA3F45" w:rsidRDefault="00AA3F45" w:rsidP="00AA3F45">
      <w:pPr>
        <w:pStyle w:val="ListParagraph"/>
        <w:numPr>
          <w:ilvl w:val="0"/>
          <w:numId w:val="37"/>
        </w:numPr>
      </w:pPr>
      <w:hyperlink r:id="rId44" w:history="1">
        <w:r w:rsidRPr="006A6A6F">
          <w:rPr>
            <w:rStyle w:val="Hyperlink"/>
          </w:rPr>
          <w:t>National Policy on Fisheries Bycatch</w:t>
        </w:r>
      </w:hyperlink>
      <w:r w:rsidRPr="006A6A6F">
        <w:t xml:space="preserve"> </w:t>
      </w:r>
    </w:p>
    <w:p w14:paraId="2C24E689" w14:textId="39A0C2F2" w:rsidR="00882DE8" w:rsidRPr="006A6A6F" w:rsidRDefault="009474F9" w:rsidP="00AA3F45">
      <w:pPr>
        <w:pStyle w:val="ListParagraph"/>
        <w:numPr>
          <w:ilvl w:val="0"/>
          <w:numId w:val="37"/>
        </w:numPr>
      </w:pPr>
      <w:hyperlink r:id="rId45" w:history="1">
        <w:r w:rsidRPr="004B166D">
          <w:rPr>
            <w:rStyle w:val="Hyperlink"/>
            <w:rFonts w:cstheme="minorHAnsi"/>
            <w:i/>
          </w:rPr>
          <w:t>Environment Protection and Biodiversity Conservation Act 1999</w:t>
        </w:r>
      </w:hyperlink>
    </w:p>
    <w:p w14:paraId="6E545520" w14:textId="62317E93" w:rsidR="00AA3F45" w:rsidRPr="002E37BD" w:rsidRDefault="00AA3F45" w:rsidP="00D14A90">
      <w:r w:rsidRPr="006A6A6F">
        <w:t>Requirements are met via several avenues including implementation of the S</w:t>
      </w:r>
      <w:r w:rsidR="00CF24D0">
        <w:t>SJF</w:t>
      </w:r>
      <w:r w:rsidRPr="006A6A6F">
        <w:t xml:space="preserve"> Harvest Strategy, Research Statement, Bycatch and Discarding Workplans, Management Strategies and integration into fisheries legislation to ensure enforceability and compliance.</w:t>
      </w:r>
    </w:p>
    <w:p w14:paraId="01E6F56D" w14:textId="77777777" w:rsidR="00A7429B" w:rsidRDefault="00A7429B" w:rsidP="0035373A">
      <w:pPr>
        <w:pStyle w:val="Heading2"/>
      </w:pPr>
    </w:p>
    <w:p w14:paraId="69622ECF" w14:textId="2DBB34D7" w:rsidR="00FB1262" w:rsidRDefault="00FB1262" w:rsidP="0035373A">
      <w:pPr>
        <w:pStyle w:val="Heading2"/>
      </w:pPr>
      <w:bookmarkStart w:id="20" w:name="_Toc210975452"/>
      <w:r w:rsidRPr="0035373A">
        <w:t>Changes since the previous assessment</w:t>
      </w:r>
      <w:bookmarkEnd w:id="20"/>
    </w:p>
    <w:p w14:paraId="0E5E3B8D" w14:textId="77777777" w:rsidR="00794EEF" w:rsidRDefault="00794EEF" w:rsidP="00D244E5">
      <w:pPr>
        <w:rPr>
          <w:rFonts w:cstheme="minorHAnsi"/>
          <w:b/>
          <w:bCs/>
          <w:color w:val="333333"/>
          <w:sz w:val="24"/>
          <w:szCs w:val="24"/>
        </w:rPr>
      </w:pPr>
      <w:r>
        <w:rPr>
          <w:rFonts w:cstheme="minorHAnsi"/>
          <w:b/>
          <w:bCs/>
          <w:color w:val="333333"/>
          <w:sz w:val="24"/>
          <w:szCs w:val="24"/>
        </w:rPr>
        <w:t>Fishing Methods and Gear</w:t>
      </w:r>
    </w:p>
    <w:p w14:paraId="3D62E225" w14:textId="6356C4BA" w:rsidR="00074901" w:rsidRPr="00D14A90" w:rsidRDefault="00074901" w:rsidP="00074901">
      <w:pPr>
        <w:rPr>
          <w:rFonts w:cstheme="minorHAnsi"/>
          <w:color w:val="333333"/>
        </w:rPr>
      </w:pPr>
      <w:r w:rsidRPr="00D14A90">
        <w:rPr>
          <w:rFonts w:cstheme="minorHAnsi"/>
          <w:color w:val="333333"/>
        </w:rPr>
        <w:t>R</w:t>
      </w:r>
      <w:r w:rsidR="008A0C06" w:rsidRPr="00D14A90">
        <w:rPr>
          <w:rFonts w:cstheme="minorHAnsi"/>
          <w:color w:val="333333"/>
        </w:rPr>
        <w:t>ecent</w:t>
      </w:r>
      <w:r w:rsidRPr="00D14A90">
        <w:rPr>
          <w:rFonts w:cstheme="minorHAnsi"/>
          <w:color w:val="333333"/>
        </w:rPr>
        <w:t xml:space="preserve"> reports presented at the October 2024 </w:t>
      </w:r>
      <w:proofErr w:type="spellStart"/>
      <w:r w:rsidRPr="00D14A90">
        <w:rPr>
          <w:rFonts w:cstheme="minorHAnsi"/>
          <w:color w:val="333333"/>
        </w:rPr>
        <w:t>SquidRAG</w:t>
      </w:r>
      <w:proofErr w:type="spellEnd"/>
      <w:r w:rsidRPr="00D14A90">
        <w:rPr>
          <w:rFonts w:cstheme="minorHAnsi"/>
          <w:color w:val="333333"/>
        </w:rPr>
        <w:t xml:space="preserve"> meeting indicate a shift in fishing practices. Industry representatives </w:t>
      </w:r>
      <w:r w:rsidR="008A0C06" w:rsidRPr="00D14A90">
        <w:rPr>
          <w:rFonts w:cstheme="minorHAnsi"/>
          <w:color w:val="333333"/>
        </w:rPr>
        <w:t xml:space="preserve">have </w:t>
      </w:r>
      <w:r w:rsidRPr="00D14A90">
        <w:rPr>
          <w:rFonts w:cstheme="minorHAnsi"/>
          <w:color w:val="333333"/>
        </w:rPr>
        <w:t xml:space="preserve">noted that </w:t>
      </w:r>
      <w:proofErr w:type="gramStart"/>
      <w:r w:rsidRPr="00D14A90">
        <w:rPr>
          <w:rFonts w:cstheme="minorHAnsi"/>
          <w:color w:val="333333"/>
        </w:rPr>
        <w:t>the majority of</w:t>
      </w:r>
      <w:proofErr w:type="gramEnd"/>
      <w:r w:rsidRPr="00D14A90">
        <w:rPr>
          <w:rFonts w:cstheme="minorHAnsi"/>
          <w:color w:val="333333"/>
        </w:rPr>
        <w:t xml:space="preserve"> fishing is now conducted under anchor, targeting hard bottom reef areas at greater depths—down to 160 meters, compared to the previous average of around 90 meters. Additionally, while fishing was predominantly undertaken at night in previous seasons, operators have more recently adopted a mixed schedule, fishing during both day and night. </w:t>
      </w:r>
    </w:p>
    <w:p w14:paraId="0B1D871A" w14:textId="3C3A7F88" w:rsidR="00AC6F02" w:rsidRDefault="00AC6F02" w:rsidP="00074901">
      <w:pPr>
        <w:rPr>
          <w:rFonts w:cstheme="minorHAnsi"/>
          <w:b/>
          <w:bCs/>
          <w:color w:val="333333"/>
          <w:sz w:val="24"/>
          <w:szCs w:val="24"/>
        </w:rPr>
      </w:pPr>
      <w:r w:rsidRPr="00487563">
        <w:rPr>
          <w:rFonts w:cstheme="minorHAnsi"/>
          <w:b/>
          <w:bCs/>
          <w:color w:val="333333"/>
          <w:sz w:val="24"/>
          <w:szCs w:val="24"/>
        </w:rPr>
        <w:t>Management Arrangements</w:t>
      </w:r>
    </w:p>
    <w:p w14:paraId="54FBCD00" w14:textId="77777777" w:rsidR="003B4D1B" w:rsidRPr="0009201F" w:rsidRDefault="003B4D1B" w:rsidP="003B4D1B">
      <w:pPr>
        <w:tabs>
          <w:tab w:val="left" w:pos="284"/>
          <w:tab w:val="left" w:pos="567"/>
          <w:tab w:val="left" w:pos="851"/>
        </w:tabs>
        <w:jc w:val="both"/>
        <w:rPr>
          <w:rFonts w:eastAsia="Times" w:cstheme="minorHAnsi"/>
          <w:color w:val="333333"/>
        </w:rPr>
      </w:pPr>
      <w:r w:rsidRPr="0009201F">
        <w:rPr>
          <w:rFonts w:eastAsia="Times" w:cstheme="minorHAnsi"/>
          <w:color w:val="333333"/>
        </w:rPr>
        <w:t xml:space="preserve">A review of the current Harvest Strategy was undertaken throughout 2020 and 2021, as part of this review, AFMA sought advice from </w:t>
      </w:r>
      <w:proofErr w:type="spellStart"/>
      <w:r w:rsidRPr="0009201F">
        <w:rPr>
          <w:rFonts w:eastAsia="Times" w:cstheme="minorHAnsi"/>
          <w:color w:val="333333"/>
        </w:rPr>
        <w:t>SquidRAG</w:t>
      </w:r>
      <w:proofErr w:type="spellEnd"/>
      <w:r w:rsidRPr="0009201F">
        <w:rPr>
          <w:rFonts w:eastAsia="Times" w:cstheme="minorHAnsi"/>
          <w:color w:val="333333"/>
        </w:rPr>
        <w:t xml:space="preserve"> and SEMAC. While it was recognised that the trigger and decision rules should be reviewed, there was insufficient data available to undertake a depletion analysis and support an evaluation of the current Harvest Strategy catch triggers (current catch triggers).</w:t>
      </w:r>
    </w:p>
    <w:p w14:paraId="5AF44E6B" w14:textId="77777777" w:rsidR="003B4D1B" w:rsidRPr="0009201F" w:rsidRDefault="003B4D1B" w:rsidP="003B4D1B">
      <w:pPr>
        <w:tabs>
          <w:tab w:val="left" w:pos="284"/>
          <w:tab w:val="left" w:pos="567"/>
          <w:tab w:val="left" w:pos="851"/>
        </w:tabs>
        <w:jc w:val="both"/>
        <w:rPr>
          <w:rFonts w:eastAsia="Times" w:cstheme="minorHAnsi"/>
          <w:color w:val="333333"/>
        </w:rPr>
      </w:pPr>
      <w:r w:rsidRPr="0009201F">
        <w:rPr>
          <w:rFonts w:eastAsia="Times" w:cstheme="minorHAnsi"/>
          <w:color w:val="333333"/>
        </w:rPr>
        <w:t xml:space="preserve">To support a more holistic review of the current catch triggers, AFMA, with advice from </w:t>
      </w:r>
      <w:proofErr w:type="spellStart"/>
      <w:r w:rsidRPr="0009201F">
        <w:rPr>
          <w:rFonts w:eastAsia="Times" w:cstheme="minorHAnsi"/>
          <w:color w:val="333333"/>
        </w:rPr>
        <w:t>SquidRAG</w:t>
      </w:r>
      <w:proofErr w:type="spellEnd"/>
      <w:r w:rsidRPr="0009201F">
        <w:rPr>
          <w:rFonts w:eastAsia="Times" w:cstheme="minorHAnsi"/>
          <w:color w:val="333333"/>
        </w:rPr>
        <w:t>, have undertaken a review of the data needs in the fishery and developed the draft SSJF Data and Monitoring Strategy 2022. The data collected is expected to support a more thorough review of the Harvest Strategy in the future.</w:t>
      </w:r>
    </w:p>
    <w:p w14:paraId="69713B68" w14:textId="77777777" w:rsidR="003B4D1B" w:rsidRPr="0009201F" w:rsidRDefault="003B4D1B" w:rsidP="003B4D1B">
      <w:pPr>
        <w:tabs>
          <w:tab w:val="left" w:pos="284"/>
          <w:tab w:val="left" w:pos="567"/>
          <w:tab w:val="left" w:pos="851"/>
        </w:tabs>
        <w:jc w:val="both"/>
        <w:rPr>
          <w:rFonts w:eastAsia="Times" w:cstheme="minorHAnsi"/>
          <w:color w:val="333333"/>
        </w:rPr>
      </w:pPr>
      <w:r w:rsidRPr="0009201F">
        <w:rPr>
          <w:rFonts w:eastAsia="Times" w:cstheme="minorHAnsi"/>
          <w:color w:val="333333"/>
        </w:rPr>
        <w:t xml:space="preserve">As an interim approach, the draft Harvest Strategy was amended to include a lower catch and effort trigger (end-of-year) based on more recent catch and effort data. This approach formalises the review already undertaken by </w:t>
      </w:r>
      <w:proofErr w:type="spellStart"/>
      <w:r w:rsidRPr="0009201F">
        <w:rPr>
          <w:rFonts w:eastAsia="Times" w:cstheme="minorHAnsi"/>
          <w:color w:val="333333"/>
        </w:rPr>
        <w:t>SquidRAG</w:t>
      </w:r>
      <w:proofErr w:type="spellEnd"/>
      <w:r w:rsidRPr="0009201F">
        <w:rPr>
          <w:rFonts w:eastAsia="Times" w:cstheme="minorHAnsi"/>
          <w:color w:val="333333"/>
        </w:rPr>
        <w:t xml:space="preserve"> each year as part of the Total Allowable Effort setting process and ensures a consistent and transparent approach.</w:t>
      </w:r>
    </w:p>
    <w:p w14:paraId="3800EB22" w14:textId="77777777" w:rsidR="003B4D1B" w:rsidRPr="0009201F" w:rsidRDefault="003B4D1B" w:rsidP="003B4D1B">
      <w:pPr>
        <w:tabs>
          <w:tab w:val="left" w:pos="284"/>
          <w:tab w:val="left" w:pos="567"/>
          <w:tab w:val="left" w:pos="851"/>
        </w:tabs>
        <w:jc w:val="both"/>
        <w:rPr>
          <w:rFonts w:eastAsia="Times" w:cstheme="minorHAnsi"/>
          <w:color w:val="333333"/>
        </w:rPr>
      </w:pPr>
      <w:r w:rsidRPr="0009201F">
        <w:rPr>
          <w:rFonts w:eastAsia="Times" w:cstheme="minorHAnsi"/>
          <w:color w:val="333333"/>
        </w:rPr>
        <w:t xml:space="preserve">In 2022 the draft Harvest Strategy was reviewed once more by </w:t>
      </w:r>
      <w:proofErr w:type="spellStart"/>
      <w:r w:rsidRPr="0009201F">
        <w:rPr>
          <w:rFonts w:eastAsia="Times" w:cstheme="minorHAnsi"/>
          <w:color w:val="333333"/>
        </w:rPr>
        <w:t>SquidRAG</w:t>
      </w:r>
      <w:proofErr w:type="spellEnd"/>
      <w:r w:rsidRPr="0009201F">
        <w:rPr>
          <w:rFonts w:eastAsia="Times" w:cstheme="minorHAnsi"/>
          <w:color w:val="333333"/>
        </w:rPr>
        <w:t xml:space="preserve">, including the additional lower catch and effort trigger, before being reviewed and endorsed by SEMAC and finally the commission where it was adopted. It has been implemented since the beginning of the 2023 fishing season. </w:t>
      </w:r>
    </w:p>
    <w:p w14:paraId="164955D7" w14:textId="77777777" w:rsidR="003B4D1B" w:rsidRPr="0009201F" w:rsidRDefault="003B4D1B" w:rsidP="003B4D1B">
      <w:pPr>
        <w:tabs>
          <w:tab w:val="left" w:pos="284"/>
          <w:tab w:val="left" w:pos="567"/>
          <w:tab w:val="left" w:pos="851"/>
        </w:tabs>
        <w:jc w:val="both"/>
        <w:rPr>
          <w:rFonts w:eastAsia="Times" w:cstheme="minorHAnsi"/>
          <w:color w:val="333333"/>
        </w:rPr>
      </w:pPr>
      <w:r w:rsidRPr="0009201F">
        <w:rPr>
          <w:rFonts w:eastAsia="Times" w:cstheme="minorHAnsi"/>
          <w:color w:val="333333"/>
        </w:rPr>
        <w:t>The ABARES report ‘</w:t>
      </w:r>
      <w:r w:rsidRPr="0009201F">
        <w:rPr>
          <w:rFonts w:eastAsia="Times" w:cstheme="minorHAnsi"/>
          <w:i/>
          <w:iCs/>
          <w:color w:val="333333"/>
        </w:rPr>
        <w:t xml:space="preserve">Analyses to support the review of the Southern Squid Jig Fishery harvest strategy’ </w:t>
      </w:r>
      <w:r w:rsidRPr="0009201F">
        <w:rPr>
          <w:rFonts w:eastAsia="Times" w:cstheme="minorHAnsi"/>
          <w:color w:val="333333"/>
        </w:rPr>
        <w:t xml:space="preserve">which was presented at SquidRAG27 and informed the updated 2022 SSJF Harvest Strategy is available on the </w:t>
      </w:r>
      <w:hyperlink r:id="rId46" w:history="1">
        <w:r w:rsidRPr="0009201F">
          <w:rPr>
            <w:rStyle w:val="Hyperlink"/>
            <w:rFonts w:eastAsia="Times" w:cstheme="minorHAnsi"/>
          </w:rPr>
          <w:t>ABARES website.</w:t>
        </w:r>
      </w:hyperlink>
    </w:p>
    <w:p w14:paraId="166ECE75" w14:textId="77777777" w:rsidR="003B4D1B" w:rsidRPr="0079226B" w:rsidRDefault="003B4D1B" w:rsidP="003B4D1B">
      <w:pPr>
        <w:tabs>
          <w:tab w:val="left" w:pos="284"/>
          <w:tab w:val="left" w:pos="567"/>
          <w:tab w:val="left" w:pos="851"/>
        </w:tabs>
        <w:jc w:val="both"/>
        <w:rPr>
          <w:rFonts w:eastAsia="Times" w:cstheme="minorHAnsi"/>
          <w:color w:val="333333"/>
          <w:szCs w:val="20"/>
        </w:rPr>
      </w:pPr>
      <w:r w:rsidRPr="0079226B">
        <w:rPr>
          <w:rFonts w:eastAsia="Times" w:cstheme="minorHAnsi"/>
          <w:color w:val="333333"/>
          <w:szCs w:val="20"/>
        </w:rPr>
        <w:t xml:space="preserve">Further information on the SSJF Harvest Strategy can be found on the </w:t>
      </w:r>
      <w:hyperlink r:id="rId47" w:history="1">
        <w:r w:rsidRPr="0079226B">
          <w:rPr>
            <w:rStyle w:val="Hyperlink"/>
            <w:rFonts w:eastAsia="Times" w:cstheme="minorHAnsi"/>
            <w:szCs w:val="20"/>
          </w:rPr>
          <w:t>AFMA website</w:t>
        </w:r>
      </w:hyperlink>
      <w:r w:rsidRPr="0079226B">
        <w:rPr>
          <w:rFonts w:eastAsia="Times" w:cstheme="minorHAnsi"/>
          <w:szCs w:val="20"/>
        </w:rPr>
        <w:t xml:space="preserve"> </w:t>
      </w:r>
      <w:r w:rsidRPr="0079226B">
        <w:rPr>
          <w:rFonts w:eastAsia="Times" w:cstheme="minorHAnsi"/>
          <w:color w:val="333333"/>
          <w:szCs w:val="20"/>
        </w:rPr>
        <w:t>(‘Fisheries management’ – ‘Fisheries’ – ‘Southern Squid Jig Fishery’).</w:t>
      </w:r>
    </w:p>
    <w:p w14:paraId="3150973A" w14:textId="77777777" w:rsidR="00FF06FA" w:rsidRDefault="00FF06FA" w:rsidP="00074901">
      <w:pPr>
        <w:rPr>
          <w:rFonts w:cstheme="minorHAnsi"/>
          <w:b/>
          <w:bCs/>
          <w:color w:val="333333"/>
          <w:sz w:val="24"/>
          <w:szCs w:val="24"/>
        </w:rPr>
      </w:pPr>
    </w:p>
    <w:p w14:paraId="36335391" w14:textId="05097968" w:rsidR="00487563" w:rsidRPr="00A52691" w:rsidRDefault="00C84B89" w:rsidP="00A52691">
      <w:pPr>
        <w:rPr>
          <w:rFonts w:cstheme="minorHAnsi"/>
          <w:b/>
          <w:bCs/>
          <w:color w:val="333333"/>
          <w:sz w:val="24"/>
          <w:szCs w:val="24"/>
        </w:rPr>
      </w:pPr>
      <w:r w:rsidRPr="00A52691">
        <w:rPr>
          <w:rFonts w:cstheme="minorHAnsi"/>
          <w:b/>
          <w:bCs/>
          <w:color w:val="333333"/>
          <w:sz w:val="24"/>
          <w:szCs w:val="24"/>
        </w:rPr>
        <w:t xml:space="preserve">Research </w:t>
      </w:r>
      <w:r w:rsidR="00B6139C" w:rsidRPr="00A52691">
        <w:rPr>
          <w:rFonts w:cstheme="minorHAnsi"/>
          <w:b/>
          <w:bCs/>
          <w:color w:val="333333"/>
          <w:sz w:val="24"/>
          <w:szCs w:val="24"/>
        </w:rPr>
        <w:t>And Monitoring</w:t>
      </w:r>
    </w:p>
    <w:p w14:paraId="2F00BFBF" w14:textId="10FC4614" w:rsidR="005F01C4" w:rsidRPr="00A52691" w:rsidRDefault="00025CF0" w:rsidP="003D1236">
      <w:pPr>
        <w:spacing w:after="120"/>
        <w:jc w:val="both"/>
      </w:pPr>
      <w:r w:rsidRPr="00A52691">
        <w:lastRenderedPageBreak/>
        <w:t>ABARES has finalised the project ‘</w:t>
      </w:r>
      <w:hyperlink r:id="rId48" w:history="1">
        <w:r w:rsidR="00DF5466" w:rsidRPr="00DF5466">
          <w:rPr>
            <w:rStyle w:val="Hyperlink"/>
          </w:rPr>
          <w:t>CPUE standardisation for Gould’s squid caught in the Commonwealth Trawl Sector and Southern Squid Jig Fishery’</w:t>
        </w:r>
      </w:hyperlink>
      <w:r w:rsidRPr="00A52691">
        <w:t>. The aim of this project was to investigate approaches to standardise CPUE and assess the utility of nominal and standardised CPUE indicators to support the review and implementation of a revised SSJF Harvest Strategy. A key outcome of the study was that data availability, particularly deficiencies in logbook data, significantly affected the ability to conduct reliable CPUE standardisations. The report identifies existing data gaps regarding logbooks and provides recommendations for improvement of data. AFMA have commenced work with ABARES to implement priority recommendations.</w:t>
      </w:r>
    </w:p>
    <w:p w14:paraId="2F98425D" w14:textId="77777777" w:rsidR="0052315E" w:rsidRPr="00C45324" w:rsidRDefault="0052315E" w:rsidP="00A25D83">
      <w:pPr>
        <w:spacing w:after="120"/>
        <w:jc w:val="both"/>
        <w:rPr>
          <w:rFonts w:cstheme="minorHAnsi"/>
          <w:b/>
          <w:bCs/>
          <w:color w:val="333333"/>
          <w:sz w:val="24"/>
          <w:szCs w:val="24"/>
        </w:rPr>
      </w:pPr>
    </w:p>
    <w:p w14:paraId="688310CB" w14:textId="56303C9E" w:rsidR="00B8718A" w:rsidRPr="00C45324" w:rsidRDefault="00B8718A" w:rsidP="00B8718A">
      <w:pPr>
        <w:rPr>
          <w:rFonts w:cstheme="minorHAnsi"/>
          <w:b/>
          <w:bCs/>
          <w:color w:val="333333"/>
          <w:sz w:val="24"/>
          <w:szCs w:val="24"/>
        </w:rPr>
      </w:pPr>
      <w:r w:rsidRPr="00C45324">
        <w:rPr>
          <w:rFonts w:cstheme="minorHAnsi"/>
          <w:b/>
          <w:bCs/>
          <w:color w:val="333333"/>
          <w:sz w:val="24"/>
          <w:szCs w:val="24"/>
        </w:rPr>
        <w:t>Climate Adaptation Program</w:t>
      </w:r>
    </w:p>
    <w:p w14:paraId="072830DD" w14:textId="77777777" w:rsidR="00B8718A" w:rsidRPr="006A6A6F" w:rsidRDefault="00B8718A" w:rsidP="00B8718A">
      <w:r w:rsidRPr="006A6A6F">
        <w:t>AFMA’s Climate Adaptation Program is implementing a range of measures to incorporate climate change information and risks into decision making frameworks, to ensure that management of Commonwealth fisheries is adaptive to the impacts of climate change.</w:t>
      </w:r>
    </w:p>
    <w:p w14:paraId="6A5B10CD" w14:textId="77777777" w:rsidR="00357073" w:rsidRPr="00751F2E" w:rsidRDefault="00357073" w:rsidP="00357073">
      <w:pPr>
        <w:spacing w:line="240" w:lineRule="auto"/>
        <w:rPr>
          <w:rFonts w:cstheme="minorHAnsi"/>
          <w:color w:val="333333"/>
        </w:rPr>
      </w:pPr>
      <w:r>
        <w:rPr>
          <w:rFonts w:cstheme="minorHAnsi"/>
          <w:color w:val="333333"/>
        </w:rPr>
        <w:t>T</w:t>
      </w:r>
      <w:r w:rsidRPr="00061A98">
        <w:rPr>
          <w:rFonts w:cstheme="minorHAnsi"/>
          <w:color w:val="333333"/>
        </w:rPr>
        <w:t xml:space="preserve">he </w:t>
      </w:r>
      <w:hyperlink r:id="rId49" w:history="1">
        <w:r w:rsidRPr="00061A98">
          <w:rPr>
            <w:rStyle w:val="Hyperlink"/>
            <w:rFonts w:cstheme="minorHAnsi"/>
          </w:rPr>
          <w:t>Climate Risk Framework (CRF)</w:t>
        </w:r>
      </w:hyperlink>
      <w:r w:rsidRPr="00061A98">
        <w:rPr>
          <w:rFonts w:cstheme="minorHAnsi"/>
          <w:color w:val="333333"/>
        </w:rPr>
        <w:t xml:space="preserve"> is currently being trialled across a number of AFMA-managed fisheries</w:t>
      </w:r>
      <w:r>
        <w:rPr>
          <w:rFonts w:cstheme="minorHAnsi"/>
          <w:color w:val="333333"/>
        </w:rPr>
        <w:t>. T</w:t>
      </w:r>
      <w:r w:rsidRPr="00061A98">
        <w:rPr>
          <w:rFonts w:cstheme="minorHAnsi"/>
          <w:color w:val="333333"/>
        </w:rPr>
        <w:t>he Framework details a risk assessment process designed to integrate with existing management frameworks to respond to climate change impacts.</w:t>
      </w:r>
      <w:r>
        <w:rPr>
          <w:rFonts w:cstheme="minorHAnsi"/>
          <w:color w:val="333333"/>
        </w:rPr>
        <w:t xml:space="preserve"> </w:t>
      </w:r>
      <w:r w:rsidRPr="00751F2E">
        <w:rPr>
          <w:rFonts w:cstheme="minorHAnsi"/>
          <w:color w:val="333333"/>
        </w:rPr>
        <w:t>The Framework employs a four-step process designed to:</w:t>
      </w:r>
    </w:p>
    <w:p w14:paraId="42A08A06" w14:textId="77777777" w:rsidR="00357073" w:rsidRPr="00FD03D6" w:rsidRDefault="00357073" w:rsidP="00357073">
      <w:pPr>
        <w:pStyle w:val="ListParagraph"/>
        <w:numPr>
          <w:ilvl w:val="0"/>
          <w:numId w:val="42"/>
        </w:numPr>
        <w:spacing w:line="240" w:lineRule="auto"/>
        <w:rPr>
          <w:rFonts w:cstheme="minorHAnsi"/>
          <w:color w:val="333333"/>
        </w:rPr>
      </w:pPr>
      <w:r w:rsidRPr="00FD03D6">
        <w:rPr>
          <w:rFonts w:cstheme="minorHAnsi"/>
          <w:color w:val="333333"/>
        </w:rPr>
        <w:t xml:space="preserve">Evaluate the overall risk to a species, integrating climate change impacts with the stock's biological status, using the best available </w:t>
      </w:r>
      <w:proofErr w:type="gramStart"/>
      <w:r w:rsidRPr="00FD03D6">
        <w:rPr>
          <w:rFonts w:cstheme="minorHAnsi"/>
          <w:color w:val="333333"/>
        </w:rPr>
        <w:t>information;</w:t>
      </w:r>
      <w:proofErr w:type="gramEnd"/>
    </w:p>
    <w:p w14:paraId="23DBE432" w14:textId="77777777" w:rsidR="00357073" w:rsidRPr="00FD03D6" w:rsidRDefault="00357073" w:rsidP="00357073">
      <w:pPr>
        <w:pStyle w:val="ListParagraph"/>
        <w:numPr>
          <w:ilvl w:val="0"/>
          <w:numId w:val="42"/>
        </w:numPr>
        <w:spacing w:line="240" w:lineRule="auto"/>
        <w:rPr>
          <w:rFonts w:cstheme="minorHAnsi"/>
          <w:color w:val="333333"/>
        </w:rPr>
      </w:pPr>
      <w:r w:rsidRPr="00FD03D6">
        <w:rPr>
          <w:rFonts w:cstheme="minorHAnsi"/>
          <w:color w:val="333333"/>
        </w:rPr>
        <w:t xml:space="preserve">Evaluate whether current science, management, or industry adaptation strategies offer adequately responsive measures for the full spectrum of climate change impacts, both positive and </w:t>
      </w:r>
      <w:proofErr w:type="gramStart"/>
      <w:r w:rsidRPr="00FD03D6">
        <w:rPr>
          <w:rFonts w:cstheme="minorHAnsi"/>
          <w:color w:val="333333"/>
        </w:rPr>
        <w:t>negative;</w:t>
      </w:r>
      <w:proofErr w:type="gramEnd"/>
    </w:p>
    <w:p w14:paraId="45CE07BD" w14:textId="77777777" w:rsidR="00357073" w:rsidRPr="00FD03D6" w:rsidRDefault="00357073" w:rsidP="00357073">
      <w:pPr>
        <w:pStyle w:val="ListParagraph"/>
        <w:numPr>
          <w:ilvl w:val="0"/>
          <w:numId w:val="42"/>
        </w:numPr>
        <w:spacing w:line="240" w:lineRule="auto"/>
        <w:rPr>
          <w:rFonts w:cstheme="minorHAnsi"/>
          <w:color w:val="333333"/>
        </w:rPr>
      </w:pPr>
      <w:r w:rsidRPr="00FD03D6">
        <w:rPr>
          <w:rFonts w:cstheme="minorHAnsi"/>
          <w:color w:val="333333"/>
        </w:rPr>
        <w:t>Determine the residual risk to a species; and</w:t>
      </w:r>
    </w:p>
    <w:p w14:paraId="0C0BB2A2" w14:textId="77777777" w:rsidR="00357073" w:rsidRPr="00FD03D6" w:rsidRDefault="00357073" w:rsidP="00357073">
      <w:pPr>
        <w:pStyle w:val="ListParagraph"/>
        <w:numPr>
          <w:ilvl w:val="0"/>
          <w:numId w:val="42"/>
        </w:numPr>
        <w:spacing w:line="240" w:lineRule="auto"/>
        <w:rPr>
          <w:rFonts w:cstheme="minorHAnsi"/>
          <w:color w:val="333333"/>
        </w:rPr>
      </w:pPr>
      <w:r w:rsidRPr="00FD03D6">
        <w:rPr>
          <w:rFonts w:cstheme="minorHAnsi"/>
          <w:color w:val="333333"/>
        </w:rPr>
        <w:t>Where necessary, recommend to the AFMA Commission any supplementary measures needed to respond to climate change impacts.</w:t>
      </w:r>
    </w:p>
    <w:p w14:paraId="6145CDD9" w14:textId="77777777" w:rsidR="00B8718A" w:rsidRPr="006A6A6F" w:rsidRDefault="00B8718A" w:rsidP="00B8718A">
      <w:r w:rsidRPr="006A6A6F">
        <w:t xml:space="preserve">AFMA established a Working Group to support the trial implementation of the CRF and provide strategic advice to the AFMA Commission and AFMA Management on the development, coordination and implementation of the CRF across Commonwealth fisheries. </w:t>
      </w:r>
    </w:p>
    <w:p w14:paraId="10856512" w14:textId="1DD80FEE" w:rsidR="00B8718A" w:rsidRDefault="00DA67B6" w:rsidP="00B8718A">
      <w:r w:rsidRPr="00DA67B6">
        <w:t xml:space="preserve">A range of </w:t>
      </w:r>
      <w:r w:rsidR="00745A50">
        <w:t>fishery climate and ecosystem status reports</w:t>
      </w:r>
      <w:r w:rsidR="00F24D58">
        <w:t xml:space="preserve"> </w:t>
      </w:r>
      <w:r w:rsidRPr="00DA67B6">
        <w:t>are available on the AFMA website that provide information on expected impacts of climate change on AFMA-managed fisheries.</w:t>
      </w:r>
      <w:r w:rsidR="00A76463">
        <w:t xml:space="preserve"> </w:t>
      </w:r>
      <w:r w:rsidR="00A76463" w:rsidRPr="00D14A90">
        <w:t xml:space="preserve">Of </w:t>
      </w:r>
      <w:proofErr w:type="gramStart"/>
      <w:r w:rsidR="00A76463" w:rsidRPr="00D14A90">
        <w:t>particular relevance</w:t>
      </w:r>
      <w:proofErr w:type="gramEnd"/>
      <w:r w:rsidR="00A76463" w:rsidRPr="00D14A90">
        <w:t xml:space="preserve"> is the Climate &amp; Ecosystem Status Report for the Southern Squid Jig Fishery (September 2023), which offers insights into environmental trends and their implications for squid populations and fishery operations. The report is available at: </w:t>
      </w:r>
      <w:hyperlink r:id="rId50" w:tgtFrame="_blank" w:history="1">
        <w:r w:rsidR="00A76463" w:rsidRPr="00D14A90">
          <w:rPr>
            <w:rStyle w:val="Hyperlink"/>
          </w:rPr>
          <w:t>Southern Squid Jig Fishery Climate Report</w:t>
        </w:r>
      </w:hyperlink>
      <w:r w:rsidR="00A76463" w:rsidRPr="00D14A90">
        <w:t>."</w:t>
      </w:r>
    </w:p>
    <w:p w14:paraId="420F07AD" w14:textId="4BA9011F" w:rsidR="00A01F74" w:rsidRDefault="00A01F74" w:rsidP="00B8718A">
      <w:pPr>
        <w:rPr>
          <w:b/>
          <w:bCs/>
        </w:rPr>
      </w:pPr>
      <w:r w:rsidRPr="00A25D83">
        <w:rPr>
          <w:b/>
          <w:bCs/>
        </w:rPr>
        <w:t>Electronic Logbooks</w:t>
      </w:r>
    </w:p>
    <w:p w14:paraId="3EF61E48" w14:textId="558EDEE7" w:rsidR="00632E6B" w:rsidRPr="00A25D83" w:rsidRDefault="00632E6B" w:rsidP="00B8718A">
      <w:r w:rsidRPr="00A25D83">
        <w:t>In July 2022, AFMA mandated the use of logbooks or electronic logbooks (</w:t>
      </w:r>
      <w:proofErr w:type="spellStart"/>
      <w:r w:rsidRPr="00A25D83">
        <w:t>elogs</w:t>
      </w:r>
      <w:proofErr w:type="spellEnd"/>
      <w:r w:rsidRPr="00A25D83">
        <w:t>) across Commonwealth fisheries. There is no longer an exemption for a concession holder that has fished less than 50 days in the current or previous fishing season.</w:t>
      </w:r>
    </w:p>
    <w:p w14:paraId="146D9A65" w14:textId="77777777" w:rsidR="00A01F74" w:rsidRPr="00A25D83" w:rsidRDefault="00A01F74" w:rsidP="00B8718A">
      <w:pPr>
        <w:rPr>
          <w:b/>
          <w:bCs/>
        </w:rPr>
      </w:pPr>
    </w:p>
    <w:p w14:paraId="6AA01842" w14:textId="6479D88B" w:rsidR="00FB1262" w:rsidRPr="00FB1262" w:rsidRDefault="00F0141E" w:rsidP="00314F4F">
      <w:pPr>
        <w:pStyle w:val="Heading1"/>
      </w:pPr>
      <w:bookmarkStart w:id="21" w:name="_Toc210975453"/>
      <w:r>
        <w:rPr>
          <w:bCs/>
          <w:sz w:val="36"/>
          <w:szCs w:val="36"/>
        </w:rPr>
        <w:lastRenderedPageBreak/>
        <w:t xml:space="preserve">Monitoring and </w:t>
      </w:r>
      <w:r w:rsidR="00685ED0">
        <w:rPr>
          <w:bCs/>
          <w:sz w:val="36"/>
          <w:szCs w:val="36"/>
        </w:rPr>
        <w:t>d</w:t>
      </w:r>
      <w:r w:rsidR="00FB1262" w:rsidRPr="00527876">
        <w:rPr>
          <w:bCs/>
          <w:sz w:val="36"/>
          <w:szCs w:val="36"/>
        </w:rPr>
        <w:t xml:space="preserve">ata </w:t>
      </w:r>
      <w:r w:rsidR="00685ED0">
        <w:rPr>
          <w:bCs/>
          <w:sz w:val="36"/>
          <w:szCs w:val="36"/>
        </w:rPr>
        <w:t>c</w:t>
      </w:r>
      <w:r w:rsidR="00FB1262" w:rsidRPr="00527876">
        <w:rPr>
          <w:bCs/>
          <w:sz w:val="36"/>
          <w:szCs w:val="36"/>
        </w:rPr>
        <w:t>ollection</w:t>
      </w:r>
      <w:bookmarkEnd w:id="21"/>
    </w:p>
    <w:p w14:paraId="2C26D3BF" w14:textId="4F85E283" w:rsidR="00FB1262" w:rsidRDefault="00F0141E" w:rsidP="00F0141E">
      <w:pPr>
        <w:pStyle w:val="Heading2"/>
      </w:pPr>
      <w:bookmarkStart w:id="22" w:name="_Toc210975454"/>
      <w:r>
        <w:t>D</w:t>
      </w:r>
      <w:r w:rsidR="00FB1262" w:rsidRPr="00527876">
        <w:t>ata collection</w:t>
      </w:r>
      <w:r w:rsidR="00DC1E91">
        <w:t>, data validation and data monitoring</w:t>
      </w:r>
      <w:r w:rsidR="00FB1262" w:rsidRPr="00527876">
        <w:t xml:space="preserve"> program</w:t>
      </w:r>
      <w:r>
        <w:t>s</w:t>
      </w:r>
      <w:bookmarkEnd w:id="22"/>
    </w:p>
    <w:p w14:paraId="0F13A148" w14:textId="7F7DC51C" w:rsidR="007575E7" w:rsidRPr="00A25D83" w:rsidRDefault="007575E7" w:rsidP="007575E7">
      <w:pPr>
        <w:rPr>
          <w:color w:val="000000"/>
        </w:rPr>
      </w:pPr>
      <w:r>
        <w:t>The monitoring program for the SSJF includes information collected through daily catch and effort logbooks and catch disposal records (CDRs). An overview of the monitoring program is provided below</w:t>
      </w:r>
      <w:r w:rsidR="004B280A">
        <w:t xml:space="preserve">. </w:t>
      </w:r>
      <w:r w:rsidR="00B85126" w:rsidRPr="006A6A6F">
        <w:rPr>
          <w:color w:val="000000"/>
        </w:rPr>
        <w:t>This information can be verified against multiple sources including independent studies, vessel monitoring systems</w:t>
      </w:r>
      <w:r w:rsidR="00B85126">
        <w:rPr>
          <w:color w:val="000000"/>
        </w:rPr>
        <w:t xml:space="preserve"> and </w:t>
      </w:r>
      <w:proofErr w:type="gramStart"/>
      <w:r w:rsidR="00B85126">
        <w:rPr>
          <w:color w:val="000000"/>
        </w:rPr>
        <w:t>on board</w:t>
      </w:r>
      <w:proofErr w:type="gramEnd"/>
      <w:r w:rsidR="00B85126">
        <w:rPr>
          <w:color w:val="000000"/>
        </w:rPr>
        <w:t xml:space="preserve"> scientific observers.</w:t>
      </w:r>
    </w:p>
    <w:p w14:paraId="7F1F12D5" w14:textId="77777777" w:rsidR="007575E7" w:rsidRPr="00D14A90" w:rsidRDefault="007575E7" w:rsidP="007575E7">
      <w:pPr>
        <w:rPr>
          <w:b/>
          <w:bCs/>
        </w:rPr>
      </w:pPr>
      <w:r w:rsidRPr="00D14A90">
        <w:rPr>
          <w:b/>
          <w:bCs/>
          <w:color w:val="000000"/>
        </w:rPr>
        <w:t>Logbooks</w:t>
      </w:r>
      <w:r w:rsidRPr="00D14A90">
        <w:rPr>
          <w:b/>
          <w:bCs/>
        </w:rPr>
        <w:t xml:space="preserve"> </w:t>
      </w:r>
    </w:p>
    <w:p w14:paraId="662260C0" w14:textId="6BAC7A6B" w:rsidR="007575E7" w:rsidRDefault="007575E7" w:rsidP="007575E7">
      <w:r>
        <w:t xml:space="preserve">All concession holders in the SSJF are required to complete paper and/or electronic logbooks. Squid jig operations must complete the </w:t>
      </w:r>
      <w:hyperlink r:id="rId51" w:history="1">
        <w:r w:rsidRPr="00D07F6E">
          <w:rPr>
            <w:rStyle w:val="Hyperlink"/>
          </w:rPr>
          <w:t>Squid Jigging Daily Fishing Log (SQ05</w:t>
        </w:r>
      </w:hyperlink>
      <w:r w:rsidR="00394959">
        <w:t>)</w:t>
      </w:r>
      <w:r>
        <w:t xml:space="preserve">. Logbooks provide for the recording of information on the vessel, operator, gear, location, time and catch for each fishing operation. Information on bycatch species, interactions with </w:t>
      </w:r>
      <w:r w:rsidR="00670143">
        <w:t xml:space="preserve">ETP </w:t>
      </w:r>
      <w:r>
        <w:t xml:space="preserve">species and other trip observations including discard rates are also collected. Accurate data from logbooks allow AFMA to monitor bycatch and discards in the fishery and respond to any emerging issues. </w:t>
      </w:r>
    </w:p>
    <w:p w14:paraId="02DC51FE" w14:textId="77777777" w:rsidR="0091329E" w:rsidRPr="0039734C" w:rsidRDefault="0091329E" w:rsidP="0091329E">
      <w:pPr>
        <w:spacing w:before="160"/>
        <w:jc w:val="both"/>
        <w:rPr>
          <w:rFonts w:cstheme="minorHAnsi"/>
          <w:b/>
          <w:bCs/>
          <w:color w:val="333333"/>
        </w:rPr>
      </w:pPr>
      <w:r w:rsidRPr="0039734C">
        <w:rPr>
          <w:rFonts w:cstheme="minorHAnsi"/>
          <w:b/>
          <w:bCs/>
          <w:color w:val="333333"/>
        </w:rPr>
        <w:t>Electronic logbooks (</w:t>
      </w:r>
      <w:proofErr w:type="spellStart"/>
      <w:r w:rsidRPr="0039734C">
        <w:rPr>
          <w:rFonts w:cstheme="minorHAnsi"/>
          <w:b/>
          <w:bCs/>
          <w:color w:val="333333"/>
        </w:rPr>
        <w:t>e</w:t>
      </w:r>
      <w:r>
        <w:rPr>
          <w:rFonts w:cstheme="minorHAnsi"/>
          <w:b/>
          <w:bCs/>
          <w:color w:val="333333"/>
        </w:rPr>
        <w:t>L</w:t>
      </w:r>
      <w:r w:rsidRPr="0039734C">
        <w:rPr>
          <w:rFonts w:cstheme="minorHAnsi"/>
          <w:b/>
          <w:bCs/>
          <w:color w:val="333333"/>
        </w:rPr>
        <w:t>ogs</w:t>
      </w:r>
      <w:proofErr w:type="spellEnd"/>
      <w:r w:rsidRPr="0039734C">
        <w:rPr>
          <w:rFonts w:cstheme="minorHAnsi"/>
          <w:b/>
          <w:bCs/>
          <w:color w:val="333333"/>
        </w:rPr>
        <w:t>)</w:t>
      </w:r>
    </w:p>
    <w:p w14:paraId="4E28ECD5" w14:textId="215255B9" w:rsidR="006F4624" w:rsidRPr="00CB2FF5" w:rsidRDefault="006F4624" w:rsidP="006F4624">
      <w:r w:rsidRPr="006A6A6F">
        <w:t xml:space="preserve">E-logs are used across all commonwealth fisheries </w:t>
      </w:r>
      <w:r>
        <w:t>and AFMA encourages operators in the SSJF</w:t>
      </w:r>
      <w:r w:rsidRPr="006A6A6F">
        <w:t xml:space="preserve"> </w:t>
      </w:r>
      <w:r>
        <w:t xml:space="preserve">to use electronic CDR’s </w:t>
      </w:r>
      <w:r w:rsidRPr="006A6A6F">
        <w:t xml:space="preserve">for the completion and transmission of logbook returns. They have been mandatory for operators </w:t>
      </w:r>
      <w:r>
        <w:t xml:space="preserve">in other sectors to </w:t>
      </w:r>
      <w:r w:rsidRPr="006A6A6F">
        <w:t xml:space="preserve">promote more accurate and timely data. E-logs must be submitted prior to the boat docking. </w:t>
      </w:r>
    </w:p>
    <w:p w14:paraId="4FE68AD4" w14:textId="77777777" w:rsidR="007575E7" w:rsidRPr="00D14A90" w:rsidRDefault="007575E7" w:rsidP="007575E7">
      <w:pPr>
        <w:rPr>
          <w:b/>
          <w:bCs/>
        </w:rPr>
      </w:pPr>
      <w:r w:rsidRPr="00D14A90">
        <w:rPr>
          <w:b/>
          <w:bCs/>
        </w:rPr>
        <w:t>Catch disposal records (CDRs)</w:t>
      </w:r>
    </w:p>
    <w:p w14:paraId="4121C713" w14:textId="109573F4" w:rsidR="008D3740" w:rsidRPr="004B166D" w:rsidRDefault="008D3740" w:rsidP="008D3740">
      <w:pPr>
        <w:rPr>
          <w:rFonts w:cstheme="minorHAnsi"/>
        </w:rPr>
      </w:pPr>
      <w:r w:rsidRPr="004B166D">
        <w:rPr>
          <w:rFonts w:cstheme="minorHAnsi"/>
        </w:rPr>
        <w:t>Catch Disposal Records (</w:t>
      </w:r>
      <w:hyperlink r:id="rId52" w:history="1">
        <w:r w:rsidRPr="009A05A8">
          <w:rPr>
            <w:rStyle w:val="Hyperlink"/>
            <w:rFonts w:cstheme="minorHAnsi"/>
          </w:rPr>
          <w:t>CDRs</w:t>
        </w:r>
      </w:hyperlink>
      <w:r w:rsidRPr="004B166D">
        <w:rPr>
          <w:rFonts w:cstheme="minorHAnsi"/>
        </w:rPr>
        <w:t xml:space="preserve">) provide a means to verify information recorded in the daily fishing logbooks and provides accurate weights for each species landed. </w:t>
      </w:r>
    </w:p>
    <w:p w14:paraId="47DEE8C3" w14:textId="4BEF4222" w:rsidR="008D3740" w:rsidRDefault="008D3740" w:rsidP="008D3740">
      <w:pPr>
        <w:rPr>
          <w:rFonts w:cstheme="minorHAnsi"/>
        </w:rPr>
      </w:pPr>
      <w:r w:rsidRPr="004B166D">
        <w:rPr>
          <w:rFonts w:cstheme="minorHAnsi"/>
        </w:rPr>
        <w:t>Operators in the SSJF are not required to land their catch to</w:t>
      </w:r>
      <w:r>
        <w:rPr>
          <w:rFonts w:cstheme="minorHAnsi"/>
        </w:rPr>
        <w:t xml:space="preserve"> licens</w:t>
      </w:r>
      <w:r w:rsidRPr="004B166D">
        <w:rPr>
          <w:rFonts w:cstheme="minorHAnsi"/>
        </w:rPr>
        <w:t xml:space="preserve">ed Fish Receiver Permit Holders, like most Commonwealth fisheries, instead the catch must </w:t>
      </w:r>
      <w:r w:rsidR="00521795">
        <w:rPr>
          <w:rFonts w:cstheme="minorHAnsi"/>
        </w:rPr>
        <w:t xml:space="preserve">be </w:t>
      </w:r>
      <w:r w:rsidRPr="004B166D">
        <w:rPr>
          <w:rFonts w:cstheme="minorHAnsi"/>
        </w:rPr>
        <w:t xml:space="preserve">accurately weighed at the point of </w:t>
      </w:r>
      <w:proofErr w:type="gramStart"/>
      <w:r w:rsidRPr="004B166D">
        <w:rPr>
          <w:rFonts w:cstheme="minorHAnsi"/>
        </w:rPr>
        <w:t>unload</w:t>
      </w:r>
      <w:proofErr w:type="gramEnd"/>
      <w:r w:rsidRPr="004B166D">
        <w:rPr>
          <w:rFonts w:cstheme="minorHAnsi"/>
        </w:rPr>
        <w:t xml:space="preserve"> and a CDR is completed before it is transported.</w:t>
      </w:r>
    </w:p>
    <w:p w14:paraId="16376AB0" w14:textId="77777777" w:rsidR="008D3740" w:rsidRDefault="008D3740" w:rsidP="008D3740">
      <w:pPr>
        <w:rPr>
          <w:rFonts w:cstheme="minorHAnsi"/>
          <w:b/>
        </w:rPr>
      </w:pPr>
      <w:r w:rsidRPr="00037F2E">
        <w:rPr>
          <w:rFonts w:cstheme="minorHAnsi"/>
          <w:b/>
        </w:rPr>
        <w:t>Electronic CDRs</w:t>
      </w:r>
    </w:p>
    <w:p w14:paraId="3AE9EB35" w14:textId="19429F9D" w:rsidR="008D3740" w:rsidRDefault="008D3740" w:rsidP="008D3740">
      <w:pPr>
        <w:rPr>
          <w:rFonts w:cstheme="minorHAnsi"/>
        </w:rPr>
      </w:pPr>
      <w:r w:rsidRPr="00ED701C">
        <w:rPr>
          <w:rFonts w:cstheme="minorHAnsi"/>
        </w:rPr>
        <w:t>Electronic CDRs (</w:t>
      </w:r>
      <w:proofErr w:type="spellStart"/>
      <w:r w:rsidRPr="00ED701C">
        <w:rPr>
          <w:rFonts w:cstheme="minorHAnsi"/>
        </w:rPr>
        <w:t>eCDRs</w:t>
      </w:r>
      <w:proofErr w:type="spellEnd"/>
      <w:r w:rsidRPr="00ED701C">
        <w:rPr>
          <w:rFonts w:cstheme="minorHAnsi"/>
        </w:rPr>
        <w:t>) were trialled in the 2022 fishing season and remain voluntary in the SSJF.</w:t>
      </w:r>
    </w:p>
    <w:p w14:paraId="6CAC2475" w14:textId="77777777" w:rsidR="008D3740" w:rsidRPr="004B166D" w:rsidRDefault="008D3740" w:rsidP="008D3740">
      <w:pPr>
        <w:rPr>
          <w:rFonts w:cstheme="minorHAnsi"/>
          <w:b/>
        </w:rPr>
      </w:pPr>
      <w:r w:rsidRPr="004B166D">
        <w:rPr>
          <w:rFonts w:cstheme="minorHAnsi"/>
          <w:b/>
        </w:rPr>
        <w:t>Vessel Monitoring Systems</w:t>
      </w:r>
    </w:p>
    <w:p w14:paraId="22FF83D5" w14:textId="77777777" w:rsidR="008D3740" w:rsidRPr="004B166D" w:rsidRDefault="008D3740" w:rsidP="008D3740">
      <w:pPr>
        <w:tabs>
          <w:tab w:val="left" w:pos="1215"/>
        </w:tabs>
        <w:rPr>
          <w:rFonts w:cstheme="minorHAnsi"/>
        </w:rPr>
      </w:pPr>
      <w:r w:rsidRPr="004B166D">
        <w:rPr>
          <w:rFonts w:cstheme="minorHAnsi"/>
        </w:rPr>
        <w:t xml:space="preserve">Vessel Monitoring Systems (VMS) provide AFMA with near real time information to effectively monitor the movements of all Commonwealth endorsed fishing boats. Each VMS unit routinely produces positional reports which contain information including the boat’s current location, course and </w:t>
      </w:r>
      <w:proofErr w:type="gramStart"/>
      <w:r w:rsidRPr="004B166D">
        <w:rPr>
          <w:rFonts w:cstheme="minorHAnsi"/>
        </w:rPr>
        <w:t>speed;</w:t>
      </w:r>
      <w:proofErr w:type="gramEnd"/>
      <w:r w:rsidRPr="004B166D">
        <w:rPr>
          <w:rFonts w:cstheme="minorHAnsi"/>
        </w:rPr>
        <w:t xml:space="preserve"> for the purpose of domestic compliance, fisheries management and research.</w:t>
      </w:r>
    </w:p>
    <w:p w14:paraId="4A5A6AE3" w14:textId="77777777" w:rsidR="008D3740" w:rsidRPr="004B166D" w:rsidRDefault="008D3740" w:rsidP="008D3740">
      <w:pPr>
        <w:rPr>
          <w:rFonts w:cstheme="minorHAnsi"/>
          <w:b/>
        </w:rPr>
      </w:pPr>
      <w:r w:rsidRPr="004B166D">
        <w:rPr>
          <w:rFonts w:cstheme="minorHAnsi"/>
          <w:b/>
        </w:rPr>
        <w:t>Observer Program and port sampling</w:t>
      </w:r>
    </w:p>
    <w:p w14:paraId="09C375A9" w14:textId="52E141D2" w:rsidR="008D3740" w:rsidRPr="004B166D" w:rsidRDefault="008D3740" w:rsidP="008D3740">
      <w:pPr>
        <w:rPr>
          <w:rFonts w:cstheme="minorHAnsi"/>
        </w:rPr>
      </w:pPr>
      <w:r w:rsidRPr="004B166D">
        <w:rPr>
          <w:rFonts w:cstheme="minorHAnsi"/>
        </w:rPr>
        <w:t xml:space="preserve">Observer programs provide fisheries managers, research organisations, environmental agencies, industry and the wider community with independent, reliable, verified and accurate information on the fishing catch, effort and practice of Commonwealth boats. Data is collected by scientifically trained observers, either on-board the boats or in port when product is landed. An observer program can be used to verify logbook information; determine levels of interactions with </w:t>
      </w:r>
      <w:r w:rsidR="00670143">
        <w:rPr>
          <w:rFonts w:cstheme="minorHAnsi"/>
        </w:rPr>
        <w:t>ETP</w:t>
      </w:r>
      <w:r w:rsidR="00670143" w:rsidRPr="004B166D">
        <w:rPr>
          <w:rFonts w:cstheme="minorHAnsi"/>
        </w:rPr>
        <w:t xml:space="preserve"> </w:t>
      </w:r>
      <w:r w:rsidRPr="004B166D">
        <w:rPr>
          <w:rFonts w:cstheme="minorHAnsi"/>
        </w:rPr>
        <w:t xml:space="preserve">species; quantify levels of bycatch and status of discards and educate operators. </w:t>
      </w:r>
    </w:p>
    <w:p w14:paraId="2A859D27" w14:textId="77777777" w:rsidR="008D3740" w:rsidRDefault="008D3740" w:rsidP="008D3740">
      <w:pPr>
        <w:rPr>
          <w:rFonts w:cstheme="minorHAnsi"/>
        </w:rPr>
      </w:pPr>
      <w:r w:rsidRPr="004B166D">
        <w:rPr>
          <w:rFonts w:cstheme="minorHAnsi"/>
        </w:rPr>
        <w:lastRenderedPageBreak/>
        <w:t xml:space="preserve">There is no formal observer program in the fishery however concession holders may be required to carry an observer if there is a need identified by AFMA or </w:t>
      </w:r>
      <w:proofErr w:type="spellStart"/>
      <w:r w:rsidRPr="004B166D">
        <w:rPr>
          <w:rFonts w:cstheme="minorHAnsi"/>
        </w:rPr>
        <w:t>SquidRAG</w:t>
      </w:r>
      <w:proofErr w:type="spellEnd"/>
      <w:r w:rsidRPr="004B166D">
        <w:rPr>
          <w:rFonts w:cstheme="minorHAnsi"/>
        </w:rPr>
        <w:t xml:space="preserve">. </w:t>
      </w:r>
    </w:p>
    <w:p w14:paraId="36DC39FF" w14:textId="77777777" w:rsidR="008D3740" w:rsidRPr="004B166D" w:rsidRDefault="008D3740" w:rsidP="008D3740">
      <w:pPr>
        <w:tabs>
          <w:tab w:val="left" w:pos="1215"/>
        </w:tabs>
        <w:rPr>
          <w:rFonts w:cstheme="minorHAnsi"/>
          <w:b/>
        </w:rPr>
      </w:pPr>
      <w:r w:rsidRPr="004B166D">
        <w:rPr>
          <w:rFonts w:cstheme="minorHAnsi"/>
          <w:b/>
        </w:rPr>
        <w:t>Crew collected data program</w:t>
      </w:r>
    </w:p>
    <w:p w14:paraId="39A9B48B" w14:textId="77777777" w:rsidR="008D3740" w:rsidRPr="004B166D" w:rsidRDefault="008D3740" w:rsidP="008D3740">
      <w:pPr>
        <w:tabs>
          <w:tab w:val="left" w:pos="1215"/>
        </w:tabs>
        <w:rPr>
          <w:rFonts w:cstheme="minorHAnsi"/>
        </w:rPr>
      </w:pPr>
      <w:r w:rsidRPr="004B166D">
        <w:rPr>
          <w:rFonts w:cstheme="minorHAnsi"/>
        </w:rPr>
        <w:t xml:space="preserve">Crew collected data provides a </w:t>
      </w:r>
      <w:proofErr w:type="gramStart"/>
      <w:r w:rsidRPr="004B166D">
        <w:rPr>
          <w:rFonts w:cstheme="minorHAnsi"/>
        </w:rPr>
        <w:t>cost effective</w:t>
      </w:r>
      <w:proofErr w:type="gramEnd"/>
      <w:r w:rsidRPr="004B166D">
        <w:rPr>
          <w:rFonts w:cstheme="minorHAnsi"/>
        </w:rPr>
        <w:t xml:space="preserve"> alternative to an observer program, with data collected on-board by crew. Unlike the observer program, crew collected data is not independent and verified but can provide information on the fishing catch and effort. </w:t>
      </w:r>
    </w:p>
    <w:p w14:paraId="46B01E68" w14:textId="7D7B1A6B" w:rsidR="008D3740" w:rsidRPr="004B166D" w:rsidRDefault="008D3740" w:rsidP="00A25D83">
      <w:pPr>
        <w:tabs>
          <w:tab w:val="left" w:pos="1215"/>
        </w:tabs>
        <w:rPr>
          <w:rFonts w:cstheme="minorHAnsi"/>
        </w:rPr>
      </w:pPr>
      <w:r w:rsidRPr="004B166D">
        <w:rPr>
          <w:rFonts w:cstheme="minorHAnsi"/>
        </w:rPr>
        <w:t xml:space="preserve">Under a revised Data and Monitoring Strategy AFMA are </w:t>
      </w:r>
      <w:r>
        <w:rPr>
          <w:rFonts w:cstheme="minorHAnsi"/>
        </w:rPr>
        <w:t>considering</w:t>
      </w:r>
      <w:r w:rsidRPr="004B166D">
        <w:rPr>
          <w:rFonts w:cstheme="minorHAnsi"/>
        </w:rPr>
        <w:t xml:space="preserve"> establish</w:t>
      </w:r>
      <w:r>
        <w:rPr>
          <w:rFonts w:cstheme="minorHAnsi"/>
        </w:rPr>
        <w:t>ing</w:t>
      </w:r>
      <w:r w:rsidRPr="004B166D">
        <w:rPr>
          <w:rFonts w:cstheme="minorHAnsi"/>
        </w:rPr>
        <w:t xml:space="preserve"> a crew collected data program.</w:t>
      </w:r>
    </w:p>
    <w:p w14:paraId="185FA9F9" w14:textId="77777777" w:rsidR="00B077E6" w:rsidRPr="00026C2D" w:rsidRDefault="00B077E6" w:rsidP="00B077E6">
      <w:r w:rsidRPr="00026C2D">
        <w:rPr>
          <w:b/>
          <w:bCs/>
        </w:rPr>
        <w:t>Data management</w:t>
      </w:r>
      <w:r w:rsidRPr="00026C2D">
        <w:t xml:space="preserve"> </w:t>
      </w:r>
    </w:p>
    <w:p w14:paraId="29086B68" w14:textId="7A62CAEB" w:rsidR="00B077E6" w:rsidRPr="006A6A6F" w:rsidRDefault="00B077E6" w:rsidP="00B077E6">
      <w:pPr>
        <w:rPr>
          <w:rFonts w:ascii="Calibri" w:hAnsi="Calibri" w:cs="Calibri"/>
        </w:rPr>
      </w:pPr>
      <w:r w:rsidRPr="006A6A6F">
        <w:t xml:space="preserve">AFMA oversees the collection of large amounts of fishery data that are collected through methods outlined above. These data sources are collected via systems directly integrated into the AFMA database (e.g. electronic logbooks), via paper forms submitted and manually </w:t>
      </w:r>
      <w:proofErr w:type="gramStart"/>
      <w:r w:rsidRPr="006A6A6F">
        <w:t>entered into</w:t>
      </w:r>
      <w:proofErr w:type="gramEnd"/>
      <w:r w:rsidRPr="006A6A6F">
        <w:t xml:space="preserve"> the database (e.g. </w:t>
      </w:r>
      <w:r w:rsidR="00CA42BC">
        <w:t>ETP</w:t>
      </w:r>
      <w:r w:rsidR="00CA42BC" w:rsidRPr="006A6A6F">
        <w:t xml:space="preserve"> </w:t>
      </w:r>
      <w:r w:rsidRPr="006A6A6F">
        <w:t>interaction forms, observer reports)</w:t>
      </w:r>
      <w:r w:rsidR="007E4935">
        <w:t>.</w:t>
      </w:r>
    </w:p>
    <w:p w14:paraId="17673E4B" w14:textId="77777777" w:rsidR="00B077E6" w:rsidRPr="00532F53" w:rsidRDefault="00B077E6" w:rsidP="000D0DE8">
      <w:pPr>
        <w:rPr>
          <w:rFonts w:ascii="Calibri" w:hAnsi="Calibri" w:cs="Calibri"/>
        </w:rPr>
      </w:pPr>
    </w:p>
    <w:p w14:paraId="0823A43C" w14:textId="383841B3" w:rsidR="004640E2" w:rsidRPr="007E435C" w:rsidRDefault="004640E2" w:rsidP="007E435C">
      <w:pPr>
        <w:pStyle w:val="Heading1"/>
      </w:pPr>
      <w:bookmarkStart w:id="23" w:name="_Toc210975455"/>
      <w:r w:rsidRPr="00527876">
        <w:rPr>
          <w:bCs/>
          <w:sz w:val="36"/>
          <w:szCs w:val="36"/>
        </w:rPr>
        <w:t xml:space="preserve">Stock </w:t>
      </w:r>
      <w:r w:rsidR="00007809">
        <w:rPr>
          <w:bCs/>
          <w:sz w:val="36"/>
          <w:szCs w:val="36"/>
        </w:rPr>
        <w:t>a</w:t>
      </w:r>
      <w:r w:rsidRPr="00527876">
        <w:rPr>
          <w:bCs/>
          <w:sz w:val="36"/>
          <w:szCs w:val="36"/>
        </w:rPr>
        <w:t>ssessments</w:t>
      </w:r>
      <w:bookmarkEnd w:id="23"/>
    </w:p>
    <w:p w14:paraId="742FD05C" w14:textId="28853492" w:rsidR="004640E2" w:rsidRPr="00515AA6" w:rsidRDefault="003816B6" w:rsidP="00515AA6">
      <w:pPr>
        <w:pStyle w:val="Heading2"/>
      </w:pPr>
      <w:bookmarkStart w:id="24" w:name="_Toc210975456"/>
      <w:r w:rsidRPr="00515AA6">
        <w:t>K</w:t>
      </w:r>
      <w:r w:rsidR="004640E2" w:rsidRPr="00515AA6">
        <w:t>ey target and byproduct species</w:t>
      </w:r>
      <w:bookmarkEnd w:id="24"/>
    </w:p>
    <w:p w14:paraId="700EBEB7" w14:textId="098DCFF2" w:rsidR="008F2155" w:rsidRDefault="005D0B8B" w:rsidP="008F3459">
      <w:r>
        <w:t xml:space="preserve">No </w:t>
      </w:r>
      <w:r w:rsidR="008F2155" w:rsidRPr="00EA52FC">
        <w:t>formal stock assessment has been undertaken in the SSJF</w:t>
      </w:r>
      <w:r w:rsidR="00C428EE">
        <w:rPr>
          <w:rFonts w:cs="Arial"/>
        </w:rPr>
        <w:t>. The Harvest Strategy is</w:t>
      </w:r>
      <w:r w:rsidR="008F3459">
        <w:rPr>
          <w:rFonts w:cs="Arial"/>
        </w:rPr>
        <w:t xml:space="preserve"> </w:t>
      </w:r>
      <w:r w:rsidR="00C428EE">
        <w:rPr>
          <w:rFonts w:cs="Arial"/>
        </w:rPr>
        <w:t xml:space="preserve">underpinned by a simple catch and effort analysis </w:t>
      </w:r>
      <w:r w:rsidR="00ED0AC7">
        <w:rPr>
          <w:rFonts w:cs="Arial"/>
        </w:rPr>
        <w:t>with triggers that will prompt a depletion analysis should enough fishing occur. S</w:t>
      </w:r>
      <w:r w:rsidR="00834D63" w:rsidRPr="007B704F">
        <w:rPr>
          <w:rFonts w:cs="Arial"/>
        </w:rPr>
        <w:t xml:space="preserve">tock status is considered annually by ABARES as part of the </w:t>
      </w:r>
      <w:hyperlink r:id="rId53" w:history="1">
        <w:r w:rsidR="00834D63" w:rsidRPr="007B704F">
          <w:rPr>
            <w:rStyle w:val="Hyperlink"/>
            <w:rFonts w:cs="Arial"/>
          </w:rPr>
          <w:t>Fishery Status Reports</w:t>
        </w:r>
      </w:hyperlink>
      <w:r w:rsidR="00834D63">
        <w:rPr>
          <w:rFonts w:cs="Arial"/>
        </w:rPr>
        <w:t>).</w:t>
      </w:r>
      <w:r w:rsidR="00851F7B">
        <w:rPr>
          <w:rFonts w:cs="Arial"/>
        </w:rPr>
        <w:t xml:space="preserve"> These reports </w:t>
      </w:r>
      <w:r w:rsidR="008F2155" w:rsidRPr="00EA52FC">
        <w:t xml:space="preserve">have </w:t>
      </w:r>
      <w:r w:rsidR="008F2155">
        <w:t>described</w:t>
      </w:r>
      <w:r w:rsidR="008F2155" w:rsidRPr="00EA52FC">
        <w:t xml:space="preserve"> stocks as </w:t>
      </w:r>
      <w:r w:rsidR="008F2155">
        <w:t>‘not subject to overfishing’ and ‘not overfished’ since 2008, with the previous status being ‘uncertain’</w:t>
      </w:r>
      <w:r w:rsidR="00220C6B">
        <w:t xml:space="preserve"> </w:t>
      </w:r>
      <w:r w:rsidR="00410C04">
        <w:t xml:space="preserve">(Table </w:t>
      </w:r>
      <w:r w:rsidR="00220C6B">
        <w:t>3)</w:t>
      </w:r>
      <w:r w:rsidR="00851F7B">
        <w:t xml:space="preserve">. </w:t>
      </w:r>
      <w:r w:rsidR="008F2155" w:rsidRPr="00EA52FC">
        <w:t>Current knowledge of the southern squid resource is insufficient to allow biomass or suitable proxies for reference points to be estimated.</w:t>
      </w:r>
    </w:p>
    <w:p w14:paraId="58E86973" w14:textId="5E658846" w:rsidR="007B6CB2" w:rsidRPr="000A69AE" w:rsidRDefault="007B6CB2" w:rsidP="007B6CB2">
      <w:pPr>
        <w:keepNext/>
        <w:spacing w:after="120" w:line="240" w:lineRule="auto"/>
        <w:rPr>
          <w:rFonts w:ascii="Calibri" w:eastAsia="Calibri" w:hAnsi="Calibri" w:cs="Times New Roman"/>
          <w:b/>
          <w:bCs/>
          <w:sz w:val="24"/>
          <w:szCs w:val="18"/>
          <w:lang w:eastAsia="ja-JP"/>
        </w:rPr>
      </w:pPr>
      <w:r w:rsidRPr="000A69AE">
        <w:rPr>
          <w:rFonts w:ascii="Calibri" w:eastAsia="Calibri" w:hAnsi="Calibri" w:cs="Times New Roman"/>
          <w:b/>
          <w:bCs/>
          <w:sz w:val="24"/>
          <w:szCs w:val="18"/>
        </w:rPr>
        <w:t xml:space="preserve">Table </w:t>
      </w:r>
      <w:r w:rsidR="00C9197E">
        <w:rPr>
          <w:rFonts w:ascii="Calibri" w:eastAsia="Calibri" w:hAnsi="Calibri" w:cs="Times New Roman"/>
          <w:b/>
          <w:bCs/>
          <w:sz w:val="24"/>
          <w:szCs w:val="18"/>
        </w:rPr>
        <w:t>3</w:t>
      </w:r>
      <w:r>
        <w:rPr>
          <w:rFonts w:ascii="Calibri" w:eastAsia="Calibri" w:hAnsi="Calibri" w:cs="Times New Roman"/>
          <w:b/>
          <w:bCs/>
          <w:sz w:val="24"/>
          <w:szCs w:val="18"/>
        </w:rPr>
        <w:t>.</w:t>
      </w:r>
      <w:r w:rsidRPr="000A69AE">
        <w:rPr>
          <w:rFonts w:ascii="Calibri" w:eastAsia="Calibri" w:hAnsi="Calibri" w:cs="Times New Roman"/>
          <w:b/>
          <w:bCs/>
          <w:sz w:val="24"/>
          <w:szCs w:val="18"/>
        </w:rPr>
        <w:t xml:space="preserve"> </w:t>
      </w:r>
      <w:r w:rsidR="005E246A" w:rsidRPr="00A25D83">
        <w:rPr>
          <w:rFonts w:ascii="Calibri" w:eastAsia="Calibri" w:hAnsi="Calibri" w:cs="Times New Roman"/>
          <w:sz w:val="24"/>
          <w:szCs w:val="18"/>
        </w:rPr>
        <w:t>ABARES Fishery Status Report</w:t>
      </w:r>
      <w:r w:rsidR="00970B8E" w:rsidRPr="00A25D83">
        <w:rPr>
          <w:rFonts w:ascii="Calibri" w:eastAsia="Calibri" w:hAnsi="Calibri" w:cs="Times New Roman"/>
          <w:sz w:val="24"/>
          <w:szCs w:val="18"/>
        </w:rPr>
        <w:t xml:space="preserve"> </w:t>
      </w:r>
      <w:r w:rsidR="00D4348D" w:rsidRPr="00A25D83">
        <w:rPr>
          <w:rFonts w:ascii="Calibri" w:eastAsia="Calibri" w:hAnsi="Calibri" w:cs="Times New Roman"/>
          <w:sz w:val="24"/>
          <w:szCs w:val="18"/>
        </w:rPr>
        <w:t xml:space="preserve">for the </w:t>
      </w:r>
      <w:r w:rsidRPr="00A25D83">
        <w:rPr>
          <w:rFonts w:ascii="Calibri" w:eastAsia="Calibri" w:hAnsi="Calibri" w:cs="Times New Roman"/>
          <w:sz w:val="24"/>
          <w:szCs w:val="18"/>
          <w:lang w:eastAsia="ja-JP"/>
        </w:rPr>
        <w:t>Southern Squid Jig Fishery – biological status</w:t>
      </w:r>
    </w:p>
    <w:tbl>
      <w:tblPr>
        <w:tblW w:w="5000" w:type="pct"/>
        <w:tblBorders>
          <w:top w:val="single" w:sz="6"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699"/>
        <w:gridCol w:w="1267"/>
        <w:gridCol w:w="1126"/>
        <w:gridCol w:w="1271"/>
        <w:gridCol w:w="1128"/>
        <w:gridCol w:w="2535"/>
      </w:tblGrid>
      <w:tr w:rsidR="007B6CB2" w:rsidRPr="000A69AE" w14:paraId="4C421E96" w14:textId="77777777" w:rsidTr="008A70F4">
        <w:trPr>
          <w:cantSplit/>
          <w:tblHeader/>
        </w:trPr>
        <w:tc>
          <w:tcPr>
            <w:tcW w:w="941" w:type="pct"/>
            <w:tcBorders>
              <w:top w:val="single" w:sz="6" w:space="0" w:color="auto"/>
              <w:left w:val="nil"/>
              <w:bottom w:val="single" w:sz="4" w:space="0" w:color="auto"/>
              <w:right w:val="nil"/>
            </w:tcBorders>
            <w:tcMar>
              <w:top w:w="0" w:type="dxa"/>
              <w:left w:w="108" w:type="dxa"/>
              <w:bottom w:w="0" w:type="dxa"/>
              <w:right w:w="108" w:type="dxa"/>
            </w:tcMar>
            <w:hideMark/>
          </w:tcPr>
          <w:p w14:paraId="6722391E" w14:textId="77777777" w:rsidR="007B6CB2" w:rsidRPr="000A69AE" w:rsidRDefault="007B6CB2" w:rsidP="008A70F4">
            <w:pPr>
              <w:keepNext/>
              <w:spacing w:before="60" w:after="60" w:line="240" w:lineRule="auto"/>
              <w:rPr>
                <w:rFonts w:ascii="Calibri" w:eastAsia="Calibri" w:hAnsi="Calibri" w:cs="Times New Roman"/>
                <w:b/>
                <w:sz w:val="18"/>
              </w:rPr>
            </w:pPr>
            <w:r w:rsidRPr="000A69AE">
              <w:rPr>
                <w:rFonts w:ascii="Calibri" w:eastAsia="Calibri" w:hAnsi="Calibri" w:cs="Times New Roman"/>
                <w:b/>
                <w:sz w:val="18"/>
              </w:rPr>
              <w:t>Stock</w:t>
            </w:r>
          </w:p>
        </w:tc>
        <w:tc>
          <w:tcPr>
            <w:tcW w:w="702" w:type="pct"/>
            <w:tcBorders>
              <w:top w:val="single" w:sz="6" w:space="0" w:color="auto"/>
              <w:left w:val="nil"/>
              <w:bottom w:val="single" w:sz="4" w:space="0" w:color="auto"/>
              <w:right w:val="nil"/>
            </w:tcBorders>
            <w:tcMar>
              <w:top w:w="0" w:type="dxa"/>
              <w:left w:w="108" w:type="dxa"/>
              <w:bottom w:w="0" w:type="dxa"/>
              <w:right w:w="108" w:type="dxa"/>
            </w:tcMar>
            <w:hideMark/>
          </w:tcPr>
          <w:p w14:paraId="26F613A9" w14:textId="77777777" w:rsidR="007B6CB2" w:rsidRPr="000A69AE" w:rsidRDefault="007B6CB2" w:rsidP="008A70F4">
            <w:pPr>
              <w:keepNext/>
              <w:spacing w:before="60" w:after="60" w:line="240" w:lineRule="auto"/>
              <w:rPr>
                <w:rFonts w:ascii="Calibri" w:eastAsia="Calibri" w:hAnsi="Calibri" w:cs="Times New Roman"/>
                <w:b/>
                <w:sz w:val="18"/>
              </w:rPr>
            </w:pPr>
            <w:r w:rsidRPr="000A69AE">
              <w:rPr>
                <w:rFonts w:ascii="Calibri" w:eastAsia="Calibri" w:hAnsi="Calibri" w:cs="Times New Roman"/>
                <w:b/>
                <w:sz w:val="18"/>
              </w:rPr>
              <w:t>Fishing mortality 202</w:t>
            </w:r>
            <w:r>
              <w:rPr>
                <w:rFonts w:ascii="Calibri" w:eastAsia="Calibri" w:hAnsi="Calibri" w:cs="Times New Roman"/>
                <w:b/>
                <w:sz w:val="18"/>
              </w:rPr>
              <w:t>3</w:t>
            </w:r>
          </w:p>
        </w:tc>
        <w:tc>
          <w:tcPr>
            <w:tcW w:w="624" w:type="pct"/>
            <w:tcBorders>
              <w:top w:val="single" w:sz="6" w:space="0" w:color="auto"/>
              <w:left w:val="nil"/>
              <w:bottom w:val="single" w:sz="4" w:space="0" w:color="auto"/>
              <w:right w:val="nil"/>
            </w:tcBorders>
            <w:tcMar>
              <w:top w:w="0" w:type="dxa"/>
              <w:left w:w="108" w:type="dxa"/>
              <w:bottom w:w="0" w:type="dxa"/>
              <w:right w:w="108" w:type="dxa"/>
            </w:tcMar>
            <w:hideMark/>
          </w:tcPr>
          <w:p w14:paraId="495CF31D" w14:textId="77777777" w:rsidR="007B6CB2" w:rsidRPr="000A69AE" w:rsidRDefault="007B6CB2" w:rsidP="008A70F4">
            <w:pPr>
              <w:keepNext/>
              <w:spacing w:before="60" w:after="60" w:line="240" w:lineRule="auto"/>
              <w:rPr>
                <w:rFonts w:ascii="Calibri" w:eastAsia="Calibri" w:hAnsi="Calibri" w:cs="Times New Roman"/>
                <w:b/>
                <w:sz w:val="18"/>
              </w:rPr>
            </w:pPr>
            <w:r w:rsidRPr="000A69AE">
              <w:rPr>
                <w:rFonts w:ascii="Calibri" w:eastAsia="Calibri" w:hAnsi="Calibri" w:cs="Times New Roman"/>
                <w:b/>
                <w:sz w:val="18"/>
              </w:rPr>
              <w:t>Biomass 202</w:t>
            </w:r>
            <w:r>
              <w:rPr>
                <w:rFonts w:ascii="Calibri" w:eastAsia="Calibri" w:hAnsi="Calibri" w:cs="Times New Roman"/>
                <w:b/>
                <w:sz w:val="18"/>
              </w:rPr>
              <w:t>3</w:t>
            </w:r>
          </w:p>
        </w:tc>
        <w:tc>
          <w:tcPr>
            <w:tcW w:w="704" w:type="pct"/>
            <w:tcBorders>
              <w:top w:val="single" w:sz="6" w:space="0" w:color="auto"/>
              <w:left w:val="nil"/>
              <w:bottom w:val="single" w:sz="4" w:space="0" w:color="auto"/>
              <w:right w:val="nil"/>
            </w:tcBorders>
            <w:tcMar>
              <w:top w:w="0" w:type="dxa"/>
              <w:left w:w="108" w:type="dxa"/>
              <w:bottom w:w="0" w:type="dxa"/>
              <w:right w:w="108" w:type="dxa"/>
            </w:tcMar>
            <w:hideMark/>
          </w:tcPr>
          <w:p w14:paraId="0DE78CA2" w14:textId="77777777" w:rsidR="007B6CB2" w:rsidRPr="000A69AE" w:rsidRDefault="007B6CB2" w:rsidP="008A70F4">
            <w:pPr>
              <w:keepNext/>
              <w:spacing w:before="60" w:after="60" w:line="240" w:lineRule="auto"/>
              <w:rPr>
                <w:rFonts w:ascii="Calibri" w:eastAsia="Calibri" w:hAnsi="Calibri" w:cs="Times New Roman"/>
                <w:b/>
                <w:sz w:val="18"/>
              </w:rPr>
            </w:pPr>
            <w:r w:rsidRPr="000A69AE">
              <w:rPr>
                <w:rFonts w:ascii="Calibri" w:eastAsia="Calibri" w:hAnsi="Calibri" w:cs="Times New Roman"/>
                <w:b/>
                <w:sz w:val="18"/>
              </w:rPr>
              <w:t>Fishing mortality 202</w:t>
            </w:r>
            <w:r>
              <w:rPr>
                <w:rFonts w:ascii="Calibri" w:eastAsia="Calibri" w:hAnsi="Calibri" w:cs="Times New Roman"/>
                <w:b/>
                <w:sz w:val="18"/>
              </w:rPr>
              <w:t>4</w:t>
            </w:r>
          </w:p>
        </w:tc>
        <w:tc>
          <w:tcPr>
            <w:tcW w:w="625" w:type="pct"/>
            <w:tcBorders>
              <w:top w:val="single" w:sz="6" w:space="0" w:color="auto"/>
              <w:left w:val="nil"/>
              <w:bottom w:val="single" w:sz="4" w:space="0" w:color="auto"/>
              <w:right w:val="nil"/>
            </w:tcBorders>
            <w:tcMar>
              <w:top w:w="0" w:type="dxa"/>
              <w:left w:w="108" w:type="dxa"/>
              <w:bottom w:w="0" w:type="dxa"/>
              <w:right w:w="108" w:type="dxa"/>
            </w:tcMar>
            <w:hideMark/>
          </w:tcPr>
          <w:p w14:paraId="070AE850" w14:textId="77777777" w:rsidR="007B6CB2" w:rsidRPr="000A69AE" w:rsidRDefault="007B6CB2" w:rsidP="008A70F4">
            <w:pPr>
              <w:keepNext/>
              <w:spacing w:before="60" w:after="60" w:line="240" w:lineRule="auto"/>
              <w:rPr>
                <w:rFonts w:ascii="Calibri" w:eastAsia="Calibri" w:hAnsi="Calibri" w:cs="Times New Roman"/>
                <w:b/>
                <w:sz w:val="18"/>
              </w:rPr>
            </w:pPr>
            <w:r w:rsidRPr="000A69AE">
              <w:rPr>
                <w:rFonts w:ascii="Calibri" w:eastAsia="Calibri" w:hAnsi="Calibri" w:cs="Times New Roman"/>
                <w:b/>
                <w:sz w:val="18"/>
              </w:rPr>
              <w:t>Biomass 202</w:t>
            </w:r>
            <w:r>
              <w:rPr>
                <w:rFonts w:ascii="Calibri" w:eastAsia="Calibri" w:hAnsi="Calibri" w:cs="Times New Roman"/>
                <w:b/>
                <w:sz w:val="18"/>
              </w:rPr>
              <w:t>4</w:t>
            </w:r>
          </w:p>
        </w:tc>
        <w:tc>
          <w:tcPr>
            <w:tcW w:w="1404" w:type="pct"/>
            <w:tcBorders>
              <w:top w:val="single" w:sz="6" w:space="0" w:color="auto"/>
              <w:left w:val="nil"/>
              <w:bottom w:val="single" w:sz="4" w:space="0" w:color="auto"/>
              <w:right w:val="nil"/>
            </w:tcBorders>
            <w:tcMar>
              <w:top w:w="0" w:type="dxa"/>
              <w:left w:w="108" w:type="dxa"/>
              <w:bottom w:w="0" w:type="dxa"/>
              <w:right w:w="108" w:type="dxa"/>
            </w:tcMar>
            <w:hideMark/>
          </w:tcPr>
          <w:p w14:paraId="487F0726" w14:textId="77777777" w:rsidR="007B6CB2" w:rsidRPr="000A69AE" w:rsidRDefault="007B6CB2" w:rsidP="008A70F4">
            <w:pPr>
              <w:keepNext/>
              <w:spacing w:before="60" w:after="60" w:line="240" w:lineRule="auto"/>
              <w:rPr>
                <w:rFonts w:ascii="Calibri" w:eastAsia="Calibri" w:hAnsi="Calibri" w:cs="Times New Roman"/>
                <w:b/>
                <w:sz w:val="18"/>
              </w:rPr>
            </w:pPr>
            <w:r w:rsidRPr="000A69AE">
              <w:rPr>
                <w:rFonts w:ascii="Calibri" w:eastAsia="Calibri" w:hAnsi="Calibri" w:cs="Times New Roman"/>
                <w:b/>
                <w:sz w:val="18"/>
              </w:rPr>
              <w:t>Comments</w:t>
            </w:r>
          </w:p>
        </w:tc>
      </w:tr>
      <w:tr w:rsidR="007B6CB2" w:rsidRPr="000A69AE" w14:paraId="54568DCA" w14:textId="77777777" w:rsidTr="008A70F4">
        <w:tc>
          <w:tcPr>
            <w:tcW w:w="941" w:type="pct"/>
            <w:tcBorders>
              <w:top w:val="single" w:sz="4" w:space="0" w:color="auto"/>
              <w:left w:val="nil"/>
              <w:bottom w:val="single" w:sz="4" w:space="0" w:color="auto"/>
              <w:right w:val="nil"/>
            </w:tcBorders>
            <w:tcMar>
              <w:top w:w="0" w:type="dxa"/>
              <w:left w:w="108" w:type="dxa"/>
              <w:bottom w:w="0" w:type="dxa"/>
              <w:right w:w="108" w:type="dxa"/>
            </w:tcMar>
            <w:hideMark/>
          </w:tcPr>
          <w:p w14:paraId="1F9C3BE8" w14:textId="77777777" w:rsidR="007B6CB2" w:rsidRPr="000A69AE" w:rsidRDefault="007B6CB2"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Gould’s squid (</w:t>
            </w:r>
            <w:proofErr w:type="spellStart"/>
            <w:r w:rsidRPr="000A69AE">
              <w:rPr>
                <w:rFonts w:ascii="Calibri" w:eastAsia="Calibri" w:hAnsi="Calibri" w:cs="Times New Roman"/>
                <w:i/>
                <w:iCs/>
                <w:sz w:val="18"/>
              </w:rPr>
              <w:t>Nototodarus</w:t>
            </w:r>
            <w:proofErr w:type="spellEnd"/>
            <w:r w:rsidRPr="000A69AE">
              <w:rPr>
                <w:rFonts w:ascii="Calibri" w:eastAsia="Calibri" w:hAnsi="Calibri" w:cs="Times New Roman"/>
                <w:i/>
                <w:iCs/>
                <w:sz w:val="18"/>
              </w:rPr>
              <w:t xml:space="preserve"> gouldi</w:t>
            </w:r>
            <w:r w:rsidRPr="000A69AE">
              <w:rPr>
                <w:rFonts w:ascii="Calibri" w:eastAsia="Calibri" w:hAnsi="Calibri" w:cs="Times New Roman"/>
                <w:sz w:val="18"/>
              </w:rPr>
              <w:t>)</w:t>
            </w:r>
          </w:p>
        </w:tc>
        <w:tc>
          <w:tcPr>
            <w:tcW w:w="702" w:type="pct"/>
            <w:tcBorders>
              <w:top w:val="single" w:sz="4" w:space="0" w:color="auto"/>
              <w:left w:val="nil"/>
              <w:bottom w:val="single" w:sz="4" w:space="0" w:color="auto"/>
              <w:right w:val="nil"/>
            </w:tcBorders>
            <w:shd w:val="clear" w:color="auto" w:fill="D6E3BC"/>
            <w:tcMar>
              <w:top w:w="0" w:type="dxa"/>
              <w:left w:w="108" w:type="dxa"/>
              <w:bottom w:w="0" w:type="dxa"/>
              <w:right w:w="108" w:type="dxa"/>
            </w:tcMar>
            <w:hideMark/>
          </w:tcPr>
          <w:p w14:paraId="47B2FDD6" w14:textId="77777777" w:rsidR="007B6CB2" w:rsidRPr="000A69AE" w:rsidRDefault="007B6CB2"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Not subject to overfishing</w:t>
            </w:r>
          </w:p>
        </w:tc>
        <w:tc>
          <w:tcPr>
            <w:tcW w:w="624" w:type="pct"/>
            <w:tcBorders>
              <w:top w:val="single" w:sz="4" w:space="0" w:color="auto"/>
              <w:left w:val="nil"/>
              <w:bottom w:val="single" w:sz="4" w:space="0" w:color="auto"/>
              <w:right w:val="nil"/>
            </w:tcBorders>
            <w:shd w:val="clear" w:color="auto" w:fill="D6E3BC"/>
            <w:tcMar>
              <w:top w:w="0" w:type="dxa"/>
              <w:left w:w="108" w:type="dxa"/>
              <w:bottom w:w="0" w:type="dxa"/>
              <w:right w:w="108" w:type="dxa"/>
            </w:tcMar>
            <w:hideMark/>
          </w:tcPr>
          <w:p w14:paraId="38C0CA51" w14:textId="77777777" w:rsidR="007B6CB2" w:rsidRPr="000A69AE" w:rsidRDefault="007B6CB2"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Not overfished</w:t>
            </w:r>
          </w:p>
        </w:tc>
        <w:tc>
          <w:tcPr>
            <w:tcW w:w="704" w:type="pct"/>
            <w:tcBorders>
              <w:top w:val="single" w:sz="4" w:space="0" w:color="auto"/>
              <w:left w:val="nil"/>
              <w:bottom w:val="single" w:sz="4" w:space="0" w:color="auto"/>
              <w:right w:val="nil"/>
            </w:tcBorders>
            <w:shd w:val="clear" w:color="auto" w:fill="D6E3BC"/>
            <w:tcMar>
              <w:top w:w="0" w:type="dxa"/>
              <w:left w:w="108" w:type="dxa"/>
              <w:bottom w:w="0" w:type="dxa"/>
              <w:right w:w="108" w:type="dxa"/>
            </w:tcMar>
            <w:hideMark/>
          </w:tcPr>
          <w:p w14:paraId="571E5B84" w14:textId="77777777" w:rsidR="007B6CB2" w:rsidRPr="000A69AE" w:rsidRDefault="007B6CB2"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Not subject to overfishing</w:t>
            </w:r>
          </w:p>
        </w:tc>
        <w:tc>
          <w:tcPr>
            <w:tcW w:w="625" w:type="pct"/>
            <w:tcBorders>
              <w:top w:val="single" w:sz="4" w:space="0" w:color="auto"/>
              <w:left w:val="nil"/>
              <w:bottom w:val="single" w:sz="4" w:space="0" w:color="auto"/>
              <w:right w:val="nil"/>
            </w:tcBorders>
            <w:shd w:val="clear" w:color="auto" w:fill="D6E3BC"/>
            <w:tcMar>
              <w:top w:w="0" w:type="dxa"/>
              <w:left w:w="108" w:type="dxa"/>
              <w:bottom w:w="0" w:type="dxa"/>
              <w:right w:w="108" w:type="dxa"/>
            </w:tcMar>
            <w:hideMark/>
          </w:tcPr>
          <w:p w14:paraId="42A9CBD7" w14:textId="77777777" w:rsidR="007B6CB2" w:rsidRPr="000A69AE" w:rsidRDefault="007B6CB2"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Not overfished</w:t>
            </w:r>
          </w:p>
        </w:tc>
        <w:tc>
          <w:tcPr>
            <w:tcW w:w="1404" w:type="pct"/>
            <w:tcBorders>
              <w:top w:val="single" w:sz="4" w:space="0" w:color="auto"/>
              <w:left w:val="nil"/>
              <w:bottom w:val="single" w:sz="4" w:space="0" w:color="auto"/>
              <w:right w:val="nil"/>
            </w:tcBorders>
            <w:tcMar>
              <w:top w:w="0" w:type="dxa"/>
              <w:left w:w="108" w:type="dxa"/>
              <w:bottom w:w="0" w:type="dxa"/>
              <w:right w:w="108" w:type="dxa"/>
            </w:tcMar>
            <w:hideMark/>
          </w:tcPr>
          <w:p w14:paraId="06FDDEBC" w14:textId="77777777" w:rsidR="007B6CB2" w:rsidRPr="000A69AE" w:rsidRDefault="007B6CB2"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Relative stability in catch rates may indicate relative stability in availability and biomass.</w:t>
            </w:r>
          </w:p>
        </w:tc>
      </w:tr>
    </w:tbl>
    <w:p w14:paraId="586FF0B0" w14:textId="77777777" w:rsidR="00847726" w:rsidRDefault="00847726" w:rsidP="00C84C15">
      <w:bookmarkStart w:id="25" w:name="Title_12_1"/>
      <w:bookmarkEnd w:id="25"/>
    </w:p>
    <w:p w14:paraId="69B4AF12" w14:textId="77777777" w:rsidR="00FC6032" w:rsidRDefault="00FC6032" w:rsidP="00FC6032">
      <w:r w:rsidRPr="00EA52FC">
        <w:t xml:space="preserve">The Harvest Strategy uses a system of catch triggers </w:t>
      </w:r>
      <w:r>
        <w:t>to monitor the</w:t>
      </w:r>
      <w:r w:rsidRPr="00EA52FC">
        <w:t xml:space="preserve"> need for </w:t>
      </w:r>
      <w:r>
        <w:t xml:space="preserve">a </w:t>
      </w:r>
      <w:r w:rsidRPr="00EA52FC">
        <w:t xml:space="preserve">formal assessment </w:t>
      </w:r>
      <w:r>
        <w:t xml:space="preserve">(Refer to Table 2). </w:t>
      </w:r>
      <w:r w:rsidRPr="00EA52FC">
        <w:t>Due to relatively low effort in the last few years, these triggers have far exceeded the catch and effort in the fishery</w:t>
      </w:r>
      <w:r>
        <w:t>.</w:t>
      </w:r>
    </w:p>
    <w:p w14:paraId="2DECAA38" w14:textId="5C54BBB0" w:rsidR="00153D6F" w:rsidRDefault="00A30C70" w:rsidP="00FC6032">
      <w:r w:rsidRPr="00A25D83">
        <w:rPr>
          <w:b/>
          <w:bCs/>
        </w:rPr>
        <w:t xml:space="preserve">Table </w:t>
      </w:r>
      <w:r w:rsidR="00C9197E">
        <w:rPr>
          <w:b/>
          <w:bCs/>
        </w:rPr>
        <w:t>4</w:t>
      </w:r>
      <w:r w:rsidR="00CB73E2">
        <w:t>.</w:t>
      </w:r>
      <w:r>
        <w:t xml:space="preserve"> TAEs* and reported catches</w:t>
      </w:r>
      <w:r w:rsidR="009A2AC4">
        <w:t xml:space="preserve"> for fishing seasons 2020-202</w:t>
      </w:r>
      <w:r w:rsidR="00FF7629">
        <w:t>4</w:t>
      </w:r>
    </w:p>
    <w:tbl>
      <w:tblPr>
        <w:tblW w:w="0" w:type="auto"/>
        <w:tblInd w:w="-147" w:type="dxa"/>
        <w:tblLook w:val="04A0" w:firstRow="1" w:lastRow="0" w:firstColumn="1" w:lastColumn="0" w:noHBand="0" w:noVBand="1"/>
      </w:tblPr>
      <w:tblGrid>
        <w:gridCol w:w="1395"/>
        <w:gridCol w:w="566"/>
        <w:gridCol w:w="975"/>
        <w:gridCol w:w="566"/>
        <w:gridCol w:w="982"/>
        <w:gridCol w:w="601"/>
        <w:gridCol w:w="982"/>
        <w:gridCol w:w="566"/>
        <w:gridCol w:w="982"/>
        <w:gridCol w:w="566"/>
        <w:gridCol w:w="982"/>
      </w:tblGrid>
      <w:tr w:rsidR="00776302" w14:paraId="48878E56" w14:textId="77777777" w:rsidTr="00E25D18">
        <w:trPr>
          <w:trHeight w:val="313"/>
        </w:trPr>
        <w:tc>
          <w:tcPr>
            <w:tcW w:w="0" w:type="auto"/>
            <w:tcBorders>
              <w:top w:val="single" w:sz="4" w:space="0" w:color="auto"/>
              <w:left w:val="single" w:sz="4" w:space="0" w:color="auto"/>
              <w:bottom w:val="single" w:sz="4" w:space="0" w:color="auto"/>
              <w:right w:val="single" w:sz="4" w:space="0" w:color="auto"/>
            </w:tcBorders>
            <w:shd w:val="clear" w:color="auto" w:fill="006C8B"/>
            <w:vAlign w:val="center"/>
            <w:hideMark/>
          </w:tcPr>
          <w:p w14:paraId="4578DC5F" w14:textId="77777777" w:rsidR="00FF7629" w:rsidRPr="00A25D83" w:rsidRDefault="00FF7629" w:rsidP="008A70F4">
            <w:pPr>
              <w:rPr>
                <w:color w:val="FFFFFF" w:themeColor="background1"/>
              </w:rPr>
            </w:pPr>
            <w:r w:rsidRPr="00A25D83">
              <w:rPr>
                <w:color w:val="FFFFFF" w:themeColor="background1"/>
              </w:rPr>
              <w:t> </w:t>
            </w:r>
          </w:p>
        </w:tc>
        <w:tc>
          <w:tcPr>
            <w:tcW w:w="0" w:type="auto"/>
            <w:gridSpan w:val="2"/>
            <w:tcBorders>
              <w:top w:val="single" w:sz="4" w:space="0" w:color="auto"/>
              <w:left w:val="nil"/>
              <w:bottom w:val="single" w:sz="4" w:space="0" w:color="auto"/>
              <w:right w:val="single" w:sz="4" w:space="0" w:color="auto"/>
            </w:tcBorders>
            <w:shd w:val="clear" w:color="auto" w:fill="006C8B"/>
            <w:vAlign w:val="center"/>
            <w:hideMark/>
          </w:tcPr>
          <w:p w14:paraId="48AB07AC" w14:textId="32E3FD84" w:rsidR="00FF7629" w:rsidRPr="00A25D83" w:rsidRDefault="00FF7629" w:rsidP="008A70F4">
            <w:pPr>
              <w:jc w:val="center"/>
              <w:rPr>
                <w:b/>
                <w:bCs/>
                <w:color w:val="FFFFFF" w:themeColor="background1"/>
              </w:rPr>
            </w:pPr>
            <w:r w:rsidRPr="00A25D83">
              <w:rPr>
                <w:b/>
                <w:bCs/>
                <w:color w:val="FFFFFF" w:themeColor="background1"/>
              </w:rPr>
              <w:t>2020</w:t>
            </w:r>
          </w:p>
        </w:tc>
        <w:tc>
          <w:tcPr>
            <w:tcW w:w="0" w:type="auto"/>
            <w:gridSpan w:val="2"/>
            <w:tcBorders>
              <w:top w:val="single" w:sz="4" w:space="0" w:color="auto"/>
              <w:left w:val="nil"/>
              <w:bottom w:val="single" w:sz="4" w:space="0" w:color="auto"/>
              <w:right w:val="single" w:sz="4" w:space="0" w:color="auto"/>
            </w:tcBorders>
            <w:shd w:val="clear" w:color="auto" w:fill="006C8B"/>
            <w:vAlign w:val="center"/>
            <w:hideMark/>
          </w:tcPr>
          <w:p w14:paraId="64521F2F" w14:textId="7B30B42C" w:rsidR="00FF7629" w:rsidRPr="00A25D83" w:rsidRDefault="00FF7629" w:rsidP="008A70F4">
            <w:pPr>
              <w:jc w:val="center"/>
              <w:rPr>
                <w:b/>
                <w:bCs/>
                <w:color w:val="FFFFFF" w:themeColor="background1"/>
              </w:rPr>
            </w:pPr>
            <w:r w:rsidRPr="00A25D83">
              <w:rPr>
                <w:b/>
                <w:bCs/>
                <w:color w:val="FFFFFF" w:themeColor="background1"/>
              </w:rPr>
              <w:t>2021</w:t>
            </w:r>
          </w:p>
        </w:tc>
        <w:tc>
          <w:tcPr>
            <w:tcW w:w="0" w:type="auto"/>
            <w:gridSpan w:val="2"/>
            <w:tcBorders>
              <w:top w:val="single" w:sz="4" w:space="0" w:color="auto"/>
              <w:left w:val="nil"/>
              <w:bottom w:val="single" w:sz="4" w:space="0" w:color="auto"/>
              <w:right w:val="single" w:sz="4" w:space="0" w:color="auto"/>
            </w:tcBorders>
            <w:shd w:val="clear" w:color="auto" w:fill="006C8B"/>
            <w:vAlign w:val="center"/>
            <w:hideMark/>
          </w:tcPr>
          <w:p w14:paraId="3D8335C7" w14:textId="64B981BB" w:rsidR="00FF7629" w:rsidRPr="00A25D83" w:rsidRDefault="00FF7629" w:rsidP="008A70F4">
            <w:pPr>
              <w:jc w:val="center"/>
              <w:rPr>
                <w:b/>
                <w:bCs/>
                <w:color w:val="FFFFFF" w:themeColor="background1"/>
              </w:rPr>
            </w:pPr>
            <w:r w:rsidRPr="00A25D83">
              <w:rPr>
                <w:b/>
                <w:bCs/>
                <w:color w:val="FFFFFF" w:themeColor="background1"/>
              </w:rPr>
              <w:t>2022</w:t>
            </w:r>
          </w:p>
        </w:tc>
        <w:tc>
          <w:tcPr>
            <w:tcW w:w="0" w:type="auto"/>
            <w:gridSpan w:val="2"/>
            <w:tcBorders>
              <w:top w:val="single" w:sz="4" w:space="0" w:color="auto"/>
              <w:left w:val="nil"/>
              <w:bottom w:val="single" w:sz="4" w:space="0" w:color="auto"/>
              <w:right w:val="single" w:sz="4" w:space="0" w:color="auto"/>
            </w:tcBorders>
            <w:shd w:val="clear" w:color="auto" w:fill="006C8B"/>
            <w:vAlign w:val="center"/>
            <w:hideMark/>
          </w:tcPr>
          <w:p w14:paraId="6DB2D5C0" w14:textId="46E75147" w:rsidR="00FF7629" w:rsidRPr="00A25D83" w:rsidRDefault="00FF7629" w:rsidP="008A70F4">
            <w:pPr>
              <w:jc w:val="center"/>
              <w:rPr>
                <w:b/>
                <w:bCs/>
                <w:color w:val="FFFFFF" w:themeColor="background1"/>
              </w:rPr>
            </w:pPr>
            <w:r w:rsidRPr="00A25D83">
              <w:rPr>
                <w:b/>
                <w:bCs/>
                <w:color w:val="FFFFFF" w:themeColor="background1"/>
              </w:rPr>
              <w:t>2023</w:t>
            </w:r>
          </w:p>
        </w:tc>
        <w:tc>
          <w:tcPr>
            <w:tcW w:w="0" w:type="auto"/>
            <w:gridSpan w:val="2"/>
            <w:tcBorders>
              <w:top w:val="single" w:sz="4" w:space="0" w:color="auto"/>
              <w:left w:val="nil"/>
              <w:bottom w:val="single" w:sz="4" w:space="0" w:color="auto"/>
              <w:right w:val="single" w:sz="4" w:space="0" w:color="auto"/>
            </w:tcBorders>
            <w:shd w:val="clear" w:color="auto" w:fill="006C8B"/>
          </w:tcPr>
          <w:p w14:paraId="00BF2B61" w14:textId="30F969EB" w:rsidR="00FF7629" w:rsidRPr="00A25D83" w:rsidRDefault="00FF7629" w:rsidP="008A70F4">
            <w:pPr>
              <w:jc w:val="center"/>
              <w:rPr>
                <w:b/>
                <w:bCs/>
                <w:color w:val="FFFFFF" w:themeColor="background1"/>
              </w:rPr>
            </w:pPr>
            <w:r w:rsidRPr="00A25D83">
              <w:rPr>
                <w:b/>
                <w:bCs/>
                <w:color w:val="FFFFFF" w:themeColor="background1"/>
              </w:rPr>
              <w:t>2024</w:t>
            </w:r>
          </w:p>
        </w:tc>
      </w:tr>
      <w:tr w:rsidR="00F86672" w14:paraId="6D53A28B" w14:textId="77777777" w:rsidTr="00E25D18">
        <w:trPr>
          <w:trHeight w:val="820"/>
        </w:trPr>
        <w:tc>
          <w:tcPr>
            <w:tcW w:w="0" w:type="auto"/>
            <w:tcBorders>
              <w:top w:val="nil"/>
              <w:left w:val="single" w:sz="4" w:space="0" w:color="auto"/>
              <w:bottom w:val="single" w:sz="4" w:space="0" w:color="auto"/>
              <w:right w:val="single" w:sz="4" w:space="0" w:color="auto"/>
            </w:tcBorders>
            <w:shd w:val="clear" w:color="auto" w:fill="006C8B"/>
            <w:vAlign w:val="center"/>
            <w:hideMark/>
          </w:tcPr>
          <w:p w14:paraId="49F86DBE" w14:textId="77777777" w:rsidR="00FF7629" w:rsidRPr="00A25D83" w:rsidRDefault="00FF7629" w:rsidP="008A70F4">
            <w:pPr>
              <w:rPr>
                <w:b/>
                <w:bCs/>
                <w:color w:val="FFFFFF" w:themeColor="background1"/>
              </w:rPr>
            </w:pPr>
            <w:r w:rsidRPr="00A25D83">
              <w:rPr>
                <w:b/>
                <w:bCs/>
                <w:color w:val="FFFFFF" w:themeColor="background1"/>
              </w:rPr>
              <w:t>Stock</w:t>
            </w:r>
          </w:p>
        </w:tc>
        <w:tc>
          <w:tcPr>
            <w:tcW w:w="0" w:type="auto"/>
            <w:tcBorders>
              <w:top w:val="nil"/>
              <w:left w:val="nil"/>
              <w:bottom w:val="single" w:sz="4" w:space="0" w:color="auto"/>
              <w:right w:val="single" w:sz="4" w:space="0" w:color="auto"/>
            </w:tcBorders>
            <w:shd w:val="clear" w:color="auto" w:fill="006C8B"/>
            <w:hideMark/>
          </w:tcPr>
          <w:p w14:paraId="5A96F993" w14:textId="77777777" w:rsidR="00FF7629" w:rsidRPr="00A25D83" w:rsidRDefault="00FF7629" w:rsidP="008A70F4">
            <w:pPr>
              <w:jc w:val="center"/>
              <w:rPr>
                <w:b/>
                <w:bCs/>
                <w:color w:val="FFFFFF" w:themeColor="background1"/>
              </w:rPr>
            </w:pPr>
            <w:r w:rsidRPr="00A25D83">
              <w:rPr>
                <w:b/>
                <w:bCs/>
                <w:color w:val="FFFFFF" w:themeColor="background1"/>
              </w:rPr>
              <w:t xml:space="preserve">TAE </w:t>
            </w:r>
          </w:p>
        </w:tc>
        <w:tc>
          <w:tcPr>
            <w:tcW w:w="0" w:type="auto"/>
            <w:tcBorders>
              <w:top w:val="nil"/>
              <w:left w:val="nil"/>
              <w:bottom w:val="single" w:sz="4" w:space="0" w:color="auto"/>
              <w:right w:val="single" w:sz="4" w:space="0" w:color="auto"/>
            </w:tcBorders>
            <w:shd w:val="clear" w:color="auto" w:fill="006C8B"/>
            <w:hideMark/>
          </w:tcPr>
          <w:p w14:paraId="6CF1574A" w14:textId="77777777" w:rsidR="00FF7629" w:rsidRPr="00A25D83" w:rsidRDefault="00FF7629" w:rsidP="008A70F4">
            <w:pPr>
              <w:jc w:val="center"/>
              <w:rPr>
                <w:b/>
                <w:bCs/>
                <w:color w:val="FFFFFF" w:themeColor="background1"/>
              </w:rPr>
            </w:pPr>
            <w:r w:rsidRPr="00A25D83">
              <w:rPr>
                <w:b/>
                <w:bCs/>
                <w:color w:val="FFFFFF" w:themeColor="background1"/>
              </w:rPr>
              <w:t>Catch (t)</w:t>
            </w:r>
          </w:p>
        </w:tc>
        <w:tc>
          <w:tcPr>
            <w:tcW w:w="0" w:type="auto"/>
            <w:tcBorders>
              <w:top w:val="nil"/>
              <w:left w:val="nil"/>
              <w:bottom w:val="single" w:sz="4" w:space="0" w:color="auto"/>
              <w:right w:val="single" w:sz="4" w:space="0" w:color="auto"/>
            </w:tcBorders>
            <w:shd w:val="clear" w:color="auto" w:fill="006C8B"/>
            <w:hideMark/>
          </w:tcPr>
          <w:p w14:paraId="01AE9864" w14:textId="77777777" w:rsidR="00FF7629" w:rsidRPr="00A25D83" w:rsidRDefault="00FF7629" w:rsidP="008A70F4">
            <w:pPr>
              <w:jc w:val="center"/>
              <w:rPr>
                <w:b/>
                <w:bCs/>
                <w:color w:val="FFFFFF" w:themeColor="background1"/>
              </w:rPr>
            </w:pPr>
            <w:r w:rsidRPr="00A25D83">
              <w:rPr>
                <w:b/>
                <w:bCs/>
                <w:color w:val="FFFFFF" w:themeColor="background1"/>
              </w:rPr>
              <w:t xml:space="preserve">TAE </w:t>
            </w:r>
          </w:p>
        </w:tc>
        <w:tc>
          <w:tcPr>
            <w:tcW w:w="0" w:type="auto"/>
            <w:tcBorders>
              <w:top w:val="nil"/>
              <w:left w:val="nil"/>
              <w:bottom w:val="single" w:sz="4" w:space="0" w:color="auto"/>
              <w:right w:val="single" w:sz="4" w:space="0" w:color="auto"/>
            </w:tcBorders>
            <w:shd w:val="clear" w:color="auto" w:fill="006C8B"/>
            <w:hideMark/>
          </w:tcPr>
          <w:p w14:paraId="2218D406" w14:textId="77777777" w:rsidR="00FF7629" w:rsidRPr="00A25D83" w:rsidRDefault="00FF7629" w:rsidP="008A70F4">
            <w:pPr>
              <w:jc w:val="center"/>
              <w:rPr>
                <w:b/>
                <w:bCs/>
                <w:color w:val="FFFFFF" w:themeColor="background1"/>
              </w:rPr>
            </w:pPr>
            <w:r w:rsidRPr="00A25D83">
              <w:rPr>
                <w:b/>
                <w:bCs/>
                <w:color w:val="FFFFFF" w:themeColor="background1"/>
              </w:rPr>
              <w:t>Catch (t)</w:t>
            </w:r>
          </w:p>
        </w:tc>
        <w:tc>
          <w:tcPr>
            <w:tcW w:w="0" w:type="auto"/>
            <w:tcBorders>
              <w:top w:val="nil"/>
              <w:left w:val="nil"/>
              <w:bottom w:val="single" w:sz="4" w:space="0" w:color="auto"/>
              <w:right w:val="single" w:sz="4" w:space="0" w:color="auto"/>
            </w:tcBorders>
            <w:shd w:val="clear" w:color="auto" w:fill="006C8B"/>
            <w:hideMark/>
          </w:tcPr>
          <w:p w14:paraId="2D8ABDA7" w14:textId="77777777" w:rsidR="00FF7629" w:rsidRPr="00A25D83" w:rsidRDefault="00FF7629" w:rsidP="008A70F4">
            <w:pPr>
              <w:jc w:val="center"/>
              <w:rPr>
                <w:b/>
                <w:bCs/>
                <w:color w:val="FFFFFF" w:themeColor="background1"/>
              </w:rPr>
            </w:pPr>
            <w:r w:rsidRPr="00A25D83">
              <w:rPr>
                <w:b/>
                <w:bCs/>
                <w:color w:val="FFFFFF" w:themeColor="background1"/>
              </w:rPr>
              <w:t xml:space="preserve">TAE </w:t>
            </w:r>
          </w:p>
        </w:tc>
        <w:tc>
          <w:tcPr>
            <w:tcW w:w="0" w:type="auto"/>
            <w:tcBorders>
              <w:top w:val="nil"/>
              <w:left w:val="nil"/>
              <w:bottom w:val="single" w:sz="4" w:space="0" w:color="auto"/>
              <w:right w:val="single" w:sz="4" w:space="0" w:color="auto"/>
            </w:tcBorders>
            <w:shd w:val="clear" w:color="auto" w:fill="006C8B"/>
            <w:hideMark/>
          </w:tcPr>
          <w:p w14:paraId="3E9A877C" w14:textId="77777777" w:rsidR="00FF7629" w:rsidRPr="00A25D83" w:rsidRDefault="00FF7629" w:rsidP="008A70F4">
            <w:pPr>
              <w:jc w:val="center"/>
              <w:rPr>
                <w:b/>
                <w:bCs/>
                <w:color w:val="FFFFFF" w:themeColor="background1"/>
              </w:rPr>
            </w:pPr>
            <w:r w:rsidRPr="00A25D83">
              <w:rPr>
                <w:b/>
                <w:bCs/>
                <w:color w:val="FFFFFF" w:themeColor="background1"/>
              </w:rPr>
              <w:t>Catch (t)</w:t>
            </w:r>
          </w:p>
        </w:tc>
        <w:tc>
          <w:tcPr>
            <w:tcW w:w="0" w:type="auto"/>
            <w:tcBorders>
              <w:top w:val="nil"/>
              <w:left w:val="nil"/>
              <w:bottom w:val="single" w:sz="4" w:space="0" w:color="auto"/>
              <w:right w:val="single" w:sz="4" w:space="0" w:color="auto"/>
            </w:tcBorders>
            <w:shd w:val="clear" w:color="auto" w:fill="006C8B"/>
            <w:hideMark/>
          </w:tcPr>
          <w:p w14:paraId="494C7564" w14:textId="77777777" w:rsidR="00FF7629" w:rsidRPr="00A25D83" w:rsidRDefault="00FF7629" w:rsidP="008A70F4">
            <w:pPr>
              <w:jc w:val="center"/>
              <w:rPr>
                <w:b/>
                <w:bCs/>
                <w:color w:val="FFFFFF" w:themeColor="background1"/>
              </w:rPr>
            </w:pPr>
            <w:r w:rsidRPr="00A25D83">
              <w:rPr>
                <w:b/>
                <w:bCs/>
                <w:color w:val="FFFFFF" w:themeColor="background1"/>
              </w:rPr>
              <w:t xml:space="preserve">TAE </w:t>
            </w:r>
          </w:p>
        </w:tc>
        <w:tc>
          <w:tcPr>
            <w:tcW w:w="0" w:type="auto"/>
            <w:tcBorders>
              <w:top w:val="single" w:sz="4" w:space="0" w:color="auto"/>
              <w:left w:val="nil"/>
              <w:bottom w:val="single" w:sz="4" w:space="0" w:color="auto"/>
              <w:right w:val="single" w:sz="4" w:space="0" w:color="auto"/>
            </w:tcBorders>
            <w:shd w:val="clear" w:color="auto" w:fill="006C8B"/>
            <w:hideMark/>
          </w:tcPr>
          <w:p w14:paraId="154052E6" w14:textId="77777777" w:rsidR="00FF7629" w:rsidRPr="00A25D83" w:rsidRDefault="00FF7629" w:rsidP="008A70F4">
            <w:pPr>
              <w:jc w:val="center"/>
              <w:rPr>
                <w:b/>
                <w:bCs/>
                <w:color w:val="FFFFFF" w:themeColor="background1"/>
              </w:rPr>
            </w:pPr>
            <w:r w:rsidRPr="00A25D83">
              <w:rPr>
                <w:b/>
                <w:bCs/>
                <w:color w:val="FFFFFF" w:themeColor="background1"/>
              </w:rPr>
              <w:t>Catch (t)</w:t>
            </w:r>
          </w:p>
        </w:tc>
        <w:tc>
          <w:tcPr>
            <w:tcW w:w="0" w:type="auto"/>
            <w:tcBorders>
              <w:top w:val="single" w:sz="4" w:space="0" w:color="auto"/>
              <w:left w:val="nil"/>
              <w:bottom w:val="single" w:sz="4" w:space="0" w:color="auto"/>
              <w:right w:val="single" w:sz="4" w:space="0" w:color="auto"/>
            </w:tcBorders>
            <w:shd w:val="clear" w:color="auto" w:fill="006C8B"/>
          </w:tcPr>
          <w:p w14:paraId="5FB905AA" w14:textId="77777777" w:rsidR="00FF7629" w:rsidRPr="00A25D83" w:rsidRDefault="00FF7629" w:rsidP="008A70F4">
            <w:pPr>
              <w:jc w:val="center"/>
              <w:rPr>
                <w:b/>
                <w:bCs/>
                <w:color w:val="FFFFFF" w:themeColor="background1"/>
              </w:rPr>
            </w:pPr>
            <w:r w:rsidRPr="00A25D83">
              <w:rPr>
                <w:b/>
                <w:bCs/>
                <w:color w:val="FFFFFF" w:themeColor="background1"/>
              </w:rPr>
              <w:t>TAE</w:t>
            </w:r>
          </w:p>
        </w:tc>
        <w:tc>
          <w:tcPr>
            <w:tcW w:w="0" w:type="auto"/>
            <w:tcBorders>
              <w:top w:val="single" w:sz="4" w:space="0" w:color="auto"/>
              <w:left w:val="nil"/>
              <w:bottom w:val="single" w:sz="4" w:space="0" w:color="auto"/>
              <w:right w:val="single" w:sz="4" w:space="0" w:color="auto"/>
            </w:tcBorders>
            <w:shd w:val="clear" w:color="auto" w:fill="006C8B"/>
          </w:tcPr>
          <w:p w14:paraId="581B28DE" w14:textId="77777777" w:rsidR="00FF7629" w:rsidRPr="00A25D83" w:rsidRDefault="00FF7629" w:rsidP="008A70F4">
            <w:pPr>
              <w:jc w:val="center"/>
              <w:rPr>
                <w:b/>
                <w:bCs/>
                <w:color w:val="FFFFFF" w:themeColor="background1"/>
              </w:rPr>
            </w:pPr>
            <w:r w:rsidRPr="00A25D83">
              <w:rPr>
                <w:b/>
                <w:bCs/>
                <w:color w:val="FFFFFF" w:themeColor="background1"/>
              </w:rPr>
              <w:t>Catch (t)</w:t>
            </w:r>
          </w:p>
        </w:tc>
      </w:tr>
      <w:tr w:rsidR="00F86672" w:rsidRPr="00325076" w14:paraId="080E5C18" w14:textId="77777777" w:rsidTr="00E25D18">
        <w:trPr>
          <w:trHeight w:val="627"/>
        </w:trPr>
        <w:tc>
          <w:tcPr>
            <w:tcW w:w="0" w:type="auto"/>
            <w:tcBorders>
              <w:top w:val="nil"/>
              <w:left w:val="single" w:sz="4" w:space="0" w:color="auto"/>
              <w:bottom w:val="single" w:sz="4" w:space="0" w:color="auto"/>
              <w:right w:val="single" w:sz="4" w:space="0" w:color="auto"/>
            </w:tcBorders>
            <w:vAlign w:val="center"/>
            <w:hideMark/>
          </w:tcPr>
          <w:p w14:paraId="65FDD1C5" w14:textId="77777777" w:rsidR="00FF7629" w:rsidRDefault="00FF7629">
            <w:pPr>
              <w:rPr>
                <w:color w:val="000000"/>
              </w:rPr>
            </w:pPr>
            <w:r>
              <w:rPr>
                <w:color w:val="000000"/>
              </w:rPr>
              <w:lastRenderedPageBreak/>
              <w:t>Gould’s squid</w:t>
            </w:r>
          </w:p>
        </w:tc>
        <w:tc>
          <w:tcPr>
            <w:tcW w:w="0" w:type="auto"/>
            <w:tcBorders>
              <w:top w:val="nil"/>
              <w:left w:val="nil"/>
              <w:bottom w:val="single" w:sz="4" w:space="0" w:color="auto"/>
              <w:right w:val="single" w:sz="4" w:space="0" w:color="auto"/>
            </w:tcBorders>
            <w:shd w:val="clear" w:color="000000" w:fill="F2F2F2"/>
            <w:vAlign w:val="center"/>
            <w:hideMark/>
          </w:tcPr>
          <w:p w14:paraId="55655625" w14:textId="33FA6A0C" w:rsidR="00FF7629" w:rsidRDefault="00FF7629">
            <w:pPr>
              <w:jc w:val="center"/>
              <w:rPr>
                <w:color w:val="000000"/>
              </w:rPr>
            </w:pPr>
            <w:r>
              <w:rPr>
                <w:color w:val="000000"/>
              </w:rPr>
              <w:t>550</w:t>
            </w:r>
          </w:p>
        </w:tc>
        <w:tc>
          <w:tcPr>
            <w:tcW w:w="0" w:type="auto"/>
            <w:tcBorders>
              <w:top w:val="nil"/>
              <w:left w:val="nil"/>
              <w:bottom w:val="single" w:sz="4" w:space="0" w:color="auto"/>
              <w:right w:val="single" w:sz="4" w:space="0" w:color="auto"/>
            </w:tcBorders>
            <w:shd w:val="clear" w:color="000000" w:fill="F2F2F2"/>
            <w:vAlign w:val="center"/>
            <w:hideMark/>
          </w:tcPr>
          <w:p w14:paraId="2BA6B2A4" w14:textId="0500B325" w:rsidR="00FF7629" w:rsidRDefault="00FF7629">
            <w:pPr>
              <w:jc w:val="center"/>
              <w:rPr>
                <w:color w:val="000000"/>
              </w:rPr>
            </w:pPr>
            <w:r>
              <w:rPr>
                <w:color w:val="000000"/>
              </w:rPr>
              <w:t>62.92</w:t>
            </w:r>
          </w:p>
        </w:tc>
        <w:tc>
          <w:tcPr>
            <w:tcW w:w="0" w:type="auto"/>
            <w:tcBorders>
              <w:top w:val="nil"/>
              <w:left w:val="nil"/>
              <w:bottom w:val="single" w:sz="4" w:space="0" w:color="auto"/>
              <w:right w:val="single" w:sz="4" w:space="0" w:color="auto"/>
            </w:tcBorders>
            <w:vAlign w:val="center"/>
            <w:hideMark/>
          </w:tcPr>
          <w:p w14:paraId="35201851" w14:textId="7C556EEF" w:rsidR="00FF7629" w:rsidRDefault="00FF7629">
            <w:pPr>
              <w:jc w:val="center"/>
              <w:rPr>
                <w:color w:val="000000"/>
              </w:rPr>
            </w:pPr>
            <w:r>
              <w:rPr>
                <w:color w:val="000000"/>
              </w:rPr>
              <w:t>550</w:t>
            </w:r>
          </w:p>
        </w:tc>
        <w:tc>
          <w:tcPr>
            <w:tcW w:w="0" w:type="auto"/>
            <w:tcBorders>
              <w:top w:val="nil"/>
              <w:left w:val="nil"/>
              <w:bottom w:val="single" w:sz="4" w:space="0" w:color="auto"/>
              <w:right w:val="single" w:sz="4" w:space="0" w:color="auto"/>
            </w:tcBorders>
            <w:vAlign w:val="center"/>
            <w:hideMark/>
          </w:tcPr>
          <w:p w14:paraId="2B51B3FE" w14:textId="498139E0" w:rsidR="00FF7629" w:rsidRDefault="00FF7629">
            <w:pPr>
              <w:jc w:val="center"/>
              <w:rPr>
                <w:color w:val="000000"/>
              </w:rPr>
            </w:pPr>
            <w:r>
              <w:rPr>
                <w:color w:val="000000"/>
              </w:rPr>
              <w:t>525.83</w:t>
            </w:r>
          </w:p>
        </w:tc>
        <w:tc>
          <w:tcPr>
            <w:tcW w:w="0" w:type="auto"/>
            <w:tcBorders>
              <w:top w:val="nil"/>
              <w:left w:val="nil"/>
              <w:bottom w:val="single" w:sz="4" w:space="0" w:color="auto"/>
              <w:right w:val="single" w:sz="4" w:space="0" w:color="auto"/>
            </w:tcBorders>
            <w:shd w:val="clear" w:color="000000" w:fill="F2F2F2"/>
            <w:vAlign w:val="center"/>
            <w:hideMark/>
          </w:tcPr>
          <w:p w14:paraId="7872E592" w14:textId="77777777" w:rsidR="00FF7629" w:rsidRDefault="00FF7629">
            <w:pPr>
              <w:jc w:val="center"/>
              <w:rPr>
                <w:color w:val="000000"/>
              </w:rPr>
            </w:pPr>
            <w:r>
              <w:rPr>
                <w:color w:val="000000"/>
              </w:rPr>
              <w:t> 550</w:t>
            </w:r>
          </w:p>
        </w:tc>
        <w:tc>
          <w:tcPr>
            <w:tcW w:w="0" w:type="auto"/>
            <w:tcBorders>
              <w:top w:val="nil"/>
              <w:left w:val="nil"/>
              <w:bottom w:val="single" w:sz="4" w:space="0" w:color="auto"/>
              <w:right w:val="single" w:sz="4" w:space="0" w:color="auto"/>
            </w:tcBorders>
            <w:shd w:val="clear" w:color="000000" w:fill="F2F2F2"/>
            <w:vAlign w:val="center"/>
            <w:hideMark/>
          </w:tcPr>
          <w:p w14:paraId="6ADE0B1F" w14:textId="37E6642C" w:rsidR="00FF7629" w:rsidRDefault="00FF7629">
            <w:pPr>
              <w:jc w:val="center"/>
              <w:rPr>
                <w:color w:val="000000"/>
              </w:rPr>
            </w:pPr>
            <w:r>
              <w:rPr>
                <w:color w:val="000000"/>
              </w:rPr>
              <w:t>106.68</w:t>
            </w:r>
          </w:p>
        </w:tc>
        <w:tc>
          <w:tcPr>
            <w:tcW w:w="0" w:type="auto"/>
            <w:tcBorders>
              <w:top w:val="nil"/>
              <w:left w:val="nil"/>
              <w:bottom w:val="single" w:sz="4" w:space="0" w:color="auto"/>
              <w:right w:val="single" w:sz="4" w:space="0" w:color="auto"/>
            </w:tcBorders>
            <w:shd w:val="clear" w:color="000000" w:fill="F2F2F2"/>
            <w:vAlign w:val="center"/>
            <w:hideMark/>
          </w:tcPr>
          <w:p w14:paraId="635D927B" w14:textId="77777777" w:rsidR="00FF7629" w:rsidRDefault="00FF7629">
            <w:pPr>
              <w:jc w:val="center"/>
              <w:rPr>
                <w:color w:val="000000"/>
              </w:rPr>
            </w:pPr>
            <w:r>
              <w:rPr>
                <w:color w:val="000000"/>
              </w:rPr>
              <w:t>550</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17C95A05" w14:textId="533866D8" w:rsidR="00FF7629" w:rsidRPr="00325076" w:rsidRDefault="00FF7629">
            <w:pPr>
              <w:jc w:val="center"/>
            </w:pPr>
            <w:r>
              <w:t>640.97</w:t>
            </w:r>
          </w:p>
        </w:tc>
        <w:tc>
          <w:tcPr>
            <w:tcW w:w="0" w:type="auto"/>
            <w:tcBorders>
              <w:top w:val="single" w:sz="4" w:space="0" w:color="auto"/>
              <w:left w:val="nil"/>
              <w:bottom w:val="single" w:sz="4" w:space="0" w:color="auto"/>
              <w:right w:val="single" w:sz="4" w:space="0" w:color="auto"/>
            </w:tcBorders>
            <w:shd w:val="clear" w:color="000000" w:fill="F2F2F2"/>
            <w:vAlign w:val="center"/>
          </w:tcPr>
          <w:p w14:paraId="228F236C" w14:textId="77785614" w:rsidR="00FF7629" w:rsidRPr="005E3D9D" w:rsidRDefault="00FF7629">
            <w:pPr>
              <w:jc w:val="center"/>
            </w:pPr>
            <w:r>
              <w:t>550</w:t>
            </w:r>
          </w:p>
        </w:tc>
        <w:tc>
          <w:tcPr>
            <w:tcW w:w="0" w:type="auto"/>
            <w:tcBorders>
              <w:top w:val="single" w:sz="4" w:space="0" w:color="auto"/>
              <w:left w:val="nil"/>
              <w:bottom w:val="single" w:sz="4" w:space="0" w:color="auto"/>
              <w:right w:val="single" w:sz="4" w:space="0" w:color="auto"/>
            </w:tcBorders>
            <w:shd w:val="clear" w:color="000000" w:fill="F2F2F2"/>
            <w:vAlign w:val="center"/>
          </w:tcPr>
          <w:p w14:paraId="684EA326" w14:textId="1949A4E4" w:rsidR="00FF7629" w:rsidRPr="00325076" w:rsidRDefault="00FF7629">
            <w:pPr>
              <w:jc w:val="center"/>
            </w:pPr>
            <w:r>
              <w:t>770.38</w:t>
            </w:r>
          </w:p>
        </w:tc>
      </w:tr>
    </w:tbl>
    <w:p w14:paraId="43A49675" w14:textId="66258003" w:rsidR="00DE330A" w:rsidRDefault="00AB117C" w:rsidP="00FC6032">
      <w:r>
        <w:t>*</w:t>
      </w:r>
      <w:r w:rsidR="00BB1FE1">
        <w:t>TAE are represented by the number of standard jigging machines allowed to be used.</w:t>
      </w:r>
    </w:p>
    <w:p w14:paraId="57DC65B4" w14:textId="4B5F2700" w:rsidR="000053D4" w:rsidRPr="00EA52FC" w:rsidRDefault="00034261" w:rsidP="00A25D83">
      <w:r w:rsidRPr="00EF14E4">
        <w:t>There are currently no concerns with respect to the squid resource in Commonwealth waters. The reduced effort in the SSJF is due to market forces rather than the availability of squid. Despite being considered to have been only lightly fished in recent years, the highly variable pattern of Gould’s squid abundance across years and localities has underpinned the rationale for a precautionary approach specified in the Harvest Strategy.</w:t>
      </w:r>
    </w:p>
    <w:p w14:paraId="73F3A9A2" w14:textId="42D45A46" w:rsidR="000053D4" w:rsidRDefault="005C71F2" w:rsidP="000053D4">
      <w:r>
        <w:t>In addition</w:t>
      </w:r>
      <w:r w:rsidR="003C510C">
        <w:t>,</w:t>
      </w:r>
      <w:r w:rsidR="000053D4">
        <w:t xml:space="preserve"> trawl bycatch of Gould’s squid has been relatively consistent over the years indicating that squid stocks are stable</w:t>
      </w:r>
      <w:r w:rsidR="003C510C">
        <w:t xml:space="preserve"> (Table </w:t>
      </w:r>
      <w:r w:rsidR="00ED7E2A">
        <w:t>5</w:t>
      </w:r>
      <w:r w:rsidR="003C510C">
        <w:t>)</w:t>
      </w:r>
      <w:r w:rsidR="000053D4">
        <w:t>.</w:t>
      </w:r>
    </w:p>
    <w:p w14:paraId="3802FD26" w14:textId="06674905" w:rsidR="001C20D6" w:rsidRPr="000A69AE" w:rsidRDefault="001C20D6" w:rsidP="001C20D6">
      <w:pPr>
        <w:keepNext/>
        <w:spacing w:after="120" w:line="240" w:lineRule="auto"/>
        <w:rPr>
          <w:rFonts w:ascii="Calibri" w:eastAsia="Calibri" w:hAnsi="Calibri" w:cs="Times New Roman"/>
          <w:b/>
          <w:bCs/>
          <w:sz w:val="24"/>
          <w:szCs w:val="18"/>
          <w:lang w:eastAsia="ja-JP"/>
        </w:rPr>
      </w:pPr>
      <w:r w:rsidRPr="00A25D83">
        <w:rPr>
          <w:rFonts w:ascii="Calibri" w:eastAsia="Calibri" w:hAnsi="Calibri" w:cs="Times New Roman"/>
          <w:b/>
          <w:bCs/>
        </w:rPr>
        <w:t xml:space="preserve">Table </w:t>
      </w:r>
      <w:r w:rsidR="00C9197E">
        <w:rPr>
          <w:rFonts w:ascii="Calibri" w:eastAsia="Calibri" w:hAnsi="Calibri" w:cs="Times New Roman"/>
          <w:b/>
          <w:bCs/>
        </w:rPr>
        <w:t>5</w:t>
      </w:r>
      <w:r w:rsidRPr="00A25D83">
        <w:rPr>
          <w:rFonts w:ascii="Calibri" w:eastAsia="Calibri" w:hAnsi="Calibri" w:cs="Times New Roman"/>
          <w:b/>
          <w:bCs/>
        </w:rPr>
        <w:t xml:space="preserve"> </w:t>
      </w:r>
      <w:r w:rsidR="00244F6F" w:rsidRPr="00A25D83">
        <w:rPr>
          <w:rFonts w:ascii="Calibri" w:eastAsia="Calibri" w:hAnsi="Calibri" w:cs="Times New Roman"/>
        </w:rPr>
        <w:t>Bycatch</w:t>
      </w:r>
      <w:r w:rsidR="008448F2" w:rsidRPr="00A25D83">
        <w:rPr>
          <w:rFonts w:ascii="Calibri" w:eastAsia="Calibri" w:hAnsi="Calibri" w:cs="Times New Roman"/>
        </w:rPr>
        <w:t xml:space="preserve"> of </w:t>
      </w:r>
      <w:r w:rsidRPr="00A25D83">
        <w:rPr>
          <w:rFonts w:ascii="Calibri" w:eastAsia="Calibri" w:hAnsi="Calibri" w:cs="Times New Roman"/>
          <w:lang w:eastAsia="ja-JP"/>
        </w:rPr>
        <w:t>G</w:t>
      </w:r>
      <w:r w:rsidR="00316F84" w:rsidRPr="00A25D83">
        <w:rPr>
          <w:rFonts w:ascii="Calibri" w:eastAsia="Calibri" w:hAnsi="Calibri" w:cs="Times New Roman"/>
          <w:lang w:eastAsia="ja-JP"/>
        </w:rPr>
        <w:t>ou</w:t>
      </w:r>
      <w:r w:rsidRPr="00A25D83">
        <w:rPr>
          <w:rFonts w:ascii="Calibri" w:eastAsia="Calibri" w:hAnsi="Calibri" w:cs="Times New Roman"/>
          <w:lang w:eastAsia="ja-JP"/>
        </w:rPr>
        <w:t>ld’s Squid</w:t>
      </w:r>
      <w:r w:rsidR="008448F2" w:rsidRPr="00A25D83">
        <w:rPr>
          <w:rFonts w:ascii="Calibri" w:eastAsia="Calibri" w:hAnsi="Calibri" w:cs="Times New Roman"/>
          <w:lang w:eastAsia="ja-JP"/>
        </w:rPr>
        <w:t xml:space="preserve"> in the CTS</w:t>
      </w:r>
    </w:p>
    <w:tbl>
      <w:tblPr>
        <w:tblW w:w="4397" w:type="pct"/>
        <w:tblBorders>
          <w:top w:val="single" w:sz="6"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698"/>
        <w:gridCol w:w="1267"/>
        <w:gridCol w:w="1125"/>
        <w:gridCol w:w="1272"/>
        <w:gridCol w:w="1129"/>
        <w:gridCol w:w="1446"/>
      </w:tblGrid>
      <w:tr w:rsidR="002E684D" w:rsidRPr="000A69AE" w14:paraId="7DE18671" w14:textId="77777777" w:rsidTr="00B037E1">
        <w:trPr>
          <w:cantSplit/>
          <w:tblHeader/>
        </w:trPr>
        <w:tc>
          <w:tcPr>
            <w:tcW w:w="1070" w:type="pct"/>
            <w:tcBorders>
              <w:top w:val="single" w:sz="6" w:space="0" w:color="auto"/>
              <w:left w:val="nil"/>
              <w:bottom w:val="single" w:sz="4" w:space="0" w:color="auto"/>
              <w:right w:val="nil"/>
            </w:tcBorders>
            <w:shd w:val="clear" w:color="auto" w:fill="006C8B"/>
            <w:tcMar>
              <w:top w:w="0" w:type="dxa"/>
              <w:left w:w="108" w:type="dxa"/>
              <w:bottom w:w="0" w:type="dxa"/>
              <w:right w:w="108" w:type="dxa"/>
            </w:tcMar>
            <w:hideMark/>
          </w:tcPr>
          <w:p w14:paraId="65B67B29" w14:textId="4308CA7A" w:rsidR="001C20D6" w:rsidRPr="00A25D83" w:rsidRDefault="008448F2" w:rsidP="008A70F4">
            <w:pPr>
              <w:keepNext/>
              <w:spacing w:before="60" w:after="60" w:line="240" w:lineRule="auto"/>
              <w:rPr>
                <w:rFonts w:ascii="Calibri" w:eastAsia="Calibri" w:hAnsi="Calibri" w:cs="Times New Roman"/>
                <w:b/>
                <w:color w:val="FFFFFF" w:themeColor="background1"/>
                <w:sz w:val="18"/>
              </w:rPr>
            </w:pPr>
            <w:r w:rsidRPr="00A25D83">
              <w:rPr>
                <w:rFonts w:ascii="Calibri" w:eastAsia="Calibri" w:hAnsi="Calibri" w:cs="Times New Roman"/>
                <w:b/>
                <w:color w:val="FFFFFF" w:themeColor="background1"/>
                <w:sz w:val="18"/>
              </w:rPr>
              <w:t>Year</w:t>
            </w:r>
          </w:p>
        </w:tc>
        <w:tc>
          <w:tcPr>
            <w:tcW w:w="798" w:type="pct"/>
            <w:tcBorders>
              <w:top w:val="single" w:sz="6" w:space="0" w:color="auto"/>
              <w:left w:val="nil"/>
              <w:bottom w:val="single" w:sz="4" w:space="0" w:color="auto"/>
              <w:right w:val="nil"/>
            </w:tcBorders>
            <w:shd w:val="clear" w:color="auto" w:fill="006C8B"/>
            <w:tcMar>
              <w:top w:w="0" w:type="dxa"/>
              <w:left w:w="108" w:type="dxa"/>
              <w:bottom w:w="0" w:type="dxa"/>
              <w:right w:w="108" w:type="dxa"/>
            </w:tcMar>
            <w:hideMark/>
          </w:tcPr>
          <w:p w14:paraId="249FC45D" w14:textId="5355AB3B" w:rsidR="001C20D6" w:rsidRPr="00A25D83" w:rsidRDefault="00740D80" w:rsidP="008A70F4">
            <w:pPr>
              <w:keepNext/>
              <w:spacing w:before="60" w:after="60" w:line="240" w:lineRule="auto"/>
              <w:rPr>
                <w:rFonts w:ascii="Calibri" w:eastAsia="Calibri" w:hAnsi="Calibri" w:cs="Times New Roman"/>
                <w:b/>
                <w:color w:val="FFFFFF" w:themeColor="background1"/>
                <w:sz w:val="18"/>
              </w:rPr>
            </w:pPr>
            <w:r w:rsidRPr="00A25D83">
              <w:rPr>
                <w:rFonts w:ascii="Calibri" w:eastAsia="Calibri" w:hAnsi="Calibri" w:cs="Times New Roman"/>
                <w:b/>
                <w:color w:val="FFFFFF" w:themeColor="background1"/>
                <w:sz w:val="18"/>
              </w:rPr>
              <w:t>2020</w:t>
            </w:r>
          </w:p>
        </w:tc>
        <w:tc>
          <w:tcPr>
            <w:tcW w:w="709" w:type="pct"/>
            <w:tcBorders>
              <w:top w:val="single" w:sz="6" w:space="0" w:color="auto"/>
              <w:left w:val="nil"/>
              <w:bottom w:val="single" w:sz="4" w:space="0" w:color="auto"/>
              <w:right w:val="nil"/>
            </w:tcBorders>
            <w:shd w:val="clear" w:color="auto" w:fill="006C8B"/>
            <w:tcMar>
              <w:top w:w="0" w:type="dxa"/>
              <w:left w:w="108" w:type="dxa"/>
              <w:bottom w:w="0" w:type="dxa"/>
              <w:right w:w="108" w:type="dxa"/>
            </w:tcMar>
            <w:hideMark/>
          </w:tcPr>
          <w:p w14:paraId="203CEFEA" w14:textId="0863D1D6" w:rsidR="001C20D6" w:rsidRPr="00A25D83" w:rsidRDefault="00740D80" w:rsidP="008A70F4">
            <w:pPr>
              <w:keepNext/>
              <w:spacing w:before="60" w:after="60" w:line="240" w:lineRule="auto"/>
              <w:rPr>
                <w:rFonts w:ascii="Calibri" w:eastAsia="Calibri" w:hAnsi="Calibri" w:cs="Times New Roman"/>
                <w:b/>
                <w:color w:val="FFFFFF" w:themeColor="background1"/>
                <w:sz w:val="18"/>
              </w:rPr>
            </w:pPr>
            <w:r w:rsidRPr="00A25D83">
              <w:rPr>
                <w:rFonts w:ascii="Calibri" w:eastAsia="Calibri" w:hAnsi="Calibri" w:cs="Times New Roman"/>
                <w:b/>
                <w:color w:val="FFFFFF" w:themeColor="background1"/>
                <w:sz w:val="18"/>
              </w:rPr>
              <w:t>2021</w:t>
            </w:r>
          </w:p>
        </w:tc>
        <w:tc>
          <w:tcPr>
            <w:tcW w:w="801" w:type="pct"/>
            <w:tcBorders>
              <w:top w:val="single" w:sz="6" w:space="0" w:color="auto"/>
              <w:left w:val="nil"/>
              <w:bottom w:val="single" w:sz="4" w:space="0" w:color="auto"/>
              <w:right w:val="nil"/>
            </w:tcBorders>
            <w:shd w:val="clear" w:color="auto" w:fill="006C8B"/>
            <w:tcMar>
              <w:top w:w="0" w:type="dxa"/>
              <w:left w:w="108" w:type="dxa"/>
              <w:bottom w:w="0" w:type="dxa"/>
              <w:right w:w="108" w:type="dxa"/>
            </w:tcMar>
            <w:hideMark/>
          </w:tcPr>
          <w:p w14:paraId="5CCCAC76" w14:textId="40553ACF" w:rsidR="001C20D6" w:rsidRPr="00A25D83" w:rsidRDefault="00740D80" w:rsidP="008A70F4">
            <w:pPr>
              <w:keepNext/>
              <w:spacing w:before="60" w:after="60" w:line="240" w:lineRule="auto"/>
              <w:rPr>
                <w:rFonts w:ascii="Calibri" w:eastAsia="Calibri" w:hAnsi="Calibri" w:cs="Times New Roman"/>
                <w:b/>
                <w:color w:val="FFFFFF" w:themeColor="background1"/>
                <w:sz w:val="18"/>
              </w:rPr>
            </w:pPr>
            <w:r w:rsidRPr="00A25D83">
              <w:rPr>
                <w:rFonts w:ascii="Calibri" w:eastAsia="Calibri" w:hAnsi="Calibri" w:cs="Times New Roman"/>
                <w:b/>
                <w:color w:val="FFFFFF" w:themeColor="background1"/>
                <w:sz w:val="18"/>
              </w:rPr>
              <w:t>2022</w:t>
            </w:r>
          </w:p>
        </w:tc>
        <w:tc>
          <w:tcPr>
            <w:tcW w:w="711" w:type="pct"/>
            <w:tcBorders>
              <w:top w:val="single" w:sz="6" w:space="0" w:color="auto"/>
              <w:left w:val="nil"/>
              <w:bottom w:val="single" w:sz="4" w:space="0" w:color="auto"/>
              <w:right w:val="nil"/>
            </w:tcBorders>
            <w:shd w:val="clear" w:color="auto" w:fill="006C8B"/>
            <w:tcMar>
              <w:top w:w="0" w:type="dxa"/>
              <w:left w:w="108" w:type="dxa"/>
              <w:bottom w:w="0" w:type="dxa"/>
              <w:right w:w="108" w:type="dxa"/>
            </w:tcMar>
            <w:hideMark/>
          </w:tcPr>
          <w:p w14:paraId="33011D82" w14:textId="77B53A68" w:rsidR="001C20D6" w:rsidRPr="00A25D83" w:rsidRDefault="00740D80" w:rsidP="008A70F4">
            <w:pPr>
              <w:keepNext/>
              <w:spacing w:before="60" w:after="60" w:line="240" w:lineRule="auto"/>
              <w:rPr>
                <w:rFonts w:ascii="Calibri" w:eastAsia="Calibri" w:hAnsi="Calibri" w:cs="Times New Roman"/>
                <w:b/>
                <w:color w:val="FFFFFF" w:themeColor="background1"/>
                <w:sz w:val="18"/>
              </w:rPr>
            </w:pPr>
            <w:r w:rsidRPr="00A25D83">
              <w:rPr>
                <w:rFonts w:ascii="Calibri" w:eastAsia="Calibri" w:hAnsi="Calibri" w:cs="Times New Roman"/>
                <w:b/>
                <w:color w:val="FFFFFF" w:themeColor="background1"/>
                <w:sz w:val="18"/>
              </w:rPr>
              <w:t>2023</w:t>
            </w:r>
          </w:p>
        </w:tc>
        <w:tc>
          <w:tcPr>
            <w:tcW w:w="911" w:type="pct"/>
            <w:tcBorders>
              <w:top w:val="single" w:sz="6" w:space="0" w:color="auto"/>
              <w:left w:val="nil"/>
              <w:bottom w:val="single" w:sz="4" w:space="0" w:color="auto"/>
              <w:right w:val="nil"/>
            </w:tcBorders>
            <w:shd w:val="clear" w:color="auto" w:fill="006C8B"/>
            <w:tcMar>
              <w:top w:w="0" w:type="dxa"/>
              <w:left w:w="108" w:type="dxa"/>
              <w:bottom w:w="0" w:type="dxa"/>
              <w:right w:w="108" w:type="dxa"/>
            </w:tcMar>
            <w:hideMark/>
          </w:tcPr>
          <w:p w14:paraId="4CD5DA9E" w14:textId="768E7356" w:rsidR="001C20D6" w:rsidRPr="00A25D83" w:rsidRDefault="00740D80" w:rsidP="008A70F4">
            <w:pPr>
              <w:keepNext/>
              <w:spacing w:before="60" w:after="60" w:line="240" w:lineRule="auto"/>
              <w:rPr>
                <w:rFonts w:ascii="Calibri" w:eastAsia="Calibri" w:hAnsi="Calibri" w:cs="Times New Roman"/>
                <w:b/>
                <w:color w:val="FFFFFF" w:themeColor="background1"/>
                <w:sz w:val="18"/>
              </w:rPr>
            </w:pPr>
            <w:r w:rsidRPr="00A25D83">
              <w:rPr>
                <w:rFonts w:ascii="Calibri" w:eastAsia="Calibri" w:hAnsi="Calibri" w:cs="Times New Roman"/>
                <w:b/>
                <w:color w:val="FFFFFF" w:themeColor="background1"/>
                <w:sz w:val="18"/>
              </w:rPr>
              <w:t>2024</w:t>
            </w:r>
          </w:p>
        </w:tc>
      </w:tr>
      <w:tr w:rsidR="00B72A42" w:rsidRPr="000A69AE" w14:paraId="16217A6B" w14:textId="77777777" w:rsidTr="00B72A42">
        <w:tc>
          <w:tcPr>
            <w:tcW w:w="1070" w:type="pct"/>
            <w:tcBorders>
              <w:top w:val="single" w:sz="4" w:space="0" w:color="auto"/>
              <w:left w:val="nil"/>
              <w:bottom w:val="single" w:sz="4" w:space="0" w:color="auto"/>
              <w:right w:val="nil"/>
            </w:tcBorders>
            <w:tcMar>
              <w:top w:w="0" w:type="dxa"/>
              <w:left w:w="108" w:type="dxa"/>
              <w:bottom w:w="0" w:type="dxa"/>
              <w:right w:w="108" w:type="dxa"/>
            </w:tcMar>
            <w:hideMark/>
          </w:tcPr>
          <w:p w14:paraId="41BA6E40" w14:textId="48AAC141" w:rsidR="001C20D6" w:rsidRPr="000A69AE" w:rsidRDefault="001C20D6" w:rsidP="008A70F4">
            <w:pPr>
              <w:spacing w:before="60" w:after="60" w:line="240" w:lineRule="auto"/>
              <w:rPr>
                <w:rFonts w:ascii="Calibri" w:eastAsia="Calibri" w:hAnsi="Calibri" w:cs="Times New Roman"/>
                <w:sz w:val="18"/>
              </w:rPr>
            </w:pPr>
            <w:r w:rsidRPr="000A69AE">
              <w:rPr>
                <w:rFonts w:ascii="Calibri" w:eastAsia="Calibri" w:hAnsi="Calibri" w:cs="Times New Roman"/>
                <w:sz w:val="18"/>
              </w:rPr>
              <w:t>Gould’s squid (</w:t>
            </w:r>
            <w:proofErr w:type="spellStart"/>
            <w:r w:rsidRPr="000A69AE">
              <w:rPr>
                <w:rFonts w:ascii="Calibri" w:eastAsia="Calibri" w:hAnsi="Calibri" w:cs="Times New Roman"/>
                <w:i/>
                <w:iCs/>
                <w:sz w:val="18"/>
              </w:rPr>
              <w:t>Nototodarus</w:t>
            </w:r>
            <w:proofErr w:type="spellEnd"/>
            <w:r w:rsidRPr="000A69AE">
              <w:rPr>
                <w:rFonts w:ascii="Calibri" w:eastAsia="Calibri" w:hAnsi="Calibri" w:cs="Times New Roman"/>
                <w:i/>
                <w:iCs/>
                <w:sz w:val="18"/>
              </w:rPr>
              <w:t xml:space="preserve"> gouldi</w:t>
            </w:r>
            <w:r w:rsidRPr="000A69AE">
              <w:rPr>
                <w:rFonts w:ascii="Calibri" w:eastAsia="Calibri" w:hAnsi="Calibri" w:cs="Times New Roman"/>
                <w:sz w:val="18"/>
              </w:rPr>
              <w:t>)</w:t>
            </w:r>
            <w:r w:rsidR="00872BB2">
              <w:rPr>
                <w:rFonts w:ascii="Calibri" w:eastAsia="Calibri" w:hAnsi="Calibri" w:cs="Times New Roman"/>
                <w:sz w:val="18"/>
              </w:rPr>
              <w:t xml:space="preserve"> T</w:t>
            </w:r>
            <w:r w:rsidR="00752848">
              <w:rPr>
                <w:rFonts w:ascii="Calibri" w:eastAsia="Calibri" w:hAnsi="Calibri" w:cs="Times New Roman"/>
                <w:sz w:val="18"/>
              </w:rPr>
              <w:t>onnes (t)</w:t>
            </w:r>
          </w:p>
        </w:tc>
        <w:tc>
          <w:tcPr>
            <w:tcW w:w="798" w:type="pct"/>
            <w:tcBorders>
              <w:top w:val="single" w:sz="4" w:space="0" w:color="auto"/>
              <w:left w:val="nil"/>
              <w:bottom w:val="single" w:sz="4" w:space="0" w:color="auto"/>
              <w:right w:val="nil"/>
            </w:tcBorders>
            <w:tcMar>
              <w:top w:w="0" w:type="dxa"/>
              <w:left w:w="108" w:type="dxa"/>
              <w:bottom w:w="0" w:type="dxa"/>
              <w:right w:w="108" w:type="dxa"/>
            </w:tcMar>
            <w:hideMark/>
          </w:tcPr>
          <w:p w14:paraId="2824709B" w14:textId="7C9822DB" w:rsidR="001C20D6" w:rsidRPr="006D4DE1" w:rsidRDefault="00A845AF" w:rsidP="008A70F4">
            <w:pPr>
              <w:spacing w:before="60" w:after="60" w:line="240" w:lineRule="auto"/>
              <w:rPr>
                <w:rFonts w:ascii="Calibri" w:eastAsia="Calibri" w:hAnsi="Calibri" w:cs="Times New Roman"/>
                <w:sz w:val="18"/>
              </w:rPr>
            </w:pPr>
            <w:r>
              <w:rPr>
                <w:rFonts w:ascii="Calibri" w:eastAsia="Calibri" w:hAnsi="Calibri" w:cs="Times New Roman"/>
                <w:sz w:val="18"/>
              </w:rPr>
              <w:t>3</w:t>
            </w:r>
            <w:r w:rsidR="000B41A9">
              <w:rPr>
                <w:rFonts w:ascii="Calibri" w:eastAsia="Calibri" w:hAnsi="Calibri" w:cs="Times New Roman"/>
                <w:sz w:val="18"/>
              </w:rPr>
              <w:t>57.4</w:t>
            </w:r>
          </w:p>
        </w:tc>
        <w:tc>
          <w:tcPr>
            <w:tcW w:w="709" w:type="pct"/>
            <w:tcBorders>
              <w:top w:val="single" w:sz="4" w:space="0" w:color="auto"/>
              <w:left w:val="nil"/>
              <w:bottom w:val="single" w:sz="4" w:space="0" w:color="auto"/>
              <w:right w:val="nil"/>
            </w:tcBorders>
            <w:tcMar>
              <w:top w:w="0" w:type="dxa"/>
              <w:left w:w="108" w:type="dxa"/>
              <w:bottom w:w="0" w:type="dxa"/>
              <w:right w:w="108" w:type="dxa"/>
            </w:tcMar>
            <w:hideMark/>
          </w:tcPr>
          <w:p w14:paraId="1900BE9B" w14:textId="2C186866" w:rsidR="001C20D6" w:rsidRPr="006D4DE1" w:rsidRDefault="00DB42E8" w:rsidP="008A70F4">
            <w:pPr>
              <w:spacing w:before="60" w:after="60" w:line="240" w:lineRule="auto"/>
              <w:rPr>
                <w:rFonts w:ascii="Calibri" w:eastAsia="Calibri" w:hAnsi="Calibri" w:cs="Times New Roman"/>
                <w:sz w:val="18"/>
              </w:rPr>
            </w:pPr>
            <w:r>
              <w:rPr>
                <w:rFonts w:ascii="Calibri" w:eastAsia="Calibri" w:hAnsi="Calibri" w:cs="Times New Roman"/>
                <w:sz w:val="18"/>
              </w:rPr>
              <w:t>405</w:t>
            </w:r>
          </w:p>
        </w:tc>
        <w:tc>
          <w:tcPr>
            <w:tcW w:w="801" w:type="pct"/>
            <w:tcBorders>
              <w:top w:val="single" w:sz="4" w:space="0" w:color="auto"/>
              <w:left w:val="nil"/>
              <w:bottom w:val="single" w:sz="4" w:space="0" w:color="auto"/>
              <w:right w:val="nil"/>
            </w:tcBorders>
            <w:tcMar>
              <w:top w:w="0" w:type="dxa"/>
              <w:left w:w="108" w:type="dxa"/>
              <w:bottom w:w="0" w:type="dxa"/>
              <w:right w:w="108" w:type="dxa"/>
            </w:tcMar>
            <w:hideMark/>
          </w:tcPr>
          <w:p w14:paraId="4C9D010C" w14:textId="5267FB87" w:rsidR="001C20D6" w:rsidRPr="006D4DE1" w:rsidRDefault="00DD47E6" w:rsidP="008A70F4">
            <w:pPr>
              <w:spacing w:before="60" w:after="60" w:line="240" w:lineRule="auto"/>
              <w:rPr>
                <w:rFonts w:ascii="Calibri" w:eastAsia="Calibri" w:hAnsi="Calibri" w:cs="Times New Roman"/>
                <w:sz w:val="18"/>
              </w:rPr>
            </w:pPr>
            <w:r>
              <w:rPr>
                <w:rFonts w:ascii="Calibri" w:eastAsia="Calibri" w:hAnsi="Calibri" w:cs="Times New Roman"/>
                <w:sz w:val="18"/>
              </w:rPr>
              <w:t>204</w:t>
            </w:r>
          </w:p>
        </w:tc>
        <w:tc>
          <w:tcPr>
            <w:tcW w:w="711" w:type="pct"/>
            <w:tcBorders>
              <w:top w:val="single" w:sz="4" w:space="0" w:color="auto"/>
              <w:left w:val="nil"/>
              <w:bottom w:val="single" w:sz="4" w:space="0" w:color="auto"/>
              <w:right w:val="nil"/>
            </w:tcBorders>
            <w:tcMar>
              <w:top w:w="0" w:type="dxa"/>
              <w:left w:w="108" w:type="dxa"/>
              <w:bottom w:w="0" w:type="dxa"/>
              <w:right w:w="108" w:type="dxa"/>
            </w:tcMar>
            <w:hideMark/>
          </w:tcPr>
          <w:p w14:paraId="3E3E00CD" w14:textId="444EB940" w:rsidR="001C20D6" w:rsidRPr="006D4DE1" w:rsidRDefault="00F30FD6" w:rsidP="008A70F4">
            <w:pPr>
              <w:spacing w:before="60" w:after="60" w:line="240" w:lineRule="auto"/>
              <w:rPr>
                <w:rFonts w:ascii="Calibri" w:eastAsia="Calibri" w:hAnsi="Calibri" w:cs="Times New Roman"/>
                <w:sz w:val="18"/>
              </w:rPr>
            </w:pPr>
            <w:r>
              <w:rPr>
                <w:rFonts w:ascii="Calibri" w:eastAsia="Calibri" w:hAnsi="Calibri" w:cs="Times New Roman"/>
                <w:sz w:val="18"/>
              </w:rPr>
              <w:t>221</w:t>
            </w:r>
          </w:p>
        </w:tc>
        <w:tc>
          <w:tcPr>
            <w:tcW w:w="911" w:type="pct"/>
            <w:tcBorders>
              <w:top w:val="single" w:sz="4" w:space="0" w:color="auto"/>
              <w:left w:val="nil"/>
              <w:bottom w:val="single" w:sz="4" w:space="0" w:color="auto"/>
              <w:right w:val="nil"/>
            </w:tcBorders>
            <w:tcMar>
              <w:top w:w="0" w:type="dxa"/>
              <w:left w:w="108" w:type="dxa"/>
              <w:bottom w:w="0" w:type="dxa"/>
              <w:right w:w="108" w:type="dxa"/>
            </w:tcMar>
            <w:hideMark/>
          </w:tcPr>
          <w:p w14:paraId="6BB19156" w14:textId="693BE969" w:rsidR="001C20D6" w:rsidRPr="006D4DE1" w:rsidRDefault="00CB798C" w:rsidP="008A70F4">
            <w:pPr>
              <w:spacing w:before="60" w:after="60" w:line="240" w:lineRule="auto"/>
              <w:rPr>
                <w:rFonts w:ascii="Calibri" w:eastAsia="Calibri" w:hAnsi="Calibri" w:cs="Times New Roman"/>
                <w:sz w:val="18"/>
              </w:rPr>
            </w:pPr>
            <w:r>
              <w:rPr>
                <w:rFonts w:ascii="Calibri" w:eastAsia="Calibri" w:hAnsi="Calibri" w:cs="Times New Roman"/>
                <w:sz w:val="18"/>
              </w:rPr>
              <w:t>211</w:t>
            </w:r>
          </w:p>
        </w:tc>
      </w:tr>
    </w:tbl>
    <w:p w14:paraId="76C72CB8" w14:textId="77777777" w:rsidR="00F102FB" w:rsidRDefault="00F102FB" w:rsidP="007B704F">
      <w:pPr>
        <w:rPr>
          <w:color w:val="4000A6"/>
        </w:rPr>
      </w:pPr>
    </w:p>
    <w:p w14:paraId="0DB80777" w14:textId="77777777" w:rsidR="00A26C7E" w:rsidRPr="00F268C6" w:rsidRDefault="00A26C7E" w:rsidP="00A26C7E">
      <w:pPr>
        <w:pStyle w:val="Heading2"/>
      </w:pPr>
      <w:bookmarkStart w:id="26" w:name="_Toc210975457"/>
      <w:r>
        <w:t>I</w:t>
      </w:r>
      <w:r w:rsidRPr="00F268C6">
        <w:t>ndicator species</w:t>
      </w:r>
      <w:bookmarkEnd w:id="26"/>
    </w:p>
    <w:p w14:paraId="085CC15C" w14:textId="2FD901A2" w:rsidR="00F42BDC" w:rsidRPr="00A25D83" w:rsidRDefault="00F42BDC" w:rsidP="004206E7">
      <w:pPr>
        <w:rPr>
          <w:color w:val="000000"/>
        </w:rPr>
      </w:pPr>
      <w:r w:rsidRPr="00A25D83">
        <w:rPr>
          <w:color w:val="000000"/>
        </w:rPr>
        <w:t xml:space="preserve">Currently, there are no formally recognised indicator species associated with the Southern Squid Jig Fishery (SSJF). </w:t>
      </w:r>
      <w:r w:rsidR="00F016D3" w:rsidRPr="00A25D83">
        <w:rPr>
          <w:color w:val="000000"/>
        </w:rPr>
        <w:t>Meaning</w:t>
      </w:r>
      <w:r w:rsidRPr="00A25D83">
        <w:rPr>
          <w:color w:val="000000"/>
        </w:rPr>
        <w:t xml:space="preserve"> that no specific marine organisms have been designated to serve as biological indicators for monitoring the environmental health, ecosystem impacts, or sustainability of fishing activities within this fishery. The absence of indicator species reflect</w:t>
      </w:r>
      <w:r w:rsidR="001C560F" w:rsidRPr="00A25D83">
        <w:rPr>
          <w:color w:val="000000"/>
        </w:rPr>
        <w:t>s</w:t>
      </w:r>
      <w:r w:rsidRPr="00A25D83">
        <w:rPr>
          <w:color w:val="000000"/>
        </w:rPr>
        <w:t xml:space="preserve"> limited ecological data </w:t>
      </w:r>
      <w:r w:rsidR="001C560F" w:rsidRPr="00A25D83">
        <w:rPr>
          <w:color w:val="000000"/>
        </w:rPr>
        <w:t>and/</w:t>
      </w:r>
      <w:r w:rsidRPr="00A25D83">
        <w:rPr>
          <w:color w:val="000000"/>
        </w:rPr>
        <w:t xml:space="preserve">or a need for further research to identify species whose population trends or behaviours could reliably signal changes in ecosystem condition or fishing pressure. Establishing indicator species </w:t>
      </w:r>
      <w:r w:rsidR="004D2E6B" w:rsidRPr="00A25D83">
        <w:rPr>
          <w:color w:val="000000"/>
        </w:rPr>
        <w:t>may</w:t>
      </w:r>
      <w:r w:rsidRPr="00A25D83">
        <w:rPr>
          <w:color w:val="000000"/>
        </w:rPr>
        <w:t xml:space="preserve"> enhance the fishery’s environmental monitoring and support more adaptive management practices.</w:t>
      </w:r>
    </w:p>
    <w:p w14:paraId="1FB5FD34" w14:textId="27B8E2F4" w:rsidR="004640E2" w:rsidRPr="000D0DE8" w:rsidRDefault="00515AA6" w:rsidP="00515AA6">
      <w:pPr>
        <w:pStyle w:val="Heading2"/>
      </w:pPr>
      <w:bookmarkStart w:id="27" w:name="_Toc210975458"/>
      <w:r w:rsidRPr="00CD7FC4">
        <w:t>D</w:t>
      </w:r>
      <w:r w:rsidR="004640E2" w:rsidRPr="00CD7FC4">
        <w:t>istribution and sp</w:t>
      </w:r>
      <w:r w:rsidR="00962308" w:rsidRPr="00CD7FC4">
        <w:t>a</w:t>
      </w:r>
      <w:r w:rsidR="0069314A" w:rsidRPr="00CD7FC4">
        <w:t>t</w:t>
      </w:r>
      <w:r w:rsidR="004640E2" w:rsidRPr="00CD7FC4">
        <w:t>ial structure of key stocks</w:t>
      </w:r>
      <w:bookmarkEnd w:id="27"/>
    </w:p>
    <w:p w14:paraId="7369642E" w14:textId="0C68B540" w:rsidR="006A5651" w:rsidRPr="007944B0" w:rsidRDefault="006A5651" w:rsidP="00890D00">
      <w:proofErr w:type="gramStart"/>
      <w:r w:rsidRPr="003D1236">
        <w:t>The majority of</w:t>
      </w:r>
      <w:proofErr w:type="gramEnd"/>
      <w:r w:rsidRPr="003D1236">
        <w:t xml:space="preserve"> squid catches by the SSJF are reported off the coast of Portland, Victoria, and Triabunna, Tasmania, with total catch and catch per unit effort showing considerable variability between years.</w:t>
      </w:r>
      <w:r w:rsidR="006E59E7">
        <w:t xml:space="preserve"> </w:t>
      </w:r>
      <w:r w:rsidR="001C488E" w:rsidRPr="001C488E">
        <w:t xml:space="preserve">Cross jurisdictional </w:t>
      </w:r>
      <w:r w:rsidR="009E4A86">
        <w:t xml:space="preserve">management </w:t>
      </w:r>
      <w:r w:rsidR="001C488E" w:rsidRPr="001C488E">
        <w:t>arrangements in the SSJF operate in the form of Offshore Constitutional Settlement (OCS) arrangements. OCS arrangements have been negotiated with South Australia and Victoria for squid resources in inshore waters to be managed by the Commonwealth. An OCS arrangement with Queensland gives the Commonwealth management of squid in areas from approximately 80 nm of the Queensland coast to the edge of the AFZ from the NSW/Queensland border to Sandy Cape, Fraser Island. There is no OCS arrangement with Tasmania</w:t>
      </w:r>
      <w:r w:rsidR="00AC0EC1">
        <w:t xml:space="preserve"> however</w:t>
      </w:r>
      <w:r w:rsidR="00187F5F">
        <w:t>,</w:t>
      </w:r>
      <w:r w:rsidR="00AD67FC">
        <w:t xml:space="preserve"> </w:t>
      </w:r>
      <w:r w:rsidR="00187F5F" w:rsidRPr="00A25D83">
        <w:t xml:space="preserve">the state continues to participate as an </w:t>
      </w:r>
      <w:r w:rsidR="003C4996">
        <w:t xml:space="preserve">invited participant on </w:t>
      </w:r>
      <w:r w:rsidR="00187F5F" w:rsidRPr="00A25D83">
        <w:t xml:space="preserve">the </w:t>
      </w:r>
      <w:proofErr w:type="spellStart"/>
      <w:r w:rsidR="003C4996">
        <w:t>Squid</w:t>
      </w:r>
      <w:r w:rsidR="00187F5F" w:rsidRPr="00A25D83">
        <w:t>RAG</w:t>
      </w:r>
      <w:proofErr w:type="spellEnd"/>
      <w:r w:rsidR="00187F5F" w:rsidRPr="00A25D83">
        <w:t xml:space="preserve"> and </w:t>
      </w:r>
      <w:r w:rsidR="003C4996">
        <w:t>SE</w:t>
      </w:r>
      <w:r w:rsidR="00187F5F" w:rsidRPr="00A25D83">
        <w:t xml:space="preserve">MAC consultation processes to ensure that inshore </w:t>
      </w:r>
      <w:r w:rsidR="00ED4DDD">
        <w:t xml:space="preserve">squid </w:t>
      </w:r>
      <w:r w:rsidR="00187F5F" w:rsidRPr="00A25D83">
        <w:t>resource management interests are represented and that management approaches remain aligned across jurisdictions.</w:t>
      </w:r>
    </w:p>
    <w:p w14:paraId="2E3C3717" w14:textId="0EC8D107" w:rsidR="004640E2" w:rsidRPr="000D0DE8" w:rsidRDefault="00FB03C3" w:rsidP="00FB03C3">
      <w:pPr>
        <w:pStyle w:val="Heading2"/>
      </w:pPr>
      <w:bookmarkStart w:id="28" w:name="_Toc210975459"/>
      <w:r w:rsidRPr="00C707B2">
        <w:t>E</w:t>
      </w:r>
      <w:r w:rsidR="004640E2" w:rsidRPr="00C707B2">
        <w:t>stimates of total removals</w:t>
      </w:r>
      <w:bookmarkEnd w:id="28"/>
    </w:p>
    <w:p w14:paraId="7E95507F" w14:textId="45E68B2D" w:rsidR="005B20C6" w:rsidRDefault="00385146" w:rsidP="005B20C6">
      <w:pPr>
        <w:rPr>
          <w:color w:val="000000"/>
        </w:rPr>
      </w:pPr>
      <w:r>
        <w:rPr>
          <w:color w:val="000000"/>
        </w:rPr>
        <w:t>Total catches for the SSJF</w:t>
      </w:r>
      <w:r w:rsidR="00AE44AC">
        <w:rPr>
          <w:color w:val="000000"/>
        </w:rPr>
        <w:t xml:space="preserve"> have historically shown considerable</w:t>
      </w:r>
      <w:r w:rsidR="00887345">
        <w:rPr>
          <w:color w:val="000000"/>
        </w:rPr>
        <w:t xml:space="preserve"> </w:t>
      </w:r>
      <w:r w:rsidR="0064574F">
        <w:rPr>
          <w:color w:val="000000"/>
        </w:rPr>
        <w:t>variability between years</w:t>
      </w:r>
      <w:r w:rsidR="001F2EAD">
        <w:rPr>
          <w:color w:val="000000"/>
        </w:rPr>
        <w:t xml:space="preserve"> </w:t>
      </w:r>
      <w:r w:rsidR="00776302">
        <w:rPr>
          <w:color w:val="000000"/>
        </w:rPr>
        <w:t xml:space="preserve">and </w:t>
      </w:r>
      <w:r w:rsidR="00EA28FC">
        <w:rPr>
          <w:color w:val="000000"/>
        </w:rPr>
        <w:t xml:space="preserve">have </w:t>
      </w:r>
      <w:r w:rsidR="0077760A">
        <w:rPr>
          <w:color w:val="000000"/>
        </w:rPr>
        <w:t>consistently</w:t>
      </w:r>
      <w:r w:rsidR="0080588E">
        <w:rPr>
          <w:color w:val="000000"/>
        </w:rPr>
        <w:t xml:space="preserve"> been significantly </w:t>
      </w:r>
      <w:r w:rsidR="00065800">
        <w:rPr>
          <w:color w:val="000000"/>
        </w:rPr>
        <w:t xml:space="preserve">below the intermediate and </w:t>
      </w:r>
      <w:r w:rsidR="00D34313">
        <w:rPr>
          <w:color w:val="000000"/>
        </w:rPr>
        <w:t xml:space="preserve">limit catch triggers set out in the Harvest </w:t>
      </w:r>
      <w:r w:rsidR="00D34313">
        <w:rPr>
          <w:color w:val="000000"/>
        </w:rPr>
        <w:lastRenderedPageBreak/>
        <w:t>Strategy</w:t>
      </w:r>
      <w:r w:rsidR="0038792E">
        <w:rPr>
          <w:color w:val="000000"/>
        </w:rPr>
        <w:t xml:space="preserve">. </w:t>
      </w:r>
      <w:r w:rsidR="005B20C6" w:rsidRPr="000A7703">
        <w:rPr>
          <w:color w:val="4000A6"/>
        </w:rPr>
        <w:t>T</w:t>
      </w:r>
      <w:r w:rsidR="005B20C6" w:rsidRPr="000A7703">
        <w:t xml:space="preserve">rawl bycatch of Gould’s </w:t>
      </w:r>
      <w:r w:rsidR="005B20C6" w:rsidRPr="00022DEA">
        <w:rPr>
          <w:color w:val="000000"/>
        </w:rPr>
        <w:t xml:space="preserve">squid has been relatively consistent over the </w:t>
      </w:r>
      <w:r w:rsidR="00A96680">
        <w:rPr>
          <w:color w:val="000000"/>
        </w:rPr>
        <w:t xml:space="preserve">last </w:t>
      </w:r>
      <w:r w:rsidR="0085563B">
        <w:rPr>
          <w:color w:val="000000"/>
        </w:rPr>
        <w:t xml:space="preserve">five </w:t>
      </w:r>
      <w:r w:rsidR="005B20C6" w:rsidRPr="00022DEA">
        <w:rPr>
          <w:color w:val="000000"/>
        </w:rPr>
        <w:t>years (between 200 and 400 tonnes)</w:t>
      </w:r>
      <w:r w:rsidR="0085563B">
        <w:rPr>
          <w:color w:val="000000"/>
        </w:rPr>
        <w:t>.</w:t>
      </w:r>
      <w:r w:rsidR="005B20C6" w:rsidRPr="00022DEA">
        <w:rPr>
          <w:color w:val="000000"/>
        </w:rPr>
        <w:t xml:space="preserve"> (</w:t>
      </w:r>
      <w:r w:rsidR="0085563B">
        <w:rPr>
          <w:color w:val="000000"/>
        </w:rPr>
        <w:t>R</w:t>
      </w:r>
      <w:r w:rsidR="005B20C6" w:rsidRPr="00022DEA">
        <w:rPr>
          <w:color w:val="000000"/>
        </w:rPr>
        <w:t xml:space="preserve">efer to </w:t>
      </w:r>
      <w:r w:rsidR="005B20C6" w:rsidRPr="00A25D83">
        <w:rPr>
          <w:b/>
          <w:bCs/>
          <w:color w:val="000000"/>
        </w:rPr>
        <w:t>Table 5</w:t>
      </w:r>
      <w:r w:rsidR="005B20C6" w:rsidRPr="00022DEA">
        <w:rPr>
          <w:color w:val="000000"/>
        </w:rPr>
        <w:t>.</w:t>
      </w:r>
      <w:r w:rsidR="005B20C6" w:rsidRPr="00022DEA">
        <w:rPr>
          <w:b/>
          <w:bCs/>
          <w:color w:val="000000"/>
        </w:rPr>
        <w:t xml:space="preserve"> </w:t>
      </w:r>
      <w:r w:rsidR="005B20C6" w:rsidRPr="000A7703">
        <w:rPr>
          <w:rFonts w:ascii="Calibri" w:eastAsia="Calibri" w:hAnsi="Calibri" w:cs="Times New Roman"/>
        </w:rPr>
        <w:t xml:space="preserve">Bycatch of </w:t>
      </w:r>
      <w:r w:rsidR="005B20C6" w:rsidRPr="000A7703">
        <w:rPr>
          <w:rFonts w:ascii="Calibri" w:eastAsia="Calibri" w:hAnsi="Calibri" w:cs="Times New Roman"/>
          <w:lang w:eastAsia="ja-JP"/>
        </w:rPr>
        <w:t>Gould’s Squid in the CTS</w:t>
      </w:r>
      <w:r w:rsidR="005B20C6" w:rsidRPr="00022DEA">
        <w:rPr>
          <w:color w:val="000000"/>
        </w:rPr>
        <w:t>).</w:t>
      </w:r>
    </w:p>
    <w:p w14:paraId="213757F1" w14:textId="3772CFBB" w:rsidR="008F2961" w:rsidRDefault="003F051A" w:rsidP="00DC0541">
      <w:pPr>
        <w:rPr>
          <w:color w:val="000000"/>
        </w:rPr>
      </w:pPr>
      <w:r>
        <w:rPr>
          <w:color w:val="000000"/>
        </w:rPr>
        <w:t>C</w:t>
      </w:r>
      <w:r w:rsidR="00C9197E">
        <w:rPr>
          <w:color w:val="000000"/>
        </w:rPr>
        <w:t xml:space="preserve">ommercial catch data </w:t>
      </w:r>
      <w:r w:rsidR="000B4EDC">
        <w:rPr>
          <w:color w:val="000000"/>
        </w:rPr>
        <w:t xml:space="preserve">of Gould’s squid </w:t>
      </w:r>
      <w:r w:rsidR="003A6F02">
        <w:rPr>
          <w:color w:val="000000"/>
        </w:rPr>
        <w:t xml:space="preserve">in </w:t>
      </w:r>
      <w:r w:rsidR="004A51BD">
        <w:rPr>
          <w:color w:val="000000"/>
        </w:rPr>
        <w:t>the SSJF and</w:t>
      </w:r>
      <w:r w:rsidR="00206A4C">
        <w:rPr>
          <w:color w:val="000000"/>
        </w:rPr>
        <w:t xml:space="preserve"> CTS</w:t>
      </w:r>
      <w:r w:rsidR="00AF7C2E">
        <w:rPr>
          <w:color w:val="000000"/>
        </w:rPr>
        <w:t xml:space="preserve"> </w:t>
      </w:r>
      <w:r w:rsidR="001D2A54">
        <w:rPr>
          <w:color w:val="000000"/>
        </w:rPr>
        <w:t>since 2016</w:t>
      </w:r>
      <w:r w:rsidR="00413A07">
        <w:rPr>
          <w:color w:val="000000"/>
        </w:rPr>
        <w:t xml:space="preserve"> are detailed </w:t>
      </w:r>
      <w:r w:rsidR="009B387F">
        <w:rPr>
          <w:color w:val="000000"/>
        </w:rPr>
        <w:t xml:space="preserve">below </w:t>
      </w:r>
      <w:r w:rsidR="00413A07">
        <w:rPr>
          <w:color w:val="000000"/>
        </w:rPr>
        <w:t xml:space="preserve">in </w:t>
      </w:r>
      <w:r w:rsidR="00413A07" w:rsidRPr="00A25D83">
        <w:rPr>
          <w:b/>
          <w:bCs/>
          <w:color w:val="000000"/>
        </w:rPr>
        <w:t xml:space="preserve">Table </w:t>
      </w:r>
      <w:r w:rsidR="00DD54B5" w:rsidRPr="00A25D83">
        <w:rPr>
          <w:b/>
          <w:bCs/>
          <w:color w:val="000000"/>
        </w:rPr>
        <w:t>6</w:t>
      </w:r>
      <w:r w:rsidR="009A0670">
        <w:rPr>
          <w:color w:val="000000"/>
        </w:rPr>
        <w:t>.</w:t>
      </w:r>
      <w:r w:rsidR="00C9197E">
        <w:rPr>
          <w:color w:val="000000"/>
        </w:rPr>
        <w:t xml:space="preserve"> </w:t>
      </w:r>
    </w:p>
    <w:p w14:paraId="7534459A" w14:textId="58329F3F" w:rsidR="0045608E" w:rsidRDefault="0045608E" w:rsidP="00DC0541">
      <w:pPr>
        <w:rPr>
          <w:color w:val="000000"/>
        </w:rPr>
      </w:pPr>
      <w:r w:rsidRPr="00A25D83">
        <w:rPr>
          <w:b/>
          <w:bCs/>
          <w:color w:val="000000"/>
        </w:rPr>
        <w:t>Table 6</w:t>
      </w:r>
      <w:r w:rsidR="009A0670" w:rsidRPr="00A25D83">
        <w:rPr>
          <w:b/>
          <w:bCs/>
          <w:color w:val="000000"/>
        </w:rPr>
        <w:t>.</w:t>
      </w:r>
      <w:r w:rsidR="009A0670">
        <w:rPr>
          <w:color w:val="000000"/>
        </w:rPr>
        <w:t xml:space="preserve"> Catch of Gould’s squid by calendar year </w:t>
      </w:r>
      <w:r w:rsidR="008A7C36">
        <w:rPr>
          <w:color w:val="000000"/>
        </w:rPr>
        <w:t>(CDR Data</w:t>
      </w:r>
      <w:r w:rsidR="00B24BE5">
        <w:rPr>
          <w:color w:val="000000"/>
        </w:rPr>
        <w:t>, 2</w:t>
      </w:r>
      <w:r w:rsidR="00010B7B">
        <w:rPr>
          <w:color w:val="000000"/>
        </w:rPr>
        <w:t>016</w:t>
      </w:r>
      <w:r w:rsidR="00806946">
        <w:rPr>
          <w:color w:val="000000"/>
        </w:rPr>
        <w:t>-2025).</w:t>
      </w:r>
    </w:p>
    <w:tbl>
      <w:tblPr>
        <w:tblStyle w:val="TableGrid4"/>
        <w:tblW w:w="2847" w:type="pct"/>
        <w:tblLook w:val="04A0" w:firstRow="1" w:lastRow="0" w:firstColumn="1" w:lastColumn="0" w:noHBand="0" w:noVBand="1"/>
      </w:tblPr>
      <w:tblGrid>
        <w:gridCol w:w="1046"/>
        <w:gridCol w:w="2007"/>
        <w:gridCol w:w="2081"/>
      </w:tblGrid>
      <w:tr w:rsidR="00B66AF1" w:rsidRPr="0006258B" w14:paraId="7D0227D3" w14:textId="77777777" w:rsidTr="00A25D83">
        <w:trPr>
          <w:trHeight w:val="450"/>
        </w:trPr>
        <w:tc>
          <w:tcPr>
            <w:tcW w:w="1018" w:type="pct"/>
            <w:shd w:val="clear" w:color="auto" w:fill="006C8B"/>
            <w:noWrap/>
            <w:vAlign w:val="center"/>
            <w:hideMark/>
          </w:tcPr>
          <w:p w14:paraId="0E7B92D8" w14:textId="77777777" w:rsidR="00B66AF1" w:rsidRPr="00A25D83" w:rsidRDefault="00B66AF1" w:rsidP="008A70F4">
            <w:pPr>
              <w:jc w:val="center"/>
              <w:rPr>
                <w:rFonts w:asciiTheme="minorHAnsi" w:eastAsia="Times New Roman" w:hAnsiTheme="minorHAnsi" w:cstheme="minorHAnsi"/>
                <w:color w:val="FFFFFF" w:themeColor="background1"/>
                <w:lang w:eastAsia="en-AU"/>
              </w:rPr>
            </w:pPr>
          </w:p>
        </w:tc>
        <w:tc>
          <w:tcPr>
            <w:tcW w:w="1955" w:type="pct"/>
            <w:shd w:val="clear" w:color="auto" w:fill="006C8B"/>
            <w:vAlign w:val="center"/>
          </w:tcPr>
          <w:p w14:paraId="35BD2C6E" w14:textId="77777777" w:rsidR="00B66AF1" w:rsidRPr="00A25D83" w:rsidRDefault="00B66AF1" w:rsidP="008A70F4">
            <w:pPr>
              <w:jc w:val="center"/>
              <w:rPr>
                <w:rFonts w:asciiTheme="minorHAnsi" w:eastAsia="Times New Roman" w:hAnsiTheme="minorHAnsi" w:cstheme="minorHAnsi"/>
                <w:b/>
                <w:color w:val="FFFFFF" w:themeColor="background1"/>
                <w:lang w:eastAsia="en-AU"/>
              </w:rPr>
            </w:pPr>
            <w:r w:rsidRPr="00A25D83">
              <w:rPr>
                <w:rFonts w:eastAsia="Times New Roman" w:cstheme="minorHAnsi"/>
                <w:b/>
                <w:color w:val="FFFFFF" w:themeColor="background1"/>
                <w:lang w:eastAsia="en-AU"/>
              </w:rPr>
              <w:t>SSJF (t)</w:t>
            </w:r>
          </w:p>
        </w:tc>
        <w:tc>
          <w:tcPr>
            <w:tcW w:w="2028" w:type="pct"/>
            <w:shd w:val="clear" w:color="auto" w:fill="006C8B"/>
            <w:vAlign w:val="center"/>
            <w:hideMark/>
          </w:tcPr>
          <w:p w14:paraId="355E4823" w14:textId="77777777" w:rsidR="00B66AF1" w:rsidRPr="00A25D83" w:rsidRDefault="00B66AF1" w:rsidP="008A70F4">
            <w:pPr>
              <w:jc w:val="center"/>
              <w:rPr>
                <w:rFonts w:asciiTheme="minorHAnsi" w:eastAsia="Times New Roman" w:hAnsiTheme="minorHAnsi" w:cstheme="minorHAnsi"/>
                <w:b/>
                <w:color w:val="FFFFFF" w:themeColor="background1"/>
                <w:lang w:eastAsia="en-AU"/>
              </w:rPr>
            </w:pPr>
            <w:r w:rsidRPr="00A25D83">
              <w:rPr>
                <w:rFonts w:eastAsia="Times New Roman" w:cstheme="minorHAnsi"/>
                <w:b/>
                <w:color w:val="FFFFFF" w:themeColor="background1"/>
                <w:lang w:eastAsia="en-AU"/>
              </w:rPr>
              <w:t>Trawl sectors of the SESSF</w:t>
            </w:r>
            <w:r w:rsidRPr="00A25D83">
              <w:rPr>
                <w:rStyle w:val="FootnoteReference"/>
                <w:rFonts w:eastAsia="Times New Roman" w:cstheme="minorHAnsi"/>
                <w:b/>
                <w:color w:val="FFFFFF" w:themeColor="background1"/>
                <w:lang w:eastAsia="en-AU"/>
              </w:rPr>
              <w:footnoteReference w:id="1"/>
            </w:r>
            <w:r w:rsidRPr="00A25D83">
              <w:rPr>
                <w:rFonts w:eastAsia="Times New Roman" w:cstheme="minorHAnsi"/>
                <w:b/>
                <w:color w:val="FFFFFF" w:themeColor="background1"/>
                <w:lang w:eastAsia="en-AU"/>
              </w:rPr>
              <w:t xml:space="preserve"> (t)</w:t>
            </w:r>
          </w:p>
        </w:tc>
      </w:tr>
      <w:tr w:rsidR="00B66AF1" w:rsidRPr="0006258B" w14:paraId="348E8503" w14:textId="77777777" w:rsidTr="00A25D83">
        <w:trPr>
          <w:trHeight w:val="300"/>
        </w:trPr>
        <w:tc>
          <w:tcPr>
            <w:tcW w:w="1018" w:type="pct"/>
            <w:vAlign w:val="center"/>
            <w:hideMark/>
          </w:tcPr>
          <w:p w14:paraId="56BEC3EF" w14:textId="77777777" w:rsidR="00B66AF1" w:rsidRPr="0006258B" w:rsidRDefault="00B66AF1" w:rsidP="008A70F4">
            <w:pPr>
              <w:jc w:val="center"/>
              <w:rPr>
                <w:rFonts w:asciiTheme="minorHAnsi" w:eastAsia="Times New Roman" w:hAnsiTheme="minorHAnsi" w:cstheme="minorHAnsi"/>
                <w:b/>
                <w:color w:val="000000"/>
                <w:lang w:eastAsia="en-AU"/>
              </w:rPr>
            </w:pPr>
            <w:r w:rsidRPr="0006258B">
              <w:rPr>
                <w:rFonts w:asciiTheme="minorHAnsi" w:eastAsia="Times New Roman" w:hAnsiTheme="minorHAnsi" w:cstheme="minorHAnsi"/>
                <w:b/>
                <w:color w:val="000000"/>
                <w:lang w:eastAsia="en-AU"/>
              </w:rPr>
              <w:t>2016</w:t>
            </w:r>
          </w:p>
        </w:tc>
        <w:tc>
          <w:tcPr>
            <w:tcW w:w="1955" w:type="pct"/>
          </w:tcPr>
          <w:p w14:paraId="6F6F9272" w14:textId="77777777"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384</w:t>
            </w:r>
          </w:p>
        </w:tc>
        <w:tc>
          <w:tcPr>
            <w:tcW w:w="2028" w:type="pct"/>
            <w:noWrap/>
            <w:vAlign w:val="center"/>
          </w:tcPr>
          <w:p w14:paraId="26520B76" w14:textId="742ECC21"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5</w:t>
            </w:r>
            <w:r w:rsidR="00681824">
              <w:rPr>
                <w:rFonts w:asciiTheme="minorHAnsi" w:eastAsia="Times New Roman" w:hAnsiTheme="minorHAnsi" w:cstheme="minorHAnsi"/>
                <w:color w:val="000000"/>
                <w:lang w:eastAsia="en-AU"/>
              </w:rPr>
              <w:t>42</w:t>
            </w:r>
          </w:p>
        </w:tc>
      </w:tr>
      <w:tr w:rsidR="00B66AF1" w:rsidRPr="0006258B" w14:paraId="3BCCA32F" w14:textId="77777777" w:rsidTr="00A25D83">
        <w:trPr>
          <w:trHeight w:val="300"/>
        </w:trPr>
        <w:tc>
          <w:tcPr>
            <w:tcW w:w="1018" w:type="pct"/>
            <w:vAlign w:val="center"/>
            <w:hideMark/>
          </w:tcPr>
          <w:p w14:paraId="5A918115" w14:textId="77777777" w:rsidR="00B66AF1" w:rsidRPr="0006258B" w:rsidRDefault="00B66AF1" w:rsidP="008A70F4">
            <w:pPr>
              <w:jc w:val="center"/>
              <w:rPr>
                <w:rFonts w:asciiTheme="minorHAnsi" w:eastAsia="Times New Roman" w:hAnsiTheme="minorHAnsi" w:cstheme="minorHAnsi"/>
                <w:b/>
                <w:color w:val="000000"/>
                <w:lang w:eastAsia="en-AU"/>
              </w:rPr>
            </w:pPr>
            <w:r w:rsidRPr="0006258B">
              <w:rPr>
                <w:rFonts w:asciiTheme="minorHAnsi" w:eastAsia="Times New Roman" w:hAnsiTheme="minorHAnsi" w:cstheme="minorHAnsi"/>
                <w:b/>
                <w:color w:val="000000"/>
                <w:lang w:eastAsia="en-AU"/>
              </w:rPr>
              <w:t>2017</w:t>
            </w:r>
          </w:p>
        </w:tc>
        <w:tc>
          <w:tcPr>
            <w:tcW w:w="1955" w:type="pct"/>
          </w:tcPr>
          <w:p w14:paraId="1B11D6ED" w14:textId="77777777"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213</w:t>
            </w:r>
          </w:p>
        </w:tc>
        <w:tc>
          <w:tcPr>
            <w:tcW w:w="2028" w:type="pct"/>
            <w:noWrap/>
            <w:vAlign w:val="center"/>
          </w:tcPr>
          <w:p w14:paraId="166F02D7" w14:textId="425A135C" w:rsidR="00B66AF1" w:rsidRPr="0006258B" w:rsidRDefault="005A4BE8"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569</w:t>
            </w:r>
          </w:p>
        </w:tc>
      </w:tr>
      <w:tr w:rsidR="00B66AF1" w:rsidRPr="0006258B" w14:paraId="6A0B8488" w14:textId="77777777" w:rsidTr="00A25D83">
        <w:trPr>
          <w:trHeight w:val="300"/>
        </w:trPr>
        <w:tc>
          <w:tcPr>
            <w:tcW w:w="1018" w:type="pct"/>
            <w:vAlign w:val="center"/>
            <w:hideMark/>
          </w:tcPr>
          <w:p w14:paraId="349D1AF1" w14:textId="77777777" w:rsidR="00B66AF1" w:rsidRPr="0006258B" w:rsidRDefault="00B66AF1" w:rsidP="008A70F4">
            <w:pPr>
              <w:jc w:val="center"/>
              <w:rPr>
                <w:rFonts w:asciiTheme="minorHAnsi" w:eastAsia="Times New Roman" w:hAnsiTheme="minorHAnsi" w:cstheme="minorHAnsi"/>
                <w:b/>
                <w:color w:val="000000"/>
                <w:lang w:eastAsia="en-AU"/>
              </w:rPr>
            </w:pPr>
            <w:r w:rsidRPr="0006258B">
              <w:rPr>
                <w:rFonts w:asciiTheme="minorHAnsi" w:eastAsia="Times New Roman" w:hAnsiTheme="minorHAnsi" w:cstheme="minorHAnsi"/>
                <w:b/>
                <w:color w:val="000000"/>
                <w:lang w:eastAsia="en-AU"/>
              </w:rPr>
              <w:t>2018</w:t>
            </w:r>
          </w:p>
        </w:tc>
        <w:tc>
          <w:tcPr>
            <w:tcW w:w="1955" w:type="pct"/>
          </w:tcPr>
          <w:p w14:paraId="0A1F535D" w14:textId="77777777"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811</w:t>
            </w:r>
          </w:p>
        </w:tc>
        <w:tc>
          <w:tcPr>
            <w:tcW w:w="2028" w:type="pct"/>
            <w:noWrap/>
            <w:vAlign w:val="center"/>
          </w:tcPr>
          <w:p w14:paraId="6ECDD905" w14:textId="14A5968D" w:rsidR="00B66AF1" w:rsidRPr="0006258B" w:rsidRDefault="00AC5B3D"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78</w:t>
            </w:r>
            <w:r w:rsidR="006874A1">
              <w:rPr>
                <w:rFonts w:asciiTheme="minorHAnsi" w:eastAsia="Times New Roman" w:hAnsiTheme="minorHAnsi" w:cstheme="minorHAnsi"/>
                <w:color w:val="000000"/>
                <w:lang w:eastAsia="en-AU"/>
              </w:rPr>
              <w:t>4</w:t>
            </w:r>
          </w:p>
        </w:tc>
      </w:tr>
      <w:tr w:rsidR="00B66AF1" w:rsidRPr="0006258B" w14:paraId="48F135CE" w14:textId="77777777" w:rsidTr="00A25D83">
        <w:trPr>
          <w:trHeight w:val="300"/>
        </w:trPr>
        <w:tc>
          <w:tcPr>
            <w:tcW w:w="1018" w:type="pct"/>
            <w:vAlign w:val="center"/>
            <w:hideMark/>
          </w:tcPr>
          <w:p w14:paraId="56E84F04" w14:textId="77777777" w:rsidR="00B66AF1" w:rsidRPr="0006258B" w:rsidRDefault="00B66AF1" w:rsidP="008A70F4">
            <w:pPr>
              <w:jc w:val="center"/>
              <w:rPr>
                <w:rFonts w:asciiTheme="minorHAnsi" w:eastAsia="Times New Roman" w:hAnsiTheme="minorHAnsi" w:cstheme="minorHAnsi"/>
                <w:b/>
                <w:color w:val="000000"/>
                <w:lang w:eastAsia="en-AU"/>
              </w:rPr>
            </w:pPr>
            <w:r w:rsidRPr="0006258B">
              <w:rPr>
                <w:rFonts w:asciiTheme="minorHAnsi" w:eastAsia="Times New Roman" w:hAnsiTheme="minorHAnsi" w:cstheme="minorHAnsi"/>
                <w:b/>
                <w:color w:val="000000"/>
                <w:lang w:eastAsia="en-AU"/>
              </w:rPr>
              <w:t>2019</w:t>
            </w:r>
          </w:p>
        </w:tc>
        <w:tc>
          <w:tcPr>
            <w:tcW w:w="1955" w:type="pct"/>
          </w:tcPr>
          <w:p w14:paraId="292C1EBA" w14:textId="77777777"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248</w:t>
            </w:r>
          </w:p>
        </w:tc>
        <w:tc>
          <w:tcPr>
            <w:tcW w:w="2028" w:type="pct"/>
            <w:noWrap/>
            <w:vAlign w:val="center"/>
          </w:tcPr>
          <w:p w14:paraId="1CA389FB" w14:textId="2F8D68CE"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4</w:t>
            </w:r>
            <w:r w:rsidR="006874A1">
              <w:rPr>
                <w:rFonts w:asciiTheme="minorHAnsi" w:eastAsia="Times New Roman" w:hAnsiTheme="minorHAnsi" w:cstheme="minorHAnsi"/>
                <w:color w:val="000000"/>
                <w:lang w:eastAsia="en-AU"/>
              </w:rPr>
              <w:t>25</w:t>
            </w:r>
          </w:p>
        </w:tc>
      </w:tr>
      <w:tr w:rsidR="00B66AF1" w:rsidRPr="0006258B" w14:paraId="2A06E5F9" w14:textId="77777777" w:rsidTr="00A25D83">
        <w:trPr>
          <w:trHeight w:val="300"/>
        </w:trPr>
        <w:tc>
          <w:tcPr>
            <w:tcW w:w="1018" w:type="pct"/>
            <w:vAlign w:val="center"/>
            <w:hideMark/>
          </w:tcPr>
          <w:p w14:paraId="68A9EE95" w14:textId="77777777" w:rsidR="00B66AF1" w:rsidRPr="0006258B" w:rsidRDefault="00B66AF1" w:rsidP="008A70F4">
            <w:pPr>
              <w:jc w:val="center"/>
              <w:rPr>
                <w:rFonts w:asciiTheme="minorHAnsi" w:eastAsia="Times New Roman" w:hAnsiTheme="minorHAnsi" w:cstheme="minorHAnsi"/>
                <w:b/>
                <w:color w:val="000000"/>
                <w:lang w:eastAsia="en-AU"/>
              </w:rPr>
            </w:pPr>
            <w:r w:rsidRPr="0006258B">
              <w:rPr>
                <w:rFonts w:asciiTheme="minorHAnsi" w:eastAsia="Times New Roman" w:hAnsiTheme="minorHAnsi" w:cstheme="minorHAnsi"/>
                <w:b/>
                <w:color w:val="000000"/>
                <w:lang w:eastAsia="en-AU"/>
              </w:rPr>
              <w:t>20</w:t>
            </w:r>
            <w:r>
              <w:rPr>
                <w:rFonts w:asciiTheme="minorHAnsi" w:eastAsia="Times New Roman" w:hAnsiTheme="minorHAnsi" w:cstheme="minorHAnsi"/>
                <w:b/>
                <w:color w:val="000000"/>
                <w:lang w:eastAsia="en-AU"/>
              </w:rPr>
              <w:t>20</w:t>
            </w:r>
          </w:p>
        </w:tc>
        <w:tc>
          <w:tcPr>
            <w:tcW w:w="1955" w:type="pct"/>
          </w:tcPr>
          <w:p w14:paraId="5A32C6A9" w14:textId="77777777" w:rsidR="00B66AF1" w:rsidRPr="0006258B" w:rsidRDefault="00B66AF1" w:rsidP="008A70F4">
            <w:pPr>
              <w:jc w:val="right"/>
              <w:rPr>
                <w:rFonts w:asciiTheme="minorHAnsi" w:eastAsia="Times New Roman" w:hAnsiTheme="minorHAnsi" w:cstheme="minorHAnsi"/>
                <w:color w:val="000000"/>
                <w:lang w:eastAsia="en-AU"/>
              </w:rPr>
            </w:pPr>
            <w:r w:rsidRPr="0006258B">
              <w:rPr>
                <w:rFonts w:asciiTheme="minorHAnsi" w:eastAsia="Times New Roman" w:hAnsiTheme="minorHAnsi" w:cstheme="minorHAnsi"/>
                <w:color w:val="000000"/>
                <w:lang w:eastAsia="en-AU"/>
              </w:rPr>
              <w:t>67</w:t>
            </w:r>
          </w:p>
        </w:tc>
        <w:tc>
          <w:tcPr>
            <w:tcW w:w="2028" w:type="pct"/>
            <w:noWrap/>
            <w:vAlign w:val="center"/>
          </w:tcPr>
          <w:p w14:paraId="68FC16E3" w14:textId="5EFA688C" w:rsidR="00B66AF1" w:rsidRPr="0006258B" w:rsidRDefault="006874A1"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357</w:t>
            </w:r>
          </w:p>
        </w:tc>
      </w:tr>
      <w:tr w:rsidR="00B66AF1" w:rsidRPr="0006258B" w14:paraId="0A5E12FB" w14:textId="77777777" w:rsidTr="00A25D83">
        <w:trPr>
          <w:trHeight w:val="300"/>
        </w:trPr>
        <w:tc>
          <w:tcPr>
            <w:tcW w:w="1018" w:type="pct"/>
            <w:vAlign w:val="center"/>
          </w:tcPr>
          <w:p w14:paraId="65B13D53" w14:textId="77777777" w:rsidR="00B66AF1" w:rsidRPr="0006258B" w:rsidRDefault="00B66AF1" w:rsidP="008A70F4">
            <w:pPr>
              <w:jc w:val="center"/>
              <w:rPr>
                <w:rFonts w:asciiTheme="minorHAnsi" w:eastAsia="Times New Roman" w:hAnsiTheme="minorHAnsi" w:cstheme="minorHAnsi"/>
                <w:b/>
                <w:color w:val="000000"/>
                <w:lang w:eastAsia="en-AU"/>
              </w:rPr>
            </w:pPr>
            <w:r>
              <w:rPr>
                <w:rFonts w:asciiTheme="minorHAnsi" w:eastAsia="Times New Roman" w:hAnsiTheme="minorHAnsi" w:cstheme="minorHAnsi"/>
                <w:b/>
                <w:color w:val="000000"/>
                <w:lang w:eastAsia="en-AU"/>
              </w:rPr>
              <w:t>2021</w:t>
            </w:r>
          </w:p>
        </w:tc>
        <w:tc>
          <w:tcPr>
            <w:tcW w:w="1955" w:type="pct"/>
          </w:tcPr>
          <w:p w14:paraId="5B8A7803" w14:textId="77777777" w:rsidR="00B66AF1" w:rsidRPr="0006258B" w:rsidRDefault="00B66AF1"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530</w:t>
            </w:r>
          </w:p>
        </w:tc>
        <w:tc>
          <w:tcPr>
            <w:tcW w:w="2028" w:type="pct"/>
            <w:noWrap/>
            <w:vAlign w:val="center"/>
          </w:tcPr>
          <w:p w14:paraId="6A2AE347" w14:textId="4789A82A" w:rsidR="00B66AF1" w:rsidRPr="0006258B" w:rsidRDefault="00B66AF1"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w:t>
            </w:r>
            <w:r w:rsidR="006874A1">
              <w:rPr>
                <w:rFonts w:asciiTheme="minorHAnsi" w:eastAsia="Times New Roman" w:hAnsiTheme="minorHAnsi" w:cstheme="minorHAnsi"/>
                <w:color w:val="000000"/>
                <w:lang w:eastAsia="en-AU"/>
              </w:rPr>
              <w:t>05</w:t>
            </w:r>
          </w:p>
        </w:tc>
      </w:tr>
      <w:tr w:rsidR="00B66AF1" w14:paraId="762AED79" w14:textId="77777777" w:rsidTr="00A25D83">
        <w:trPr>
          <w:trHeight w:val="300"/>
        </w:trPr>
        <w:tc>
          <w:tcPr>
            <w:tcW w:w="1018" w:type="pct"/>
            <w:vAlign w:val="center"/>
          </w:tcPr>
          <w:p w14:paraId="560AE825" w14:textId="77777777" w:rsidR="00B66AF1" w:rsidRDefault="00B66AF1" w:rsidP="008A70F4">
            <w:pPr>
              <w:jc w:val="center"/>
              <w:rPr>
                <w:rFonts w:asciiTheme="minorHAnsi" w:eastAsia="Times New Roman" w:hAnsiTheme="minorHAnsi" w:cstheme="minorHAnsi"/>
                <w:b/>
                <w:color w:val="000000"/>
                <w:lang w:eastAsia="en-AU"/>
              </w:rPr>
            </w:pPr>
            <w:r>
              <w:rPr>
                <w:rFonts w:asciiTheme="minorHAnsi" w:eastAsia="Times New Roman" w:hAnsiTheme="minorHAnsi" w:cstheme="minorHAnsi"/>
                <w:b/>
                <w:color w:val="000000"/>
                <w:lang w:eastAsia="en-AU"/>
              </w:rPr>
              <w:t>2022</w:t>
            </w:r>
          </w:p>
        </w:tc>
        <w:tc>
          <w:tcPr>
            <w:tcW w:w="1955" w:type="pct"/>
          </w:tcPr>
          <w:p w14:paraId="7B78BFC9" w14:textId="77777777" w:rsidR="00B66AF1" w:rsidRDefault="00B66AF1"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146</w:t>
            </w:r>
          </w:p>
        </w:tc>
        <w:tc>
          <w:tcPr>
            <w:tcW w:w="2028" w:type="pct"/>
            <w:noWrap/>
            <w:vAlign w:val="center"/>
          </w:tcPr>
          <w:p w14:paraId="626274E2" w14:textId="6A3305B0" w:rsidR="00B66AF1" w:rsidRDefault="00D703E4"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w:t>
            </w:r>
            <w:r w:rsidR="00A47189">
              <w:rPr>
                <w:rFonts w:asciiTheme="minorHAnsi" w:eastAsia="Times New Roman" w:hAnsiTheme="minorHAnsi" w:cstheme="minorHAnsi"/>
                <w:color w:val="000000"/>
                <w:lang w:eastAsia="en-AU"/>
              </w:rPr>
              <w:t>04</w:t>
            </w:r>
          </w:p>
        </w:tc>
      </w:tr>
      <w:tr w:rsidR="00B66AF1" w14:paraId="7574B1CB" w14:textId="77777777" w:rsidTr="00A25D83">
        <w:trPr>
          <w:trHeight w:val="300"/>
        </w:trPr>
        <w:tc>
          <w:tcPr>
            <w:tcW w:w="1018" w:type="pct"/>
            <w:vAlign w:val="center"/>
          </w:tcPr>
          <w:p w14:paraId="67E51FF5" w14:textId="77777777" w:rsidR="00B66AF1" w:rsidRDefault="00B66AF1" w:rsidP="008A70F4">
            <w:pPr>
              <w:jc w:val="center"/>
              <w:rPr>
                <w:rFonts w:asciiTheme="minorHAnsi" w:eastAsia="Times New Roman" w:hAnsiTheme="minorHAnsi" w:cstheme="minorHAnsi"/>
                <w:b/>
                <w:color w:val="000000"/>
                <w:lang w:eastAsia="en-AU"/>
              </w:rPr>
            </w:pPr>
            <w:r>
              <w:rPr>
                <w:rFonts w:asciiTheme="minorHAnsi" w:eastAsia="Times New Roman" w:hAnsiTheme="minorHAnsi" w:cstheme="minorHAnsi"/>
                <w:b/>
                <w:color w:val="000000"/>
                <w:lang w:eastAsia="en-AU"/>
              </w:rPr>
              <w:t>2023</w:t>
            </w:r>
          </w:p>
        </w:tc>
        <w:tc>
          <w:tcPr>
            <w:tcW w:w="1955" w:type="pct"/>
          </w:tcPr>
          <w:p w14:paraId="5C07F483" w14:textId="77777777" w:rsidR="00B66AF1" w:rsidRDefault="00B66AF1"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692</w:t>
            </w:r>
          </w:p>
        </w:tc>
        <w:tc>
          <w:tcPr>
            <w:tcW w:w="2028" w:type="pct"/>
            <w:noWrap/>
            <w:vAlign w:val="center"/>
          </w:tcPr>
          <w:p w14:paraId="383C1EC1" w14:textId="426E121F" w:rsidR="00B66AF1" w:rsidRDefault="00D703E4"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220</w:t>
            </w:r>
          </w:p>
        </w:tc>
      </w:tr>
      <w:tr w:rsidR="00B66AF1" w14:paraId="53457BAF" w14:textId="77777777" w:rsidTr="00A25D83">
        <w:trPr>
          <w:trHeight w:val="300"/>
        </w:trPr>
        <w:tc>
          <w:tcPr>
            <w:tcW w:w="1018" w:type="pct"/>
            <w:vAlign w:val="center"/>
          </w:tcPr>
          <w:p w14:paraId="18D5B73A" w14:textId="77777777" w:rsidR="00B66AF1" w:rsidRDefault="00B66AF1" w:rsidP="008A70F4">
            <w:pPr>
              <w:jc w:val="center"/>
              <w:rPr>
                <w:rFonts w:asciiTheme="minorHAnsi" w:eastAsia="Times New Roman" w:hAnsiTheme="minorHAnsi" w:cstheme="minorHAnsi"/>
                <w:b/>
                <w:color w:val="000000"/>
                <w:lang w:eastAsia="en-AU"/>
              </w:rPr>
            </w:pPr>
            <w:r>
              <w:rPr>
                <w:rFonts w:asciiTheme="minorHAnsi" w:eastAsia="Times New Roman" w:hAnsiTheme="minorHAnsi" w:cstheme="minorHAnsi"/>
                <w:b/>
                <w:color w:val="000000"/>
                <w:lang w:eastAsia="en-AU"/>
              </w:rPr>
              <w:t>2024</w:t>
            </w:r>
          </w:p>
        </w:tc>
        <w:tc>
          <w:tcPr>
            <w:tcW w:w="1955" w:type="pct"/>
          </w:tcPr>
          <w:p w14:paraId="59E2F6EC" w14:textId="609D7767" w:rsidR="00B66AF1" w:rsidRDefault="00B66AF1"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7</w:t>
            </w:r>
            <w:r w:rsidR="00E2053E">
              <w:rPr>
                <w:rFonts w:asciiTheme="minorHAnsi" w:eastAsia="Times New Roman" w:hAnsiTheme="minorHAnsi" w:cstheme="minorHAnsi"/>
                <w:color w:val="000000"/>
                <w:lang w:eastAsia="en-AU"/>
              </w:rPr>
              <w:t>82</w:t>
            </w:r>
          </w:p>
        </w:tc>
        <w:tc>
          <w:tcPr>
            <w:tcW w:w="2028" w:type="pct"/>
            <w:noWrap/>
            <w:vAlign w:val="center"/>
          </w:tcPr>
          <w:p w14:paraId="7327A72E" w14:textId="13FA9D5C" w:rsidR="00B66AF1" w:rsidRDefault="00AA6496" w:rsidP="008A70F4">
            <w:pPr>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21</w:t>
            </w:r>
            <w:r w:rsidR="00C17362">
              <w:rPr>
                <w:rFonts w:asciiTheme="minorHAnsi" w:eastAsia="Times New Roman" w:hAnsiTheme="minorHAnsi" w:cstheme="minorHAnsi"/>
                <w:color w:val="000000"/>
                <w:lang w:eastAsia="en-AU"/>
              </w:rPr>
              <w:t>1</w:t>
            </w:r>
          </w:p>
        </w:tc>
      </w:tr>
      <w:tr w:rsidR="00700336" w14:paraId="213DB4CA" w14:textId="77777777" w:rsidTr="00A25D83">
        <w:trPr>
          <w:trHeight w:val="300"/>
        </w:trPr>
        <w:tc>
          <w:tcPr>
            <w:tcW w:w="1018" w:type="pct"/>
            <w:vAlign w:val="center"/>
          </w:tcPr>
          <w:p w14:paraId="7392A333" w14:textId="692AF954" w:rsidR="00700336" w:rsidRDefault="00437825" w:rsidP="008A70F4">
            <w:pPr>
              <w:jc w:val="center"/>
              <w:rPr>
                <w:rFonts w:eastAsia="Times New Roman" w:cstheme="minorHAnsi"/>
                <w:b/>
                <w:color w:val="000000"/>
                <w:lang w:eastAsia="en-AU"/>
              </w:rPr>
            </w:pPr>
            <w:r>
              <w:rPr>
                <w:rFonts w:eastAsia="Times New Roman" w:cstheme="minorHAnsi"/>
                <w:b/>
                <w:color w:val="000000"/>
                <w:lang w:eastAsia="en-AU"/>
              </w:rPr>
              <w:t>2025</w:t>
            </w:r>
          </w:p>
        </w:tc>
        <w:tc>
          <w:tcPr>
            <w:tcW w:w="1955" w:type="pct"/>
          </w:tcPr>
          <w:p w14:paraId="5B8BD6C8" w14:textId="034CE673" w:rsidR="00700336" w:rsidRDefault="002F31A3" w:rsidP="008A70F4">
            <w:pPr>
              <w:jc w:val="right"/>
              <w:rPr>
                <w:rFonts w:eastAsia="Times New Roman" w:cstheme="minorHAnsi"/>
                <w:color w:val="000000"/>
                <w:lang w:eastAsia="en-AU"/>
              </w:rPr>
            </w:pPr>
            <w:r>
              <w:rPr>
                <w:rFonts w:eastAsia="Times New Roman" w:cstheme="minorHAnsi"/>
                <w:color w:val="000000"/>
                <w:lang w:eastAsia="en-AU"/>
              </w:rPr>
              <w:t>4</w:t>
            </w:r>
            <w:r w:rsidR="007F75F4">
              <w:rPr>
                <w:rFonts w:eastAsia="Times New Roman" w:cstheme="minorHAnsi"/>
                <w:color w:val="000000"/>
                <w:lang w:eastAsia="en-AU"/>
              </w:rPr>
              <w:t>70</w:t>
            </w:r>
            <w:r w:rsidR="00437825">
              <w:rPr>
                <w:rFonts w:eastAsia="Times New Roman" w:cstheme="minorHAnsi"/>
                <w:color w:val="000000"/>
                <w:lang w:eastAsia="en-AU"/>
              </w:rPr>
              <w:t>*</w:t>
            </w:r>
          </w:p>
        </w:tc>
        <w:tc>
          <w:tcPr>
            <w:tcW w:w="2028" w:type="pct"/>
            <w:noWrap/>
            <w:vAlign w:val="center"/>
          </w:tcPr>
          <w:p w14:paraId="1EBBAF38" w14:textId="7AD1B585" w:rsidR="00700336" w:rsidRDefault="00AD6790" w:rsidP="008A70F4">
            <w:pPr>
              <w:jc w:val="right"/>
              <w:rPr>
                <w:rFonts w:eastAsia="Times New Roman" w:cstheme="minorHAnsi"/>
                <w:color w:val="000000"/>
                <w:lang w:eastAsia="en-AU"/>
              </w:rPr>
            </w:pPr>
            <w:r>
              <w:rPr>
                <w:rFonts w:eastAsia="Times New Roman" w:cstheme="minorHAnsi"/>
                <w:color w:val="000000"/>
                <w:lang w:eastAsia="en-AU"/>
              </w:rPr>
              <w:t>90</w:t>
            </w:r>
            <w:r w:rsidR="00D92C48">
              <w:rPr>
                <w:rFonts w:eastAsia="Times New Roman" w:cstheme="minorHAnsi"/>
                <w:color w:val="000000"/>
                <w:lang w:eastAsia="en-AU"/>
              </w:rPr>
              <w:t>*</w:t>
            </w:r>
          </w:p>
        </w:tc>
      </w:tr>
    </w:tbl>
    <w:p w14:paraId="2436DBF9" w14:textId="272C0F87" w:rsidR="003D27B0" w:rsidRDefault="003D27B0" w:rsidP="003D27B0">
      <w:pPr>
        <w:pStyle w:val="Instructiontext"/>
        <w:rPr>
          <w:color w:val="auto"/>
        </w:rPr>
      </w:pPr>
      <w:r>
        <w:rPr>
          <w:color w:val="auto"/>
        </w:rPr>
        <w:t>*</w:t>
      </w:r>
      <w:r w:rsidRPr="006212F4">
        <w:rPr>
          <w:rFonts w:asciiTheme="minorHAnsi" w:hAnsiTheme="minorHAnsi" w:cstheme="minorHAnsi"/>
          <w:color w:val="auto"/>
        </w:rPr>
        <w:t xml:space="preserve"> </w:t>
      </w:r>
      <w:r>
        <w:rPr>
          <w:rFonts w:asciiTheme="minorHAnsi" w:hAnsiTheme="minorHAnsi" w:cstheme="minorHAnsi"/>
          <w:color w:val="auto"/>
        </w:rPr>
        <w:t>Catch as of September 2025 (2025 fishing season is open from January to 31 December 2025).</w:t>
      </w:r>
    </w:p>
    <w:p w14:paraId="03C310C1" w14:textId="3A166BC4" w:rsidR="007A7FD0" w:rsidRPr="00A25D83" w:rsidRDefault="007A7FD0" w:rsidP="00DC0541">
      <w:pPr>
        <w:rPr>
          <w:color w:val="4000A6"/>
        </w:rPr>
      </w:pPr>
      <w:r w:rsidRPr="000A7703">
        <w:rPr>
          <w:color w:val="000000"/>
        </w:rPr>
        <w:t>Appendices 2 provide data on discards</w:t>
      </w:r>
      <w:r w:rsidR="00D53921" w:rsidRPr="000A7703">
        <w:rPr>
          <w:color w:val="000000"/>
        </w:rPr>
        <w:t xml:space="preserve"> </w:t>
      </w:r>
      <w:r w:rsidR="007B37BE" w:rsidRPr="000A7703">
        <w:rPr>
          <w:color w:val="000000"/>
        </w:rPr>
        <w:t xml:space="preserve">in the SSJF </w:t>
      </w:r>
      <w:r w:rsidR="00D53921" w:rsidRPr="000A7703">
        <w:rPr>
          <w:color w:val="000000"/>
        </w:rPr>
        <w:t>from the last 5 years</w:t>
      </w:r>
      <w:r w:rsidR="001321E0" w:rsidRPr="000A7703">
        <w:rPr>
          <w:color w:val="000000"/>
        </w:rPr>
        <w:t>.</w:t>
      </w:r>
      <w:r w:rsidRPr="00A25D83">
        <w:rPr>
          <w:color w:val="4000A6"/>
        </w:rPr>
        <w:t xml:space="preserve"> </w:t>
      </w:r>
    </w:p>
    <w:p w14:paraId="195E5939" w14:textId="423A3890" w:rsidR="003868A3" w:rsidRPr="00A25D83" w:rsidRDefault="00C530FF" w:rsidP="003868A3">
      <w:pPr>
        <w:rPr>
          <w:highlight w:val="yellow"/>
          <w:u w:val="single"/>
        </w:rPr>
      </w:pPr>
      <w:r>
        <w:rPr>
          <w:color w:val="000000"/>
        </w:rPr>
        <w:t>Discarded catch data</w:t>
      </w:r>
      <w:r w:rsidR="00B25814">
        <w:rPr>
          <w:color w:val="000000"/>
        </w:rPr>
        <w:t xml:space="preserve"> in the SSJF</w:t>
      </w:r>
      <w:r w:rsidR="00D06123">
        <w:rPr>
          <w:color w:val="000000"/>
        </w:rPr>
        <w:t xml:space="preserve"> from the last five years</w:t>
      </w:r>
      <w:r>
        <w:rPr>
          <w:color w:val="000000"/>
        </w:rPr>
        <w:t xml:space="preserve"> (target and </w:t>
      </w:r>
      <w:proofErr w:type="spellStart"/>
      <w:r>
        <w:rPr>
          <w:color w:val="000000"/>
        </w:rPr>
        <w:t>non target</w:t>
      </w:r>
      <w:proofErr w:type="spellEnd"/>
      <w:r w:rsidR="00583C7B">
        <w:rPr>
          <w:color w:val="000000"/>
        </w:rPr>
        <w:t xml:space="preserve">) is </w:t>
      </w:r>
      <w:r w:rsidR="00754FD3">
        <w:rPr>
          <w:color w:val="000000"/>
        </w:rPr>
        <w:t xml:space="preserve">provided at </w:t>
      </w:r>
      <w:r w:rsidR="005B20C6" w:rsidRPr="00A25D83">
        <w:rPr>
          <w:color w:val="000000"/>
          <w:u w:val="single"/>
        </w:rPr>
        <w:t>Appendices 2</w:t>
      </w:r>
      <w:r w:rsidR="00754FD3" w:rsidRPr="00A25D83">
        <w:rPr>
          <w:color w:val="000000"/>
          <w:u w:val="single"/>
        </w:rPr>
        <w:t>.</w:t>
      </w:r>
      <w:r w:rsidR="006E161B" w:rsidRPr="00A25D83">
        <w:rPr>
          <w:color w:val="4000A6"/>
          <w:u w:val="single"/>
        </w:rPr>
        <w:t xml:space="preserve"> </w:t>
      </w:r>
    </w:p>
    <w:p w14:paraId="75990361" w14:textId="6616919A" w:rsidR="00D24341" w:rsidRPr="00D24341" w:rsidRDefault="00D24341" w:rsidP="00314F4F">
      <w:pPr>
        <w:pStyle w:val="Heading1"/>
        <w:rPr>
          <w:sz w:val="22"/>
          <w:szCs w:val="22"/>
        </w:rPr>
      </w:pPr>
      <w:bookmarkStart w:id="29" w:name="_Toc210975460"/>
      <w:r w:rsidRPr="00527876">
        <w:rPr>
          <w:bCs/>
          <w:sz w:val="36"/>
          <w:szCs w:val="36"/>
        </w:rPr>
        <w:t>Bycatch</w:t>
      </w:r>
      <w:bookmarkEnd w:id="29"/>
    </w:p>
    <w:p w14:paraId="0645CACF" w14:textId="791930EF" w:rsidR="00AB30B8" w:rsidRPr="000D0DE8" w:rsidRDefault="00AB30B8" w:rsidP="00AB30B8">
      <w:pPr>
        <w:pStyle w:val="Heading2"/>
      </w:pPr>
      <w:bookmarkStart w:id="30" w:name="_Toc210975461"/>
      <w:r w:rsidRPr="000D0DE8">
        <w:t>Bycatch composition</w:t>
      </w:r>
      <w:bookmarkEnd w:id="30"/>
    </w:p>
    <w:p w14:paraId="054ADF75" w14:textId="162D9DD4" w:rsidR="00926F59" w:rsidRDefault="00800B1B" w:rsidP="00926F59">
      <w:pPr>
        <w:spacing w:after="120"/>
        <w:jc w:val="both"/>
      </w:pPr>
      <w:r w:rsidRPr="005A51AA">
        <w:t>Bycatch in the SSJF is very low due to the targeted nature of the fishing operations. Byproduct has historically comprised red ocean squid (</w:t>
      </w:r>
      <w:proofErr w:type="spellStart"/>
      <w:r w:rsidRPr="00A25D83">
        <w:rPr>
          <w:i/>
          <w:iCs/>
        </w:rPr>
        <w:t>Ommastrephes</w:t>
      </w:r>
      <w:proofErr w:type="spellEnd"/>
      <w:r w:rsidRPr="00A25D83">
        <w:rPr>
          <w:i/>
          <w:iCs/>
        </w:rPr>
        <w:t xml:space="preserve"> </w:t>
      </w:r>
      <w:proofErr w:type="spellStart"/>
      <w:r w:rsidRPr="00A25D83">
        <w:rPr>
          <w:i/>
          <w:iCs/>
        </w:rPr>
        <w:t>bartrami</w:t>
      </w:r>
      <w:proofErr w:type="spellEnd"/>
      <w:r w:rsidRPr="005A51AA">
        <w:t>), the Southern Ocean arrow squid (</w:t>
      </w:r>
      <w:proofErr w:type="spellStart"/>
      <w:r w:rsidRPr="00A25D83">
        <w:rPr>
          <w:i/>
          <w:iCs/>
        </w:rPr>
        <w:t>Todarodes</w:t>
      </w:r>
      <w:proofErr w:type="spellEnd"/>
      <w:r w:rsidRPr="00A25D83">
        <w:rPr>
          <w:i/>
          <w:iCs/>
        </w:rPr>
        <w:t xml:space="preserve"> </w:t>
      </w:r>
      <w:proofErr w:type="spellStart"/>
      <w:r w:rsidRPr="00A25D83">
        <w:rPr>
          <w:i/>
          <w:iCs/>
        </w:rPr>
        <w:t>filippovae</w:t>
      </w:r>
      <w:proofErr w:type="spellEnd"/>
      <w:r w:rsidRPr="005A51AA">
        <w:t>) and southern calamari (</w:t>
      </w:r>
      <w:proofErr w:type="spellStart"/>
      <w:r w:rsidRPr="00A25D83">
        <w:rPr>
          <w:i/>
          <w:iCs/>
        </w:rPr>
        <w:t>Sepioteuthis</w:t>
      </w:r>
      <w:proofErr w:type="spellEnd"/>
      <w:r w:rsidRPr="00A25D83">
        <w:rPr>
          <w:i/>
          <w:iCs/>
        </w:rPr>
        <w:t xml:space="preserve"> australis).</w:t>
      </w:r>
      <w:r w:rsidRPr="005A51AA">
        <w:t xml:space="preserve"> </w:t>
      </w:r>
      <w:r w:rsidR="00926F59">
        <w:t xml:space="preserve">Other potential bycatch species occasionally encountered in the fishery include gummy shark, school shark, mako shark, barracouta, </w:t>
      </w:r>
      <w:r w:rsidR="009652DB">
        <w:t xml:space="preserve">cuttlefish </w:t>
      </w:r>
      <w:r w:rsidR="00926F59">
        <w:t>and octopus. These species are typically released at the rollers prior to boarding and are not retained.</w:t>
      </w:r>
    </w:p>
    <w:p w14:paraId="26E09679" w14:textId="72A725AB" w:rsidR="00BC4856" w:rsidRPr="006B20C8" w:rsidRDefault="00926F59" w:rsidP="00A25D83">
      <w:pPr>
        <w:spacing w:after="120"/>
        <w:jc w:val="both"/>
      </w:pPr>
      <w:r>
        <w:t>For further detail, refer to discarded catch data (target and non-target species) from 2020–2025 in Appendix 2.</w:t>
      </w:r>
    </w:p>
    <w:p w14:paraId="0ADCBF47" w14:textId="206C31CD" w:rsidR="00D24341" w:rsidRPr="00F3518E" w:rsidRDefault="002B42F1" w:rsidP="00F3518E">
      <w:pPr>
        <w:pStyle w:val="Heading2"/>
      </w:pPr>
      <w:bookmarkStart w:id="31" w:name="_Toc210975462"/>
      <w:r w:rsidRPr="00F3518E">
        <w:t>R</w:t>
      </w:r>
      <w:r w:rsidR="00F670C5" w:rsidRPr="00F3518E">
        <w:t xml:space="preserve">isk </w:t>
      </w:r>
      <w:r w:rsidR="006C74DB">
        <w:t>assessment</w:t>
      </w:r>
      <w:r w:rsidR="00F670C5" w:rsidRPr="00F3518E">
        <w:t xml:space="preserve"> on the effects of fishing on bycatch</w:t>
      </w:r>
      <w:bookmarkEnd w:id="31"/>
    </w:p>
    <w:p w14:paraId="0F1FC331" w14:textId="61E1B169" w:rsidR="00475259" w:rsidRPr="00026C2D" w:rsidRDefault="00CA23D0" w:rsidP="00026C2D">
      <w:pPr>
        <w:spacing w:after="120"/>
        <w:jc w:val="both"/>
        <w:rPr>
          <w:color w:val="E36C0A"/>
        </w:rPr>
      </w:pPr>
      <w:r w:rsidRPr="00CA23D0">
        <w:t xml:space="preserve">Ecological risk assessments are used to identify which species, habitats or communities are at risk from the effects of fishing. </w:t>
      </w:r>
      <w:r w:rsidR="00475259" w:rsidRPr="00A07BDF">
        <w:t>The ecological risk assessment of the fishery, completed in 2006, did not identify any</w:t>
      </w:r>
      <w:r w:rsidR="00475259">
        <w:t xml:space="preserve"> </w:t>
      </w:r>
      <w:r w:rsidR="00475259" w:rsidRPr="00A07BDF">
        <w:t>threats to the environment from jig fishing (</w:t>
      </w:r>
      <w:r w:rsidR="00475259">
        <w:t>Furlani et al</w:t>
      </w:r>
      <w:r w:rsidR="00475259" w:rsidRPr="00CD2045">
        <w:t xml:space="preserve"> 2007</w:t>
      </w:r>
      <w:r w:rsidR="00475259">
        <w:t>). The subsequent ecological risk management assessment (</w:t>
      </w:r>
      <w:r w:rsidR="00475259" w:rsidRPr="00CD2045">
        <w:t>AFMA 2009)</w:t>
      </w:r>
      <w:r w:rsidR="00475259">
        <w:t xml:space="preserve"> supported this outcome, with none of the 216 </w:t>
      </w:r>
      <w:r w:rsidR="00A174C6">
        <w:t xml:space="preserve">ETP </w:t>
      </w:r>
      <w:r w:rsidR="00475259">
        <w:t>species identified as occurring within the area of the SSJF being assessed as at high risk from the effect of commercial fishing operations</w:t>
      </w:r>
      <w:r w:rsidR="00475259" w:rsidRPr="00CD2045">
        <w:t>.</w:t>
      </w:r>
    </w:p>
    <w:p w14:paraId="25A71AED" w14:textId="224BF454" w:rsidR="00F670C5" w:rsidRPr="0018409A" w:rsidRDefault="00B56980" w:rsidP="0018409A">
      <w:pPr>
        <w:pStyle w:val="Heading2"/>
      </w:pPr>
      <w:bookmarkStart w:id="32" w:name="_Toc210975463"/>
      <w:r>
        <w:lastRenderedPageBreak/>
        <w:t>Bycatch m</w:t>
      </w:r>
      <w:r w:rsidR="00F3518E" w:rsidRPr="0018409A">
        <w:t>it</w:t>
      </w:r>
      <w:r w:rsidR="00503D9F" w:rsidRPr="0018409A">
        <w:t xml:space="preserve">igation </w:t>
      </w:r>
      <w:r>
        <w:t>m</w:t>
      </w:r>
      <w:r w:rsidR="00503D9F" w:rsidRPr="0018409A">
        <w:t>easures</w:t>
      </w:r>
      <w:bookmarkEnd w:id="32"/>
    </w:p>
    <w:p w14:paraId="533E02F7" w14:textId="77777777" w:rsidR="00475259" w:rsidRPr="005A51AA" w:rsidRDefault="00475259" w:rsidP="00A25D83">
      <w:pPr>
        <w:spacing w:after="120"/>
        <w:jc w:val="both"/>
      </w:pPr>
      <w:r w:rsidRPr="005A51AA">
        <w:t>Throughout 2020, AFMA consulted with the Southern Squid Jig Fishery Resource Assessment Group (</w:t>
      </w:r>
      <w:proofErr w:type="spellStart"/>
      <w:r w:rsidRPr="005A51AA">
        <w:t>SquidRAG</w:t>
      </w:r>
      <w:proofErr w:type="spellEnd"/>
      <w:r w:rsidRPr="005A51AA">
        <w:t xml:space="preserve">) and the </w:t>
      </w:r>
      <w:proofErr w:type="gramStart"/>
      <w:r w:rsidRPr="005A51AA">
        <w:t>South East</w:t>
      </w:r>
      <w:proofErr w:type="gramEnd"/>
      <w:r w:rsidRPr="005A51AA">
        <w:t xml:space="preserve"> Management Advisory Committee (SEMAC) on the revised 2021 SSJF Bycatch and Discarding Workplan (the Workplan). </w:t>
      </w:r>
    </w:p>
    <w:p w14:paraId="0D04B219" w14:textId="77777777" w:rsidR="00475259" w:rsidRPr="005A51AA" w:rsidRDefault="00475259" w:rsidP="00A25D83">
      <w:pPr>
        <w:spacing w:after="120"/>
        <w:jc w:val="both"/>
      </w:pPr>
      <w:r w:rsidRPr="005A51AA">
        <w:t xml:space="preserve">The Workplan replaced the SSJF Bycatch Action Plan 2004, and outlines actions to support </w:t>
      </w:r>
      <w:proofErr w:type="gramStart"/>
      <w:r w:rsidRPr="005A51AA">
        <w:t>evidence based</w:t>
      </w:r>
      <w:proofErr w:type="gramEnd"/>
      <w:r w:rsidRPr="005A51AA">
        <w:t xml:space="preserve"> fisheries management decisions in the SSJF. The focus of the Workplan is accurate recording of bycatch and discards to support ongoing management and assessment under AFMA’s Ecological Risk Management framework, which includes undertaking Ecological Risk Assessments.</w:t>
      </w:r>
    </w:p>
    <w:p w14:paraId="5FA2C5CD" w14:textId="77777777" w:rsidR="00475259" w:rsidRPr="00A25D83" w:rsidRDefault="00475259" w:rsidP="00A25D83">
      <w:pPr>
        <w:spacing w:after="120"/>
        <w:jc w:val="both"/>
      </w:pPr>
      <w:r w:rsidRPr="005A51AA">
        <w:t xml:space="preserve">A copy of the Workplan can be found on the </w:t>
      </w:r>
      <w:hyperlink r:id="rId54" w:anchor="referenced-section-8" w:history="1">
        <w:r w:rsidRPr="00A25D83">
          <w:t>AFMA website</w:t>
        </w:r>
      </w:hyperlink>
      <w:r w:rsidRPr="005A51AA">
        <w:t xml:space="preserve"> (‘Protected Species’ – ‘Reducing Bycatch’ – ‘Bycatch and Discarding Workplans’).</w:t>
      </w:r>
    </w:p>
    <w:p w14:paraId="028B293C" w14:textId="77777777" w:rsidR="00475259" w:rsidRPr="000D0DE8" w:rsidRDefault="00475259" w:rsidP="00475259">
      <w:pPr>
        <w:rPr>
          <w:color w:val="4000A6"/>
        </w:rPr>
      </w:pPr>
    </w:p>
    <w:p w14:paraId="029AF95B" w14:textId="5750815B" w:rsidR="00F670C5" w:rsidRPr="00471DB3" w:rsidRDefault="00C7204A" w:rsidP="00471DB3">
      <w:pPr>
        <w:pStyle w:val="Heading2"/>
      </w:pPr>
      <w:bookmarkStart w:id="33" w:name="_Toc210975464"/>
      <w:r w:rsidRPr="00DC3B02">
        <w:t>I</w:t>
      </w:r>
      <w:r w:rsidR="00F670C5" w:rsidRPr="00DC3B02">
        <w:t>ndicator bycatch species</w:t>
      </w:r>
      <w:bookmarkEnd w:id="33"/>
    </w:p>
    <w:p w14:paraId="7CDE6CAB" w14:textId="4ADA33B2" w:rsidR="008A7C46" w:rsidRPr="00A25D83" w:rsidRDefault="00A8605F" w:rsidP="008A7C46">
      <w:pPr>
        <w:rPr>
          <w:color w:val="000000"/>
        </w:rPr>
      </w:pPr>
      <w:r>
        <w:rPr>
          <w:color w:val="000000"/>
        </w:rPr>
        <w:t>Cu</w:t>
      </w:r>
      <w:r w:rsidR="00F21D5E">
        <w:rPr>
          <w:color w:val="000000"/>
        </w:rPr>
        <w:t>rrently</w:t>
      </w:r>
      <w:r w:rsidR="00DA70DE">
        <w:rPr>
          <w:color w:val="000000"/>
        </w:rPr>
        <w:t xml:space="preserve">, </w:t>
      </w:r>
      <w:r w:rsidR="00F21D5E">
        <w:rPr>
          <w:color w:val="000000"/>
        </w:rPr>
        <w:t>no</w:t>
      </w:r>
      <w:r w:rsidR="008A7C46" w:rsidRPr="00A25D83">
        <w:rPr>
          <w:color w:val="000000"/>
        </w:rPr>
        <w:t xml:space="preserve"> indicator bycatch species are monitored in this fishery</w:t>
      </w:r>
      <w:r w:rsidR="000D419B">
        <w:rPr>
          <w:color w:val="000000"/>
        </w:rPr>
        <w:t xml:space="preserve"> </w:t>
      </w:r>
      <w:r w:rsidR="008A7C46" w:rsidRPr="00A25D83">
        <w:rPr>
          <w:color w:val="000000"/>
        </w:rPr>
        <w:t xml:space="preserve">and therefore no specific monitoring processes are in place for assessing the effects of fishing on </w:t>
      </w:r>
      <w:r w:rsidR="00EF4C17">
        <w:rPr>
          <w:color w:val="000000"/>
        </w:rPr>
        <w:t>bycatch</w:t>
      </w:r>
      <w:r w:rsidR="008A7C46" w:rsidRPr="00A25D83">
        <w:rPr>
          <w:color w:val="000000"/>
        </w:rPr>
        <w:t xml:space="preserve"> species.</w:t>
      </w:r>
    </w:p>
    <w:p w14:paraId="4A360CE8" w14:textId="0CBBA25F" w:rsidR="00F670C5" w:rsidRPr="00F268C6" w:rsidRDefault="00471DB3" w:rsidP="00F268C6">
      <w:pPr>
        <w:pStyle w:val="Heading2"/>
      </w:pPr>
      <w:bookmarkStart w:id="34" w:name="_Toc210975465"/>
      <w:r w:rsidRPr="00F268C6">
        <w:t>M</w:t>
      </w:r>
      <w:r w:rsidR="00F670C5" w:rsidRPr="00F268C6">
        <w:t>anagement actions</w:t>
      </w:r>
      <w:bookmarkEnd w:id="34"/>
      <w:r w:rsidR="00F670C5" w:rsidRPr="00F268C6">
        <w:t xml:space="preserve"> </w:t>
      </w:r>
    </w:p>
    <w:p w14:paraId="474F15B7" w14:textId="69571CEF" w:rsidR="00DC3B02" w:rsidRDefault="00AE777E" w:rsidP="00471DB3">
      <w:pPr>
        <w:rPr>
          <w:color w:val="000000"/>
        </w:rPr>
      </w:pPr>
      <w:r w:rsidRPr="00A25D83">
        <w:rPr>
          <w:color w:val="000000"/>
        </w:rPr>
        <w:t>As there are no designated indicator bycatch species monitored for the effects of fishing</w:t>
      </w:r>
      <w:r w:rsidR="00DC3B02" w:rsidRPr="00A25D83">
        <w:rPr>
          <w:color w:val="000000"/>
        </w:rPr>
        <w:t xml:space="preserve"> in the SSJF</w:t>
      </w:r>
      <w:r w:rsidRPr="00A25D83">
        <w:rPr>
          <w:color w:val="000000"/>
        </w:rPr>
        <w:t>, there are no associated decision rules or management actions triggered by changes in their status.</w:t>
      </w:r>
    </w:p>
    <w:p w14:paraId="54F4CF58" w14:textId="77777777" w:rsidR="000B6A26" w:rsidRDefault="000B6A26" w:rsidP="00471DB3">
      <w:pPr>
        <w:rPr>
          <w:color w:val="000000"/>
        </w:rPr>
      </w:pPr>
    </w:p>
    <w:p w14:paraId="47C96688" w14:textId="77777777" w:rsidR="000B6A26" w:rsidRPr="00A25D83" w:rsidRDefault="000B6A26" w:rsidP="00471DB3">
      <w:pPr>
        <w:rPr>
          <w:color w:val="000000"/>
        </w:rPr>
      </w:pPr>
    </w:p>
    <w:p w14:paraId="647B1BD4" w14:textId="320AD299" w:rsidR="00F670C5" w:rsidRPr="00527876" w:rsidRDefault="00F670C5" w:rsidP="00314F4F">
      <w:pPr>
        <w:pStyle w:val="Heading1"/>
        <w:rPr>
          <w:b w:val="0"/>
          <w:bCs/>
          <w:sz w:val="36"/>
          <w:szCs w:val="36"/>
        </w:rPr>
      </w:pPr>
      <w:bookmarkStart w:id="35" w:name="_Toc210975466"/>
      <w:r w:rsidRPr="00527876">
        <w:rPr>
          <w:bCs/>
          <w:sz w:val="36"/>
          <w:szCs w:val="36"/>
        </w:rPr>
        <w:t>P</w:t>
      </w:r>
      <w:r w:rsidR="007D1784">
        <w:rPr>
          <w:bCs/>
          <w:sz w:val="36"/>
          <w:szCs w:val="36"/>
        </w:rPr>
        <w:t xml:space="preserve">rotected </w:t>
      </w:r>
      <w:r w:rsidR="006F3C71">
        <w:rPr>
          <w:bCs/>
          <w:sz w:val="36"/>
          <w:szCs w:val="36"/>
        </w:rPr>
        <w:t>s</w:t>
      </w:r>
      <w:r w:rsidR="007D1784">
        <w:rPr>
          <w:bCs/>
          <w:sz w:val="36"/>
          <w:szCs w:val="36"/>
        </w:rPr>
        <w:t>pecies</w:t>
      </w:r>
      <w:r w:rsidR="009C40AE">
        <w:rPr>
          <w:bCs/>
          <w:sz w:val="36"/>
          <w:szCs w:val="36"/>
        </w:rPr>
        <w:t xml:space="preserve"> and </w:t>
      </w:r>
      <w:r w:rsidR="006F3C71">
        <w:rPr>
          <w:bCs/>
          <w:sz w:val="36"/>
          <w:szCs w:val="36"/>
        </w:rPr>
        <w:t>t</w:t>
      </w:r>
      <w:r w:rsidR="009C40AE">
        <w:rPr>
          <w:bCs/>
          <w:sz w:val="36"/>
          <w:szCs w:val="36"/>
        </w:rPr>
        <w:t xml:space="preserve">hreatened </w:t>
      </w:r>
      <w:r w:rsidR="006F3C71">
        <w:rPr>
          <w:bCs/>
          <w:sz w:val="36"/>
          <w:szCs w:val="36"/>
        </w:rPr>
        <w:t>e</w:t>
      </w:r>
      <w:r w:rsidR="009C40AE">
        <w:rPr>
          <w:bCs/>
          <w:sz w:val="36"/>
          <w:szCs w:val="36"/>
        </w:rPr>
        <w:t xml:space="preserve">cological </w:t>
      </w:r>
      <w:r w:rsidR="006F3C71">
        <w:rPr>
          <w:bCs/>
          <w:sz w:val="36"/>
          <w:szCs w:val="36"/>
        </w:rPr>
        <w:t>c</w:t>
      </w:r>
      <w:r w:rsidR="009C40AE">
        <w:rPr>
          <w:bCs/>
          <w:sz w:val="36"/>
          <w:szCs w:val="36"/>
        </w:rPr>
        <w:t>ommunities</w:t>
      </w:r>
      <w:bookmarkEnd w:id="35"/>
    </w:p>
    <w:p w14:paraId="216B1342" w14:textId="58E96459" w:rsidR="00F670C5" w:rsidRPr="00D77FD4" w:rsidRDefault="00F268C6" w:rsidP="00D77FD4">
      <w:pPr>
        <w:pStyle w:val="Heading2"/>
      </w:pPr>
      <w:bookmarkStart w:id="36" w:name="_Toc210975467"/>
      <w:r w:rsidRPr="00D77FD4">
        <w:t>F</w:t>
      </w:r>
      <w:r w:rsidR="00F670C5" w:rsidRPr="00D77FD4">
        <w:t xml:space="preserve">ishery </w:t>
      </w:r>
      <w:r w:rsidRPr="00D77FD4">
        <w:t>impact</w:t>
      </w:r>
      <w:r w:rsidR="00FB3414" w:rsidRPr="00D77FD4">
        <w:t xml:space="preserve">s </w:t>
      </w:r>
      <w:r w:rsidR="00F670C5" w:rsidRPr="00D77FD4">
        <w:t xml:space="preserve">on </w:t>
      </w:r>
      <w:r w:rsidR="00CE0DE4">
        <w:t>protected species and communities</w:t>
      </w:r>
      <w:bookmarkEnd w:id="36"/>
      <w:r w:rsidR="004E20F5">
        <w:t xml:space="preserve"> </w:t>
      </w:r>
    </w:p>
    <w:p w14:paraId="11B71861" w14:textId="77777777" w:rsidR="00C31A68" w:rsidRPr="00D14A90" w:rsidRDefault="00C31A68" w:rsidP="00C31A68">
      <w:pPr>
        <w:pStyle w:val="Default"/>
        <w:spacing w:after="120"/>
        <w:jc w:val="both"/>
        <w:rPr>
          <w:rFonts w:asciiTheme="minorHAnsi" w:hAnsiTheme="minorHAnsi" w:cstheme="minorHAnsi"/>
          <w:color w:val="auto"/>
          <w:sz w:val="22"/>
          <w:szCs w:val="22"/>
        </w:rPr>
      </w:pPr>
      <w:r w:rsidRPr="00D14A90">
        <w:rPr>
          <w:rFonts w:asciiTheme="minorHAnsi" w:hAnsiTheme="minorHAnsi" w:cstheme="minorHAnsi"/>
          <w:color w:val="auto"/>
          <w:sz w:val="22"/>
          <w:szCs w:val="22"/>
        </w:rPr>
        <w:t>While there is potential for interactions with seals, dolphins, seabirds and sharks in the SSJF, the risk of interaction is considered low.</w:t>
      </w:r>
      <w:r w:rsidRPr="00D14A90">
        <w:rPr>
          <w:rFonts w:asciiTheme="minorHAnsi" w:hAnsiTheme="minorHAnsi" w:cstheme="minorHAnsi"/>
          <w:sz w:val="22"/>
          <w:szCs w:val="22"/>
        </w:rPr>
        <w:t xml:space="preserve"> </w:t>
      </w:r>
      <w:r w:rsidRPr="00D14A90">
        <w:rPr>
          <w:rFonts w:asciiTheme="minorHAnsi" w:hAnsiTheme="minorHAnsi" w:cstheme="minorHAnsi"/>
          <w:color w:val="auto"/>
          <w:sz w:val="22"/>
          <w:szCs w:val="22"/>
        </w:rPr>
        <w:t>Research in 2004 investigated the potential for harmful interactions between Australian fur seals and squid-jigging operations and found that there was no evidence of jigging operations having a negative impact on seals (Arnould et al 2003).</w:t>
      </w:r>
    </w:p>
    <w:p w14:paraId="382EEE45" w14:textId="47F86C30" w:rsidR="00C31A68" w:rsidRPr="00D14A90" w:rsidRDefault="00C31A68" w:rsidP="00C31A68">
      <w:pPr>
        <w:pStyle w:val="Default"/>
        <w:spacing w:after="120"/>
        <w:jc w:val="both"/>
        <w:rPr>
          <w:rFonts w:asciiTheme="minorHAnsi" w:hAnsiTheme="minorHAnsi" w:cstheme="minorHAnsi"/>
          <w:color w:val="FF0000"/>
          <w:sz w:val="22"/>
          <w:szCs w:val="22"/>
        </w:rPr>
      </w:pPr>
      <w:r w:rsidRPr="00D14A90">
        <w:rPr>
          <w:rFonts w:asciiTheme="minorHAnsi" w:hAnsiTheme="minorHAnsi" w:cstheme="minorHAnsi"/>
          <w:color w:val="auto"/>
          <w:sz w:val="22"/>
          <w:szCs w:val="22"/>
        </w:rPr>
        <w:t xml:space="preserve">There have been no reported interactions with </w:t>
      </w:r>
      <w:r w:rsidR="00713093">
        <w:rPr>
          <w:rFonts w:asciiTheme="minorHAnsi" w:hAnsiTheme="minorHAnsi" w:cstheme="minorHAnsi"/>
          <w:color w:val="auto"/>
          <w:sz w:val="22"/>
          <w:szCs w:val="22"/>
        </w:rPr>
        <w:t>ETP</w:t>
      </w:r>
      <w:r w:rsidRPr="00D14A90">
        <w:rPr>
          <w:rFonts w:asciiTheme="minorHAnsi" w:hAnsiTheme="minorHAnsi" w:cstheme="minorHAnsi"/>
          <w:color w:val="auto"/>
          <w:sz w:val="22"/>
          <w:szCs w:val="22"/>
        </w:rPr>
        <w:t xml:space="preserve"> species in the SSJF since 2010.  </w:t>
      </w:r>
    </w:p>
    <w:p w14:paraId="5ECEE88C" w14:textId="2A1E21BF" w:rsidR="00A52691" w:rsidRPr="005825A9" w:rsidRDefault="00C31A68" w:rsidP="003D1236">
      <w:pPr>
        <w:pStyle w:val="Default"/>
        <w:spacing w:after="120"/>
        <w:jc w:val="both"/>
      </w:pPr>
      <w:r w:rsidRPr="00D14A90">
        <w:rPr>
          <w:rFonts w:asciiTheme="minorHAnsi" w:hAnsiTheme="minorHAnsi" w:cstheme="minorHAnsi"/>
          <w:color w:val="auto"/>
          <w:sz w:val="22"/>
          <w:szCs w:val="22"/>
        </w:rPr>
        <w:t>Protected species interaction reports are produced quarterly and are available from the AFMA website at:</w:t>
      </w:r>
      <w:r w:rsidR="00224726" w:rsidRPr="00D14A90">
        <w:rPr>
          <w:rFonts w:asciiTheme="minorHAnsi" w:hAnsiTheme="minorHAnsi" w:cstheme="minorHAnsi"/>
          <w:color w:val="auto"/>
          <w:sz w:val="22"/>
          <w:szCs w:val="22"/>
        </w:rPr>
        <w:t xml:space="preserve"> </w:t>
      </w:r>
      <w:hyperlink r:id="rId55" w:history="1">
        <w:r w:rsidR="001A776C" w:rsidRPr="00D14A90">
          <w:rPr>
            <w:rStyle w:val="Hyperlink"/>
            <w:rFonts w:asciiTheme="minorHAnsi" w:hAnsiTheme="minorHAnsi" w:cstheme="minorHAnsi"/>
            <w:sz w:val="22"/>
            <w:szCs w:val="22"/>
          </w:rPr>
          <w:t>Endangered and Threatened Species Reporting | Australian Fisheries Management Authority</w:t>
        </w:r>
      </w:hyperlink>
    </w:p>
    <w:p w14:paraId="704B8698" w14:textId="77777777" w:rsidR="00A52691" w:rsidRPr="00D14A90" w:rsidRDefault="00A52691" w:rsidP="00D14A90">
      <w:pPr>
        <w:pStyle w:val="Default"/>
        <w:spacing w:after="120"/>
        <w:jc w:val="both"/>
        <w:rPr>
          <w:rFonts w:asciiTheme="minorHAnsi" w:hAnsiTheme="minorHAnsi" w:cstheme="minorHAnsi"/>
          <w:color w:val="auto"/>
          <w:sz w:val="22"/>
          <w:szCs w:val="22"/>
        </w:rPr>
      </w:pPr>
    </w:p>
    <w:p w14:paraId="2E0A3694" w14:textId="2072C41E" w:rsidR="00F670C5" w:rsidRPr="0055419B" w:rsidRDefault="009449E1" w:rsidP="0055419B">
      <w:pPr>
        <w:pStyle w:val="Heading2"/>
      </w:pPr>
      <w:bookmarkStart w:id="37" w:name="_Toc210975468"/>
      <w:r w:rsidRPr="00866570">
        <w:t>Mitigating risks to p</w:t>
      </w:r>
      <w:r w:rsidR="004252A9" w:rsidRPr="00866570">
        <w:t>rotected species</w:t>
      </w:r>
      <w:bookmarkEnd w:id="37"/>
    </w:p>
    <w:p w14:paraId="695A8C6B" w14:textId="35F456AE" w:rsidR="000C1ECF" w:rsidRPr="000C1ECF" w:rsidRDefault="000C1ECF" w:rsidP="000C1ECF">
      <w:pPr>
        <w:rPr>
          <w:color w:val="000000"/>
        </w:rPr>
      </w:pPr>
      <w:r w:rsidRPr="000C1ECF">
        <w:rPr>
          <w:color w:val="000000"/>
        </w:rPr>
        <w:t>The Southern Squid Jig Fishery (SSJF) employs a highly selective jigging method, which results in minimal bycatch and very limited interactions with protected species. Consequently, the ecological risk associated with these interactions is considered low. The 2007 Ecological Risk Assessment (ERA) did not identify any species at risk from commercial fishing operations, and no priority species or groups were flagged for action under the bycatch and discarding workplan.</w:t>
      </w:r>
    </w:p>
    <w:p w14:paraId="51C9D9E9" w14:textId="77777777" w:rsidR="000C1ECF" w:rsidRPr="000C1ECF" w:rsidRDefault="000C1ECF" w:rsidP="000C1ECF">
      <w:pPr>
        <w:rPr>
          <w:color w:val="000000"/>
        </w:rPr>
      </w:pPr>
      <w:r w:rsidRPr="000C1ECF">
        <w:rPr>
          <w:color w:val="000000"/>
        </w:rPr>
        <w:lastRenderedPageBreak/>
        <w:t>To further support responsible fishing practices and minimise potential impacts, the SSJF concession conditions include general management arrangements designed to mitigate bycatch risks and ensure appropriate treatment of non-target species. These measures include:</w:t>
      </w:r>
    </w:p>
    <w:p w14:paraId="34A9CE16" w14:textId="77777777" w:rsidR="000C1ECF" w:rsidRPr="00A25D83" w:rsidRDefault="000C1ECF" w:rsidP="00A25D83">
      <w:pPr>
        <w:pStyle w:val="ListParagraph"/>
        <w:numPr>
          <w:ilvl w:val="0"/>
          <w:numId w:val="49"/>
        </w:numPr>
        <w:rPr>
          <w:color w:val="000000"/>
        </w:rPr>
      </w:pPr>
      <w:r w:rsidRPr="00A25D83">
        <w:rPr>
          <w:color w:val="000000"/>
        </w:rPr>
        <w:t>Bycatch Handling: Operators must handle bycatch species in a way that maximises their chances of survival.</w:t>
      </w:r>
    </w:p>
    <w:p w14:paraId="7153DEC2" w14:textId="77777777" w:rsidR="000C1ECF" w:rsidRPr="00A25D83" w:rsidRDefault="000C1ECF" w:rsidP="00A25D83">
      <w:pPr>
        <w:pStyle w:val="ListParagraph"/>
        <w:numPr>
          <w:ilvl w:val="0"/>
          <w:numId w:val="49"/>
        </w:numPr>
        <w:rPr>
          <w:color w:val="000000"/>
        </w:rPr>
      </w:pPr>
      <w:r w:rsidRPr="00A25D83">
        <w:rPr>
          <w:color w:val="000000"/>
        </w:rPr>
        <w:t>Bycatch Treatment: Mistreatment of bycatch is strictly prohibited. Mistreatment is defined as any action—or failure to act—that causes, or is likely to cause, death, injury, or distress to bycatch species.</w:t>
      </w:r>
    </w:p>
    <w:p w14:paraId="39959E3B" w14:textId="472F8BF7" w:rsidR="000C1ECF" w:rsidRDefault="000C1ECF" w:rsidP="00866570">
      <w:pPr>
        <w:pStyle w:val="ListParagraph"/>
        <w:numPr>
          <w:ilvl w:val="0"/>
          <w:numId w:val="49"/>
        </w:numPr>
        <w:rPr>
          <w:color w:val="000000"/>
        </w:rPr>
      </w:pPr>
      <w:r w:rsidRPr="00A25D83">
        <w:rPr>
          <w:color w:val="000000"/>
        </w:rPr>
        <w:t>Finfish Restrictions: Operators must comply with specific limits and prohibitions</w:t>
      </w:r>
      <w:r w:rsidR="00214C11">
        <w:rPr>
          <w:color w:val="000000"/>
        </w:rPr>
        <w:t>.</w:t>
      </w:r>
    </w:p>
    <w:p w14:paraId="1E771112" w14:textId="4DF85E0E" w:rsidR="00123C64" w:rsidRPr="00A25D83" w:rsidRDefault="000C1ECF" w:rsidP="00A25D83">
      <w:pPr>
        <w:pStyle w:val="ListParagraph"/>
        <w:numPr>
          <w:ilvl w:val="0"/>
          <w:numId w:val="49"/>
        </w:numPr>
        <w:rPr>
          <w:color w:val="000000"/>
        </w:rPr>
      </w:pPr>
      <w:r w:rsidRPr="00A25D83">
        <w:rPr>
          <w:color w:val="000000"/>
        </w:rPr>
        <w:t>Catch Reporting: Any interactions with species listed under the Environment Protection and Biodiversity Conservation (EPBC) Act must be reported in the ‘Wildlife and Other Protected Species’ section of the logbook.</w:t>
      </w:r>
    </w:p>
    <w:p w14:paraId="2514E2CD" w14:textId="7F71DA0A" w:rsidR="000307A8" w:rsidRDefault="009449E1" w:rsidP="000307A8">
      <w:pPr>
        <w:pStyle w:val="Heading2"/>
      </w:pPr>
      <w:bookmarkStart w:id="38" w:name="_Toc210975469"/>
      <w:r w:rsidRPr="00002694">
        <w:t>CITES-</w:t>
      </w:r>
      <w:r w:rsidR="000307A8" w:rsidRPr="00002694">
        <w:t>listed species</w:t>
      </w:r>
      <w:bookmarkEnd w:id="38"/>
    </w:p>
    <w:p w14:paraId="35AE6701" w14:textId="43204EC8" w:rsidR="00002694" w:rsidRPr="00002694" w:rsidRDefault="00002694" w:rsidP="00A25D83">
      <w:r>
        <w:t>The fishery does not target or retain any species listed under the Convention on International Trade in Endangered Species of Wild Fauna and Flora (CITES), and therefore no harvest quantities or species-specific management arrangements apply.</w:t>
      </w:r>
    </w:p>
    <w:p w14:paraId="54E54C08" w14:textId="3A79A556" w:rsidR="00C10962" w:rsidRPr="00527876" w:rsidRDefault="00C10962" w:rsidP="00314F4F">
      <w:pPr>
        <w:pStyle w:val="Heading1"/>
        <w:rPr>
          <w:b w:val="0"/>
          <w:bCs/>
          <w:sz w:val="36"/>
          <w:szCs w:val="36"/>
        </w:rPr>
      </w:pPr>
      <w:bookmarkStart w:id="39" w:name="_Toc210975470"/>
      <w:r w:rsidRPr="00527876">
        <w:rPr>
          <w:bCs/>
          <w:sz w:val="36"/>
          <w:szCs w:val="36"/>
        </w:rPr>
        <w:t>Ecosystem</w:t>
      </w:r>
      <w:bookmarkEnd w:id="39"/>
    </w:p>
    <w:p w14:paraId="2317A763" w14:textId="4454ACB1" w:rsidR="00973658" w:rsidRPr="0055419B" w:rsidRDefault="0055419B" w:rsidP="0055419B">
      <w:pPr>
        <w:pStyle w:val="Heading2"/>
      </w:pPr>
      <w:bookmarkStart w:id="40" w:name="_Toc210975471"/>
      <w:r w:rsidRPr="0055419B">
        <w:t>Ecosystem m</w:t>
      </w:r>
      <w:r w:rsidR="00973658" w:rsidRPr="0055419B">
        <w:t>anagement actions</w:t>
      </w:r>
      <w:bookmarkEnd w:id="40"/>
    </w:p>
    <w:p w14:paraId="11E16E90" w14:textId="77777777" w:rsidR="00A059FE" w:rsidRPr="006A6A6F" w:rsidRDefault="00A059FE" w:rsidP="00A059FE">
      <w:pPr>
        <w:rPr>
          <w:color w:val="000000"/>
        </w:rPr>
      </w:pPr>
      <w:r w:rsidRPr="006A6A6F">
        <w:rPr>
          <w:color w:val="000000"/>
        </w:rPr>
        <w:t>AFMA monitor the effects fishing activities have on marine species, habitats and communities through ecological risk assessments. The assessment results help to prioritise the management, research, data collection and monitoring needs of the fishery. After the risk assessment is complete, an ecological risk management strategy (ERM) is developed to address how AFMA will manage risks to marine species, habitats and communities identified in the assessment as impacted by commercial fishing operations.</w:t>
      </w:r>
    </w:p>
    <w:p w14:paraId="2C2A8959" w14:textId="48478BF6" w:rsidR="004044CD" w:rsidRDefault="004044CD" w:rsidP="004044CD">
      <w:pPr>
        <w:spacing w:after="120"/>
        <w:jc w:val="both"/>
      </w:pPr>
      <w:bookmarkStart w:id="41" w:name="_Hlk207707004"/>
      <w:r w:rsidRPr="0059209B">
        <w:t xml:space="preserve">The impacts of the SSJF on the ecosystem </w:t>
      </w:r>
      <w:r>
        <w:t>are considered</w:t>
      </w:r>
      <w:r w:rsidRPr="0059209B">
        <w:t xml:space="preserve"> minima</w:t>
      </w:r>
      <w:r w:rsidRPr="000E21D5">
        <w:t>l.</w:t>
      </w:r>
      <w:r>
        <w:rPr>
          <w:color w:val="FF0000"/>
        </w:rPr>
        <w:t xml:space="preserve"> </w:t>
      </w:r>
      <w:r w:rsidRPr="00B12D1F">
        <w:t>No significant threats were identified in the SSJF based on a Level 1 Ecological Risk Assessment in 200</w:t>
      </w:r>
      <w:r>
        <w:t>7</w:t>
      </w:r>
      <w:r w:rsidRPr="00B12D1F">
        <w:t xml:space="preserve"> and an Ecological Risk Management report in 2009.</w:t>
      </w:r>
    </w:p>
    <w:p w14:paraId="76E3E12A" w14:textId="7BD13321" w:rsidR="004044CD" w:rsidRPr="0078031B" w:rsidRDefault="004044CD" w:rsidP="004044CD">
      <w:pPr>
        <w:spacing w:after="120"/>
        <w:jc w:val="both"/>
      </w:pPr>
      <w:bookmarkStart w:id="42" w:name="_Hlk207707099"/>
      <w:bookmarkEnd w:id="41"/>
      <w:r w:rsidRPr="0078031B">
        <w:t xml:space="preserve">Information on catch and </w:t>
      </w:r>
      <w:r w:rsidR="00A174C6">
        <w:t>ETP</w:t>
      </w:r>
      <w:r w:rsidR="00026C2D" w:rsidRPr="0078031B">
        <w:t xml:space="preserve"> </w:t>
      </w:r>
      <w:r w:rsidRPr="0078031B">
        <w:t>interactions are available on the AFMA website at:</w:t>
      </w:r>
    </w:p>
    <w:bookmarkEnd w:id="42"/>
    <w:p w14:paraId="1F41ED30" w14:textId="77777777" w:rsidR="004044CD" w:rsidRDefault="004044CD" w:rsidP="004044CD">
      <w:pPr>
        <w:numPr>
          <w:ilvl w:val="0"/>
          <w:numId w:val="46"/>
        </w:numPr>
        <w:spacing w:after="0" w:line="240" w:lineRule="auto"/>
        <w:jc w:val="both"/>
        <w:rPr>
          <w:color w:val="FF0000"/>
        </w:rPr>
      </w:pPr>
      <w:r>
        <w:rPr>
          <w:color w:val="FF0000"/>
        </w:rPr>
        <w:fldChar w:fldCharType="begin"/>
      </w:r>
      <w:r>
        <w:rPr>
          <w:color w:val="FF0000"/>
        </w:rPr>
        <w:instrText xml:space="preserve"> HYPERLINK "http://</w:instrText>
      </w:r>
      <w:r w:rsidRPr="000E21D5">
        <w:rPr>
          <w:color w:val="FF0000"/>
        </w:rPr>
        <w:instrText>www.afma.gov.au/resources/catch-data/</w:instrText>
      </w:r>
      <w:r>
        <w:rPr>
          <w:color w:val="FF0000"/>
        </w:rPr>
        <w:instrText xml:space="preserve">" </w:instrText>
      </w:r>
      <w:r>
        <w:rPr>
          <w:color w:val="FF0000"/>
        </w:rPr>
      </w:r>
      <w:r>
        <w:rPr>
          <w:color w:val="FF0000"/>
        </w:rPr>
        <w:fldChar w:fldCharType="separate"/>
      </w:r>
      <w:r w:rsidRPr="00403658">
        <w:rPr>
          <w:rStyle w:val="Hyperlink"/>
        </w:rPr>
        <w:t>www.afma.gov.au/resources/catch-data/</w:t>
      </w:r>
      <w:r>
        <w:rPr>
          <w:color w:val="FF0000"/>
        </w:rPr>
        <w:fldChar w:fldCharType="end"/>
      </w:r>
    </w:p>
    <w:p w14:paraId="3F3517B0" w14:textId="77777777" w:rsidR="004044CD" w:rsidRPr="0078031B" w:rsidRDefault="004044CD" w:rsidP="004044CD">
      <w:pPr>
        <w:numPr>
          <w:ilvl w:val="0"/>
          <w:numId w:val="46"/>
        </w:numPr>
        <w:spacing w:after="0" w:line="240" w:lineRule="auto"/>
        <w:jc w:val="both"/>
        <w:rPr>
          <w:color w:val="FF0000"/>
        </w:rPr>
      </w:pPr>
      <w:hyperlink r:id="rId56" w:history="1">
        <w:r w:rsidRPr="00403658">
          <w:rPr>
            <w:rStyle w:val="Hyperlink"/>
          </w:rPr>
          <w:t>www.afma.gov.au/sustainability-environment/protected-species-management/protected-species-interaction-reports/</w:t>
        </w:r>
      </w:hyperlink>
      <w:r w:rsidRPr="0078031B">
        <w:t>.</w:t>
      </w:r>
    </w:p>
    <w:p w14:paraId="72DA9F30" w14:textId="77777777" w:rsidR="004044CD" w:rsidRPr="00FA7E47" w:rsidRDefault="004044CD" w:rsidP="004044CD">
      <w:pPr>
        <w:jc w:val="both"/>
        <w:rPr>
          <w:color w:val="FF0000"/>
        </w:rPr>
      </w:pPr>
    </w:p>
    <w:p w14:paraId="34EF92C0" w14:textId="6F48F2FE" w:rsidR="00973658" w:rsidRPr="0040486C" w:rsidRDefault="00431587" w:rsidP="0040486C">
      <w:pPr>
        <w:pStyle w:val="Heading2"/>
      </w:pPr>
      <w:bookmarkStart w:id="43" w:name="_Toc210975472"/>
      <w:r w:rsidRPr="0040486C">
        <w:t>M</w:t>
      </w:r>
      <w:r w:rsidR="00973658" w:rsidRPr="0040486C">
        <w:t>anagement responses</w:t>
      </w:r>
      <w:bookmarkEnd w:id="43"/>
    </w:p>
    <w:p w14:paraId="76C4CCD9" w14:textId="54F9CCD0" w:rsidR="001C19AD" w:rsidRPr="006A6A6F" w:rsidRDefault="001C19AD" w:rsidP="001C19AD">
      <w:pPr>
        <w:rPr>
          <w:color w:val="000000"/>
        </w:rPr>
      </w:pPr>
      <w:r w:rsidRPr="006A6A6F">
        <w:rPr>
          <w:color w:val="000000"/>
        </w:rPr>
        <w:t xml:space="preserve">The </w:t>
      </w:r>
      <w:r w:rsidRPr="006A6A6F">
        <w:rPr>
          <w:i/>
          <w:color w:val="000000"/>
        </w:rPr>
        <w:t>Fisheries Management Act 1991</w:t>
      </w:r>
      <w:r w:rsidRPr="006A6A6F">
        <w:rPr>
          <w:color w:val="000000"/>
        </w:rPr>
        <w:t xml:space="preserve"> mandates that fishing is conducted in a manner consistent with the principles of ecological sustainable development. The ERA and ERM has been implemented to mitigate the effects of fishing on the marine environment in which the fishery operates.</w:t>
      </w:r>
    </w:p>
    <w:p w14:paraId="76F3A394" w14:textId="21F43104" w:rsidR="001C19AD" w:rsidRPr="006A6A6F" w:rsidRDefault="001C19AD" w:rsidP="001C19AD">
      <w:pPr>
        <w:rPr>
          <w:color w:val="000000"/>
        </w:rPr>
      </w:pPr>
      <w:r w:rsidRPr="006A6A6F">
        <w:rPr>
          <w:color w:val="000000"/>
        </w:rPr>
        <w:t xml:space="preserve">A range of management actions are in place to ensure fishing operations do not have a significant impact on the marine environment in which the fishery operates. Risks and mitigation measures are addressed in the risk assessment reports for </w:t>
      </w:r>
      <w:r w:rsidR="00FD1006">
        <w:rPr>
          <w:color w:val="000000"/>
        </w:rPr>
        <w:t xml:space="preserve">the fishery. </w:t>
      </w:r>
    </w:p>
    <w:p w14:paraId="322D3558" w14:textId="77777777" w:rsidR="008C615C" w:rsidRPr="008B0431" w:rsidRDefault="008C615C" w:rsidP="00431587">
      <w:pPr>
        <w:rPr>
          <w:color w:val="4000A6"/>
        </w:rPr>
      </w:pPr>
    </w:p>
    <w:p w14:paraId="6422CC06" w14:textId="17D6B8EC" w:rsidR="00973658" w:rsidRPr="0040486C" w:rsidRDefault="0040486C" w:rsidP="0040486C">
      <w:pPr>
        <w:pStyle w:val="Heading2"/>
      </w:pPr>
      <w:bookmarkStart w:id="44" w:name="_Toc210975473"/>
      <w:r w:rsidRPr="0040486C">
        <w:t>M</w:t>
      </w:r>
      <w:r w:rsidR="00973658" w:rsidRPr="0040486C">
        <w:t>arine bioregional plans</w:t>
      </w:r>
      <w:bookmarkEnd w:id="44"/>
    </w:p>
    <w:p w14:paraId="23A9F1A4" w14:textId="77777777" w:rsidR="00F71DAD" w:rsidRPr="006A6A6F" w:rsidRDefault="00F71DAD" w:rsidP="00F71DAD">
      <w:r w:rsidRPr="004B68A4">
        <w:t>The area of the fishery encompasses the South-east Marine Region. The south-west Marine region, and the Temperate East Marine Region.</w:t>
      </w:r>
      <w:r w:rsidRPr="006A6A6F">
        <w:t xml:space="preserve"> </w:t>
      </w:r>
    </w:p>
    <w:p w14:paraId="49A7EEE1" w14:textId="77777777" w:rsidR="00F71DAD" w:rsidRPr="006A6A6F" w:rsidRDefault="00F71DAD" w:rsidP="00F71DAD">
      <w:r w:rsidRPr="006A6A6F">
        <w:t xml:space="preserve">There is no marine bioregional plan for the south-east marine region. However, the South-east marine region profile describes the major ecosystems and processes in the area. Conservation values identified in the region include 8 key ecological features (KEFs). The region also provides foraging and nursery habitat for over 46 EPBC Act-listed species, and </w:t>
      </w:r>
      <w:proofErr w:type="gramStart"/>
      <w:r w:rsidRPr="006A6A6F">
        <w:t>a number of</w:t>
      </w:r>
      <w:proofErr w:type="gramEnd"/>
      <w:r w:rsidRPr="006A6A6F">
        <w:t xml:space="preserve"> protected places including marine reserves, and ecological communities.</w:t>
      </w:r>
    </w:p>
    <w:p w14:paraId="4A840075" w14:textId="77777777" w:rsidR="00F71DAD" w:rsidRPr="006A6A6F" w:rsidRDefault="00F71DAD" w:rsidP="00F71DAD">
      <w:r w:rsidRPr="006A6A6F">
        <w:t>The Marine bioregional plan for the temperate east marine region 2012 describes 16 conservation values of regional priority, including marine turtles, grey nurse sharks, white shark, and seabirds. The fishery has in place mitigation measures that have proven effective in minimising interactions with these species. Harvesting of living resources and physical disturbance to seafloor, are described as pressures of concern in the temperate east marine region. Specific measures are in place in the fishery that mitigate the impact of these pressures, including a closure, mandatory use of bycatch reduction devices, and trigger limits.</w:t>
      </w:r>
    </w:p>
    <w:p w14:paraId="451276B9" w14:textId="77777777" w:rsidR="00F71DAD" w:rsidRPr="006A6A6F" w:rsidRDefault="00F71DAD" w:rsidP="00F71DAD">
      <w:r w:rsidRPr="006A6A6F">
        <w:t xml:space="preserve">The Marine bioregional plan for the south-west marine region 2012 identified 23 conservation values of regional priority, including Australian sea lions, white shark, school shark, seabirds and eight KEFs. These KEFs support highly diverse marine life and provide important habitat for a range of commercially important species. Climate change factors (e.g. acidification and water temperature), and impacts caused by marine debris are considered pressures of concern in the region. Extraction of living resources places pressure on Australian sea lions and seabirds by reducing the availability of prey species. </w:t>
      </w:r>
      <w:proofErr w:type="gramStart"/>
      <w:r w:rsidRPr="006A6A6F">
        <w:t>A number of</w:t>
      </w:r>
      <w:proofErr w:type="gramEnd"/>
      <w:r w:rsidRPr="006A6A6F">
        <w:t xml:space="preserve"> species such as orange </w:t>
      </w:r>
      <w:proofErr w:type="spellStart"/>
      <w:r w:rsidRPr="006A6A6F">
        <w:t>roughy</w:t>
      </w:r>
      <w:proofErr w:type="spellEnd"/>
      <w:r w:rsidRPr="006A6A6F">
        <w:t>, and seabirds are prone to bycatch. The marine bioregional plan indicates that these pressures are either not well understood or expected to increase.</w:t>
      </w:r>
    </w:p>
    <w:p w14:paraId="70617876" w14:textId="16D5A554" w:rsidR="00F71DAD" w:rsidRPr="006A6A6F" w:rsidRDefault="00F71DAD" w:rsidP="00F71DAD">
      <w:r w:rsidRPr="006A6A6F">
        <w:t>There is no clear evidence to suggest any systematic change to species diversity or richness is caused by the fishery.</w:t>
      </w:r>
    </w:p>
    <w:p w14:paraId="66573E3A" w14:textId="77777777" w:rsidR="00F71DAD" w:rsidRPr="006A6A6F" w:rsidRDefault="00F71DAD" w:rsidP="00F71DAD">
      <w:r w:rsidRPr="006A6A6F">
        <w:t xml:space="preserve">Given the management measures in place in the fishery, the conservation values identified in these marine regions are not compromised by the fishery. However, the risks and uncertainties identified in this assessment require ongoing monitoring, assessment, and management to ensure that fishing effort does not have a material impact on the food chain or trophic structure </w:t>
      </w:r>
      <w:proofErr w:type="gramStart"/>
      <w:r w:rsidRPr="006A6A6F">
        <w:t>in the area of</w:t>
      </w:r>
      <w:proofErr w:type="gramEnd"/>
      <w:r w:rsidRPr="006A6A6F">
        <w:t xml:space="preserve"> the fishery.</w:t>
      </w:r>
    </w:p>
    <w:p w14:paraId="0FB16630" w14:textId="77777777" w:rsidR="00F71DAD" w:rsidRPr="001E5602" w:rsidRDefault="00F71DAD" w:rsidP="001E5602">
      <w:pPr>
        <w:rPr>
          <w:color w:val="4000A6"/>
        </w:rPr>
      </w:pPr>
    </w:p>
    <w:p w14:paraId="23FE96AE" w14:textId="5784175A" w:rsidR="00362AE6" w:rsidRDefault="00F86EF0" w:rsidP="00F86EF0">
      <w:pPr>
        <w:pStyle w:val="Heading1"/>
        <w:rPr>
          <w:b w:val="0"/>
          <w:bCs/>
          <w:sz w:val="36"/>
          <w:szCs w:val="36"/>
        </w:rPr>
      </w:pPr>
      <w:bookmarkStart w:id="45" w:name="_Toc210975474"/>
      <w:r w:rsidRPr="00F86EF0">
        <w:rPr>
          <w:bCs/>
          <w:sz w:val="36"/>
          <w:szCs w:val="36"/>
        </w:rPr>
        <w:t>Research</w:t>
      </w:r>
      <w:bookmarkEnd w:id="45"/>
    </w:p>
    <w:p w14:paraId="0216441F" w14:textId="77777777" w:rsidR="0084325E" w:rsidRPr="006A6A6F" w:rsidRDefault="0084325E" w:rsidP="0084325E">
      <w:pPr>
        <w:pStyle w:val="Heading2"/>
      </w:pPr>
      <w:bookmarkStart w:id="46" w:name="_Toc177489752"/>
      <w:bookmarkStart w:id="47" w:name="_Toc210975475"/>
      <w:r w:rsidRPr="006A6A6F">
        <w:t>COMRAC – FRDC</w:t>
      </w:r>
      <w:bookmarkEnd w:id="46"/>
      <w:bookmarkEnd w:id="47"/>
    </w:p>
    <w:p w14:paraId="2B400E76" w14:textId="4658F989" w:rsidR="0084325E" w:rsidRPr="00A25D83" w:rsidRDefault="0084325E" w:rsidP="0084325E">
      <w:pPr>
        <w:rPr>
          <w:color w:val="000000"/>
        </w:rPr>
      </w:pPr>
      <w:r w:rsidRPr="00A25D83">
        <w:rPr>
          <w:color w:val="000000"/>
        </w:rPr>
        <w:t xml:space="preserve">Table </w:t>
      </w:r>
      <w:r w:rsidR="005A2EA2" w:rsidRPr="00A25D83">
        <w:rPr>
          <w:color w:val="000000"/>
        </w:rPr>
        <w:t>7</w:t>
      </w:r>
      <w:r w:rsidRPr="00A25D83">
        <w:rPr>
          <w:color w:val="000000"/>
        </w:rPr>
        <w:t xml:space="preserve"> represents current and recently completed relevant FRDC research projects since the last fishery assessment under the EPBC Act.</w:t>
      </w:r>
    </w:p>
    <w:p w14:paraId="53779D5C" w14:textId="5E69CBAB" w:rsidR="0084325E" w:rsidRPr="00A25D83" w:rsidRDefault="0084325E" w:rsidP="0084325E">
      <w:pPr>
        <w:pStyle w:val="Caption"/>
        <w:rPr>
          <w:rFonts w:asciiTheme="minorHAnsi" w:hAnsiTheme="minorHAnsi"/>
          <w:color w:val="000000"/>
        </w:rPr>
      </w:pPr>
      <w:r w:rsidRPr="00A25D83">
        <w:rPr>
          <w:rFonts w:asciiTheme="minorHAnsi" w:hAnsiTheme="minorHAnsi"/>
          <w:color w:val="000000"/>
        </w:rPr>
        <w:lastRenderedPageBreak/>
        <w:t xml:space="preserve">Table </w:t>
      </w:r>
      <w:r w:rsidR="005A2EA2" w:rsidRPr="00A25D83">
        <w:rPr>
          <w:rFonts w:asciiTheme="minorHAnsi" w:hAnsiTheme="minorHAnsi"/>
          <w:color w:val="000000"/>
        </w:rPr>
        <w:t>7</w:t>
      </w:r>
      <w:r w:rsidRPr="00A25D83">
        <w:rPr>
          <w:rFonts w:asciiTheme="minorHAnsi" w:hAnsiTheme="minorHAnsi"/>
          <w:color w:val="000000"/>
        </w:rPr>
        <w:t xml:space="preserve">. Commonwealth Research Advisory Committee current and completed research projects. </w:t>
      </w:r>
    </w:p>
    <w:tbl>
      <w:tblPr>
        <w:tblStyle w:val="PlainTable1"/>
        <w:tblW w:w="5000" w:type="pct"/>
        <w:tblLook w:val="04A0" w:firstRow="1" w:lastRow="0" w:firstColumn="1" w:lastColumn="0" w:noHBand="0" w:noVBand="1"/>
      </w:tblPr>
      <w:tblGrid>
        <w:gridCol w:w="2528"/>
        <w:gridCol w:w="1110"/>
        <w:gridCol w:w="3998"/>
        <w:gridCol w:w="1380"/>
      </w:tblGrid>
      <w:tr w:rsidR="0084325E" w:rsidRPr="006A6A6F" w14:paraId="2B5E608A" w14:textId="77777777" w:rsidTr="002A4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tcPr>
          <w:p w14:paraId="2EDCB0C2" w14:textId="77777777" w:rsidR="0084325E" w:rsidRPr="006A6A6F" w:rsidRDefault="0084325E" w:rsidP="002A4580">
            <w:pPr>
              <w:spacing w:before="240" w:after="120"/>
              <w:jc w:val="center"/>
              <w:rPr>
                <w:b w:val="0"/>
              </w:rPr>
            </w:pPr>
            <w:r w:rsidRPr="006A6A6F">
              <w:t>Research Project</w:t>
            </w:r>
          </w:p>
        </w:tc>
        <w:tc>
          <w:tcPr>
            <w:tcW w:w="559" w:type="pct"/>
          </w:tcPr>
          <w:p w14:paraId="6375D040" w14:textId="77777777" w:rsidR="0084325E" w:rsidRPr="006A6A6F" w:rsidRDefault="0084325E" w:rsidP="002A4580">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6A6A6F">
              <w:t>Status</w:t>
            </w:r>
          </w:p>
        </w:tc>
        <w:tc>
          <w:tcPr>
            <w:tcW w:w="2236" w:type="pct"/>
          </w:tcPr>
          <w:p w14:paraId="39C315EB" w14:textId="77777777" w:rsidR="0084325E" w:rsidRPr="006A6A6F" w:rsidRDefault="0084325E" w:rsidP="002A4580">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6A6A6F">
              <w:t>Purpose</w:t>
            </w:r>
          </w:p>
        </w:tc>
        <w:tc>
          <w:tcPr>
            <w:tcW w:w="784" w:type="pct"/>
          </w:tcPr>
          <w:p w14:paraId="0C2CBD14" w14:textId="77777777" w:rsidR="0084325E" w:rsidRPr="006A6A6F" w:rsidRDefault="0084325E" w:rsidP="002A4580">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6A6A6F">
              <w:t>Principle Investigator</w:t>
            </w:r>
          </w:p>
        </w:tc>
      </w:tr>
      <w:tr w:rsidR="000E0904" w:rsidRPr="006A6A6F" w14:paraId="17E89113" w14:textId="77777777" w:rsidTr="002A4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tcPr>
          <w:p w14:paraId="5EAA516B" w14:textId="22F5E9A4" w:rsidR="00834CCE" w:rsidRPr="00A25D83" w:rsidRDefault="00834CCE" w:rsidP="00834CCE">
            <w:pPr>
              <w:spacing w:before="240" w:after="120"/>
              <w:rPr>
                <w:i/>
                <w:sz w:val="20"/>
                <w:szCs w:val="20"/>
              </w:rPr>
            </w:pPr>
            <w:r w:rsidRPr="00A25D83">
              <w:rPr>
                <w:rFonts w:cstheme="minorHAnsi"/>
                <w:i/>
              </w:rPr>
              <w:t>Trials of oceanographic data collection on commercial fishing vessels in SE Australia</w:t>
            </w:r>
          </w:p>
        </w:tc>
        <w:tc>
          <w:tcPr>
            <w:tcW w:w="559" w:type="pct"/>
          </w:tcPr>
          <w:p w14:paraId="4702540E" w14:textId="624DF03D" w:rsidR="00834CCE" w:rsidRPr="006A6A6F" w:rsidRDefault="001B3E33" w:rsidP="00834CCE">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r w:rsidRPr="003719D0">
              <w:rPr>
                <w:sz w:val="20"/>
                <w:szCs w:val="20"/>
              </w:rPr>
              <w:t>Current</w:t>
            </w:r>
          </w:p>
        </w:tc>
        <w:tc>
          <w:tcPr>
            <w:tcW w:w="2236" w:type="pct"/>
          </w:tcPr>
          <w:p w14:paraId="6F9BFAA8" w14:textId="77777777" w:rsidR="00834CCE" w:rsidRDefault="00834CCE" w:rsidP="00834CCE">
            <w:p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w:t>
            </w:r>
            <w:r w:rsidRPr="00784E96">
              <w:rPr>
                <w:rFonts w:cstheme="minorHAnsi"/>
              </w:rPr>
              <w:t>his project intend</w:t>
            </w:r>
            <w:r>
              <w:rPr>
                <w:rFonts w:cstheme="minorHAnsi"/>
              </w:rPr>
              <w:t>s</w:t>
            </w:r>
            <w:r w:rsidRPr="00784E96">
              <w:rPr>
                <w:rFonts w:cstheme="minorHAnsi"/>
              </w:rPr>
              <w:t xml:space="preserve"> to instrument</w:t>
            </w:r>
            <w:r>
              <w:rPr>
                <w:rFonts w:cstheme="minorHAnsi"/>
              </w:rPr>
              <w:t xml:space="preserve"> the</w:t>
            </w:r>
            <w:r w:rsidRPr="00784E96">
              <w:rPr>
                <w:rFonts w:cstheme="minorHAnsi"/>
              </w:rPr>
              <w:t xml:space="preserve"> seafood sector</w:t>
            </w:r>
            <w:r>
              <w:rPr>
                <w:rFonts w:cstheme="minorHAnsi"/>
              </w:rPr>
              <w:t>’s</w:t>
            </w:r>
            <w:r w:rsidRPr="00784E96">
              <w:rPr>
                <w:rFonts w:cstheme="minorHAnsi"/>
              </w:rPr>
              <w:t xml:space="preserve"> assets (</w:t>
            </w:r>
            <w:proofErr w:type="spellStart"/>
            <w:r w:rsidRPr="00784E96">
              <w:rPr>
                <w:rFonts w:cstheme="minorHAnsi"/>
              </w:rPr>
              <w:t>e.g</w:t>
            </w:r>
            <w:proofErr w:type="spellEnd"/>
            <w:r w:rsidRPr="00784E96">
              <w:rPr>
                <w:rFonts w:cstheme="minorHAnsi"/>
              </w:rPr>
              <w:t xml:space="preserve"> Trawl Nets, longlines, pots) with fit-for- purpose quality-controlled (</w:t>
            </w:r>
            <w:proofErr w:type="spellStart"/>
            <w:r w:rsidRPr="00784E96">
              <w:rPr>
                <w:rFonts w:cstheme="minorHAnsi"/>
              </w:rPr>
              <w:t>QC'd</w:t>
            </w:r>
            <w:proofErr w:type="spellEnd"/>
            <w:r w:rsidRPr="00784E96">
              <w:rPr>
                <w:rFonts w:cstheme="minorHAnsi"/>
              </w:rPr>
              <w:t xml:space="preserve">) temperature/pressure sensors to increase the sub-surface temperature data coverage around Australia’s shelf and upper slope regions (0-800m) at low cost. Not only will this assist in the collection of data at relevant spatial and temporal scales for use by fishers, but it will also provide a far more extensive level of </w:t>
            </w:r>
            <w:proofErr w:type="spellStart"/>
            <w:r w:rsidRPr="00784E96">
              <w:rPr>
                <w:rFonts w:cstheme="minorHAnsi"/>
              </w:rPr>
              <w:t>QC’d</w:t>
            </w:r>
            <w:proofErr w:type="spellEnd"/>
            <w:r w:rsidRPr="00784E96">
              <w:rPr>
                <w:rFonts w:cstheme="minorHAnsi"/>
              </w:rPr>
              <w:t xml:space="preserve"> data to oceanographers in near real time (NRT) for evaluation and ingestion into data-assimilating coastal models that will provide improved analysis and forecasts of oceanic conditions. In turn, this will also be of value to the fishing sector when used to standardise stock assessments.</w:t>
            </w:r>
          </w:p>
          <w:p w14:paraId="01CB25EB" w14:textId="4DEBEB27" w:rsidR="00834CCE" w:rsidRPr="006A6A6F" w:rsidRDefault="00834CCE" w:rsidP="00834CCE">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r>
              <w:rPr>
                <w:rFonts w:cstheme="minorHAnsi"/>
              </w:rPr>
              <w:t xml:space="preserve">Project Timeframe: </w:t>
            </w:r>
            <w:r w:rsidRPr="009D08E6">
              <w:rPr>
                <w:rFonts w:cstheme="minorHAnsi"/>
              </w:rPr>
              <w:t>31 Jul 2022</w:t>
            </w:r>
            <w:r>
              <w:rPr>
                <w:rFonts w:cstheme="minorHAnsi"/>
              </w:rPr>
              <w:t xml:space="preserve"> – </w:t>
            </w:r>
            <w:r w:rsidRPr="009D08E6">
              <w:rPr>
                <w:rFonts w:cstheme="minorHAnsi"/>
              </w:rPr>
              <w:t>30 May 2025</w:t>
            </w:r>
          </w:p>
        </w:tc>
        <w:tc>
          <w:tcPr>
            <w:tcW w:w="784" w:type="pct"/>
          </w:tcPr>
          <w:p w14:paraId="697A67AF" w14:textId="1BB7433A" w:rsidR="00834CCE" w:rsidRPr="006A6A6F" w:rsidRDefault="00B13819" w:rsidP="00834CCE">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Fishwell</w:t>
            </w:r>
            <w:proofErr w:type="spellEnd"/>
            <w:r>
              <w:rPr>
                <w:sz w:val="20"/>
                <w:szCs w:val="20"/>
              </w:rPr>
              <w:t xml:space="preserve"> </w:t>
            </w:r>
            <w:proofErr w:type="spellStart"/>
            <w:r>
              <w:rPr>
                <w:sz w:val="20"/>
                <w:szCs w:val="20"/>
              </w:rPr>
              <w:t>consultant</w:t>
            </w:r>
            <w:r w:rsidR="00063E62">
              <w:rPr>
                <w:sz w:val="20"/>
                <w:szCs w:val="20"/>
              </w:rPr>
              <w:t>ing</w:t>
            </w:r>
            <w:proofErr w:type="spellEnd"/>
          </w:p>
        </w:tc>
      </w:tr>
      <w:tr w:rsidR="00940C8B" w:rsidRPr="006A6A6F" w14:paraId="13A3B521" w14:textId="77777777" w:rsidTr="002A4580">
        <w:tc>
          <w:tcPr>
            <w:cnfStyle w:val="001000000000" w:firstRow="0" w:lastRow="0" w:firstColumn="1" w:lastColumn="0" w:oddVBand="0" w:evenVBand="0" w:oddHBand="0" w:evenHBand="0" w:firstRowFirstColumn="0" w:firstRowLastColumn="0" w:lastRowFirstColumn="0" w:lastRowLastColumn="0"/>
            <w:tcW w:w="1421" w:type="pct"/>
          </w:tcPr>
          <w:p w14:paraId="7D87348E" w14:textId="31504332" w:rsidR="00940C8B" w:rsidRPr="00834CCE" w:rsidRDefault="00F6026D" w:rsidP="00834CCE">
            <w:pPr>
              <w:spacing w:before="240" w:after="120"/>
              <w:rPr>
                <w:rFonts w:cstheme="minorHAnsi"/>
              </w:rPr>
            </w:pPr>
            <w:r w:rsidRPr="00F6026D">
              <w:rPr>
                <w:rFonts w:cstheme="minorHAnsi"/>
                <w:i/>
              </w:rPr>
              <w:t>Developing a cost-effective stock assessment program for Southern Calamari fisheries</w:t>
            </w:r>
            <w:r w:rsidRPr="00F6026D">
              <w:rPr>
                <w:rFonts w:cstheme="minorHAnsi"/>
              </w:rPr>
              <w:t xml:space="preserve"> </w:t>
            </w:r>
          </w:p>
        </w:tc>
        <w:tc>
          <w:tcPr>
            <w:tcW w:w="559" w:type="pct"/>
          </w:tcPr>
          <w:p w14:paraId="46F82B43" w14:textId="3BB4135F" w:rsidR="00940C8B" w:rsidRPr="003719D0" w:rsidRDefault="00F6026D" w:rsidP="00834CCE">
            <w:pPr>
              <w:spacing w:before="24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Current</w:t>
            </w:r>
          </w:p>
        </w:tc>
        <w:tc>
          <w:tcPr>
            <w:tcW w:w="2236" w:type="pct"/>
          </w:tcPr>
          <w:p w14:paraId="16E782BB" w14:textId="18954D37" w:rsidR="00E470A5" w:rsidRDefault="008562EA" w:rsidP="00834CCE">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primary outcome of this project</w:t>
            </w:r>
            <w:r w:rsidR="00E470A5" w:rsidRPr="00E470A5">
              <w:rPr>
                <w:rFonts w:cstheme="minorHAnsi"/>
              </w:rPr>
              <w:t xml:space="preserve"> </w:t>
            </w:r>
            <w:r>
              <w:rPr>
                <w:rFonts w:cstheme="minorHAnsi"/>
              </w:rPr>
              <w:t xml:space="preserve">will be to </w:t>
            </w:r>
            <w:r w:rsidR="00E470A5" w:rsidRPr="00E470A5">
              <w:rPr>
                <w:rFonts w:cstheme="minorHAnsi"/>
              </w:rPr>
              <w:t>develop an assessment program for Southern Calamari in SA that can be used to assign stock status and provide TACC setting advice to fisheries management.</w:t>
            </w:r>
          </w:p>
          <w:p w14:paraId="139E8F52" w14:textId="16F0F9E6" w:rsidR="00DE5D25" w:rsidRDefault="00215B75" w:rsidP="00834CCE">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sidRPr="00215B75">
              <w:rPr>
                <w:rFonts w:cstheme="minorHAnsi"/>
              </w:rPr>
              <w:t xml:space="preserve">Overcoming key knowledge gaps and incorporating information on environmental drivers will be a key focus of this project, </w:t>
            </w:r>
            <w:proofErr w:type="gramStart"/>
            <w:r w:rsidRPr="00215B75">
              <w:rPr>
                <w:rFonts w:cstheme="minorHAnsi"/>
              </w:rPr>
              <w:t>in order to</w:t>
            </w:r>
            <w:proofErr w:type="gramEnd"/>
            <w:r w:rsidRPr="00215B75">
              <w:rPr>
                <w:rFonts w:cstheme="minorHAnsi"/>
              </w:rPr>
              <w:t xml:space="preserve"> develop an assessment that accounts for the full complexity of cephalopod population dynamics</w:t>
            </w:r>
            <w:r>
              <w:rPr>
                <w:rFonts w:cstheme="minorHAnsi"/>
              </w:rPr>
              <w:t>.</w:t>
            </w:r>
          </w:p>
          <w:p w14:paraId="14C29C0F" w14:textId="77777777" w:rsidR="00940C8B" w:rsidRDefault="00F6026D" w:rsidP="00834CCE">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sidRPr="00F6026D">
              <w:rPr>
                <w:rFonts w:cstheme="minorHAnsi"/>
              </w:rPr>
              <w:t>(</w:t>
            </w:r>
            <w:hyperlink r:id="rId57" w:anchor=":~:text=The%20proposed%20project%20will%20address,use%20in%20other%20fishery%20jurisdictions." w:history="1">
              <w:r w:rsidRPr="00F6026D">
                <w:rPr>
                  <w:rStyle w:val="Hyperlink"/>
                  <w:rFonts w:cstheme="minorHAnsi"/>
                </w:rPr>
                <w:t>FRDC Project 2021-118</w:t>
              </w:r>
            </w:hyperlink>
            <w:r w:rsidRPr="00F6026D">
              <w:rPr>
                <w:rFonts w:cstheme="minorHAnsi"/>
              </w:rPr>
              <w:t>)</w:t>
            </w:r>
          </w:p>
          <w:p w14:paraId="39A096F6" w14:textId="77D17F3D" w:rsidR="00CC7C8C" w:rsidRDefault="006A5F6F" w:rsidP="00834CCE">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Project Timeframe</w:t>
            </w:r>
            <w:r w:rsidR="00421B46">
              <w:rPr>
                <w:rFonts w:cstheme="minorHAnsi"/>
              </w:rPr>
              <w:t>: 24 March 2024 – 27 Feb 2027</w:t>
            </w:r>
          </w:p>
        </w:tc>
        <w:tc>
          <w:tcPr>
            <w:tcW w:w="784" w:type="pct"/>
          </w:tcPr>
          <w:p w14:paraId="4263D4AF" w14:textId="77777777" w:rsidR="00940C8B" w:rsidRDefault="006A5F6F" w:rsidP="00834CCE">
            <w:pPr>
              <w:spacing w:before="24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University of Adelaide</w:t>
            </w:r>
          </w:p>
          <w:p w14:paraId="60CC2B3D" w14:textId="21E5DFB0" w:rsidR="006A5F6F" w:rsidRDefault="006A5F6F" w:rsidP="00834CCE">
            <w:pPr>
              <w:spacing w:before="24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Craig J. Noell</w:t>
            </w:r>
          </w:p>
        </w:tc>
      </w:tr>
      <w:tr w:rsidR="004E1E25" w:rsidRPr="006A6A6F" w14:paraId="4164DB96" w14:textId="77777777" w:rsidTr="002A4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tcPr>
          <w:p w14:paraId="41E86FBA" w14:textId="4E97D0B6" w:rsidR="004E1E25" w:rsidRPr="00F6026D" w:rsidRDefault="00421BD8" w:rsidP="00421BD8">
            <w:pPr>
              <w:spacing w:before="240" w:after="120"/>
              <w:rPr>
                <w:rFonts w:cstheme="minorHAnsi"/>
                <w:i/>
                <w:iCs/>
              </w:rPr>
            </w:pPr>
            <w:r w:rsidRPr="00421BD8">
              <w:rPr>
                <w:rFonts w:cstheme="minorHAnsi"/>
                <w:i/>
                <w:iCs/>
              </w:rPr>
              <w:t>Analyses to support the review of the Southern Squid Jig Fishery (SSJF) harvest strategy</w:t>
            </w:r>
          </w:p>
        </w:tc>
        <w:tc>
          <w:tcPr>
            <w:tcW w:w="559" w:type="pct"/>
          </w:tcPr>
          <w:p w14:paraId="33663BBE" w14:textId="77777777" w:rsidR="004E1E25" w:rsidRDefault="00421BD8" w:rsidP="00834CCE">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w:t>
            </w:r>
          </w:p>
          <w:p w14:paraId="0D131016" w14:textId="4AE7417A" w:rsidR="000C0CE3" w:rsidRDefault="000C0CE3" w:rsidP="00834CCE">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May 2024</w:t>
            </w:r>
          </w:p>
        </w:tc>
        <w:tc>
          <w:tcPr>
            <w:tcW w:w="2236" w:type="pct"/>
          </w:tcPr>
          <w:p w14:paraId="674C83CD" w14:textId="77777777" w:rsidR="004E1E25" w:rsidRDefault="00563325" w:rsidP="00563325">
            <w:p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 primary outcome </w:t>
            </w:r>
            <w:r w:rsidR="00933344">
              <w:rPr>
                <w:rFonts w:cstheme="minorHAnsi"/>
              </w:rPr>
              <w:t xml:space="preserve">of this project was to </w:t>
            </w:r>
            <w:r w:rsidRPr="00563325">
              <w:rPr>
                <w:rFonts w:cstheme="minorHAnsi"/>
              </w:rPr>
              <w:t xml:space="preserve">investigate modelling approaches and identify the data needed to construct reliable CPUE series for the SSJF and CTS </w:t>
            </w:r>
            <w:r w:rsidRPr="00563325">
              <w:rPr>
                <w:rFonts w:cstheme="minorHAnsi"/>
              </w:rPr>
              <w:lastRenderedPageBreak/>
              <w:t>and, investigate if there is sufficient data to conduct a depletion analysis.</w:t>
            </w:r>
          </w:p>
          <w:p w14:paraId="2F5CC37B" w14:textId="2300A69C" w:rsidR="00913FBB" w:rsidRDefault="00913FBB" w:rsidP="00563325">
            <w:p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rep</w:t>
            </w:r>
            <w:r w:rsidR="002E4F91">
              <w:rPr>
                <w:rFonts w:cstheme="minorHAnsi"/>
              </w:rPr>
              <w:t xml:space="preserve">ort </w:t>
            </w:r>
            <w:r w:rsidR="00477A0E">
              <w:rPr>
                <w:rFonts w:cstheme="minorHAnsi"/>
              </w:rPr>
              <w:t xml:space="preserve">is available </w:t>
            </w:r>
            <w:hyperlink r:id="rId58" w:history="1">
              <w:r w:rsidR="00477A0E" w:rsidRPr="00477A0E">
                <w:rPr>
                  <w:rStyle w:val="Hyperlink"/>
                  <w:rFonts w:cstheme="minorHAnsi"/>
                </w:rPr>
                <w:t>here</w:t>
              </w:r>
            </w:hyperlink>
          </w:p>
        </w:tc>
        <w:tc>
          <w:tcPr>
            <w:tcW w:w="784" w:type="pct"/>
          </w:tcPr>
          <w:p w14:paraId="790C91B1" w14:textId="77777777" w:rsidR="00CD5FCB" w:rsidRPr="00CD5FCB" w:rsidRDefault="00CD5FCB" w:rsidP="00CD5FCB">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r w:rsidRPr="00CD5FCB">
              <w:rPr>
                <w:sz w:val="20"/>
                <w:szCs w:val="20"/>
              </w:rPr>
              <w:lastRenderedPageBreak/>
              <w:t xml:space="preserve">Rocio Noriega, Mahdi Parsa, James Woodhams </w:t>
            </w:r>
            <w:r w:rsidRPr="00CD5FCB">
              <w:rPr>
                <w:sz w:val="20"/>
                <w:szCs w:val="20"/>
              </w:rPr>
              <w:lastRenderedPageBreak/>
              <w:t>and Rupert Summerson</w:t>
            </w:r>
          </w:p>
          <w:p w14:paraId="14C414F6" w14:textId="723E2257" w:rsidR="004E1E25" w:rsidRDefault="00CD5FCB" w:rsidP="00CD5FCB">
            <w:pPr>
              <w:spacing w:before="240" w:after="120"/>
              <w:cnfStyle w:val="000000100000" w:firstRow="0" w:lastRow="0" w:firstColumn="0" w:lastColumn="0" w:oddVBand="0" w:evenVBand="0" w:oddHBand="1" w:evenHBand="0" w:firstRowFirstColumn="0" w:firstRowLastColumn="0" w:lastRowFirstColumn="0" w:lastRowLastColumn="0"/>
              <w:rPr>
                <w:sz w:val="20"/>
                <w:szCs w:val="20"/>
              </w:rPr>
            </w:pPr>
            <w:r w:rsidRPr="00CD5FCB">
              <w:rPr>
                <w:sz w:val="20"/>
                <w:szCs w:val="20"/>
              </w:rPr>
              <w:t>Research by the Australian Bureau of Agricultural and Resource Economics and Sciences</w:t>
            </w:r>
          </w:p>
        </w:tc>
      </w:tr>
    </w:tbl>
    <w:p w14:paraId="4BC93C2C" w14:textId="77777777" w:rsidR="0084325E" w:rsidRPr="00D16765" w:rsidRDefault="0084325E" w:rsidP="00D16765">
      <w:pPr>
        <w:rPr>
          <w:color w:val="4000A6"/>
        </w:rPr>
      </w:pPr>
    </w:p>
    <w:p w14:paraId="5FFDFA07" w14:textId="61B18CF1" w:rsidR="00952E61" w:rsidRDefault="00952E61" w:rsidP="00647FF6">
      <w:pPr>
        <w:pStyle w:val="Heading1"/>
        <w:rPr>
          <w:b w:val="0"/>
          <w:bCs/>
          <w:sz w:val="36"/>
          <w:szCs w:val="36"/>
        </w:rPr>
      </w:pPr>
      <w:bookmarkStart w:id="48" w:name="_Toc210975476"/>
      <w:r w:rsidRPr="00A664AF">
        <w:rPr>
          <w:bCs/>
          <w:sz w:val="36"/>
          <w:szCs w:val="36"/>
        </w:rPr>
        <w:t>P</w:t>
      </w:r>
      <w:r w:rsidR="00DE18DD" w:rsidRPr="00A664AF">
        <w:rPr>
          <w:bCs/>
          <w:sz w:val="36"/>
          <w:szCs w:val="36"/>
        </w:rPr>
        <w:t xml:space="preserve">rogress against </w:t>
      </w:r>
      <w:r w:rsidR="000F0946">
        <w:rPr>
          <w:bCs/>
          <w:sz w:val="36"/>
          <w:szCs w:val="36"/>
        </w:rPr>
        <w:t>current</w:t>
      </w:r>
      <w:r w:rsidR="00DE18DD" w:rsidRPr="00A664AF">
        <w:rPr>
          <w:bCs/>
          <w:sz w:val="36"/>
          <w:szCs w:val="36"/>
        </w:rPr>
        <w:t xml:space="preserve"> Conditions</w:t>
      </w:r>
      <w:bookmarkEnd w:id="48"/>
    </w:p>
    <w:p w14:paraId="00A670DF" w14:textId="6323E01F" w:rsidR="00F456A9" w:rsidRPr="00F456A9" w:rsidRDefault="00F456A9" w:rsidP="00F456A9">
      <w:pPr>
        <w:pStyle w:val="Instructiontext"/>
        <w:rPr>
          <w:rStyle w:val="Heading1Char"/>
          <w:rFonts w:ascii="Calibri" w:eastAsia="Calibri" w:hAnsi="Calibri" w:cs="Arial"/>
          <w:b w:val="0"/>
          <w:iCs/>
          <w:color w:val="auto"/>
          <w:sz w:val="22"/>
          <w:szCs w:val="22"/>
        </w:rPr>
      </w:pPr>
      <w:r>
        <w:rPr>
          <w:color w:val="auto"/>
        </w:rPr>
        <w:t>T</w:t>
      </w:r>
      <w:r w:rsidRPr="0058516D">
        <w:rPr>
          <w:color w:val="auto"/>
        </w:rPr>
        <w:t>here are no conditions or recommendations for this fishery</w:t>
      </w:r>
      <w:r>
        <w:rPr>
          <w:color w:val="auto"/>
        </w:rPr>
        <w:t xml:space="preserve">. </w:t>
      </w:r>
      <w:r w:rsidRPr="003B7619">
        <w:rPr>
          <w:color w:val="auto"/>
        </w:rPr>
        <w:t xml:space="preserve">The fishery </w:t>
      </w:r>
      <w:r>
        <w:rPr>
          <w:color w:val="auto"/>
        </w:rPr>
        <w:t>continues to be</w:t>
      </w:r>
      <w:r w:rsidRPr="003B7619">
        <w:rPr>
          <w:color w:val="auto"/>
        </w:rPr>
        <w:t xml:space="preserve"> well managed and </w:t>
      </w:r>
      <w:r>
        <w:rPr>
          <w:color w:val="auto"/>
        </w:rPr>
        <w:t xml:space="preserve">is </w:t>
      </w:r>
      <w:r w:rsidRPr="003B7619">
        <w:rPr>
          <w:color w:val="auto"/>
        </w:rPr>
        <w:t xml:space="preserve">considered to have a low </w:t>
      </w:r>
      <w:r w:rsidRPr="003B7619">
        <w:rPr>
          <w:iCs/>
          <w:color w:val="auto"/>
        </w:rPr>
        <w:t>ecological impact. Ecological risks are regularly reviewed</w:t>
      </w:r>
      <w:r>
        <w:rPr>
          <w:iCs/>
          <w:color w:val="auto"/>
        </w:rPr>
        <w:t xml:space="preserve"> and reassessed when required</w:t>
      </w:r>
      <w:r w:rsidR="00CD384B">
        <w:rPr>
          <w:iCs/>
          <w:color w:val="auto"/>
        </w:rPr>
        <w:t>.</w:t>
      </w:r>
    </w:p>
    <w:p w14:paraId="692D1670" w14:textId="21A2E135" w:rsidR="00DA4ADF" w:rsidRPr="006143BD" w:rsidRDefault="00DA4ADF" w:rsidP="006143BD">
      <w:pPr>
        <w:pStyle w:val="Heading1"/>
      </w:pPr>
      <w:bookmarkStart w:id="49" w:name="_Toc210975477"/>
      <w:r w:rsidRPr="006143BD">
        <w:rPr>
          <w:rStyle w:val="Heading1Char"/>
          <w:b/>
        </w:rPr>
        <w:t>References</w:t>
      </w:r>
      <w:bookmarkEnd w:id="49"/>
    </w:p>
    <w:p w14:paraId="195757E1" w14:textId="18BC2817" w:rsidR="00026C2D" w:rsidRDefault="00026C2D" w:rsidP="00026C2D">
      <w:pPr>
        <w:spacing w:after="120"/>
        <w:jc w:val="both"/>
        <w:rPr>
          <w:color w:val="FF0000"/>
        </w:rPr>
      </w:pPr>
      <w:r w:rsidRPr="005557A7">
        <w:t>AFMA</w:t>
      </w:r>
      <w:r w:rsidRPr="002A6B0F">
        <w:t xml:space="preserve"> </w:t>
      </w:r>
      <w:r>
        <w:t>(</w:t>
      </w:r>
      <w:r w:rsidRPr="002A6B0F">
        <w:t>20</w:t>
      </w:r>
      <w:r w:rsidR="0031380D">
        <w:t>22</w:t>
      </w:r>
      <w:r>
        <w:t>)</w:t>
      </w:r>
      <w:r w:rsidRPr="002A6B0F">
        <w:t xml:space="preserve"> </w:t>
      </w:r>
      <w:r w:rsidR="0031380D">
        <w:t>Southern Squid Jig Fishery</w:t>
      </w:r>
      <w:r w:rsidRPr="005557A7">
        <w:t xml:space="preserve"> Harvest </w:t>
      </w:r>
      <w:r w:rsidRPr="006903FF">
        <w:t>Strategy 20</w:t>
      </w:r>
      <w:r w:rsidR="0031380D">
        <w:t>22</w:t>
      </w:r>
      <w:r w:rsidRPr="006903FF">
        <w:t>.</w:t>
      </w:r>
      <w:r w:rsidRPr="00FA7E47">
        <w:rPr>
          <w:color w:val="FF0000"/>
        </w:rPr>
        <w:t xml:space="preserve"> </w:t>
      </w:r>
    </w:p>
    <w:p w14:paraId="46D30ED5" w14:textId="77777777" w:rsidR="00026C2D" w:rsidRDefault="00026C2D" w:rsidP="00026C2D">
      <w:pPr>
        <w:spacing w:after="120"/>
        <w:jc w:val="both"/>
      </w:pPr>
      <w:r>
        <w:t xml:space="preserve">AFMA (2009) Ecological Risk Management report for the Southern Squid Jig Fishery. </w:t>
      </w:r>
    </w:p>
    <w:p w14:paraId="29ECCEC8" w14:textId="1232FDF5" w:rsidR="00026C2D" w:rsidRDefault="00026C2D" w:rsidP="00026C2D">
      <w:pPr>
        <w:spacing w:after="120"/>
        <w:jc w:val="both"/>
      </w:pPr>
      <w:r w:rsidRPr="005557A7">
        <w:t xml:space="preserve">AFMA </w:t>
      </w:r>
      <w:r>
        <w:t>(</w:t>
      </w:r>
      <w:r w:rsidRPr="005557A7">
        <w:t>20</w:t>
      </w:r>
      <w:r w:rsidR="0031380D">
        <w:t>25</w:t>
      </w:r>
      <w:r>
        <w:t>)</w:t>
      </w:r>
      <w:r w:rsidRPr="005557A7">
        <w:t xml:space="preserve"> Southern Squid Jig Fishery Management Arrangements Booklet – Season 20</w:t>
      </w:r>
      <w:r w:rsidR="0031380D">
        <w:t>25</w:t>
      </w:r>
      <w:r w:rsidRPr="005557A7">
        <w:t>. December 20</w:t>
      </w:r>
      <w:r w:rsidR="0031380D">
        <w:t>24</w:t>
      </w:r>
      <w:r w:rsidRPr="005557A7">
        <w:t>.</w:t>
      </w:r>
    </w:p>
    <w:bookmarkStart w:id="50" w:name="_Hlk207792512"/>
    <w:p w14:paraId="7CC59A7B" w14:textId="77777777" w:rsidR="00026C2D" w:rsidRDefault="00026C2D" w:rsidP="00026C2D">
      <w:pPr>
        <w:spacing w:after="120"/>
        <w:jc w:val="both"/>
      </w:pPr>
      <w:r w:rsidRPr="00921F60">
        <w:fldChar w:fldCharType="begin"/>
      </w:r>
      <w:r w:rsidRPr="00921F60">
        <w:instrText xml:space="preserve"> HYPERLINK "http://www.deakin.edu.au/dro/list/author_id/21/" \o "Browse by Author ID for Arnould John P. Y." </w:instrText>
      </w:r>
      <w:r w:rsidRPr="00921F60">
        <w:fldChar w:fldCharType="separate"/>
      </w:r>
      <w:r>
        <w:t>Arnould</w:t>
      </w:r>
      <w:r w:rsidRPr="00921F60">
        <w:t xml:space="preserve"> J</w:t>
      </w:r>
      <w:r w:rsidRPr="00921F60">
        <w:fldChar w:fldCharType="end"/>
      </w:r>
      <w:r w:rsidRPr="00921F60">
        <w:t xml:space="preserve">, </w:t>
      </w:r>
      <w:hyperlink r:id="rId59" w:tooltip="Browse by Author Name for Trinder, D.M." w:history="1">
        <w:r>
          <w:t>Trinder D</w:t>
        </w:r>
        <w:r w:rsidRPr="00921F60">
          <w:t>M</w:t>
        </w:r>
        <w:r>
          <w:t>,</w:t>
        </w:r>
      </w:hyperlink>
      <w:r w:rsidRPr="00921F60">
        <w:t xml:space="preserve"> </w:t>
      </w:r>
      <w:hyperlink r:id="rId60" w:tooltip="Browse by Author Name for McKinley, C.P." w:history="1">
        <w:r>
          <w:t>McKinley C</w:t>
        </w:r>
        <w:r w:rsidRPr="00921F60">
          <w:t>P</w:t>
        </w:r>
      </w:hyperlink>
      <w:r w:rsidRPr="00921F60">
        <w:t xml:space="preserve"> </w:t>
      </w:r>
      <w:r>
        <w:t>(</w:t>
      </w:r>
      <w:hyperlink r:id="rId61" w:tooltip="Browse by Year 2003" w:history="1">
        <w:r w:rsidRPr="00921F60">
          <w:t>2003</w:t>
        </w:r>
      </w:hyperlink>
      <w:r>
        <w:t>)</w:t>
      </w:r>
      <w:r w:rsidRPr="00921F60">
        <w:t xml:space="preserve"> </w:t>
      </w:r>
      <w:hyperlink r:id="rId62" w:tooltip="Click to view Journal Article: Interactions between fur seals and a squid jig fishery in southern Australia" w:history="1">
        <w:r w:rsidRPr="00921F60">
          <w:t>Interactions between fur seals and a squid jig fishery in southern Australia</w:t>
        </w:r>
      </w:hyperlink>
      <w:r w:rsidRPr="00921F60">
        <w:rPr>
          <w:iCs/>
        </w:rPr>
        <w:t>.</w:t>
      </w:r>
      <w:r w:rsidRPr="00921F60">
        <w:rPr>
          <w:i/>
          <w:iCs/>
        </w:rPr>
        <w:t xml:space="preserve"> Marine and Freshwater Research</w:t>
      </w:r>
      <w:r w:rsidRPr="00921F60">
        <w:t>, 54</w:t>
      </w:r>
      <w:r>
        <w:t>:</w:t>
      </w:r>
      <w:r w:rsidRPr="00921F60">
        <w:t>8, 979-984.</w:t>
      </w:r>
    </w:p>
    <w:bookmarkEnd w:id="50"/>
    <w:p w14:paraId="43C459FE" w14:textId="77777777" w:rsidR="00026C2D" w:rsidRDefault="00026C2D" w:rsidP="00026C2D">
      <w:pPr>
        <w:spacing w:after="120"/>
        <w:jc w:val="both"/>
      </w:pPr>
      <w:r>
        <w:t xml:space="preserve">Furlani D, Ling S, Hobday A, </w:t>
      </w:r>
      <w:proofErr w:type="spellStart"/>
      <w:r>
        <w:t>Dowdney</w:t>
      </w:r>
      <w:proofErr w:type="spellEnd"/>
      <w:r>
        <w:t xml:space="preserve"> J, Bulman C, Sporcic M, Fuller M (2007) Ecological Risk Assessment for the effects of fishing: Southern Squid Jig Sub-fishery. Report for AFMA, Canberra.</w:t>
      </w:r>
    </w:p>
    <w:p w14:paraId="5EBD421C" w14:textId="77777777" w:rsidR="00026C2D" w:rsidRPr="00450BBD" w:rsidRDefault="00026C2D" w:rsidP="00026C2D">
      <w:pPr>
        <w:spacing w:after="120"/>
        <w:jc w:val="both"/>
      </w:pPr>
      <w:r>
        <w:t xml:space="preserve">Green CP (2011) Influence of environmental factors on population structure of arrow squid </w:t>
      </w:r>
      <w:proofErr w:type="spellStart"/>
      <w:r>
        <w:rPr>
          <w:i/>
        </w:rPr>
        <w:t>Nototodarus</w:t>
      </w:r>
      <w:proofErr w:type="spellEnd"/>
      <w:r>
        <w:rPr>
          <w:i/>
        </w:rPr>
        <w:t xml:space="preserve"> gouldi</w:t>
      </w:r>
      <w:r>
        <w:t>: implications for stock assessment. Thesis. University of Tasmania, Hobart.</w:t>
      </w:r>
    </w:p>
    <w:p w14:paraId="1D9E0809" w14:textId="77777777" w:rsidR="00026C2D" w:rsidRDefault="00026C2D" w:rsidP="00026C2D">
      <w:pPr>
        <w:spacing w:after="120"/>
        <w:jc w:val="both"/>
      </w:pPr>
      <w:r>
        <w:t>McKinna D, Wall C, Brown R, Lonie K, Jaensch M (2011) Improving the efficiency of southern squid jig fisheries. FRDC Final Report #2009/221, pp. 97.</w:t>
      </w:r>
    </w:p>
    <w:p w14:paraId="52A70F45" w14:textId="174D1356" w:rsidR="00026C2D" w:rsidRPr="006903FF" w:rsidRDefault="00C97109" w:rsidP="00026C2D">
      <w:pPr>
        <w:spacing w:after="120"/>
        <w:jc w:val="both"/>
      </w:pPr>
      <w:r w:rsidRPr="009C0724">
        <w:t xml:space="preserve">Keller </w:t>
      </w:r>
      <w:r w:rsidR="00A64288" w:rsidRPr="009C0724">
        <w:t>K</w:t>
      </w:r>
      <w:r w:rsidR="00026C2D" w:rsidRPr="009C0724">
        <w:t xml:space="preserve">, </w:t>
      </w:r>
      <w:r w:rsidR="00047052" w:rsidRPr="009C0724">
        <w:t>Noriega</w:t>
      </w:r>
      <w:r w:rsidR="00063A93" w:rsidRPr="009C0724">
        <w:t xml:space="preserve"> R</w:t>
      </w:r>
      <w:r w:rsidR="008A43B4">
        <w:t xml:space="preserve"> </w:t>
      </w:r>
      <w:r w:rsidRPr="009C0724">
        <w:t>an</w:t>
      </w:r>
      <w:r w:rsidR="00063A93" w:rsidRPr="009C0724">
        <w:t xml:space="preserve">d </w:t>
      </w:r>
      <w:proofErr w:type="spellStart"/>
      <w:r w:rsidR="00063A93" w:rsidRPr="009C0724">
        <w:t>Curt</w:t>
      </w:r>
      <w:r w:rsidR="00161E5B" w:rsidRPr="009C0724">
        <w:t>otti</w:t>
      </w:r>
      <w:proofErr w:type="spellEnd"/>
      <w:r w:rsidR="00161E5B" w:rsidRPr="009C0724">
        <w:t xml:space="preserve"> R</w:t>
      </w:r>
      <w:r w:rsidR="00026C2D" w:rsidRPr="009C0724">
        <w:t xml:space="preserve"> (20</w:t>
      </w:r>
      <w:r w:rsidR="00161E5B" w:rsidRPr="009C0724">
        <w:t>24</w:t>
      </w:r>
      <w:r w:rsidR="00026C2D" w:rsidRPr="009C0724">
        <w:t>) Chapter 1</w:t>
      </w:r>
      <w:r w:rsidR="00051010" w:rsidRPr="009C0724">
        <w:t>2</w:t>
      </w:r>
      <w:r w:rsidR="00026C2D" w:rsidRPr="009C0724">
        <w:t xml:space="preserve">: Southern Squid Jig Fishery. ABARES Fishery Status Reports </w:t>
      </w:r>
      <w:r w:rsidR="00CA19CB" w:rsidRPr="008A43B4">
        <w:t>2024</w:t>
      </w:r>
      <w:r w:rsidR="00026C2D" w:rsidRPr="008A43B4">
        <w:t>. October 20</w:t>
      </w:r>
      <w:r w:rsidR="0000478A" w:rsidRPr="008A43B4">
        <w:t>2</w:t>
      </w:r>
      <w:r w:rsidR="00026C2D" w:rsidRPr="008A43B4">
        <w:t xml:space="preserve">4. </w:t>
      </w:r>
      <w:r w:rsidR="00C4237B" w:rsidRPr="008A43B4">
        <w:t>309</w:t>
      </w:r>
      <w:r w:rsidR="00026C2D" w:rsidRPr="008A43B4">
        <w:t>-</w:t>
      </w:r>
      <w:r w:rsidR="009C0724" w:rsidRPr="008A43B4">
        <w:t>315</w:t>
      </w:r>
      <w:r w:rsidR="00026C2D" w:rsidRPr="008A43B4">
        <w:t>p</w:t>
      </w:r>
      <w:r w:rsidR="00026C2D" w:rsidRPr="009C0724">
        <w:t>.</w:t>
      </w:r>
    </w:p>
    <w:p w14:paraId="6E01A746" w14:textId="77777777" w:rsidR="00026C2D" w:rsidRDefault="00026C2D" w:rsidP="00026C2D">
      <w:pPr>
        <w:spacing w:after="120"/>
        <w:jc w:val="both"/>
      </w:pPr>
      <w:r w:rsidRPr="008A43B4">
        <w:rPr>
          <w:i/>
        </w:rPr>
        <w:t>Southern Squid Jig Fishery Management Plan 2005</w:t>
      </w:r>
      <w:r w:rsidRPr="008A43B4">
        <w:t xml:space="preserve"> (2012) Federal Register of Legislative Instruments F2012C00161. Prepared 23 February 2012.</w:t>
      </w:r>
      <w:r w:rsidRPr="005557A7">
        <w:t xml:space="preserve"> </w:t>
      </w:r>
    </w:p>
    <w:p w14:paraId="507B2722" w14:textId="77777777" w:rsidR="00026C2D" w:rsidRDefault="00026C2D" w:rsidP="00026C2D">
      <w:pPr>
        <w:spacing w:after="120"/>
        <w:jc w:val="both"/>
      </w:pPr>
      <w:r>
        <w:t xml:space="preserve">Virtue P, Green C, </w:t>
      </w:r>
      <w:proofErr w:type="spellStart"/>
      <w:r>
        <w:t>Pethybridge</w:t>
      </w:r>
      <w:proofErr w:type="spellEnd"/>
      <w:r>
        <w:t xml:space="preserve"> H, </w:t>
      </w:r>
      <w:proofErr w:type="spellStart"/>
      <w:r>
        <w:t>Moltschaniwskyj</w:t>
      </w:r>
      <w:proofErr w:type="spellEnd"/>
      <w:r>
        <w:t xml:space="preserve"> N, Wotherspoon S, Jackson G (2011) Arrow squid: stock variability, fishing techniques, trophic linkages – facing the challenges. FRDC Final Report #2006/12, pp.207.</w:t>
      </w:r>
    </w:p>
    <w:p w14:paraId="7500E7D9" w14:textId="77777777" w:rsidR="009E654E" w:rsidRPr="006A6A6F" w:rsidRDefault="009E654E" w:rsidP="00026C2D">
      <w:pPr>
        <w:pStyle w:val="ListParagraph"/>
        <w:rPr>
          <w:color w:val="4000A6"/>
        </w:rPr>
      </w:pPr>
    </w:p>
    <w:p w14:paraId="58362340" w14:textId="77777777" w:rsidR="006143BD" w:rsidRDefault="006143BD" w:rsidP="00647FF6">
      <w:pPr>
        <w:rPr>
          <w:color w:val="4000A6"/>
        </w:rPr>
      </w:pPr>
    </w:p>
    <w:p w14:paraId="2C22AC26" w14:textId="77777777" w:rsidR="006143BD" w:rsidRDefault="006143BD" w:rsidP="00647FF6">
      <w:pPr>
        <w:rPr>
          <w:color w:val="4000A6"/>
        </w:rPr>
      </w:pPr>
      <w:r>
        <w:rPr>
          <w:color w:val="4000A6"/>
        </w:rPr>
        <w:br w:type="page"/>
      </w:r>
    </w:p>
    <w:p w14:paraId="57FBC021" w14:textId="0FFB2BA3" w:rsidR="0027650A" w:rsidRDefault="00B07F7B" w:rsidP="006571DA">
      <w:pPr>
        <w:pStyle w:val="Heading1"/>
      </w:pPr>
      <w:bookmarkStart w:id="51" w:name="_Toc210975478"/>
      <w:r w:rsidRPr="006143BD">
        <w:lastRenderedPageBreak/>
        <w:t>Append</w:t>
      </w:r>
      <w:r>
        <w:t>ed Data Tables</w:t>
      </w:r>
      <w:bookmarkEnd w:id="51"/>
    </w:p>
    <w:p w14:paraId="4C5799F0" w14:textId="77777777" w:rsidR="00B45BEB" w:rsidRDefault="00B45BEB" w:rsidP="00B45BEB">
      <w:pPr>
        <w:pStyle w:val="Heading2"/>
      </w:pPr>
      <w:bookmarkStart w:id="52" w:name="_Toc210975479"/>
      <w:r w:rsidRPr="00352F2D">
        <w:t>APPENDIX 1</w:t>
      </w:r>
      <w:r>
        <w:t xml:space="preserve"> – Retained catch data (target and byproduct species)</w:t>
      </w:r>
      <w:bookmarkEnd w:id="52"/>
    </w:p>
    <w:p w14:paraId="66A6A0A6" w14:textId="4AB8CA28" w:rsidR="007C48AE" w:rsidRPr="00A25D83" w:rsidRDefault="002954A5" w:rsidP="00E57B7A">
      <w:pPr>
        <w:rPr>
          <w:b/>
          <w:bCs/>
        </w:rPr>
      </w:pPr>
      <w:r w:rsidRPr="00A25D83">
        <w:rPr>
          <w:b/>
          <w:bCs/>
        </w:rPr>
        <w:t xml:space="preserve">Table </w:t>
      </w:r>
      <w:r w:rsidR="00716148">
        <w:rPr>
          <w:b/>
          <w:bCs/>
        </w:rPr>
        <w:t>8</w:t>
      </w:r>
      <w:r w:rsidR="003A217F">
        <w:rPr>
          <w:b/>
          <w:bCs/>
        </w:rPr>
        <w:t>.</w:t>
      </w:r>
      <w:r w:rsidR="007C7B7D" w:rsidRPr="00A25D83">
        <w:rPr>
          <w:b/>
          <w:bCs/>
        </w:rPr>
        <w:t xml:space="preserve"> SSJF </w:t>
      </w:r>
      <w:r w:rsidR="00C27E28" w:rsidRPr="00A25D83">
        <w:rPr>
          <w:b/>
          <w:bCs/>
        </w:rPr>
        <w:t>R</w:t>
      </w:r>
      <w:r w:rsidR="007255AF" w:rsidRPr="00A25D83">
        <w:rPr>
          <w:b/>
          <w:bCs/>
        </w:rPr>
        <w:t xml:space="preserve">eported </w:t>
      </w:r>
      <w:r w:rsidR="005C560C" w:rsidRPr="00A25D83">
        <w:rPr>
          <w:b/>
          <w:bCs/>
        </w:rPr>
        <w:t>logbook catch</w:t>
      </w:r>
      <w:r w:rsidR="00B914B5">
        <w:rPr>
          <w:b/>
          <w:bCs/>
        </w:rPr>
        <w:t xml:space="preserve"> </w:t>
      </w:r>
      <w:r w:rsidR="00B914B5" w:rsidRPr="00022DEA">
        <w:rPr>
          <w:b/>
          <w:bCs/>
        </w:rPr>
        <w:t>2020-2025</w:t>
      </w:r>
    </w:p>
    <w:tbl>
      <w:tblPr>
        <w:tblStyle w:val="TableGrid"/>
        <w:tblW w:w="0" w:type="auto"/>
        <w:jc w:val="center"/>
        <w:tblLook w:val="04A0" w:firstRow="1" w:lastRow="0" w:firstColumn="1" w:lastColumn="0" w:noHBand="0" w:noVBand="1"/>
      </w:tblPr>
      <w:tblGrid>
        <w:gridCol w:w="1093"/>
        <w:gridCol w:w="2007"/>
        <w:gridCol w:w="2360"/>
        <w:gridCol w:w="1970"/>
        <w:gridCol w:w="1586"/>
      </w:tblGrid>
      <w:tr w:rsidR="008B73E7" w:rsidRPr="00960992" w14:paraId="33141344" w14:textId="77777777" w:rsidTr="00A25D83">
        <w:trPr>
          <w:trHeight w:val="600"/>
          <w:jc w:val="center"/>
        </w:trPr>
        <w:tc>
          <w:tcPr>
            <w:tcW w:w="1093" w:type="dxa"/>
            <w:shd w:val="clear" w:color="auto" w:fill="006C8B"/>
            <w:noWrap/>
            <w:vAlign w:val="center"/>
            <w:hideMark/>
          </w:tcPr>
          <w:p w14:paraId="361A2286" w14:textId="77777777" w:rsidR="00960992" w:rsidRPr="00A25D83" w:rsidRDefault="00960992" w:rsidP="00320BAD">
            <w:pPr>
              <w:jc w:val="center"/>
              <w:rPr>
                <w:color w:val="FFFFFF"/>
              </w:rPr>
            </w:pPr>
            <w:r w:rsidRPr="00A25D83">
              <w:rPr>
                <w:color w:val="FFFFFF"/>
              </w:rPr>
              <w:t>Year</w:t>
            </w:r>
          </w:p>
        </w:tc>
        <w:tc>
          <w:tcPr>
            <w:tcW w:w="2007" w:type="dxa"/>
            <w:shd w:val="clear" w:color="auto" w:fill="006C8B"/>
            <w:noWrap/>
            <w:vAlign w:val="center"/>
            <w:hideMark/>
          </w:tcPr>
          <w:p w14:paraId="23AB5077" w14:textId="77777777" w:rsidR="00960992" w:rsidRPr="00A25D83" w:rsidRDefault="00960992" w:rsidP="00320BAD">
            <w:pPr>
              <w:jc w:val="center"/>
              <w:rPr>
                <w:color w:val="FFFFFF"/>
              </w:rPr>
            </w:pPr>
            <w:r w:rsidRPr="00A25D83">
              <w:rPr>
                <w:color w:val="FFFFFF"/>
              </w:rPr>
              <w:t>Standard Name</w:t>
            </w:r>
          </w:p>
        </w:tc>
        <w:tc>
          <w:tcPr>
            <w:tcW w:w="2360" w:type="dxa"/>
            <w:shd w:val="clear" w:color="auto" w:fill="006C8B"/>
            <w:noWrap/>
            <w:vAlign w:val="center"/>
            <w:hideMark/>
          </w:tcPr>
          <w:p w14:paraId="7E3A9A47" w14:textId="77777777" w:rsidR="00960992" w:rsidRPr="00072912" w:rsidRDefault="00960992" w:rsidP="00320BAD">
            <w:pPr>
              <w:jc w:val="center"/>
              <w:rPr>
                <w:color w:val="FFFFFF" w:themeColor="background1"/>
              </w:rPr>
            </w:pPr>
            <w:r w:rsidRPr="00072912">
              <w:rPr>
                <w:color w:val="FFFFFF" w:themeColor="background1"/>
              </w:rPr>
              <w:t>Scientific Name</w:t>
            </w:r>
          </w:p>
        </w:tc>
        <w:tc>
          <w:tcPr>
            <w:tcW w:w="1970" w:type="dxa"/>
            <w:shd w:val="clear" w:color="auto" w:fill="006C8B"/>
            <w:noWrap/>
            <w:vAlign w:val="center"/>
            <w:hideMark/>
          </w:tcPr>
          <w:p w14:paraId="293D86B6" w14:textId="77777777" w:rsidR="00960992" w:rsidRPr="00072912" w:rsidRDefault="00960992" w:rsidP="00320BAD">
            <w:pPr>
              <w:jc w:val="center"/>
              <w:rPr>
                <w:color w:val="FFFFFF" w:themeColor="background1"/>
              </w:rPr>
            </w:pPr>
            <w:r w:rsidRPr="00072912">
              <w:rPr>
                <w:color w:val="FFFFFF" w:themeColor="background1"/>
              </w:rPr>
              <w:t>CAAB</w:t>
            </w:r>
          </w:p>
        </w:tc>
        <w:tc>
          <w:tcPr>
            <w:tcW w:w="1586" w:type="dxa"/>
            <w:shd w:val="clear" w:color="auto" w:fill="006C8B"/>
            <w:vAlign w:val="center"/>
            <w:hideMark/>
          </w:tcPr>
          <w:p w14:paraId="3865C3C4" w14:textId="0CA37005" w:rsidR="00960992" w:rsidRPr="00072912" w:rsidRDefault="00712FD1" w:rsidP="00320BAD">
            <w:pPr>
              <w:jc w:val="center"/>
              <w:rPr>
                <w:color w:val="FFFFFF" w:themeColor="background1"/>
              </w:rPr>
            </w:pPr>
            <w:r>
              <w:rPr>
                <w:color w:val="FFFFFF" w:themeColor="background1"/>
              </w:rPr>
              <w:t>Retained</w:t>
            </w:r>
            <w:r w:rsidRPr="00072912">
              <w:rPr>
                <w:color w:val="FFFFFF" w:themeColor="background1"/>
              </w:rPr>
              <w:t xml:space="preserve"> </w:t>
            </w:r>
            <w:r w:rsidR="00960992" w:rsidRPr="00072912">
              <w:rPr>
                <w:color w:val="FFFFFF" w:themeColor="background1"/>
              </w:rPr>
              <w:t>weight (</w:t>
            </w:r>
            <w:r w:rsidR="00355698">
              <w:rPr>
                <w:color w:val="FFFFFF" w:themeColor="background1"/>
              </w:rPr>
              <w:t>kg</w:t>
            </w:r>
            <w:r w:rsidR="00960992" w:rsidRPr="00072912">
              <w:rPr>
                <w:color w:val="FFFFFF" w:themeColor="background1"/>
              </w:rPr>
              <w:t>)</w:t>
            </w:r>
          </w:p>
        </w:tc>
      </w:tr>
      <w:tr w:rsidR="003535F6" w:rsidRPr="00960992" w14:paraId="2A4B39DB" w14:textId="77777777" w:rsidTr="00A25D83">
        <w:trPr>
          <w:trHeight w:val="300"/>
          <w:jc w:val="center"/>
        </w:trPr>
        <w:tc>
          <w:tcPr>
            <w:tcW w:w="1093" w:type="dxa"/>
            <w:noWrap/>
            <w:vAlign w:val="bottom"/>
          </w:tcPr>
          <w:p w14:paraId="2433E21C" w14:textId="750D38CB" w:rsidR="003535F6" w:rsidRPr="00960992" w:rsidRDefault="003535F6" w:rsidP="003535F6">
            <w:r>
              <w:rPr>
                <w:rFonts w:ascii="Calibri" w:hAnsi="Calibri" w:cs="Calibri"/>
                <w:color w:val="000000"/>
              </w:rPr>
              <w:t>2020</w:t>
            </w:r>
          </w:p>
        </w:tc>
        <w:tc>
          <w:tcPr>
            <w:tcW w:w="2007" w:type="dxa"/>
            <w:noWrap/>
            <w:vAlign w:val="bottom"/>
            <w:hideMark/>
          </w:tcPr>
          <w:p w14:paraId="75760DCE" w14:textId="1748C0CE" w:rsidR="003535F6" w:rsidRPr="00960992" w:rsidRDefault="003535F6" w:rsidP="003535F6">
            <w:r>
              <w:rPr>
                <w:rFonts w:ascii="Calibri" w:hAnsi="Calibri" w:cs="Calibri"/>
                <w:color w:val="000000"/>
              </w:rPr>
              <w:t>Gould's Squid</w:t>
            </w:r>
          </w:p>
        </w:tc>
        <w:tc>
          <w:tcPr>
            <w:tcW w:w="2360" w:type="dxa"/>
            <w:noWrap/>
            <w:vAlign w:val="bottom"/>
            <w:hideMark/>
          </w:tcPr>
          <w:p w14:paraId="4CFC9C89" w14:textId="5D195874" w:rsidR="003535F6" w:rsidRPr="00960992" w:rsidRDefault="003535F6" w:rsidP="003535F6">
            <w:pPr>
              <w:rPr>
                <w:i/>
                <w:iCs/>
              </w:rPr>
            </w:pPr>
            <w:proofErr w:type="spellStart"/>
            <w:r>
              <w:rPr>
                <w:rFonts w:ascii="Calibri" w:hAnsi="Calibri" w:cs="Calibri"/>
                <w:color w:val="000000"/>
              </w:rPr>
              <w:t>Nototodarus</w:t>
            </w:r>
            <w:proofErr w:type="spellEnd"/>
            <w:r>
              <w:rPr>
                <w:rFonts w:ascii="Calibri" w:hAnsi="Calibri" w:cs="Calibri"/>
                <w:color w:val="000000"/>
              </w:rPr>
              <w:t xml:space="preserve"> gouldi</w:t>
            </w:r>
          </w:p>
        </w:tc>
        <w:tc>
          <w:tcPr>
            <w:tcW w:w="1970" w:type="dxa"/>
            <w:noWrap/>
            <w:vAlign w:val="bottom"/>
            <w:hideMark/>
          </w:tcPr>
          <w:p w14:paraId="120E01A0" w14:textId="30634E22" w:rsidR="003535F6" w:rsidRPr="00960992" w:rsidRDefault="003535F6" w:rsidP="003535F6">
            <w:r>
              <w:rPr>
                <w:rFonts w:ascii="Calibri" w:hAnsi="Calibri" w:cs="Calibri"/>
                <w:color w:val="000000"/>
              </w:rPr>
              <w:t>23636004</w:t>
            </w:r>
          </w:p>
        </w:tc>
        <w:tc>
          <w:tcPr>
            <w:tcW w:w="1586" w:type="dxa"/>
            <w:noWrap/>
            <w:vAlign w:val="bottom"/>
            <w:hideMark/>
          </w:tcPr>
          <w:p w14:paraId="3E610009" w14:textId="6CB928B8" w:rsidR="003535F6" w:rsidRPr="00960992" w:rsidRDefault="003535F6" w:rsidP="003535F6">
            <w:r>
              <w:rPr>
                <w:rFonts w:ascii="Calibri" w:hAnsi="Calibri" w:cs="Calibri"/>
                <w:color w:val="000000"/>
              </w:rPr>
              <w:t>62924</w:t>
            </w:r>
          </w:p>
        </w:tc>
      </w:tr>
      <w:tr w:rsidR="003535F6" w:rsidRPr="00960992" w14:paraId="0CFB9E2D" w14:textId="77777777" w:rsidTr="00A25D83">
        <w:trPr>
          <w:trHeight w:val="300"/>
          <w:jc w:val="center"/>
        </w:trPr>
        <w:tc>
          <w:tcPr>
            <w:tcW w:w="1093" w:type="dxa"/>
            <w:noWrap/>
            <w:vAlign w:val="bottom"/>
          </w:tcPr>
          <w:p w14:paraId="22F73F35" w14:textId="165C07CB" w:rsidR="003535F6" w:rsidRPr="00960992" w:rsidRDefault="003535F6" w:rsidP="003535F6">
            <w:r>
              <w:rPr>
                <w:rFonts w:ascii="Calibri" w:hAnsi="Calibri" w:cs="Calibri"/>
                <w:color w:val="000000"/>
              </w:rPr>
              <w:t>2020</w:t>
            </w:r>
          </w:p>
        </w:tc>
        <w:tc>
          <w:tcPr>
            <w:tcW w:w="2007" w:type="dxa"/>
            <w:noWrap/>
            <w:vAlign w:val="bottom"/>
            <w:hideMark/>
          </w:tcPr>
          <w:p w14:paraId="02409406" w14:textId="63A3AE6A" w:rsidR="003535F6" w:rsidRPr="00960992" w:rsidRDefault="003535F6" w:rsidP="003535F6">
            <w:r>
              <w:rPr>
                <w:rFonts w:ascii="Calibri" w:hAnsi="Calibri" w:cs="Calibri"/>
                <w:color w:val="000000"/>
              </w:rPr>
              <w:t>Gummy Shark</w:t>
            </w:r>
          </w:p>
        </w:tc>
        <w:tc>
          <w:tcPr>
            <w:tcW w:w="2360" w:type="dxa"/>
            <w:noWrap/>
            <w:vAlign w:val="bottom"/>
            <w:hideMark/>
          </w:tcPr>
          <w:p w14:paraId="027B4D66" w14:textId="19671724" w:rsidR="003535F6" w:rsidRPr="00960992" w:rsidRDefault="003535F6" w:rsidP="003535F6">
            <w:pPr>
              <w:rPr>
                <w:i/>
                <w:iCs/>
              </w:rPr>
            </w:pPr>
            <w:proofErr w:type="spellStart"/>
            <w:r>
              <w:rPr>
                <w:rFonts w:ascii="Calibri" w:hAnsi="Calibri" w:cs="Calibri"/>
                <w:color w:val="000000"/>
              </w:rPr>
              <w:t>Mustelus</w:t>
            </w:r>
            <w:proofErr w:type="spellEnd"/>
            <w:r>
              <w:rPr>
                <w:rFonts w:ascii="Calibri" w:hAnsi="Calibri" w:cs="Calibri"/>
                <w:color w:val="000000"/>
              </w:rPr>
              <w:t xml:space="preserve"> antarcticus</w:t>
            </w:r>
          </w:p>
        </w:tc>
        <w:tc>
          <w:tcPr>
            <w:tcW w:w="1970" w:type="dxa"/>
            <w:noWrap/>
            <w:vAlign w:val="bottom"/>
            <w:hideMark/>
          </w:tcPr>
          <w:p w14:paraId="4F5503C5" w14:textId="22EF7282" w:rsidR="003535F6" w:rsidRPr="00960992" w:rsidRDefault="003535F6" w:rsidP="003535F6">
            <w:r>
              <w:rPr>
                <w:rFonts w:ascii="Calibri" w:hAnsi="Calibri" w:cs="Calibri"/>
                <w:color w:val="000000"/>
              </w:rPr>
              <w:t>37017001</w:t>
            </w:r>
          </w:p>
        </w:tc>
        <w:tc>
          <w:tcPr>
            <w:tcW w:w="1586" w:type="dxa"/>
            <w:noWrap/>
            <w:vAlign w:val="bottom"/>
            <w:hideMark/>
          </w:tcPr>
          <w:p w14:paraId="0B7E7282" w14:textId="5708A211" w:rsidR="003535F6" w:rsidRPr="00960992" w:rsidRDefault="003535F6" w:rsidP="003535F6">
            <w:r>
              <w:rPr>
                <w:rFonts w:ascii="Calibri" w:hAnsi="Calibri" w:cs="Calibri"/>
                <w:color w:val="000000"/>
              </w:rPr>
              <w:t>29</w:t>
            </w:r>
          </w:p>
        </w:tc>
      </w:tr>
      <w:tr w:rsidR="003535F6" w:rsidRPr="00960992" w14:paraId="00281D77" w14:textId="77777777" w:rsidTr="00A25D83">
        <w:trPr>
          <w:trHeight w:val="300"/>
          <w:jc w:val="center"/>
        </w:trPr>
        <w:tc>
          <w:tcPr>
            <w:tcW w:w="1093" w:type="dxa"/>
            <w:noWrap/>
            <w:vAlign w:val="bottom"/>
          </w:tcPr>
          <w:p w14:paraId="242B8F8F" w14:textId="18F3D17C" w:rsidR="003535F6" w:rsidRPr="00960992" w:rsidRDefault="003535F6" w:rsidP="003535F6">
            <w:r>
              <w:rPr>
                <w:rFonts w:ascii="Calibri" w:hAnsi="Calibri" w:cs="Calibri"/>
                <w:color w:val="000000"/>
              </w:rPr>
              <w:t>2020</w:t>
            </w:r>
          </w:p>
        </w:tc>
        <w:tc>
          <w:tcPr>
            <w:tcW w:w="2007" w:type="dxa"/>
            <w:noWrap/>
            <w:vAlign w:val="bottom"/>
            <w:hideMark/>
          </w:tcPr>
          <w:p w14:paraId="362F34DF" w14:textId="5CB84ABA" w:rsidR="003535F6" w:rsidRPr="00960992" w:rsidRDefault="003535F6" w:rsidP="003535F6">
            <w:r>
              <w:rPr>
                <w:rFonts w:ascii="Calibri" w:hAnsi="Calibri" w:cs="Calibri"/>
                <w:color w:val="000000"/>
              </w:rPr>
              <w:t>School Shark</w:t>
            </w:r>
          </w:p>
        </w:tc>
        <w:tc>
          <w:tcPr>
            <w:tcW w:w="2360" w:type="dxa"/>
            <w:noWrap/>
            <w:vAlign w:val="bottom"/>
            <w:hideMark/>
          </w:tcPr>
          <w:p w14:paraId="4C0C1345" w14:textId="2517A2C1" w:rsidR="003535F6" w:rsidRPr="00960992" w:rsidRDefault="003535F6" w:rsidP="003535F6">
            <w:pPr>
              <w:rPr>
                <w:i/>
                <w:iCs/>
              </w:rPr>
            </w:pPr>
            <w:proofErr w:type="spellStart"/>
            <w:r>
              <w:rPr>
                <w:rFonts w:ascii="Calibri" w:hAnsi="Calibri" w:cs="Calibri"/>
                <w:color w:val="000000"/>
              </w:rPr>
              <w:t>Galeorhinus</w:t>
            </w:r>
            <w:proofErr w:type="spellEnd"/>
            <w:r>
              <w:rPr>
                <w:rFonts w:ascii="Calibri" w:hAnsi="Calibri" w:cs="Calibri"/>
                <w:color w:val="000000"/>
              </w:rPr>
              <w:t xml:space="preserve"> </w:t>
            </w:r>
            <w:proofErr w:type="spellStart"/>
            <w:r>
              <w:rPr>
                <w:rFonts w:ascii="Calibri" w:hAnsi="Calibri" w:cs="Calibri"/>
                <w:color w:val="000000"/>
              </w:rPr>
              <w:t>galeus</w:t>
            </w:r>
            <w:proofErr w:type="spellEnd"/>
          </w:p>
        </w:tc>
        <w:tc>
          <w:tcPr>
            <w:tcW w:w="1970" w:type="dxa"/>
            <w:noWrap/>
            <w:vAlign w:val="bottom"/>
            <w:hideMark/>
          </w:tcPr>
          <w:p w14:paraId="064C2A1E" w14:textId="16CB9025" w:rsidR="003535F6" w:rsidRPr="00960992" w:rsidRDefault="003535F6" w:rsidP="003535F6">
            <w:r>
              <w:rPr>
                <w:rFonts w:ascii="Calibri" w:hAnsi="Calibri" w:cs="Calibri"/>
                <w:color w:val="000000"/>
              </w:rPr>
              <w:t>37017008</w:t>
            </w:r>
          </w:p>
        </w:tc>
        <w:tc>
          <w:tcPr>
            <w:tcW w:w="1586" w:type="dxa"/>
            <w:noWrap/>
            <w:vAlign w:val="bottom"/>
            <w:hideMark/>
          </w:tcPr>
          <w:p w14:paraId="32F87187" w14:textId="1A65A09A" w:rsidR="003535F6" w:rsidRPr="00960992" w:rsidRDefault="003535F6" w:rsidP="003535F6">
            <w:r>
              <w:rPr>
                <w:rFonts w:ascii="Calibri" w:hAnsi="Calibri" w:cs="Calibri"/>
                <w:color w:val="000000"/>
              </w:rPr>
              <w:t>9</w:t>
            </w:r>
          </w:p>
        </w:tc>
      </w:tr>
      <w:tr w:rsidR="003535F6" w:rsidRPr="00960992" w14:paraId="1923D523" w14:textId="77777777" w:rsidTr="00A25D83">
        <w:trPr>
          <w:trHeight w:val="300"/>
          <w:jc w:val="center"/>
        </w:trPr>
        <w:tc>
          <w:tcPr>
            <w:tcW w:w="1093" w:type="dxa"/>
            <w:noWrap/>
            <w:vAlign w:val="bottom"/>
          </w:tcPr>
          <w:p w14:paraId="1DFF1468" w14:textId="47CF0086" w:rsidR="003535F6" w:rsidRPr="00960992" w:rsidRDefault="003535F6" w:rsidP="003535F6">
            <w:r>
              <w:rPr>
                <w:rFonts w:ascii="Calibri" w:hAnsi="Calibri" w:cs="Calibri"/>
                <w:color w:val="000000"/>
              </w:rPr>
              <w:t>2020</w:t>
            </w:r>
          </w:p>
        </w:tc>
        <w:tc>
          <w:tcPr>
            <w:tcW w:w="2007" w:type="dxa"/>
            <w:noWrap/>
            <w:vAlign w:val="bottom"/>
            <w:hideMark/>
          </w:tcPr>
          <w:p w14:paraId="5DBE99C5" w14:textId="6B53E094" w:rsidR="003535F6" w:rsidRPr="00960992" w:rsidRDefault="003535F6" w:rsidP="003535F6">
            <w:r>
              <w:rPr>
                <w:rFonts w:ascii="Calibri" w:hAnsi="Calibri" w:cs="Calibri"/>
                <w:color w:val="000000"/>
              </w:rPr>
              <w:t>Swallowtail</w:t>
            </w:r>
          </w:p>
        </w:tc>
        <w:tc>
          <w:tcPr>
            <w:tcW w:w="2360" w:type="dxa"/>
            <w:noWrap/>
            <w:vAlign w:val="bottom"/>
            <w:hideMark/>
          </w:tcPr>
          <w:p w14:paraId="741E076F" w14:textId="0BDB8E0C" w:rsidR="003535F6" w:rsidRPr="00960992" w:rsidRDefault="003535F6" w:rsidP="003535F6">
            <w:pPr>
              <w:rPr>
                <w:i/>
                <w:iCs/>
              </w:rPr>
            </w:pPr>
            <w:proofErr w:type="spellStart"/>
            <w:r>
              <w:rPr>
                <w:rFonts w:ascii="Calibri" w:hAnsi="Calibri" w:cs="Calibri"/>
                <w:color w:val="000000"/>
              </w:rPr>
              <w:t>Centroberyx</w:t>
            </w:r>
            <w:proofErr w:type="spellEnd"/>
            <w:r>
              <w:rPr>
                <w:rFonts w:ascii="Calibri" w:hAnsi="Calibri" w:cs="Calibri"/>
                <w:color w:val="000000"/>
              </w:rPr>
              <w:t xml:space="preserve"> lineatus</w:t>
            </w:r>
          </w:p>
        </w:tc>
        <w:tc>
          <w:tcPr>
            <w:tcW w:w="1970" w:type="dxa"/>
            <w:noWrap/>
            <w:vAlign w:val="bottom"/>
            <w:hideMark/>
          </w:tcPr>
          <w:p w14:paraId="3F102A9B" w14:textId="00E514A4" w:rsidR="003535F6" w:rsidRPr="00960992" w:rsidRDefault="003535F6" w:rsidP="003535F6">
            <w:r>
              <w:rPr>
                <w:rFonts w:ascii="Calibri" w:hAnsi="Calibri" w:cs="Calibri"/>
                <w:color w:val="000000"/>
              </w:rPr>
              <w:t>37258005</w:t>
            </w:r>
          </w:p>
        </w:tc>
        <w:tc>
          <w:tcPr>
            <w:tcW w:w="1586" w:type="dxa"/>
            <w:noWrap/>
            <w:vAlign w:val="bottom"/>
            <w:hideMark/>
          </w:tcPr>
          <w:p w14:paraId="6A3F4AC2" w14:textId="6F55867B" w:rsidR="003535F6" w:rsidRPr="00960992" w:rsidRDefault="003535F6" w:rsidP="003535F6">
            <w:r>
              <w:rPr>
                <w:rFonts w:ascii="Calibri" w:hAnsi="Calibri" w:cs="Calibri"/>
                <w:color w:val="000000"/>
              </w:rPr>
              <w:t>224</w:t>
            </w:r>
          </w:p>
        </w:tc>
      </w:tr>
      <w:tr w:rsidR="003535F6" w:rsidRPr="00960992" w14:paraId="34694C4A" w14:textId="77777777" w:rsidTr="00A25D83">
        <w:trPr>
          <w:trHeight w:val="300"/>
          <w:jc w:val="center"/>
        </w:trPr>
        <w:tc>
          <w:tcPr>
            <w:tcW w:w="1093" w:type="dxa"/>
            <w:noWrap/>
            <w:vAlign w:val="bottom"/>
          </w:tcPr>
          <w:p w14:paraId="0EB45F55" w14:textId="2CA921C4" w:rsidR="003535F6" w:rsidRPr="00960992" w:rsidRDefault="003535F6" w:rsidP="003535F6">
            <w:r>
              <w:rPr>
                <w:rFonts w:ascii="Calibri" w:hAnsi="Calibri" w:cs="Calibri"/>
                <w:color w:val="000000"/>
              </w:rPr>
              <w:t>2021</w:t>
            </w:r>
          </w:p>
        </w:tc>
        <w:tc>
          <w:tcPr>
            <w:tcW w:w="2007" w:type="dxa"/>
            <w:noWrap/>
            <w:vAlign w:val="bottom"/>
            <w:hideMark/>
          </w:tcPr>
          <w:p w14:paraId="38B9FB86" w14:textId="3F1511A6" w:rsidR="003535F6" w:rsidRPr="00960992" w:rsidRDefault="003535F6" w:rsidP="003535F6">
            <w:r>
              <w:rPr>
                <w:rFonts w:ascii="Calibri" w:hAnsi="Calibri" w:cs="Calibri"/>
                <w:color w:val="000000"/>
              </w:rPr>
              <w:t>Gould's Squid</w:t>
            </w:r>
          </w:p>
        </w:tc>
        <w:tc>
          <w:tcPr>
            <w:tcW w:w="2360" w:type="dxa"/>
            <w:noWrap/>
            <w:vAlign w:val="bottom"/>
            <w:hideMark/>
          </w:tcPr>
          <w:p w14:paraId="51F30DA2" w14:textId="2652E127" w:rsidR="003535F6" w:rsidRPr="00960992" w:rsidRDefault="003535F6" w:rsidP="003535F6">
            <w:pPr>
              <w:rPr>
                <w:i/>
                <w:iCs/>
              </w:rPr>
            </w:pPr>
            <w:proofErr w:type="spellStart"/>
            <w:r>
              <w:rPr>
                <w:rFonts w:ascii="Calibri" w:hAnsi="Calibri" w:cs="Calibri"/>
                <w:color w:val="000000"/>
              </w:rPr>
              <w:t>Nototodarus</w:t>
            </w:r>
            <w:proofErr w:type="spellEnd"/>
            <w:r>
              <w:rPr>
                <w:rFonts w:ascii="Calibri" w:hAnsi="Calibri" w:cs="Calibri"/>
                <w:color w:val="000000"/>
              </w:rPr>
              <w:t xml:space="preserve"> gouldi</w:t>
            </w:r>
          </w:p>
        </w:tc>
        <w:tc>
          <w:tcPr>
            <w:tcW w:w="1970" w:type="dxa"/>
            <w:noWrap/>
            <w:vAlign w:val="bottom"/>
            <w:hideMark/>
          </w:tcPr>
          <w:p w14:paraId="745EE467" w14:textId="54945275" w:rsidR="003535F6" w:rsidRPr="00960992" w:rsidRDefault="003535F6" w:rsidP="003535F6">
            <w:r>
              <w:rPr>
                <w:rFonts w:ascii="Calibri" w:hAnsi="Calibri" w:cs="Calibri"/>
                <w:color w:val="000000"/>
              </w:rPr>
              <w:t>23636004</w:t>
            </w:r>
          </w:p>
        </w:tc>
        <w:tc>
          <w:tcPr>
            <w:tcW w:w="1586" w:type="dxa"/>
            <w:noWrap/>
            <w:vAlign w:val="bottom"/>
            <w:hideMark/>
          </w:tcPr>
          <w:p w14:paraId="776D3A7A" w14:textId="592C42AC" w:rsidR="003535F6" w:rsidRPr="00960992" w:rsidRDefault="003535F6" w:rsidP="003535F6">
            <w:r>
              <w:rPr>
                <w:rFonts w:ascii="Calibri" w:hAnsi="Calibri" w:cs="Calibri"/>
                <w:color w:val="000000"/>
              </w:rPr>
              <w:t>525829</w:t>
            </w:r>
          </w:p>
        </w:tc>
      </w:tr>
      <w:tr w:rsidR="003535F6" w:rsidRPr="00960992" w14:paraId="646A8E44" w14:textId="77777777" w:rsidTr="00A25D83">
        <w:trPr>
          <w:trHeight w:val="300"/>
          <w:jc w:val="center"/>
        </w:trPr>
        <w:tc>
          <w:tcPr>
            <w:tcW w:w="1093" w:type="dxa"/>
            <w:noWrap/>
            <w:vAlign w:val="bottom"/>
          </w:tcPr>
          <w:p w14:paraId="1D0CF167" w14:textId="6F812362" w:rsidR="003535F6" w:rsidRPr="00960992" w:rsidRDefault="003535F6" w:rsidP="003535F6">
            <w:r>
              <w:rPr>
                <w:rFonts w:ascii="Calibri" w:hAnsi="Calibri" w:cs="Calibri"/>
                <w:color w:val="000000"/>
              </w:rPr>
              <w:t>2022</w:t>
            </w:r>
          </w:p>
        </w:tc>
        <w:tc>
          <w:tcPr>
            <w:tcW w:w="2007" w:type="dxa"/>
            <w:noWrap/>
            <w:vAlign w:val="bottom"/>
          </w:tcPr>
          <w:p w14:paraId="1495BAFC" w14:textId="0AE5D2B9" w:rsidR="003535F6" w:rsidRPr="00960992" w:rsidDel="00A922AA" w:rsidRDefault="003535F6" w:rsidP="003535F6">
            <w:r>
              <w:rPr>
                <w:rFonts w:ascii="Calibri" w:hAnsi="Calibri" w:cs="Calibri"/>
                <w:color w:val="000000"/>
              </w:rPr>
              <w:t>Commercial Scallop</w:t>
            </w:r>
          </w:p>
        </w:tc>
        <w:tc>
          <w:tcPr>
            <w:tcW w:w="2360" w:type="dxa"/>
            <w:noWrap/>
            <w:vAlign w:val="bottom"/>
          </w:tcPr>
          <w:p w14:paraId="4F3322B9" w14:textId="0CE14676" w:rsidR="003535F6" w:rsidRPr="00960992" w:rsidDel="00A922AA" w:rsidRDefault="003535F6" w:rsidP="003535F6">
            <w:pPr>
              <w:rPr>
                <w:i/>
                <w:iCs/>
              </w:rPr>
            </w:pPr>
            <w:r>
              <w:rPr>
                <w:rFonts w:ascii="Calibri" w:hAnsi="Calibri" w:cs="Calibri"/>
                <w:color w:val="000000"/>
              </w:rPr>
              <w:t xml:space="preserve">Pecten </w:t>
            </w:r>
            <w:proofErr w:type="spellStart"/>
            <w:r>
              <w:rPr>
                <w:rFonts w:ascii="Calibri" w:hAnsi="Calibri" w:cs="Calibri"/>
                <w:color w:val="000000"/>
              </w:rPr>
              <w:t>fumatus</w:t>
            </w:r>
            <w:proofErr w:type="spellEnd"/>
          </w:p>
        </w:tc>
        <w:tc>
          <w:tcPr>
            <w:tcW w:w="1970" w:type="dxa"/>
            <w:noWrap/>
            <w:vAlign w:val="bottom"/>
          </w:tcPr>
          <w:p w14:paraId="77C7F07D" w14:textId="67686C90" w:rsidR="003535F6" w:rsidRPr="00960992" w:rsidDel="00A922AA" w:rsidRDefault="003535F6" w:rsidP="003535F6">
            <w:r>
              <w:rPr>
                <w:rFonts w:ascii="Calibri" w:hAnsi="Calibri" w:cs="Calibri"/>
                <w:color w:val="000000"/>
              </w:rPr>
              <w:t>23270007</w:t>
            </w:r>
          </w:p>
        </w:tc>
        <w:tc>
          <w:tcPr>
            <w:tcW w:w="1586" w:type="dxa"/>
            <w:noWrap/>
            <w:vAlign w:val="bottom"/>
          </w:tcPr>
          <w:p w14:paraId="4C61F115" w14:textId="3F0BCBC9" w:rsidR="003535F6" w:rsidRPr="00960992" w:rsidDel="00A922AA" w:rsidRDefault="003535F6" w:rsidP="003535F6">
            <w:r>
              <w:rPr>
                <w:rFonts w:ascii="Calibri" w:hAnsi="Calibri" w:cs="Calibri"/>
                <w:color w:val="000000"/>
              </w:rPr>
              <w:t>640</w:t>
            </w:r>
          </w:p>
        </w:tc>
      </w:tr>
      <w:tr w:rsidR="003535F6" w:rsidRPr="00960992" w14:paraId="7D37EDB7" w14:textId="77777777" w:rsidTr="00A25D83">
        <w:trPr>
          <w:trHeight w:val="300"/>
          <w:jc w:val="center"/>
        </w:trPr>
        <w:tc>
          <w:tcPr>
            <w:tcW w:w="1093" w:type="dxa"/>
            <w:noWrap/>
            <w:vAlign w:val="bottom"/>
          </w:tcPr>
          <w:p w14:paraId="228E0B16" w14:textId="1206971B" w:rsidR="003535F6" w:rsidRPr="00960992" w:rsidRDefault="003535F6" w:rsidP="003535F6">
            <w:r>
              <w:rPr>
                <w:rFonts w:ascii="Calibri" w:hAnsi="Calibri" w:cs="Calibri"/>
                <w:color w:val="000000"/>
              </w:rPr>
              <w:t>2022</w:t>
            </w:r>
          </w:p>
        </w:tc>
        <w:tc>
          <w:tcPr>
            <w:tcW w:w="2007" w:type="dxa"/>
            <w:noWrap/>
            <w:vAlign w:val="bottom"/>
          </w:tcPr>
          <w:p w14:paraId="3E4C0BE1" w14:textId="2DD1ACA5" w:rsidR="003535F6" w:rsidRPr="00960992" w:rsidDel="00A922AA" w:rsidRDefault="003535F6" w:rsidP="003535F6">
            <w:r>
              <w:rPr>
                <w:rFonts w:ascii="Calibri" w:hAnsi="Calibri" w:cs="Calibri"/>
                <w:color w:val="000000"/>
              </w:rPr>
              <w:t>Gould's Squid</w:t>
            </w:r>
          </w:p>
        </w:tc>
        <w:tc>
          <w:tcPr>
            <w:tcW w:w="2360" w:type="dxa"/>
            <w:noWrap/>
            <w:vAlign w:val="bottom"/>
          </w:tcPr>
          <w:p w14:paraId="06709C1F" w14:textId="3958C435" w:rsidR="003535F6" w:rsidRPr="00960992" w:rsidDel="00A922AA" w:rsidRDefault="003535F6" w:rsidP="003535F6">
            <w:pPr>
              <w:rPr>
                <w:i/>
                <w:iCs/>
              </w:rPr>
            </w:pPr>
            <w:proofErr w:type="spellStart"/>
            <w:r>
              <w:rPr>
                <w:rFonts w:ascii="Calibri" w:hAnsi="Calibri" w:cs="Calibri"/>
                <w:color w:val="000000"/>
              </w:rPr>
              <w:t>Nototodarus</w:t>
            </w:r>
            <w:proofErr w:type="spellEnd"/>
            <w:r>
              <w:rPr>
                <w:rFonts w:ascii="Calibri" w:hAnsi="Calibri" w:cs="Calibri"/>
                <w:color w:val="000000"/>
              </w:rPr>
              <w:t xml:space="preserve"> gouldi</w:t>
            </w:r>
          </w:p>
        </w:tc>
        <w:tc>
          <w:tcPr>
            <w:tcW w:w="1970" w:type="dxa"/>
            <w:noWrap/>
            <w:vAlign w:val="bottom"/>
          </w:tcPr>
          <w:p w14:paraId="2921FB86" w14:textId="2C19B28C" w:rsidR="003535F6" w:rsidRPr="00960992" w:rsidDel="00A922AA" w:rsidRDefault="003535F6" w:rsidP="003535F6">
            <w:r>
              <w:rPr>
                <w:rFonts w:ascii="Calibri" w:hAnsi="Calibri" w:cs="Calibri"/>
                <w:color w:val="000000"/>
              </w:rPr>
              <w:t>23636004</w:t>
            </w:r>
          </w:p>
        </w:tc>
        <w:tc>
          <w:tcPr>
            <w:tcW w:w="1586" w:type="dxa"/>
            <w:noWrap/>
            <w:vAlign w:val="bottom"/>
          </w:tcPr>
          <w:p w14:paraId="17BB083E" w14:textId="4295BC0E" w:rsidR="003535F6" w:rsidRPr="00960992" w:rsidDel="00A922AA" w:rsidRDefault="003535F6" w:rsidP="003535F6">
            <w:r>
              <w:rPr>
                <w:rFonts w:ascii="Calibri" w:hAnsi="Calibri" w:cs="Calibri"/>
                <w:color w:val="000000"/>
              </w:rPr>
              <w:t>106675</w:t>
            </w:r>
          </w:p>
        </w:tc>
      </w:tr>
      <w:tr w:rsidR="003535F6" w:rsidRPr="00960992" w14:paraId="7CA8DCF8" w14:textId="77777777" w:rsidTr="00A25D83">
        <w:trPr>
          <w:trHeight w:val="300"/>
          <w:jc w:val="center"/>
        </w:trPr>
        <w:tc>
          <w:tcPr>
            <w:tcW w:w="1093" w:type="dxa"/>
            <w:noWrap/>
            <w:vAlign w:val="bottom"/>
          </w:tcPr>
          <w:p w14:paraId="294ACA05" w14:textId="0DE61BD0" w:rsidR="003535F6" w:rsidRDefault="003535F6" w:rsidP="003535F6">
            <w:pPr>
              <w:rPr>
                <w:rFonts w:ascii="Calibri" w:hAnsi="Calibri" w:cs="Calibri"/>
                <w:color w:val="000000"/>
              </w:rPr>
            </w:pPr>
            <w:r>
              <w:rPr>
                <w:rFonts w:ascii="Calibri" w:hAnsi="Calibri" w:cs="Calibri"/>
                <w:color w:val="000000"/>
              </w:rPr>
              <w:t>2022</w:t>
            </w:r>
          </w:p>
        </w:tc>
        <w:tc>
          <w:tcPr>
            <w:tcW w:w="2007" w:type="dxa"/>
            <w:noWrap/>
            <w:vAlign w:val="bottom"/>
          </w:tcPr>
          <w:p w14:paraId="3534FD4E" w14:textId="5FD8FA93" w:rsidR="003535F6" w:rsidRPr="00960992" w:rsidDel="00A922AA" w:rsidRDefault="003535F6" w:rsidP="003535F6">
            <w:r>
              <w:rPr>
                <w:rFonts w:ascii="Calibri" w:hAnsi="Calibri" w:cs="Calibri"/>
                <w:color w:val="000000"/>
              </w:rPr>
              <w:t>Southern Ocean Arrow Squid</w:t>
            </w:r>
          </w:p>
        </w:tc>
        <w:tc>
          <w:tcPr>
            <w:tcW w:w="2360" w:type="dxa"/>
            <w:noWrap/>
            <w:vAlign w:val="bottom"/>
          </w:tcPr>
          <w:p w14:paraId="4CE66ADC" w14:textId="1D6BE698" w:rsidR="003535F6" w:rsidRPr="00960992" w:rsidDel="00A922AA" w:rsidRDefault="003535F6" w:rsidP="003535F6">
            <w:pPr>
              <w:rPr>
                <w:i/>
                <w:iCs/>
              </w:rPr>
            </w:pPr>
            <w:proofErr w:type="spellStart"/>
            <w:r>
              <w:rPr>
                <w:rFonts w:ascii="Calibri" w:hAnsi="Calibri" w:cs="Calibri"/>
                <w:color w:val="000000"/>
              </w:rPr>
              <w:t>Todarodes</w:t>
            </w:r>
            <w:proofErr w:type="spellEnd"/>
            <w:r>
              <w:rPr>
                <w:rFonts w:ascii="Calibri" w:hAnsi="Calibri" w:cs="Calibri"/>
                <w:color w:val="000000"/>
              </w:rPr>
              <w:t xml:space="preserve"> </w:t>
            </w:r>
            <w:proofErr w:type="spellStart"/>
            <w:r>
              <w:rPr>
                <w:rFonts w:ascii="Calibri" w:hAnsi="Calibri" w:cs="Calibri"/>
                <w:color w:val="000000"/>
              </w:rPr>
              <w:t>filippovae</w:t>
            </w:r>
            <w:proofErr w:type="spellEnd"/>
          </w:p>
        </w:tc>
        <w:tc>
          <w:tcPr>
            <w:tcW w:w="1970" w:type="dxa"/>
            <w:noWrap/>
            <w:vAlign w:val="bottom"/>
          </w:tcPr>
          <w:p w14:paraId="3E9E4560" w14:textId="70E35D5A" w:rsidR="003535F6" w:rsidRPr="00960992" w:rsidDel="00A922AA" w:rsidRDefault="003535F6" w:rsidP="003535F6">
            <w:r>
              <w:rPr>
                <w:rFonts w:ascii="Calibri" w:hAnsi="Calibri" w:cs="Calibri"/>
                <w:color w:val="000000"/>
              </w:rPr>
              <w:t>23636011</w:t>
            </w:r>
          </w:p>
        </w:tc>
        <w:tc>
          <w:tcPr>
            <w:tcW w:w="1586" w:type="dxa"/>
            <w:noWrap/>
            <w:vAlign w:val="bottom"/>
          </w:tcPr>
          <w:p w14:paraId="58D84A57" w14:textId="055C3D5B" w:rsidR="003535F6" w:rsidRPr="00960992" w:rsidDel="00A922AA" w:rsidRDefault="003535F6" w:rsidP="003535F6">
            <w:r>
              <w:rPr>
                <w:rFonts w:ascii="Calibri" w:hAnsi="Calibri" w:cs="Calibri"/>
                <w:color w:val="000000"/>
              </w:rPr>
              <w:t>32580</w:t>
            </w:r>
          </w:p>
        </w:tc>
      </w:tr>
      <w:tr w:rsidR="003535F6" w:rsidRPr="00960992" w14:paraId="103095B3" w14:textId="77777777" w:rsidTr="00A25D83">
        <w:trPr>
          <w:trHeight w:val="300"/>
          <w:jc w:val="center"/>
        </w:trPr>
        <w:tc>
          <w:tcPr>
            <w:tcW w:w="1093" w:type="dxa"/>
            <w:noWrap/>
            <w:vAlign w:val="bottom"/>
          </w:tcPr>
          <w:p w14:paraId="44EA447C" w14:textId="4FC5BF32" w:rsidR="003535F6" w:rsidRDefault="003535F6" w:rsidP="003535F6">
            <w:pPr>
              <w:rPr>
                <w:rFonts w:ascii="Calibri" w:hAnsi="Calibri" w:cs="Calibri"/>
                <w:color w:val="000000"/>
              </w:rPr>
            </w:pPr>
            <w:r>
              <w:rPr>
                <w:rFonts w:ascii="Calibri" w:hAnsi="Calibri" w:cs="Calibri"/>
                <w:color w:val="000000"/>
              </w:rPr>
              <w:t>2023</w:t>
            </w:r>
          </w:p>
        </w:tc>
        <w:tc>
          <w:tcPr>
            <w:tcW w:w="2007" w:type="dxa"/>
            <w:noWrap/>
            <w:vAlign w:val="bottom"/>
          </w:tcPr>
          <w:p w14:paraId="6A522B93" w14:textId="2211C1EE" w:rsidR="003535F6" w:rsidRPr="00960992" w:rsidDel="00A922AA" w:rsidRDefault="003535F6" w:rsidP="003535F6">
            <w:r>
              <w:rPr>
                <w:rFonts w:ascii="Calibri" w:hAnsi="Calibri" w:cs="Calibri"/>
                <w:color w:val="000000"/>
              </w:rPr>
              <w:t>Commercial Scallop</w:t>
            </w:r>
          </w:p>
        </w:tc>
        <w:tc>
          <w:tcPr>
            <w:tcW w:w="2360" w:type="dxa"/>
            <w:noWrap/>
            <w:vAlign w:val="bottom"/>
          </w:tcPr>
          <w:p w14:paraId="6D5EA122" w14:textId="4F7A17AE" w:rsidR="003535F6" w:rsidRPr="00960992" w:rsidDel="00A922AA" w:rsidRDefault="003535F6" w:rsidP="003535F6">
            <w:pPr>
              <w:rPr>
                <w:i/>
                <w:iCs/>
              </w:rPr>
            </w:pPr>
            <w:r>
              <w:rPr>
                <w:rFonts w:ascii="Calibri" w:hAnsi="Calibri" w:cs="Calibri"/>
                <w:color w:val="000000"/>
              </w:rPr>
              <w:t xml:space="preserve">Pecten </w:t>
            </w:r>
            <w:proofErr w:type="spellStart"/>
            <w:r>
              <w:rPr>
                <w:rFonts w:ascii="Calibri" w:hAnsi="Calibri" w:cs="Calibri"/>
                <w:color w:val="000000"/>
              </w:rPr>
              <w:t>fumatus</w:t>
            </w:r>
            <w:proofErr w:type="spellEnd"/>
          </w:p>
        </w:tc>
        <w:tc>
          <w:tcPr>
            <w:tcW w:w="1970" w:type="dxa"/>
            <w:noWrap/>
            <w:vAlign w:val="bottom"/>
          </w:tcPr>
          <w:p w14:paraId="6258836B" w14:textId="5D81443F" w:rsidR="003535F6" w:rsidRPr="00960992" w:rsidDel="00A922AA" w:rsidRDefault="003535F6" w:rsidP="003535F6">
            <w:r>
              <w:rPr>
                <w:rFonts w:ascii="Calibri" w:hAnsi="Calibri" w:cs="Calibri"/>
                <w:color w:val="000000"/>
              </w:rPr>
              <w:t>23270007</w:t>
            </w:r>
          </w:p>
        </w:tc>
        <w:tc>
          <w:tcPr>
            <w:tcW w:w="1586" w:type="dxa"/>
            <w:noWrap/>
            <w:vAlign w:val="bottom"/>
          </w:tcPr>
          <w:p w14:paraId="78B699A0" w14:textId="3EAA7E7C" w:rsidR="003535F6" w:rsidRPr="00960992" w:rsidDel="00A922AA" w:rsidRDefault="003535F6" w:rsidP="003535F6">
            <w:r>
              <w:rPr>
                <w:rFonts w:ascii="Calibri" w:hAnsi="Calibri" w:cs="Calibri"/>
                <w:color w:val="000000"/>
              </w:rPr>
              <w:t>1216</w:t>
            </w:r>
          </w:p>
        </w:tc>
      </w:tr>
      <w:tr w:rsidR="003535F6" w:rsidRPr="00960992" w14:paraId="26B4AD9E" w14:textId="77777777" w:rsidTr="00A25D83">
        <w:trPr>
          <w:trHeight w:val="300"/>
          <w:jc w:val="center"/>
        </w:trPr>
        <w:tc>
          <w:tcPr>
            <w:tcW w:w="1093" w:type="dxa"/>
            <w:noWrap/>
            <w:vAlign w:val="bottom"/>
          </w:tcPr>
          <w:p w14:paraId="1B7EA016" w14:textId="7044C9B0" w:rsidR="003535F6" w:rsidRDefault="003535F6" w:rsidP="003535F6">
            <w:pPr>
              <w:rPr>
                <w:rFonts w:ascii="Calibri" w:hAnsi="Calibri" w:cs="Calibri"/>
                <w:color w:val="000000"/>
              </w:rPr>
            </w:pPr>
            <w:r>
              <w:rPr>
                <w:rFonts w:ascii="Calibri" w:hAnsi="Calibri" w:cs="Calibri"/>
                <w:color w:val="000000"/>
              </w:rPr>
              <w:t>2023</w:t>
            </w:r>
          </w:p>
        </w:tc>
        <w:tc>
          <w:tcPr>
            <w:tcW w:w="2007" w:type="dxa"/>
            <w:noWrap/>
            <w:vAlign w:val="bottom"/>
          </w:tcPr>
          <w:p w14:paraId="63D0265C" w14:textId="1E4989DA" w:rsidR="003535F6" w:rsidRPr="00960992" w:rsidDel="00A922AA" w:rsidRDefault="003535F6" w:rsidP="003535F6">
            <w:r>
              <w:rPr>
                <w:rFonts w:ascii="Calibri" w:hAnsi="Calibri" w:cs="Calibri"/>
                <w:color w:val="000000"/>
              </w:rPr>
              <w:t>Gould's Squid</w:t>
            </w:r>
          </w:p>
        </w:tc>
        <w:tc>
          <w:tcPr>
            <w:tcW w:w="2360" w:type="dxa"/>
            <w:noWrap/>
            <w:vAlign w:val="bottom"/>
          </w:tcPr>
          <w:p w14:paraId="435C845E" w14:textId="19EB4C79" w:rsidR="003535F6" w:rsidRPr="00960992" w:rsidDel="00A922AA" w:rsidRDefault="003535F6" w:rsidP="003535F6">
            <w:pPr>
              <w:rPr>
                <w:i/>
                <w:iCs/>
              </w:rPr>
            </w:pPr>
            <w:proofErr w:type="spellStart"/>
            <w:r>
              <w:rPr>
                <w:rFonts w:ascii="Calibri" w:hAnsi="Calibri" w:cs="Calibri"/>
                <w:color w:val="000000"/>
              </w:rPr>
              <w:t>Nototodarus</w:t>
            </w:r>
            <w:proofErr w:type="spellEnd"/>
            <w:r>
              <w:rPr>
                <w:rFonts w:ascii="Calibri" w:hAnsi="Calibri" w:cs="Calibri"/>
                <w:color w:val="000000"/>
              </w:rPr>
              <w:t xml:space="preserve"> gouldi</w:t>
            </w:r>
          </w:p>
        </w:tc>
        <w:tc>
          <w:tcPr>
            <w:tcW w:w="1970" w:type="dxa"/>
            <w:noWrap/>
            <w:vAlign w:val="bottom"/>
          </w:tcPr>
          <w:p w14:paraId="4F4EE808" w14:textId="43241D26" w:rsidR="003535F6" w:rsidRPr="00960992" w:rsidDel="00A922AA" w:rsidRDefault="003535F6" w:rsidP="003535F6">
            <w:r>
              <w:rPr>
                <w:rFonts w:ascii="Calibri" w:hAnsi="Calibri" w:cs="Calibri"/>
                <w:color w:val="000000"/>
              </w:rPr>
              <w:t>23636004</w:t>
            </w:r>
          </w:p>
        </w:tc>
        <w:tc>
          <w:tcPr>
            <w:tcW w:w="1586" w:type="dxa"/>
            <w:noWrap/>
            <w:vAlign w:val="bottom"/>
          </w:tcPr>
          <w:p w14:paraId="21286B9A" w14:textId="2DC33E41" w:rsidR="003535F6" w:rsidRPr="00960992" w:rsidDel="00A922AA" w:rsidRDefault="003535F6" w:rsidP="003535F6">
            <w:r>
              <w:rPr>
                <w:rFonts w:ascii="Calibri" w:hAnsi="Calibri" w:cs="Calibri"/>
                <w:color w:val="000000"/>
              </w:rPr>
              <w:t>640974</w:t>
            </w:r>
          </w:p>
        </w:tc>
      </w:tr>
      <w:tr w:rsidR="003535F6" w:rsidRPr="00960992" w14:paraId="57D8D790" w14:textId="77777777" w:rsidTr="00A25D83">
        <w:trPr>
          <w:trHeight w:val="300"/>
          <w:jc w:val="center"/>
        </w:trPr>
        <w:tc>
          <w:tcPr>
            <w:tcW w:w="1093" w:type="dxa"/>
            <w:noWrap/>
            <w:vAlign w:val="bottom"/>
          </w:tcPr>
          <w:p w14:paraId="7F35011F" w14:textId="19FA4DB1" w:rsidR="003535F6" w:rsidRDefault="003535F6" w:rsidP="003535F6">
            <w:pPr>
              <w:rPr>
                <w:rFonts w:ascii="Calibri" w:hAnsi="Calibri" w:cs="Calibri"/>
                <w:color w:val="000000"/>
              </w:rPr>
            </w:pPr>
            <w:r>
              <w:rPr>
                <w:rFonts w:ascii="Calibri" w:hAnsi="Calibri" w:cs="Calibri"/>
                <w:color w:val="000000"/>
              </w:rPr>
              <w:t>2024</w:t>
            </w:r>
          </w:p>
        </w:tc>
        <w:tc>
          <w:tcPr>
            <w:tcW w:w="2007" w:type="dxa"/>
            <w:noWrap/>
            <w:vAlign w:val="bottom"/>
          </w:tcPr>
          <w:p w14:paraId="2F78F2BB" w14:textId="063A2121" w:rsidR="003535F6" w:rsidRPr="00960992" w:rsidDel="00A922AA" w:rsidRDefault="003535F6" w:rsidP="003535F6">
            <w:r>
              <w:rPr>
                <w:rFonts w:ascii="Calibri" w:hAnsi="Calibri" w:cs="Calibri"/>
                <w:color w:val="000000"/>
              </w:rPr>
              <w:t>Gould's Squid</w:t>
            </w:r>
          </w:p>
        </w:tc>
        <w:tc>
          <w:tcPr>
            <w:tcW w:w="2360" w:type="dxa"/>
            <w:noWrap/>
            <w:vAlign w:val="bottom"/>
          </w:tcPr>
          <w:p w14:paraId="4E04BC23" w14:textId="72E184C3" w:rsidR="003535F6" w:rsidRPr="00960992" w:rsidDel="00A922AA" w:rsidRDefault="003535F6" w:rsidP="003535F6">
            <w:pPr>
              <w:rPr>
                <w:i/>
                <w:iCs/>
              </w:rPr>
            </w:pPr>
            <w:proofErr w:type="spellStart"/>
            <w:r>
              <w:rPr>
                <w:rFonts w:ascii="Calibri" w:hAnsi="Calibri" w:cs="Calibri"/>
                <w:color w:val="000000"/>
              </w:rPr>
              <w:t>Nototodarus</w:t>
            </w:r>
            <w:proofErr w:type="spellEnd"/>
            <w:r>
              <w:rPr>
                <w:rFonts w:ascii="Calibri" w:hAnsi="Calibri" w:cs="Calibri"/>
                <w:color w:val="000000"/>
              </w:rPr>
              <w:t xml:space="preserve"> gouldi</w:t>
            </w:r>
          </w:p>
        </w:tc>
        <w:tc>
          <w:tcPr>
            <w:tcW w:w="1970" w:type="dxa"/>
            <w:noWrap/>
            <w:vAlign w:val="bottom"/>
          </w:tcPr>
          <w:p w14:paraId="26B25A24" w14:textId="5B7F02BC" w:rsidR="003535F6" w:rsidRPr="00960992" w:rsidDel="00A922AA" w:rsidRDefault="003535F6" w:rsidP="003535F6">
            <w:r>
              <w:rPr>
                <w:rFonts w:ascii="Calibri" w:hAnsi="Calibri" w:cs="Calibri"/>
                <w:color w:val="000000"/>
              </w:rPr>
              <w:t>23636004</w:t>
            </w:r>
          </w:p>
        </w:tc>
        <w:tc>
          <w:tcPr>
            <w:tcW w:w="1586" w:type="dxa"/>
            <w:noWrap/>
            <w:vAlign w:val="bottom"/>
          </w:tcPr>
          <w:p w14:paraId="2338DF3C" w14:textId="363809F9" w:rsidR="003535F6" w:rsidRPr="00960992" w:rsidDel="00A922AA" w:rsidRDefault="003535F6" w:rsidP="003535F6">
            <w:r>
              <w:rPr>
                <w:rFonts w:ascii="Calibri" w:hAnsi="Calibri" w:cs="Calibri"/>
                <w:color w:val="000000"/>
              </w:rPr>
              <w:t>770384</w:t>
            </w:r>
          </w:p>
        </w:tc>
      </w:tr>
      <w:tr w:rsidR="003535F6" w:rsidRPr="00960992" w14:paraId="1A09397A" w14:textId="77777777" w:rsidTr="00A25D83">
        <w:trPr>
          <w:trHeight w:val="300"/>
          <w:jc w:val="center"/>
        </w:trPr>
        <w:tc>
          <w:tcPr>
            <w:tcW w:w="1093" w:type="dxa"/>
            <w:noWrap/>
            <w:vAlign w:val="bottom"/>
          </w:tcPr>
          <w:p w14:paraId="675F7E9F" w14:textId="5800199E" w:rsidR="003535F6" w:rsidRDefault="003535F6" w:rsidP="003535F6">
            <w:pPr>
              <w:rPr>
                <w:rFonts w:ascii="Calibri" w:hAnsi="Calibri" w:cs="Calibri"/>
                <w:color w:val="000000"/>
              </w:rPr>
            </w:pPr>
            <w:r>
              <w:rPr>
                <w:rFonts w:ascii="Calibri" w:hAnsi="Calibri" w:cs="Calibri"/>
                <w:color w:val="000000"/>
              </w:rPr>
              <w:t>2025</w:t>
            </w:r>
          </w:p>
        </w:tc>
        <w:tc>
          <w:tcPr>
            <w:tcW w:w="2007" w:type="dxa"/>
            <w:noWrap/>
            <w:vAlign w:val="bottom"/>
          </w:tcPr>
          <w:p w14:paraId="55899551" w14:textId="67CFA723" w:rsidR="003535F6" w:rsidRPr="00960992" w:rsidDel="00A922AA" w:rsidRDefault="003535F6" w:rsidP="003535F6">
            <w:r>
              <w:rPr>
                <w:rFonts w:ascii="Calibri" w:hAnsi="Calibri" w:cs="Calibri"/>
                <w:color w:val="000000"/>
              </w:rPr>
              <w:t>Gould's Squid</w:t>
            </w:r>
          </w:p>
        </w:tc>
        <w:tc>
          <w:tcPr>
            <w:tcW w:w="2360" w:type="dxa"/>
            <w:noWrap/>
            <w:vAlign w:val="bottom"/>
          </w:tcPr>
          <w:p w14:paraId="1A32326C" w14:textId="3A98FF15" w:rsidR="003535F6" w:rsidRPr="00960992" w:rsidDel="00A922AA" w:rsidRDefault="003535F6" w:rsidP="003535F6">
            <w:pPr>
              <w:rPr>
                <w:i/>
                <w:iCs/>
              </w:rPr>
            </w:pPr>
            <w:proofErr w:type="spellStart"/>
            <w:r>
              <w:rPr>
                <w:rFonts w:ascii="Calibri" w:hAnsi="Calibri" w:cs="Calibri"/>
                <w:color w:val="000000"/>
              </w:rPr>
              <w:t>Nototodarus</w:t>
            </w:r>
            <w:proofErr w:type="spellEnd"/>
            <w:r>
              <w:rPr>
                <w:rFonts w:ascii="Calibri" w:hAnsi="Calibri" w:cs="Calibri"/>
                <w:color w:val="000000"/>
              </w:rPr>
              <w:t xml:space="preserve"> gouldi</w:t>
            </w:r>
          </w:p>
        </w:tc>
        <w:tc>
          <w:tcPr>
            <w:tcW w:w="1970" w:type="dxa"/>
            <w:noWrap/>
            <w:vAlign w:val="bottom"/>
          </w:tcPr>
          <w:p w14:paraId="12C52597" w14:textId="1389AA5D" w:rsidR="003535F6" w:rsidRPr="00960992" w:rsidDel="00A922AA" w:rsidRDefault="003535F6" w:rsidP="003535F6">
            <w:r>
              <w:rPr>
                <w:rFonts w:ascii="Calibri" w:hAnsi="Calibri" w:cs="Calibri"/>
                <w:color w:val="000000"/>
              </w:rPr>
              <w:t>23636004</w:t>
            </w:r>
          </w:p>
        </w:tc>
        <w:tc>
          <w:tcPr>
            <w:tcW w:w="1586" w:type="dxa"/>
            <w:noWrap/>
            <w:vAlign w:val="bottom"/>
          </w:tcPr>
          <w:p w14:paraId="303FC8DB" w14:textId="1EE35E71" w:rsidR="003535F6" w:rsidRPr="00960992" w:rsidDel="00A922AA" w:rsidRDefault="003535F6" w:rsidP="003535F6">
            <w:r>
              <w:rPr>
                <w:rFonts w:ascii="Calibri" w:hAnsi="Calibri" w:cs="Calibri"/>
                <w:color w:val="000000"/>
              </w:rPr>
              <w:t>423348</w:t>
            </w:r>
          </w:p>
        </w:tc>
      </w:tr>
      <w:tr w:rsidR="003535F6" w:rsidRPr="00960992" w14:paraId="216E037B" w14:textId="77777777" w:rsidTr="00A25D83">
        <w:trPr>
          <w:trHeight w:val="300"/>
          <w:jc w:val="center"/>
        </w:trPr>
        <w:tc>
          <w:tcPr>
            <w:tcW w:w="1093" w:type="dxa"/>
            <w:noWrap/>
            <w:vAlign w:val="bottom"/>
          </w:tcPr>
          <w:p w14:paraId="6192C7B0" w14:textId="16E3AB13" w:rsidR="003535F6" w:rsidRDefault="003535F6" w:rsidP="003535F6">
            <w:pPr>
              <w:rPr>
                <w:rFonts w:ascii="Calibri" w:hAnsi="Calibri" w:cs="Calibri"/>
                <w:color w:val="000000"/>
              </w:rPr>
            </w:pPr>
            <w:r>
              <w:rPr>
                <w:rFonts w:ascii="Calibri" w:hAnsi="Calibri" w:cs="Calibri"/>
                <w:color w:val="000000"/>
              </w:rPr>
              <w:t>2025</w:t>
            </w:r>
          </w:p>
        </w:tc>
        <w:tc>
          <w:tcPr>
            <w:tcW w:w="2007" w:type="dxa"/>
            <w:noWrap/>
            <w:vAlign w:val="bottom"/>
          </w:tcPr>
          <w:p w14:paraId="57038BBE" w14:textId="244BE785" w:rsidR="003535F6" w:rsidRPr="00960992" w:rsidDel="00A922AA" w:rsidRDefault="003535F6" w:rsidP="003535F6">
            <w:r>
              <w:rPr>
                <w:rFonts w:ascii="Calibri" w:hAnsi="Calibri" w:cs="Calibri"/>
                <w:color w:val="000000"/>
              </w:rPr>
              <w:t>Southern Bluefin Tuna</w:t>
            </w:r>
          </w:p>
        </w:tc>
        <w:tc>
          <w:tcPr>
            <w:tcW w:w="2360" w:type="dxa"/>
            <w:noWrap/>
            <w:vAlign w:val="bottom"/>
          </w:tcPr>
          <w:p w14:paraId="3E14EBF0" w14:textId="1A7EA086" w:rsidR="003535F6" w:rsidRPr="00960992" w:rsidDel="00A922AA" w:rsidRDefault="003535F6" w:rsidP="003535F6">
            <w:pPr>
              <w:rPr>
                <w:i/>
                <w:iCs/>
              </w:rPr>
            </w:pPr>
            <w:r>
              <w:rPr>
                <w:rFonts w:ascii="Calibri" w:hAnsi="Calibri" w:cs="Calibri"/>
                <w:color w:val="000000"/>
              </w:rPr>
              <w:t xml:space="preserve">Thunnus </w:t>
            </w:r>
            <w:proofErr w:type="spellStart"/>
            <w:r>
              <w:rPr>
                <w:rFonts w:ascii="Calibri" w:hAnsi="Calibri" w:cs="Calibri"/>
                <w:color w:val="000000"/>
              </w:rPr>
              <w:t>maccoyii</w:t>
            </w:r>
            <w:proofErr w:type="spellEnd"/>
          </w:p>
        </w:tc>
        <w:tc>
          <w:tcPr>
            <w:tcW w:w="1970" w:type="dxa"/>
            <w:noWrap/>
            <w:vAlign w:val="bottom"/>
          </w:tcPr>
          <w:p w14:paraId="43AC2FF4" w14:textId="23597B38" w:rsidR="003535F6" w:rsidRPr="00960992" w:rsidDel="00A922AA" w:rsidRDefault="003535F6" w:rsidP="003535F6">
            <w:r>
              <w:rPr>
                <w:rFonts w:ascii="Calibri" w:hAnsi="Calibri" w:cs="Calibri"/>
                <w:color w:val="000000"/>
              </w:rPr>
              <w:t>37441004</w:t>
            </w:r>
          </w:p>
        </w:tc>
        <w:tc>
          <w:tcPr>
            <w:tcW w:w="1586" w:type="dxa"/>
            <w:noWrap/>
            <w:vAlign w:val="bottom"/>
          </w:tcPr>
          <w:p w14:paraId="3FB86E58" w14:textId="13AAC562" w:rsidR="003535F6" w:rsidRPr="00960992" w:rsidDel="00A922AA" w:rsidRDefault="003535F6" w:rsidP="003535F6">
            <w:r>
              <w:rPr>
                <w:rFonts w:ascii="Calibri" w:hAnsi="Calibri" w:cs="Calibri"/>
                <w:color w:val="000000"/>
              </w:rPr>
              <w:t>27995</w:t>
            </w:r>
          </w:p>
        </w:tc>
      </w:tr>
    </w:tbl>
    <w:p w14:paraId="1A447DC6" w14:textId="2CEEC724" w:rsidR="00D8171D" w:rsidRDefault="00D8171D" w:rsidP="00E57B7A"/>
    <w:p w14:paraId="13BE96D1" w14:textId="4DA6138C" w:rsidR="00872E77" w:rsidRPr="00872E77" w:rsidRDefault="00D8171D" w:rsidP="00A25D83">
      <w:r>
        <w:br w:type="page"/>
      </w:r>
    </w:p>
    <w:p w14:paraId="54E241DC" w14:textId="19892982" w:rsidR="0027650A" w:rsidRDefault="0027650A" w:rsidP="00642FA1">
      <w:pPr>
        <w:pStyle w:val="Heading2"/>
        <w:ind w:left="0"/>
      </w:pPr>
      <w:bookmarkStart w:id="53" w:name="_Toc210975480"/>
      <w:r w:rsidRPr="00DD2A99">
        <w:lastRenderedPageBreak/>
        <w:t xml:space="preserve">APPENDIX 2 – </w:t>
      </w:r>
      <w:r w:rsidR="00633FDE" w:rsidRPr="00DD2A99">
        <w:t xml:space="preserve">Discarded </w:t>
      </w:r>
      <w:r w:rsidR="00685ED0" w:rsidRPr="00DD2A99">
        <w:t>c</w:t>
      </w:r>
      <w:r w:rsidR="00633FDE" w:rsidRPr="00DD2A99">
        <w:t xml:space="preserve">atch </w:t>
      </w:r>
      <w:r w:rsidR="00685ED0" w:rsidRPr="00DD2A99">
        <w:t>d</w:t>
      </w:r>
      <w:r w:rsidR="00633FDE" w:rsidRPr="00DD2A99">
        <w:t>ata (target and non-target species)</w:t>
      </w:r>
      <w:bookmarkEnd w:id="53"/>
    </w:p>
    <w:p w14:paraId="4B419AAB" w14:textId="6D1FA241" w:rsidR="00A55E0B" w:rsidRDefault="003A217F" w:rsidP="00A25D83">
      <w:r>
        <w:t>Table 9. SSJF</w:t>
      </w:r>
      <w:r w:rsidR="006F42E3">
        <w:t xml:space="preserve"> </w:t>
      </w:r>
      <w:r w:rsidR="00C26500">
        <w:t>Discarded catch</w:t>
      </w:r>
      <w:r w:rsidR="00C06228">
        <w:t xml:space="preserve"> by Logbook</w:t>
      </w:r>
      <w:r w:rsidR="00F86E22">
        <w:t xml:space="preserve"> 2020-2025</w:t>
      </w:r>
    </w:p>
    <w:tbl>
      <w:tblPr>
        <w:tblStyle w:val="TableGrid"/>
        <w:tblW w:w="0" w:type="auto"/>
        <w:jc w:val="center"/>
        <w:tblLayout w:type="fixed"/>
        <w:tblLook w:val="04A0" w:firstRow="1" w:lastRow="0" w:firstColumn="1" w:lastColumn="0" w:noHBand="0" w:noVBand="1"/>
      </w:tblPr>
      <w:tblGrid>
        <w:gridCol w:w="838"/>
        <w:gridCol w:w="1709"/>
        <w:gridCol w:w="2268"/>
        <w:gridCol w:w="1417"/>
        <w:gridCol w:w="1276"/>
        <w:gridCol w:w="1276"/>
      </w:tblGrid>
      <w:tr w:rsidR="004C073D" w:rsidRPr="00072912" w14:paraId="6F7742D9" w14:textId="1A69F79D" w:rsidTr="00A25D83">
        <w:trPr>
          <w:trHeight w:val="600"/>
          <w:jc w:val="center"/>
        </w:trPr>
        <w:tc>
          <w:tcPr>
            <w:tcW w:w="838" w:type="dxa"/>
            <w:shd w:val="clear" w:color="auto" w:fill="006C8B"/>
            <w:noWrap/>
            <w:vAlign w:val="center"/>
            <w:hideMark/>
          </w:tcPr>
          <w:p w14:paraId="274A931F" w14:textId="77777777" w:rsidR="00B6630B" w:rsidRPr="00072912" w:rsidRDefault="00B6630B" w:rsidP="008A70F4">
            <w:pPr>
              <w:jc w:val="center"/>
              <w:rPr>
                <w:color w:val="FFFFFF" w:themeColor="background1"/>
              </w:rPr>
            </w:pPr>
            <w:r w:rsidRPr="00072912">
              <w:rPr>
                <w:color w:val="FFFFFF" w:themeColor="background1"/>
              </w:rPr>
              <w:t>Year</w:t>
            </w:r>
          </w:p>
        </w:tc>
        <w:tc>
          <w:tcPr>
            <w:tcW w:w="1709" w:type="dxa"/>
            <w:shd w:val="clear" w:color="auto" w:fill="006C8B"/>
            <w:noWrap/>
            <w:vAlign w:val="center"/>
            <w:hideMark/>
          </w:tcPr>
          <w:p w14:paraId="72FAE44D" w14:textId="77777777" w:rsidR="00B6630B" w:rsidRPr="00072912" w:rsidRDefault="00B6630B" w:rsidP="008A70F4">
            <w:pPr>
              <w:jc w:val="center"/>
              <w:rPr>
                <w:color w:val="FFFFFF" w:themeColor="background1"/>
              </w:rPr>
            </w:pPr>
            <w:r w:rsidRPr="00072912">
              <w:rPr>
                <w:color w:val="FFFFFF" w:themeColor="background1"/>
              </w:rPr>
              <w:t>Standard Name</w:t>
            </w:r>
          </w:p>
        </w:tc>
        <w:tc>
          <w:tcPr>
            <w:tcW w:w="2268" w:type="dxa"/>
            <w:shd w:val="clear" w:color="auto" w:fill="006C8B"/>
            <w:noWrap/>
            <w:vAlign w:val="center"/>
            <w:hideMark/>
          </w:tcPr>
          <w:p w14:paraId="1E154839" w14:textId="77777777" w:rsidR="00B6630B" w:rsidRPr="00072912" w:rsidRDefault="00B6630B" w:rsidP="008A70F4">
            <w:pPr>
              <w:jc w:val="center"/>
              <w:rPr>
                <w:color w:val="FFFFFF" w:themeColor="background1"/>
              </w:rPr>
            </w:pPr>
            <w:r w:rsidRPr="00072912">
              <w:rPr>
                <w:color w:val="FFFFFF" w:themeColor="background1"/>
              </w:rPr>
              <w:t>Scientific Name</w:t>
            </w:r>
          </w:p>
        </w:tc>
        <w:tc>
          <w:tcPr>
            <w:tcW w:w="1417" w:type="dxa"/>
            <w:shd w:val="clear" w:color="auto" w:fill="006C8B"/>
            <w:noWrap/>
            <w:vAlign w:val="center"/>
            <w:hideMark/>
          </w:tcPr>
          <w:p w14:paraId="31807C10" w14:textId="77777777" w:rsidR="00B6630B" w:rsidRPr="00072912" w:rsidRDefault="00B6630B" w:rsidP="008A70F4">
            <w:pPr>
              <w:jc w:val="center"/>
              <w:rPr>
                <w:color w:val="FFFFFF" w:themeColor="background1"/>
              </w:rPr>
            </w:pPr>
            <w:r w:rsidRPr="00072912">
              <w:rPr>
                <w:color w:val="FFFFFF" w:themeColor="background1"/>
              </w:rPr>
              <w:t>CAAB</w:t>
            </w:r>
          </w:p>
        </w:tc>
        <w:tc>
          <w:tcPr>
            <w:tcW w:w="1276" w:type="dxa"/>
            <w:shd w:val="clear" w:color="auto" w:fill="006C8B"/>
            <w:vAlign w:val="center"/>
            <w:hideMark/>
          </w:tcPr>
          <w:p w14:paraId="292444FC" w14:textId="28587EA2" w:rsidR="00B6630B" w:rsidRPr="00072912" w:rsidRDefault="005659EE" w:rsidP="008A70F4">
            <w:pPr>
              <w:jc w:val="center"/>
              <w:rPr>
                <w:color w:val="FFFFFF" w:themeColor="background1"/>
              </w:rPr>
            </w:pPr>
            <w:r w:rsidRPr="005659EE">
              <w:rPr>
                <w:color w:val="FFFFFF" w:themeColor="background1"/>
              </w:rPr>
              <w:t>*</w:t>
            </w:r>
            <w:r w:rsidR="00B6630B">
              <w:rPr>
                <w:color w:val="FFFFFF" w:themeColor="background1"/>
              </w:rPr>
              <w:t>Discarded</w:t>
            </w:r>
            <w:r w:rsidR="00B6630B" w:rsidRPr="00072912">
              <w:rPr>
                <w:color w:val="FFFFFF" w:themeColor="background1"/>
              </w:rPr>
              <w:t xml:space="preserve"> weight (</w:t>
            </w:r>
            <w:r w:rsidR="00B6630B">
              <w:rPr>
                <w:color w:val="FFFFFF" w:themeColor="background1"/>
              </w:rPr>
              <w:t>kg</w:t>
            </w:r>
            <w:r w:rsidR="00B6630B" w:rsidRPr="00072912">
              <w:rPr>
                <w:color w:val="FFFFFF" w:themeColor="background1"/>
              </w:rPr>
              <w:t>)</w:t>
            </w:r>
          </w:p>
        </w:tc>
        <w:tc>
          <w:tcPr>
            <w:tcW w:w="1276" w:type="dxa"/>
            <w:shd w:val="clear" w:color="auto" w:fill="006C8B"/>
          </w:tcPr>
          <w:p w14:paraId="6E4CF0B7" w14:textId="05B51787" w:rsidR="00B6630B" w:rsidRPr="00072912" w:rsidDel="00850C5A" w:rsidRDefault="001D47C4" w:rsidP="008A70F4">
            <w:pPr>
              <w:jc w:val="center"/>
              <w:rPr>
                <w:color w:val="FFFFFF" w:themeColor="background1"/>
              </w:rPr>
            </w:pPr>
            <w:r>
              <w:rPr>
                <w:color w:val="FFFFFF" w:themeColor="background1"/>
              </w:rPr>
              <w:t>*</w:t>
            </w:r>
            <w:r w:rsidR="004C073D">
              <w:rPr>
                <w:color w:val="FFFFFF" w:themeColor="background1"/>
              </w:rPr>
              <w:t>Discarded No.</w:t>
            </w:r>
          </w:p>
        </w:tc>
      </w:tr>
      <w:tr w:rsidR="004C073D" w:rsidRPr="00960992" w14:paraId="6752ACD1" w14:textId="496711EC" w:rsidTr="00A25D83">
        <w:trPr>
          <w:trHeight w:val="300"/>
          <w:jc w:val="center"/>
        </w:trPr>
        <w:tc>
          <w:tcPr>
            <w:tcW w:w="838" w:type="dxa"/>
            <w:noWrap/>
            <w:vAlign w:val="bottom"/>
          </w:tcPr>
          <w:p w14:paraId="4D4C6DBA" w14:textId="100D2E09" w:rsidR="00B6630B" w:rsidRPr="00960992" w:rsidRDefault="00B6630B" w:rsidP="00850C5A">
            <w:r>
              <w:rPr>
                <w:rFonts w:ascii="Calibri" w:hAnsi="Calibri" w:cs="Calibri"/>
                <w:color w:val="000000"/>
              </w:rPr>
              <w:t>2020</w:t>
            </w:r>
          </w:p>
        </w:tc>
        <w:tc>
          <w:tcPr>
            <w:tcW w:w="1709" w:type="dxa"/>
            <w:noWrap/>
            <w:vAlign w:val="bottom"/>
          </w:tcPr>
          <w:p w14:paraId="081A4BD2" w14:textId="7CD81243" w:rsidR="00B6630B" w:rsidRPr="00960992" w:rsidRDefault="00B6630B" w:rsidP="00850C5A">
            <w:r>
              <w:rPr>
                <w:rFonts w:ascii="Calibri" w:hAnsi="Calibri" w:cs="Calibri"/>
                <w:color w:val="000000"/>
              </w:rPr>
              <w:t>Gould's Squid</w:t>
            </w:r>
          </w:p>
        </w:tc>
        <w:tc>
          <w:tcPr>
            <w:tcW w:w="2268" w:type="dxa"/>
            <w:noWrap/>
            <w:vAlign w:val="bottom"/>
          </w:tcPr>
          <w:p w14:paraId="73DB6332" w14:textId="1B805CF0" w:rsidR="00B6630B" w:rsidRPr="009E341D" w:rsidRDefault="00B6630B" w:rsidP="00850C5A">
            <w:pPr>
              <w:rPr>
                <w:i/>
                <w:iCs/>
              </w:rPr>
            </w:pPr>
            <w:proofErr w:type="spellStart"/>
            <w:r w:rsidRPr="00A25D83">
              <w:rPr>
                <w:rFonts w:ascii="Calibri" w:hAnsi="Calibri" w:cs="Calibri"/>
                <w:i/>
                <w:iCs/>
                <w:color w:val="000000"/>
              </w:rPr>
              <w:t>Nototodarus</w:t>
            </w:r>
            <w:proofErr w:type="spellEnd"/>
            <w:r w:rsidRPr="00A25D83">
              <w:rPr>
                <w:rFonts w:ascii="Calibri" w:hAnsi="Calibri" w:cs="Calibri"/>
                <w:i/>
                <w:iCs/>
                <w:color w:val="000000"/>
              </w:rPr>
              <w:t xml:space="preserve"> gouldi</w:t>
            </w:r>
          </w:p>
        </w:tc>
        <w:tc>
          <w:tcPr>
            <w:tcW w:w="1417" w:type="dxa"/>
            <w:noWrap/>
            <w:vAlign w:val="bottom"/>
          </w:tcPr>
          <w:p w14:paraId="42795FF0" w14:textId="1B2A273F" w:rsidR="00B6630B" w:rsidRPr="00960992" w:rsidRDefault="00B6630B" w:rsidP="00A25D83">
            <w:pPr>
              <w:jc w:val="center"/>
            </w:pPr>
            <w:r>
              <w:rPr>
                <w:rFonts w:ascii="Calibri" w:hAnsi="Calibri" w:cs="Calibri"/>
                <w:color w:val="000000"/>
              </w:rPr>
              <w:t>23636004</w:t>
            </w:r>
          </w:p>
        </w:tc>
        <w:tc>
          <w:tcPr>
            <w:tcW w:w="1276" w:type="dxa"/>
            <w:noWrap/>
            <w:vAlign w:val="center"/>
          </w:tcPr>
          <w:p w14:paraId="45624DE2" w14:textId="0CA0C1B9" w:rsidR="00B6630B" w:rsidRPr="00960992" w:rsidRDefault="00B6630B" w:rsidP="00A25D83">
            <w:pPr>
              <w:jc w:val="center"/>
            </w:pPr>
          </w:p>
        </w:tc>
        <w:tc>
          <w:tcPr>
            <w:tcW w:w="1276" w:type="dxa"/>
            <w:vAlign w:val="center"/>
          </w:tcPr>
          <w:p w14:paraId="12276FF7" w14:textId="77777777" w:rsidR="00B6630B" w:rsidRPr="00960992" w:rsidRDefault="00B6630B" w:rsidP="00A25D83">
            <w:pPr>
              <w:jc w:val="center"/>
            </w:pPr>
          </w:p>
        </w:tc>
      </w:tr>
      <w:tr w:rsidR="004C073D" w:rsidRPr="00960992" w14:paraId="7A69D749" w14:textId="35FDA94B" w:rsidTr="00A25D83">
        <w:trPr>
          <w:trHeight w:val="300"/>
          <w:jc w:val="center"/>
        </w:trPr>
        <w:tc>
          <w:tcPr>
            <w:tcW w:w="838" w:type="dxa"/>
            <w:noWrap/>
            <w:vAlign w:val="bottom"/>
          </w:tcPr>
          <w:p w14:paraId="69BCC655" w14:textId="64ABD314" w:rsidR="00B6630B" w:rsidRPr="00960992" w:rsidRDefault="00B6630B" w:rsidP="00850C5A">
            <w:r>
              <w:rPr>
                <w:rFonts w:ascii="Calibri" w:hAnsi="Calibri" w:cs="Calibri"/>
                <w:color w:val="000000"/>
              </w:rPr>
              <w:t>2020</w:t>
            </w:r>
          </w:p>
        </w:tc>
        <w:tc>
          <w:tcPr>
            <w:tcW w:w="1709" w:type="dxa"/>
            <w:noWrap/>
            <w:vAlign w:val="bottom"/>
          </w:tcPr>
          <w:p w14:paraId="0A11A71D" w14:textId="08419FDC" w:rsidR="00B6630B" w:rsidRPr="00960992" w:rsidRDefault="00B6630B" w:rsidP="00850C5A">
            <w:r>
              <w:rPr>
                <w:rFonts w:ascii="Calibri" w:hAnsi="Calibri" w:cs="Calibri"/>
                <w:color w:val="000000"/>
              </w:rPr>
              <w:t>Gummy Shark</w:t>
            </w:r>
          </w:p>
        </w:tc>
        <w:tc>
          <w:tcPr>
            <w:tcW w:w="2268" w:type="dxa"/>
            <w:noWrap/>
            <w:vAlign w:val="bottom"/>
          </w:tcPr>
          <w:p w14:paraId="6244BD27" w14:textId="267A3144" w:rsidR="00B6630B" w:rsidRPr="009E341D" w:rsidRDefault="00B6630B" w:rsidP="00850C5A">
            <w:pPr>
              <w:rPr>
                <w:i/>
                <w:iCs/>
              </w:rPr>
            </w:pPr>
            <w:proofErr w:type="spellStart"/>
            <w:r w:rsidRPr="00A25D83">
              <w:rPr>
                <w:rFonts w:ascii="Calibri" w:hAnsi="Calibri" w:cs="Calibri"/>
                <w:i/>
                <w:iCs/>
                <w:color w:val="000000"/>
              </w:rPr>
              <w:t>Mustelus</w:t>
            </w:r>
            <w:proofErr w:type="spellEnd"/>
            <w:r w:rsidRPr="00A25D83">
              <w:rPr>
                <w:rFonts w:ascii="Calibri" w:hAnsi="Calibri" w:cs="Calibri"/>
                <w:i/>
                <w:iCs/>
                <w:color w:val="000000"/>
              </w:rPr>
              <w:t xml:space="preserve"> antarcticus</w:t>
            </w:r>
          </w:p>
        </w:tc>
        <w:tc>
          <w:tcPr>
            <w:tcW w:w="1417" w:type="dxa"/>
            <w:noWrap/>
            <w:vAlign w:val="bottom"/>
          </w:tcPr>
          <w:p w14:paraId="02197529" w14:textId="3B305B94" w:rsidR="00B6630B" w:rsidRPr="00960992" w:rsidRDefault="00B6630B" w:rsidP="00A25D83">
            <w:pPr>
              <w:jc w:val="center"/>
            </w:pPr>
            <w:r>
              <w:rPr>
                <w:rFonts w:ascii="Calibri" w:hAnsi="Calibri" w:cs="Calibri"/>
                <w:color w:val="000000"/>
              </w:rPr>
              <w:t>37017001</w:t>
            </w:r>
          </w:p>
        </w:tc>
        <w:tc>
          <w:tcPr>
            <w:tcW w:w="1276" w:type="dxa"/>
            <w:noWrap/>
            <w:vAlign w:val="center"/>
          </w:tcPr>
          <w:p w14:paraId="25B06044" w14:textId="1C39C2D6" w:rsidR="00B6630B" w:rsidRPr="00960992" w:rsidRDefault="00B6630B" w:rsidP="00A25D83">
            <w:pPr>
              <w:jc w:val="center"/>
            </w:pPr>
          </w:p>
        </w:tc>
        <w:tc>
          <w:tcPr>
            <w:tcW w:w="1276" w:type="dxa"/>
            <w:vAlign w:val="center"/>
          </w:tcPr>
          <w:p w14:paraId="5F546FCC" w14:textId="77777777" w:rsidR="00B6630B" w:rsidRPr="00960992" w:rsidRDefault="00B6630B" w:rsidP="00A25D83">
            <w:pPr>
              <w:jc w:val="center"/>
            </w:pPr>
          </w:p>
        </w:tc>
      </w:tr>
      <w:tr w:rsidR="004C073D" w:rsidRPr="00960992" w14:paraId="0FC03468" w14:textId="650376C6" w:rsidTr="00A25D83">
        <w:trPr>
          <w:trHeight w:val="300"/>
          <w:jc w:val="center"/>
        </w:trPr>
        <w:tc>
          <w:tcPr>
            <w:tcW w:w="838" w:type="dxa"/>
            <w:noWrap/>
            <w:vAlign w:val="bottom"/>
          </w:tcPr>
          <w:p w14:paraId="49750068" w14:textId="2ECD8EDE" w:rsidR="00B6630B" w:rsidRPr="00960992" w:rsidRDefault="00B6630B" w:rsidP="00850C5A">
            <w:r>
              <w:rPr>
                <w:rFonts w:ascii="Calibri" w:hAnsi="Calibri" w:cs="Calibri"/>
                <w:color w:val="000000"/>
              </w:rPr>
              <w:t>2020</w:t>
            </w:r>
          </w:p>
        </w:tc>
        <w:tc>
          <w:tcPr>
            <w:tcW w:w="1709" w:type="dxa"/>
            <w:noWrap/>
            <w:vAlign w:val="bottom"/>
          </w:tcPr>
          <w:p w14:paraId="289D7D69" w14:textId="589E76CA" w:rsidR="00B6630B" w:rsidRPr="00960992" w:rsidRDefault="00B6630B" w:rsidP="00850C5A">
            <w:r>
              <w:rPr>
                <w:rFonts w:ascii="Calibri" w:hAnsi="Calibri" w:cs="Calibri"/>
                <w:color w:val="000000"/>
              </w:rPr>
              <w:t>Port Jackson Shark</w:t>
            </w:r>
          </w:p>
        </w:tc>
        <w:tc>
          <w:tcPr>
            <w:tcW w:w="2268" w:type="dxa"/>
            <w:noWrap/>
            <w:vAlign w:val="bottom"/>
          </w:tcPr>
          <w:p w14:paraId="3CE0E0A3" w14:textId="38C0BB85" w:rsidR="00B6630B" w:rsidRPr="009E341D" w:rsidRDefault="00B6630B" w:rsidP="00850C5A">
            <w:pPr>
              <w:rPr>
                <w:i/>
                <w:iCs/>
              </w:rPr>
            </w:pPr>
            <w:r w:rsidRPr="00A25D83">
              <w:rPr>
                <w:rFonts w:ascii="Calibri" w:hAnsi="Calibri" w:cs="Calibri"/>
                <w:i/>
                <w:iCs/>
                <w:color w:val="000000"/>
              </w:rPr>
              <w:t xml:space="preserve">Heterodontus </w:t>
            </w:r>
            <w:proofErr w:type="spellStart"/>
            <w:r w:rsidRPr="00A25D83">
              <w:rPr>
                <w:rFonts w:ascii="Calibri" w:hAnsi="Calibri" w:cs="Calibri"/>
                <w:i/>
                <w:iCs/>
                <w:color w:val="000000"/>
              </w:rPr>
              <w:t>portusjacksoni</w:t>
            </w:r>
            <w:proofErr w:type="spellEnd"/>
          </w:p>
        </w:tc>
        <w:tc>
          <w:tcPr>
            <w:tcW w:w="1417" w:type="dxa"/>
            <w:noWrap/>
            <w:vAlign w:val="bottom"/>
          </w:tcPr>
          <w:p w14:paraId="1A16AF99" w14:textId="4935FF60" w:rsidR="00B6630B" w:rsidRPr="00960992" w:rsidRDefault="00B6630B" w:rsidP="00A25D83">
            <w:pPr>
              <w:jc w:val="center"/>
            </w:pPr>
            <w:r>
              <w:rPr>
                <w:rFonts w:ascii="Calibri" w:hAnsi="Calibri" w:cs="Calibri"/>
                <w:color w:val="000000"/>
              </w:rPr>
              <w:t>37007001</w:t>
            </w:r>
          </w:p>
        </w:tc>
        <w:tc>
          <w:tcPr>
            <w:tcW w:w="1276" w:type="dxa"/>
            <w:noWrap/>
            <w:vAlign w:val="center"/>
          </w:tcPr>
          <w:p w14:paraId="735B4703" w14:textId="329DA3D5" w:rsidR="00B6630B" w:rsidRPr="00960992" w:rsidRDefault="00B6630B" w:rsidP="00A25D83">
            <w:pPr>
              <w:jc w:val="center"/>
            </w:pPr>
            <w:r>
              <w:rPr>
                <w:rFonts w:ascii="Calibri" w:hAnsi="Calibri" w:cs="Calibri"/>
                <w:color w:val="000000"/>
              </w:rPr>
              <w:t>2</w:t>
            </w:r>
          </w:p>
        </w:tc>
        <w:tc>
          <w:tcPr>
            <w:tcW w:w="1276" w:type="dxa"/>
            <w:vAlign w:val="center"/>
          </w:tcPr>
          <w:p w14:paraId="50F07E25" w14:textId="56F03D3E" w:rsidR="00B6630B" w:rsidRDefault="009E341D" w:rsidP="00A25D83">
            <w:pPr>
              <w:jc w:val="center"/>
              <w:rPr>
                <w:rFonts w:ascii="Calibri" w:hAnsi="Calibri" w:cs="Calibri"/>
                <w:color w:val="000000"/>
              </w:rPr>
            </w:pPr>
            <w:r>
              <w:rPr>
                <w:rFonts w:ascii="Calibri" w:hAnsi="Calibri" w:cs="Calibri"/>
                <w:color w:val="000000"/>
              </w:rPr>
              <w:t>4</w:t>
            </w:r>
          </w:p>
        </w:tc>
      </w:tr>
      <w:tr w:rsidR="004C073D" w:rsidRPr="00960992" w14:paraId="5AE03C16" w14:textId="391E5DD3" w:rsidTr="00A25D83">
        <w:trPr>
          <w:trHeight w:val="300"/>
          <w:jc w:val="center"/>
        </w:trPr>
        <w:tc>
          <w:tcPr>
            <w:tcW w:w="838" w:type="dxa"/>
            <w:noWrap/>
            <w:vAlign w:val="bottom"/>
          </w:tcPr>
          <w:p w14:paraId="5BA72610" w14:textId="1EEEA401" w:rsidR="00B6630B" w:rsidRPr="00960992" w:rsidRDefault="00B6630B" w:rsidP="00850C5A">
            <w:r>
              <w:rPr>
                <w:rFonts w:ascii="Calibri" w:hAnsi="Calibri" w:cs="Calibri"/>
                <w:color w:val="000000"/>
              </w:rPr>
              <w:t>2020</w:t>
            </w:r>
          </w:p>
        </w:tc>
        <w:tc>
          <w:tcPr>
            <w:tcW w:w="1709" w:type="dxa"/>
            <w:noWrap/>
            <w:vAlign w:val="bottom"/>
          </w:tcPr>
          <w:p w14:paraId="366C1B11" w14:textId="5240023E" w:rsidR="00B6630B" w:rsidRPr="00960992" w:rsidRDefault="00B6630B" w:rsidP="00850C5A">
            <w:r>
              <w:rPr>
                <w:rFonts w:ascii="Calibri" w:hAnsi="Calibri" w:cs="Calibri"/>
                <w:color w:val="000000"/>
              </w:rPr>
              <w:t>School Shark</w:t>
            </w:r>
          </w:p>
        </w:tc>
        <w:tc>
          <w:tcPr>
            <w:tcW w:w="2268" w:type="dxa"/>
            <w:noWrap/>
            <w:vAlign w:val="bottom"/>
          </w:tcPr>
          <w:p w14:paraId="6C571A30" w14:textId="54E6B189" w:rsidR="00B6630B" w:rsidRPr="009E341D" w:rsidRDefault="00B6630B" w:rsidP="00850C5A">
            <w:pPr>
              <w:rPr>
                <w:i/>
                <w:iCs/>
              </w:rPr>
            </w:pPr>
            <w:proofErr w:type="spellStart"/>
            <w:r w:rsidRPr="00A25D83">
              <w:rPr>
                <w:rFonts w:ascii="Calibri" w:hAnsi="Calibri" w:cs="Calibri"/>
                <w:i/>
                <w:iCs/>
                <w:color w:val="000000"/>
              </w:rPr>
              <w:t>Galeorhinus</w:t>
            </w:r>
            <w:proofErr w:type="spellEnd"/>
            <w:r w:rsidRPr="00A25D83">
              <w:rPr>
                <w:rFonts w:ascii="Calibri" w:hAnsi="Calibri" w:cs="Calibri"/>
                <w:i/>
                <w:iCs/>
                <w:color w:val="000000"/>
              </w:rPr>
              <w:t xml:space="preserve"> </w:t>
            </w:r>
            <w:proofErr w:type="spellStart"/>
            <w:r w:rsidRPr="00A25D83">
              <w:rPr>
                <w:rFonts w:ascii="Calibri" w:hAnsi="Calibri" w:cs="Calibri"/>
                <w:i/>
                <w:iCs/>
                <w:color w:val="000000"/>
              </w:rPr>
              <w:t>galeus</w:t>
            </w:r>
            <w:proofErr w:type="spellEnd"/>
          </w:p>
        </w:tc>
        <w:tc>
          <w:tcPr>
            <w:tcW w:w="1417" w:type="dxa"/>
            <w:noWrap/>
            <w:vAlign w:val="bottom"/>
          </w:tcPr>
          <w:p w14:paraId="64949A6C" w14:textId="3792F213" w:rsidR="00B6630B" w:rsidRPr="00960992" w:rsidRDefault="00B6630B" w:rsidP="00A25D83">
            <w:pPr>
              <w:jc w:val="center"/>
            </w:pPr>
            <w:r>
              <w:rPr>
                <w:rFonts w:ascii="Calibri" w:hAnsi="Calibri" w:cs="Calibri"/>
                <w:color w:val="000000"/>
              </w:rPr>
              <w:t>37017008</w:t>
            </w:r>
          </w:p>
        </w:tc>
        <w:tc>
          <w:tcPr>
            <w:tcW w:w="1276" w:type="dxa"/>
            <w:noWrap/>
            <w:vAlign w:val="center"/>
          </w:tcPr>
          <w:p w14:paraId="33F50C28" w14:textId="2CA59F6D" w:rsidR="00B6630B" w:rsidRPr="00960992" w:rsidRDefault="00B6630B" w:rsidP="00A25D83">
            <w:pPr>
              <w:jc w:val="center"/>
            </w:pPr>
          </w:p>
        </w:tc>
        <w:tc>
          <w:tcPr>
            <w:tcW w:w="1276" w:type="dxa"/>
            <w:vAlign w:val="center"/>
          </w:tcPr>
          <w:p w14:paraId="5D02276A" w14:textId="77777777" w:rsidR="00B6630B" w:rsidRPr="00960992" w:rsidRDefault="00B6630B" w:rsidP="00A25D83">
            <w:pPr>
              <w:jc w:val="center"/>
            </w:pPr>
          </w:p>
        </w:tc>
      </w:tr>
      <w:tr w:rsidR="004C073D" w:rsidRPr="00960992" w14:paraId="286C1DBB" w14:textId="2317DB79" w:rsidTr="00A25D83">
        <w:trPr>
          <w:trHeight w:val="300"/>
          <w:jc w:val="center"/>
        </w:trPr>
        <w:tc>
          <w:tcPr>
            <w:tcW w:w="838" w:type="dxa"/>
            <w:noWrap/>
            <w:vAlign w:val="bottom"/>
          </w:tcPr>
          <w:p w14:paraId="676E04DC" w14:textId="44168D89" w:rsidR="00B6630B" w:rsidRPr="00960992" w:rsidRDefault="00B6630B" w:rsidP="00850C5A">
            <w:r>
              <w:rPr>
                <w:rFonts w:ascii="Calibri" w:hAnsi="Calibri" w:cs="Calibri"/>
                <w:color w:val="000000"/>
              </w:rPr>
              <w:t>2020</w:t>
            </w:r>
          </w:p>
        </w:tc>
        <w:tc>
          <w:tcPr>
            <w:tcW w:w="1709" w:type="dxa"/>
            <w:noWrap/>
            <w:vAlign w:val="bottom"/>
          </w:tcPr>
          <w:p w14:paraId="02BD6935" w14:textId="7CA2DCB6" w:rsidR="00B6630B" w:rsidRPr="00960992" w:rsidRDefault="00B6630B" w:rsidP="00850C5A">
            <w:r>
              <w:rPr>
                <w:rFonts w:ascii="Calibri" w:hAnsi="Calibri" w:cs="Calibri"/>
                <w:color w:val="000000"/>
              </w:rPr>
              <w:t>Swallowtail</w:t>
            </w:r>
          </w:p>
        </w:tc>
        <w:tc>
          <w:tcPr>
            <w:tcW w:w="2268" w:type="dxa"/>
            <w:noWrap/>
            <w:vAlign w:val="bottom"/>
          </w:tcPr>
          <w:p w14:paraId="3779BE57" w14:textId="3135B4E7" w:rsidR="00B6630B" w:rsidRPr="009E341D" w:rsidRDefault="00B6630B" w:rsidP="00850C5A">
            <w:pPr>
              <w:rPr>
                <w:i/>
                <w:iCs/>
              </w:rPr>
            </w:pPr>
            <w:proofErr w:type="spellStart"/>
            <w:r w:rsidRPr="00A25D83">
              <w:rPr>
                <w:rFonts w:ascii="Calibri" w:hAnsi="Calibri" w:cs="Calibri"/>
                <w:i/>
                <w:iCs/>
                <w:color w:val="000000"/>
              </w:rPr>
              <w:t>Centroberyx</w:t>
            </w:r>
            <w:proofErr w:type="spellEnd"/>
            <w:r w:rsidRPr="00A25D83">
              <w:rPr>
                <w:rFonts w:ascii="Calibri" w:hAnsi="Calibri" w:cs="Calibri"/>
                <w:i/>
                <w:iCs/>
                <w:color w:val="000000"/>
              </w:rPr>
              <w:t xml:space="preserve"> lineatus</w:t>
            </w:r>
          </w:p>
        </w:tc>
        <w:tc>
          <w:tcPr>
            <w:tcW w:w="1417" w:type="dxa"/>
            <w:noWrap/>
            <w:vAlign w:val="bottom"/>
          </w:tcPr>
          <w:p w14:paraId="5487F044" w14:textId="1B5D8178" w:rsidR="00B6630B" w:rsidRPr="00960992" w:rsidRDefault="00B6630B" w:rsidP="00A25D83">
            <w:pPr>
              <w:jc w:val="center"/>
            </w:pPr>
            <w:r>
              <w:rPr>
                <w:rFonts w:ascii="Calibri" w:hAnsi="Calibri" w:cs="Calibri"/>
                <w:color w:val="000000"/>
              </w:rPr>
              <w:t>37258005</w:t>
            </w:r>
          </w:p>
        </w:tc>
        <w:tc>
          <w:tcPr>
            <w:tcW w:w="1276" w:type="dxa"/>
            <w:noWrap/>
            <w:vAlign w:val="center"/>
          </w:tcPr>
          <w:p w14:paraId="7E193751" w14:textId="7C3BA026" w:rsidR="00B6630B" w:rsidRPr="00960992" w:rsidRDefault="00B6630B" w:rsidP="00A25D83">
            <w:pPr>
              <w:jc w:val="center"/>
            </w:pPr>
          </w:p>
        </w:tc>
        <w:tc>
          <w:tcPr>
            <w:tcW w:w="1276" w:type="dxa"/>
            <w:vAlign w:val="center"/>
          </w:tcPr>
          <w:p w14:paraId="654B7CA2" w14:textId="77777777" w:rsidR="00B6630B" w:rsidRPr="00960992" w:rsidRDefault="00B6630B" w:rsidP="00A25D83">
            <w:pPr>
              <w:jc w:val="center"/>
            </w:pPr>
          </w:p>
        </w:tc>
      </w:tr>
      <w:tr w:rsidR="004C073D" w:rsidRPr="00960992" w:rsidDel="00A922AA" w14:paraId="30571706" w14:textId="5BE31B43" w:rsidTr="00A25D83">
        <w:trPr>
          <w:trHeight w:val="300"/>
          <w:jc w:val="center"/>
        </w:trPr>
        <w:tc>
          <w:tcPr>
            <w:tcW w:w="838" w:type="dxa"/>
            <w:noWrap/>
            <w:vAlign w:val="bottom"/>
          </w:tcPr>
          <w:p w14:paraId="56BD59C9" w14:textId="30408C13" w:rsidR="00B6630B" w:rsidRPr="00960992" w:rsidRDefault="00B6630B" w:rsidP="00850C5A">
            <w:r>
              <w:rPr>
                <w:rFonts w:ascii="Calibri" w:hAnsi="Calibri" w:cs="Calibri"/>
                <w:color w:val="000000"/>
              </w:rPr>
              <w:t>2021</w:t>
            </w:r>
          </w:p>
        </w:tc>
        <w:tc>
          <w:tcPr>
            <w:tcW w:w="1709" w:type="dxa"/>
            <w:noWrap/>
            <w:vAlign w:val="bottom"/>
          </w:tcPr>
          <w:p w14:paraId="392A5F78" w14:textId="0EFA2A4E" w:rsidR="00B6630B" w:rsidRPr="00960992" w:rsidDel="00A922AA" w:rsidRDefault="00B6630B" w:rsidP="00850C5A">
            <w:r>
              <w:rPr>
                <w:rFonts w:ascii="Calibri" w:hAnsi="Calibri" w:cs="Calibri"/>
                <w:color w:val="000000"/>
              </w:rPr>
              <w:t>Gould's Squid</w:t>
            </w:r>
          </w:p>
        </w:tc>
        <w:tc>
          <w:tcPr>
            <w:tcW w:w="2268" w:type="dxa"/>
            <w:noWrap/>
            <w:vAlign w:val="bottom"/>
          </w:tcPr>
          <w:p w14:paraId="299D4434" w14:textId="7469DD7A" w:rsidR="00B6630B" w:rsidRPr="009E341D" w:rsidDel="00A922AA" w:rsidRDefault="00B6630B" w:rsidP="00850C5A">
            <w:pPr>
              <w:rPr>
                <w:i/>
                <w:iCs/>
              </w:rPr>
            </w:pPr>
            <w:proofErr w:type="spellStart"/>
            <w:r w:rsidRPr="00A25D83">
              <w:rPr>
                <w:rFonts w:ascii="Calibri" w:hAnsi="Calibri" w:cs="Calibri"/>
                <w:i/>
                <w:iCs/>
                <w:color w:val="000000"/>
              </w:rPr>
              <w:t>Nototodarus</w:t>
            </w:r>
            <w:proofErr w:type="spellEnd"/>
            <w:r w:rsidRPr="00A25D83">
              <w:rPr>
                <w:rFonts w:ascii="Calibri" w:hAnsi="Calibri" w:cs="Calibri"/>
                <w:i/>
                <w:iCs/>
                <w:color w:val="000000"/>
              </w:rPr>
              <w:t xml:space="preserve"> gouldi</w:t>
            </w:r>
          </w:p>
        </w:tc>
        <w:tc>
          <w:tcPr>
            <w:tcW w:w="1417" w:type="dxa"/>
            <w:noWrap/>
            <w:vAlign w:val="bottom"/>
          </w:tcPr>
          <w:p w14:paraId="114E4EEB" w14:textId="6D3CA5C4" w:rsidR="00B6630B" w:rsidRPr="00960992" w:rsidDel="00A922AA" w:rsidRDefault="00B6630B" w:rsidP="00A25D83">
            <w:pPr>
              <w:jc w:val="center"/>
            </w:pPr>
            <w:r>
              <w:rPr>
                <w:rFonts w:ascii="Calibri" w:hAnsi="Calibri" w:cs="Calibri"/>
                <w:color w:val="000000"/>
              </w:rPr>
              <w:t>23636004</w:t>
            </w:r>
          </w:p>
        </w:tc>
        <w:tc>
          <w:tcPr>
            <w:tcW w:w="1276" w:type="dxa"/>
            <w:noWrap/>
            <w:vAlign w:val="center"/>
          </w:tcPr>
          <w:p w14:paraId="0436408D" w14:textId="31507608" w:rsidR="00B6630B" w:rsidRPr="00960992" w:rsidDel="00A922AA" w:rsidRDefault="00B6630B" w:rsidP="00A25D83">
            <w:pPr>
              <w:jc w:val="center"/>
            </w:pPr>
          </w:p>
        </w:tc>
        <w:tc>
          <w:tcPr>
            <w:tcW w:w="1276" w:type="dxa"/>
            <w:vAlign w:val="center"/>
          </w:tcPr>
          <w:p w14:paraId="3299B281" w14:textId="77777777" w:rsidR="00B6630B" w:rsidRPr="00960992" w:rsidDel="00A922AA" w:rsidRDefault="00B6630B" w:rsidP="00A25D83">
            <w:pPr>
              <w:jc w:val="center"/>
            </w:pPr>
          </w:p>
        </w:tc>
      </w:tr>
      <w:tr w:rsidR="004C073D" w:rsidRPr="00960992" w:rsidDel="00A922AA" w14:paraId="71A7C283" w14:textId="2064D9AD" w:rsidTr="00A25D83">
        <w:trPr>
          <w:trHeight w:val="300"/>
          <w:jc w:val="center"/>
        </w:trPr>
        <w:tc>
          <w:tcPr>
            <w:tcW w:w="838" w:type="dxa"/>
            <w:noWrap/>
            <w:vAlign w:val="bottom"/>
          </w:tcPr>
          <w:p w14:paraId="181B04B1" w14:textId="374A7D6F" w:rsidR="00B6630B" w:rsidRPr="00960992" w:rsidRDefault="00B6630B" w:rsidP="00850C5A">
            <w:r>
              <w:rPr>
                <w:rFonts w:ascii="Calibri" w:hAnsi="Calibri" w:cs="Calibri"/>
                <w:color w:val="000000"/>
              </w:rPr>
              <w:t>2022</w:t>
            </w:r>
          </w:p>
        </w:tc>
        <w:tc>
          <w:tcPr>
            <w:tcW w:w="1709" w:type="dxa"/>
            <w:noWrap/>
            <w:vAlign w:val="bottom"/>
          </w:tcPr>
          <w:p w14:paraId="5F8FC707" w14:textId="26A85E02" w:rsidR="00B6630B" w:rsidRPr="00960992" w:rsidDel="00A922AA" w:rsidRDefault="55EDADF7" w:rsidP="00850C5A">
            <w:r w:rsidRPr="07CD8AC9">
              <w:rPr>
                <w:rFonts w:ascii="Calibri" w:hAnsi="Calibri" w:cs="Calibri"/>
                <w:color w:val="000000" w:themeColor="text1"/>
              </w:rPr>
              <w:t>*</w:t>
            </w:r>
            <w:r w:rsidR="00B6630B" w:rsidRPr="07CD8AC9">
              <w:rPr>
                <w:rFonts w:ascii="Calibri" w:hAnsi="Calibri" w:cs="Calibri"/>
                <w:color w:val="000000" w:themeColor="text1"/>
              </w:rPr>
              <w:t>Commercial Scallop</w:t>
            </w:r>
          </w:p>
        </w:tc>
        <w:tc>
          <w:tcPr>
            <w:tcW w:w="2268" w:type="dxa"/>
            <w:noWrap/>
            <w:vAlign w:val="bottom"/>
          </w:tcPr>
          <w:p w14:paraId="29D33162" w14:textId="1C62902D" w:rsidR="00B6630B" w:rsidRPr="009E341D" w:rsidDel="00A922AA" w:rsidRDefault="00B6630B" w:rsidP="00850C5A">
            <w:pPr>
              <w:rPr>
                <w:i/>
                <w:iCs/>
              </w:rPr>
            </w:pPr>
            <w:r w:rsidRPr="00A25D83">
              <w:rPr>
                <w:rFonts w:ascii="Calibri" w:hAnsi="Calibri" w:cs="Calibri"/>
                <w:i/>
                <w:iCs/>
                <w:color w:val="000000"/>
              </w:rPr>
              <w:t xml:space="preserve">Pecten </w:t>
            </w:r>
            <w:proofErr w:type="spellStart"/>
            <w:r w:rsidRPr="00A25D83">
              <w:rPr>
                <w:rFonts w:ascii="Calibri" w:hAnsi="Calibri" w:cs="Calibri"/>
                <w:i/>
                <w:iCs/>
                <w:color w:val="000000"/>
              </w:rPr>
              <w:t>fumatus</w:t>
            </w:r>
            <w:proofErr w:type="spellEnd"/>
          </w:p>
        </w:tc>
        <w:tc>
          <w:tcPr>
            <w:tcW w:w="1417" w:type="dxa"/>
            <w:noWrap/>
            <w:vAlign w:val="bottom"/>
          </w:tcPr>
          <w:p w14:paraId="261A4E46" w14:textId="4AB053DA" w:rsidR="00B6630B" w:rsidRPr="00960992" w:rsidDel="00A922AA" w:rsidRDefault="00B6630B" w:rsidP="00A25D83">
            <w:pPr>
              <w:jc w:val="center"/>
            </w:pPr>
            <w:r>
              <w:rPr>
                <w:rFonts w:ascii="Calibri" w:hAnsi="Calibri" w:cs="Calibri"/>
                <w:color w:val="000000"/>
              </w:rPr>
              <w:t>23270007</w:t>
            </w:r>
          </w:p>
        </w:tc>
        <w:tc>
          <w:tcPr>
            <w:tcW w:w="1276" w:type="dxa"/>
            <w:noWrap/>
            <w:vAlign w:val="center"/>
          </w:tcPr>
          <w:p w14:paraId="5A39ACD1" w14:textId="685A9D2D" w:rsidR="00B6630B" w:rsidRPr="00960992" w:rsidDel="00A922AA" w:rsidRDefault="00B6630B" w:rsidP="00A25D83">
            <w:pPr>
              <w:jc w:val="center"/>
            </w:pPr>
          </w:p>
        </w:tc>
        <w:tc>
          <w:tcPr>
            <w:tcW w:w="1276" w:type="dxa"/>
            <w:vAlign w:val="center"/>
          </w:tcPr>
          <w:p w14:paraId="57FF86EE" w14:textId="77777777" w:rsidR="00B6630B" w:rsidRPr="00960992" w:rsidDel="00A922AA" w:rsidRDefault="00B6630B" w:rsidP="00A25D83">
            <w:pPr>
              <w:jc w:val="center"/>
            </w:pPr>
          </w:p>
        </w:tc>
      </w:tr>
      <w:tr w:rsidR="004C073D" w:rsidRPr="00960992" w:rsidDel="00A922AA" w14:paraId="00E678E7" w14:textId="4049FDDF" w:rsidTr="00A25D83">
        <w:trPr>
          <w:trHeight w:val="300"/>
          <w:jc w:val="center"/>
        </w:trPr>
        <w:tc>
          <w:tcPr>
            <w:tcW w:w="838" w:type="dxa"/>
            <w:noWrap/>
            <w:vAlign w:val="bottom"/>
          </w:tcPr>
          <w:p w14:paraId="4BDE0DB5" w14:textId="3FBADE92" w:rsidR="00B6630B" w:rsidRDefault="00B6630B" w:rsidP="00850C5A">
            <w:pPr>
              <w:rPr>
                <w:rFonts w:ascii="Calibri" w:hAnsi="Calibri" w:cs="Calibri"/>
                <w:color w:val="000000"/>
              </w:rPr>
            </w:pPr>
            <w:r>
              <w:rPr>
                <w:rFonts w:ascii="Calibri" w:hAnsi="Calibri" w:cs="Calibri"/>
                <w:color w:val="000000"/>
              </w:rPr>
              <w:t>2022</w:t>
            </w:r>
          </w:p>
        </w:tc>
        <w:tc>
          <w:tcPr>
            <w:tcW w:w="1709" w:type="dxa"/>
            <w:noWrap/>
            <w:vAlign w:val="bottom"/>
          </w:tcPr>
          <w:p w14:paraId="20C0A4CF" w14:textId="5D2C56F4" w:rsidR="00B6630B" w:rsidRPr="00960992" w:rsidDel="00A922AA" w:rsidRDefault="00B6630B" w:rsidP="00850C5A">
            <w:r>
              <w:rPr>
                <w:rFonts w:ascii="Calibri" w:hAnsi="Calibri" w:cs="Calibri"/>
                <w:color w:val="000000"/>
              </w:rPr>
              <w:t>Gould's Squid</w:t>
            </w:r>
          </w:p>
        </w:tc>
        <w:tc>
          <w:tcPr>
            <w:tcW w:w="2268" w:type="dxa"/>
            <w:noWrap/>
            <w:vAlign w:val="bottom"/>
          </w:tcPr>
          <w:p w14:paraId="197F5AB0" w14:textId="0C41D5C2" w:rsidR="00B6630B" w:rsidRPr="009E341D" w:rsidDel="00A922AA" w:rsidRDefault="00B6630B" w:rsidP="00850C5A">
            <w:pPr>
              <w:rPr>
                <w:i/>
                <w:iCs/>
              </w:rPr>
            </w:pPr>
            <w:proofErr w:type="spellStart"/>
            <w:r w:rsidRPr="00A25D83">
              <w:rPr>
                <w:rFonts w:ascii="Calibri" w:hAnsi="Calibri" w:cs="Calibri"/>
                <w:i/>
                <w:iCs/>
                <w:color w:val="000000"/>
              </w:rPr>
              <w:t>Nototodarus</w:t>
            </w:r>
            <w:proofErr w:type="spellEnd"/>
            <w:r w:rsidRPr="00A25D83">
              <w:rPr>
                <w:rFonts w:ascii="Calibri" w:hAnsi="Calibri" w:cs="Calibri"/>
                <w:i/>
                <w:iCs/>
                <w:color w:val="000000"/>
              </w:rPr>
              <w:t xml:space="preserve"> gouldi</w:t>
            </w:r>
          </w:p>
        </w:tc>
        <w:tc>
          <w:tcPr>
            <w:tcW w:w="1417" w:type="dxa"/>
            <w:noWrap/>
            <w:vAlign w:val="bottom"/>
          </w:tcPr>
          <w:p w14:paraId="45C6E256" w14:textId="698DB194" w:rsidR="00B6630B" w:rsidRPr="00960992" w:rsidDel="00A922AA" w:rsidRDefault="00B6630B" w:rsidP="00A25D83">
            <w:pPr>
              <w:jc w:val="center"/>
            </w:pPr>
            <w:r>
              <w:rPr>
                <w:rFonts w:ascii="Calibri" w:hAnsi="Calibri" w:cs="Calibri"/>
                <w:color w:val="000000"/>
              </w:rPr>
              <w:t>23636004</w:t>
            </w:r>
          </w:p>
        </w:tc>
        <w:tc>
          <w:tcPr>
            <w:tcW w:w="1276" w:type="dxa"/>
            <w:noWrap/>
            <w:vAlign w:val="center"/>
          </w:tcPr>
          <w:p w14:paraId="79E5D342" w14:textId="62A1FAE8" w:rsidR="00B6630B" w:rsidRPr="00960992" w:rsidDel="00A922AA" w:rsidRDefault="00B6630B" w:rsidP="00A25D83">
            <w:pPr>
              <w:jc w:val="center"/>
            </w:pPr>
          </w:p>
        </w:tc>
        <w:tc>
          <w:tcPr>
            <w:tcW w:w="1276" w:type="dxa"/>
            <w:vAlign w:val="center"/>
          </w:tcPr>
          <w:p w14:paraId="719D3BA3" w14:textId="77777777" w:rsidR="00B6630B" w:rsidRPr="00960992" w:rsidDel="00A922AA" w:rsidRDefault="00B6630B" w:rsidP="00A25D83">
            <w:pPr>
              <w:jc w:val="center"/>
            </w:pPr>
          </w:p>
        </w:tc>
      </w:tr>
      <w:tr w:rsidR="004C073D" w:rsidRPr="00960992" w:rsidDel="00A922AA" w14:paraId="74566906" w14:textId="3B9ED5E9" w:rsidTr="00A25D83">
        <w:trPr>
          <w:trHeight w:val="300"/>
          <w:jc w:val="center"/>
        </w:trPr>
        <w:tc>
          <w:tcPr>
            <w:tcW w:w="838" w:type="dxa"/>
            <w:noWrap/>
            <w:vAlign w:val="bottom"/>
          </w:tcPr>
          <w:p w14:paraId="24B8D504" w14:textId="7EF9594F" w:rsidR="00B6630B" w:rsidRDefault="00B6630B" w:rsidP="00850C5A">
            <w:pPr>
              <w:rPr>
                <w:rFonts w:ascii="Calibri" w:hAnsi="Calibri" w:cs="Calibri"/>
                <w:color w:val="000000"/>
              </w:rPr>
            </w:pPr>
            <w:r>
              <w:rPr>
                <w:rFonts w:ascii="Calibri" w:hAnsi="Calibri" w:cs="Calibri"/>
                <w:color w:val="000000"/>
              </w:rPr>
              <w:t>2022</w:t>
            </w:r>
          </w:p>
        </w:tc>
        <w:tc>
          <w:tcPr>
            <w:tcW w:w="1709" w:type="dxa"/>
            <w:noWrap/>
            <w:vAlign w:val="bottom"/>
          </w:tcPr>
          <w:p w14:paraId="61D0BC8A" w14:textId="0910C182" w:rsidR="00B6630B" w:rsidRPr="00960992" w:rsidDel="00A922AA" w:rsidRDefault="00B6630B" w:rsidP="00850C5A">
            <w:r>
              <w:rPr>
                <w:rFonts w:ascii="Calibri" w:hAnsi="Calibri" w:cs="Calibri"/>
                <w:color w:val="000000"/>
              </w:rPr>
              <w:t>Southern Ocean Arrow Squid</w:t>
            </w:r>
          </w:p>
        </w:tc>
        <w:tc>
          <w:tcPr>
            <w:tcW w:w="2268" w:type="dxa"/>
            <w:noWrap/>
            <w:vAlign w:val="bottom"/>
          </w:tcPr>
          <w:p w14:paraId="1FDDE76B" w14:textId="54B22AEC" w:rsidR="00B6630B" w:rsidRPr="009E341D" w:rsidDel="00A922AA" w:rsidRDefault="00B6630B" w:rsidP="00850C5A">
            <w:pPr>
              <w:rPr>
                <w:i/>
                <w:iCs/>
              </w:rPr>
            </w:pPr>
            <w:proofErr w:type="spellStart"/>
            <w:r w:rsidRPr="00A25D83">
              <w:rPr>
                <w:rFonts w:ascii="Calibri" w:hAnsi="Calibri" w:cs="Calibri"/>
                <w:i/>
                <w:iCs/>
                <w:color w:val="000000"/>
              </w:rPr>
              <w:t>Todarodes</w:t>
            </w:r>
            <w:proofErr w:type="spellEnd"/>
            <w:r w:rsidRPr="00A25D83">
              <w:rPr>
                <w:rFonts w:ascii="Calibri" w:hAnsi="Calibri" w:cs="Calibri"/>
                <w:i/>
                <w:iCs/>
                <w:color w:val="000000"/>
              </w:rPr>
              <w:t xml:space="preserve"> </w:t>
            </w:r>
            <w:proofErr w:type="spellStart"/>
            <w:r w:rsidRPr="00A25D83">
              <w:rPr>
                <w:rFonts w:ascii="Calibri" w:hAnsi="Calibri" w:cs="Calibri"/>
                <w:i/>
                <w:iCs/>
                <w:color w:val="000000"/>
              </w:rPr>
              <w:t>filippovae</w:t>
            </w:r>
            <w:proofErr w:type="spellEnd"/>
          </w:p>
        </w:tc>
        <w:tc>
          <w:tcPr>
            <w:tcW w:w="1417" w:type="dxa"/>
            <w:noWrap/>
            <w:vAlign w:val="bottom"/>
          </w:tcPr>
          <w:p w14:paraId="1F03B79C" w14:textId="7BE25D5E" w:rsidR="00B6630B" w:rsidRPr="00960992" w:rsidDel="00A922AA" w:rsidRDefault="00B6630B" w:rsidP="00A25D83">
            <w:pPr>
              <w:jc w:val="center"/>
            </w:pPr>
            <w:r>
              <w:rPr>
                <w:rFonts w:ascii="Calibri" w:hAnsi="Calibri" w:cs="Calibri"/>
                <w:color w:val="000000"/>
              </w:rPr>
              <w:t>23636011</w:t>
            </w:r>
          </w:p>
        </w:tc>
        <w:tc>
          <w:tcPr>
            <w:tcW w:w="1276" w:type="dxa"/>
            <w:noWrap/>
            <w:vAlign w:val="center"/>
          </w:tcPr>
          <w:p w14:paraId="6CA796F0" w14:textId="185E2894" w:rsidR="00B6630B" w:rsidRPr="00960992" w:rsidDel="00A922AA" w:rsidRDefault="00B6630B" w:rsidP="00A25D83">
            <w:pPr>
              <w:jc w:val="center"/>
            </w:pPr>
          </w:p>
        </w:tc>
        <w:tc>
          <w:tcPr>
            <w:tcW w:w="1276" w:type="dxa"/>
            <w:vAlign w:val="center"/>
          </w:tcPr>
          <w:p w14:paraId="5781135A" w14:textId="77777777" w:rsidR="00B6630B" w:rsidRPr="00960992" w:rsidDel="00A922AA" w:rsidRDefault="00B6630B" w:rsidP="00A25D83">
            <w:pPr>
              <w:jc w:val="center"/>
            </w:pPr>
          </w:p>
        </w:tc>
      </w:tr>
      <w:tr w:rsidR="004C073D" w:rsidRPr="00960992" w:rsidDel="00A922AA" w14:paraId="1434167E" w14:textId="080C05F5" w:rsidTr="00A25D83">
        <w:trPr>
          <w:trHeight w:val="300"/>
          <w:jc w:val="center"/>
        </w:trPr>
        <w:tc>
          <w:tcPr>
            <w:tcW w:w="838" w:type="dxa"/>
            <w:noWrap/>
            <w:vAlign w:val="bottom"/>
          </w:tcPr>
          <w:p w14:paraId="3208047D" w14:textId="3EE41679" w:rsidR="00B6630B" w:rsidRDefault="00B6630B" w:rsidP="00850C5A">
            <w:pPr>
              <w:rPr>
                <w:rFonts w:ascii="Calibri" w:hAnsi="Calibri" w:cs="Calibri"/>
                <w:color w:val="000000"/>
              </w:rPr>
            </w:pPr>
            <w:r>
              <w:rPr>
                <w:rFonts w:ascii="Calibri" w:hAnsi="Calibri" w:cs="Calibri"/>
                <w:color w:val="000000"/>
              </w:rPr>
              <w:t>2023</w:t>
            </w:r>
          </w:p>
        </w:tc>
        <w:tc>
          <w:tcPr>
            <w:tcW w:w="1709" w:type="dxa"/>
            <w:noWrap/>
            <w:vAlign w:val="bottom"/>
          </w:tcPr>
          <w:p w14:paraId="78A10C3E" w14:textId="74648025" w:rsidR="00B6630B" w:rsidRPr="00960992" w:rsidDel="00A922AA" w:rsidRDefault="4A9C4569" w:rsidP="00850C5A">
            <w:r w:rsidRPr="07CD8AC9">
              <w:rPr>
                <w:rFonts w:ascii="Calibri" w:hAnsi="Calibri" w:cs="Calibri"/>
                <w:color w:val="000000" w:themeColor="text1"/>
              </w:rPr>
              <w:t>*</w:t>
            </w:r>
            <w:r w:rsidR="00B6630B" w:rsidRPr="07CD8AC9">
              <w:rPr>
                <w:rFonts w:ascii="Calibri" w:hAnsi="Calibri" w:cs="Calibri"/>
                <w:color w:val="000000" w:themeColor="text1"/>
              </w:rPr>
              <w:t>Commercial Scallop</w:t>
            </w:r>
          </w:p>
        </w:tc>
        <w:tc>
          <w:tcPr>
            <w:tcW w:w="2268" w:type="dxa"/>
            <w:noWrap/>
            <w:vAlign w:val="bottom"/>
          </w:tcPr>
          <w:p w14:paraId="555FA8BF" w14:textId="52258975" w:rsidR="00B6630B" w:rsidRPr="009E341D" w:rsidDel="00A922AA" w:rsidRDefault="00B6630B" w:rsidP="00850C5A">
            <w:pPr>
              <w:rPr>
                <w:i/>
                <w:iCs/>
              </w:rPr>
            </w:pPr>
            <w:r w:rsidRPr="00A25D83">
              <w:rPr>
                <w:rFonts w:ascii="Calibri" w:hAnsi="Calibri" w:cs="Calibri"/>
                <w:i/>
                <w:iCs/>
                <w:color w:val="000000"/>
              </w:rPr>
              <w:t xml:space="preserve">Pecten </w:t>
            </w:r>
            <w:proofErr w:type="spellStart"/>
            <w:r w:rsidRPr="00A25D83">
              <w:rPr>
                <w:rFonts w:ascii="Calibri" w:hAnsi="Calibri" w:cs="Calibri"/>
                <w:i/>
                <w:iCs/>
                <w:color w:val="000000"/>
              </w:rPr>
              <w:t>fumatus</w:t>
            </w:r>
            <w:proofErr w:type="spellEnd"/>
          </w:p>
        </w:tc>
        <w:tc>
          <w:tcPr>
            <w:tcW w:w="1417" w:type="dxa"/>
            <w:noWrap/>
            <w:vAlign w:val="bottom"/>
          </w:tcPr>
          <w:p w14:paraId="51D99BE6" w14:textId="3624E0DA" w:rsidR="00B6630B" w:rsidRPr="00960992" w:rsidDel="00A922AA" w:rsidRDefault="00B6630B" w:rsidP="00A25D83">
            <w:pPr>
              <w:jc w:val="center"/>
            </w:pPr>
            <w:r>
              <w:rPr>
                <w:rFonts w:ascii="Calibri" w:hAnsi="Calibri" w:cs="Calibri"/>
                <w:color w:val="000000"/>
              </w:rPr>
              <w:t>23270007</w:t>
            </w:r>
          </w:p>
        </w:tc>
        <w:tc>
          <w:tcPr>
            <w:tcW w:w="1276" w:type="dxa"/>
            <w:noWrap/>
            <w:vAlign w:val="center"/>
          </w:tcPr>
          <w:p w14:paraId="243EB1B4" w14:textId="1F2F625A" w:rsidR="00B6630B" w:rsidRPr="00960992" w:rsidDel="00A922AA" w:rsidRDefault="00B6630B" w:rsidP="00A25D83">
            <w:pPr>
              <w:jc w:val="center"/>
            </w:pPr>
          </w:p>
        </w:tc>
        <w:tc>
          <w:tcPr>
            <w:tcW w:w="1276" w:type="dxa"/>
            <w:vAlign w:val="center"/>
          </w:tcPr>
          <w:p w14:paraId="504D35A2" w14:textId="77777777" w:rsidR="00B6630B" w:rsidRPr="00960992" w:rsidDel="00A922AA" w:rsidRDefault="00B6630B" w:rsidP="00A25D83">
            <w:pPr>
              <w:jc w:val="center"/>
            </w:pPr>
          </w:p>
        </w:tc>
      </w:tr>
      <w:tr w:rsidR="004C073D" w:rsidRPr="00960992" w:rsidDel="00A922AA" w14:paraId="413789EE" w14:textId="07480D31" w:rsidTr="00A25D83">
        <w:trPr>
          <w:trHeight w:val="300"/>
          <w:jc w:val="center"/>
        </w:trPr>
        <w:tc>
          <w:tcPr>
            <w:tcW w:w="838" w:type="dxa"/>
            <w:noWrap/>
            <w:vAlign w:val="bottom"/>
          </w:tcPr>
          <w:p w14:paraId="2D4F99EB" w14:textId="4F3EF3A7" w:rsidR="00B6630B" w:rsidRDefault="00B6630B" w:rsidP="00850C5A">
            <w:pPr>
              <w:rPr>
                <w:rFonts w:ascii="Calibri" w:hAnsi="Calibri" w:cs="Calibri"/>
                <w:color w:val="000000"/>
              </w:rPr>
            </w:pPr>
            <w:r>
              <w:rPr>
                <w:rFonts w:ascii="Calibri" w:hAnsi="Calibri" w:cs="Calibri"/>
                <w:color w:val="000000"/>
              </w:rPr>
              <w:t>2023</w:t>
            </w:r>
          </w:p>
        </w:tc>
        <w:tc>
          <w:tcPr>
            <w:tcW w:w="1709" w:type="dxa"/>
            <w:noWrap/>
            <w:vAlign w:val="bottom"/>
          </w:tcPr>
          <w:p w14:paraId="61D0A469" w14:textId="3AEECBEE" w:rsidR="00B6630B" w:rsidRPr="00960992" w:rsidDel="00A922AA" w:rsidRDefault="00B6630B" w:rsidP="00850C5A">
            <w:r>
              <w:rPr>
                <w:rFonts w:ascii="Calibri" w:hAnsi="Calibri" w:cs="Calibri"/>
                <w:color w:val="000000"/>
              </w:rPr>
              <w:t>Gould's Squid</w:t>
            </w:r>
          </w:p>
        </w:tc>
        <w:tc>
          <w:tcPr>
            <w:tcW w:w="2268" w:type="dxa"/>
            <w:noWrap/>
            <w:vAlign w:val="bottom"/>
          </w:tcPr>
          <w:p w14:paraId="1C403A65" w14:textId="051732A9" w:rsidR="00B6630B" w:rsidRPr="009E341D" w:rsidDel="00A922AA" w:rsidRDefault="00B6630B" w:rsidP="00850C5A">
            <w:pPr>
              <w:rPr>
                <w:i/>
                <w:iCs/>
              </w:rPr>
            </w:pPr>
            <w:proofErr w:type="spellStart"/>
            <w:r w:rsidRPr="00A25D83">
              <w:rPr>
                <w:rFonts w:ascii="Calibri" w:hAnsi="Calibri" w:cs="Calibri"/>
                <w:i/>
                <w:iCs/>
                <w:color w:val="000000"/>
              </w:rPr>
              <w:t>Nototodarus</w:t>
            </w:r>
            <w:proofErr w:type="spellEnd"/>
            <w:r w:rsidRPr="00A25D83">
              <w:rPr>
                <w:rFonts w:ascii="Calibri" w:hAnsi="Calibri" w:cs="Calibri"/>
                <w:i/>
                <w:iCs/>
                <w:color w:val="000000"/>
              </w:rPr>
              <w:t xml:space="preserve"> gouldi</w:t>
            </w:r>
          </w:p>
        </w:tc>
        <w:tc>
          <w:tcPr>
            <w:tcW w:w="1417" w:type="dxa"/>
            <w:noWrap/>
            <w:vAlign w:val="bottom"/>
          </w:tcPr>
          <w:p w14:paraId="670CFDE5" w14:textId="3FD2CEDB" w:rsidR="00B6630B" w:rsidRPr="00960992" w:rsidDel="00A922AA" w:rsidRDefault="00B6630B" w:rsidP="00A25D83">
            <w:pPr>
              <w:jc w:val="center"/>
            </w:pPr>
            <w:r>
              <w:rPr>
                <w:rFonts w:ascii="Calibri" w:hAnsi="Calibri" w:cs="Calibri"/>
                <w:color w:val="000000"/>
              </w:rPr>
              <w:t>23636004</w:t>
            </w:r>
          </w:p>
        </w:tc>
        <w:tc>
          <w:tcPr>
            <w:tcW w:w="1276" w:type="dxa"/>
            <w:noWrap/>
            <w:vAlign w:val="center"/>
          </w:tcPr>
          <w:p w14:paraId="787525C9" w14:textId="7F0EC80E" w:rsidR="00B6630B" w:rsidRPr="00960992" w:rsidDel="00A922AA" w:rsidRDefault="00B6630B" w:rsidP="00A25D83">
            <w:pPr>
              <w:jc w:val="center"/>
            </w:pPr>
          </w:p>
        </w:tc>
        <w:tc>
          <w:tcPr>
            <w:tcW w:w="1276" w:type="dxa"/>
            <w:vAlign w:val="center"/>
          </w:tcPr>
          <w:p w14:paraId="722EBC55" w14:textId="77777777" w:rsidR="00B6630B" w:rsidRPr="00960992" w:rsidDel="00A922AA" w:rsidRDefault="00B6630B" w:rsidP="00A25D83">
            <w:pPr>
              <w:jc w:val="center"/>
            </w:pPr>
          </w:p>
        </w:tc>
      </w:tr>
      <w:tr w:rsidR="004C073D" w:rsidRPr="00960992" w:rsidDel="00A922AA" w14:paraId="6EA2A3BE" w14:textId="575A537E" w:rsidTr="00A25D83">
        <w:trPr>
          <w:trHeight w:val="300"/>
          <w:jc w:val="center"/>
        </w:trPr>
        <w:tc>
          <w:tcPr>
            <w:tcW w:w="838" w:type="dxa"/>
            <w:noWrap/>
            <w:vAlign w:val="bottom"/>
          </w:tcPr>
          <w:p w14:paraId="0AB33752" w14:textId="3D162363" w:rsidR="00B6630B" w:rsidRDefault="00B6630B" w:rsidP="00850C5A">
            <w:pPr>
              <w:rPr>
                <w:rFonts w:ascii="Calibri" w:hAnsi="Calibri" w:cs="Calibri"/>
                <w:color w:val="000000"/>
              </w:rPr>
            </w:pPr>
            <w:r>
              <w:rPr>
                <w:rFonts w:ascii="Calibri" w:hAnsi="Calibri" w:cs="Calibri"/>
                <w:color w:val="000000"/>
              </w:rPr>
              <w:t>2024</w:t>
            </w:r>
          </w:p>
        </w:tc>
        <w:tc>
          <w:tcPr>
            <w:tcW w:w="1709" w:type="dxa"/>
            <w:noWrap/>
            <w:vAlign w:val="bottom"/>
          </w:tcPr>
          <w:p w14:paraId="185DFFAF" w14:textId="761241B9" w:rsidR="00B6630B" w:rsidRPr="00960992" w:rsidDel="00A922AA" w:rsidRDefault="00B6630B" w:rsidP="00850C5A">
            <w:r>
              <w:rPr>
                <w:rFonts w:ascii="Calibri" w:hAnsi="Calibri" w:cs="Calibri"/>
                <w:color w:val="000000"/>
              </w:rPr>
              <w:t>Gould's Squid</w:t>
            </w:r>
          </w:p>
        </w:tc>
        <w:tc>
          <w:tcPr>
            <w:tcW w:w="2268" w:type="dxa"/>
            <w:noWrap/>
            <w:vAlign w:val="bottom"/>
          </w:tcPr>
          <w:p w14:paraId="6926AD92" w14:textId="65FF391C" w:rsidR="00B6630B" w:rsidRPr="009E341D" w:rsidDel="00A922AA" w:rsidRDefault="00B6630B" w:rsidP="00850C5A">
            <w:pPr>
              <w:rPr>
                <w:i/>
                <w:iCs/>
              </w:rPr>
            </w:pPr>
            <w:proofErr w:type="spellStart"/>
            <w:r w:rsidRPr="00A25D83">
              <w:rPr>
                <w:rFonts w:ascii="Calibri" w:hAnsi="Calibri" w:cs="Calibri"/>
                <w:i/>
                <w:iCs/>
                <w:color w:val="000000"/>
              </w:rPr>
              <w:t>Nototodarus</w:t>
            </w:r>
            <w:proofErr w:type="spellEnd"/>
            <w:r w:rsidRPr="00A25D83">
              <w:rPr>
                <w:rFonts w:ascii="Calibri" w:hAnsi="Calibri" w:cs="Calibri"/>
                <w:i/>
                <w:iCs/>
                <w:color w:val="000000"/>
              </w:rPr>
              <w:t xml:space="preserve"> gouldi</w:t>
            </w:r>
          </w:p>
        </w:tc>
        <w:tc>
          <w:tcPr>
            <w:tcW w:w="1417" w:type="dxa"/>
            <w:noWrap/>
            <w:vAlign w:val="bottom"/>
          </w:tcPr>
          <w:p w14:paraId="0BDDA172" w14:textId="1556823A" w:rsidR="00B6630B" w:rsidRPr="00960992" w:rsidDel="00A922AA" w:rsidRDefault="00B6630B" w:rsidP="00A25D83">
            <w:pPr>
              <w:jc w:val="center"/>
            </w:pPr>
            <w:r>
              <w:rPr>
                <w:rFonts w:ascii="Calibri" w:hAnsi="Calibri" w:cs="Calibri"/>
                <w:color w:val="000000"/>
              </w:rPr>
              <w:t>23636004</w:t>
            </w:r>
          </w:p>
        </w:tc>
        <w:tc>
          <w:tcPr>
            <w:tcW w:w="1276" w:type="dxa"/>
            <w:noWrap/>
            <w:vAlign w:val="center"/>
          </w:tcPr>
          <w:p w14:paraId="50873900" w14:textId="5ED8230D" w:rsidR="00B6630B" w:rsidRPr="00960992" w:rsidDel="00A922AA" w:rsidRDefault="00B6630B" w:rsidP="00A25D83">
            <w:pPr>
              <w:jc w:val="center"/>
            </w:pPr>
          </w:p>
        </w:tc>
        <w:tc>
          <w:tcPr>
            <w:tcW w:w="1276" w:type="dxa"/>
            <w:vAlign w:val="center"/>
          </w:tcPr>
          <w:p w14:paraId="3F41F08D" w14:textId="77777777" w:rsidR="00B6630B" w:rsidRPr="00960992" w:rsidDel="00A922AA" w:rsidRDefault="00B6630B" w:rsidP="00A25D83">
            <w:pPr>
              <w:jc w:val="center"/>
            </w:pPr>
          </w:p>
        </w:tc>
      </w:tr>
      <w:tr w:rsidR="004C073D" w:rsidRPr="00960992" w:rsidDel="00A922AA" w14:paraId="44FF3DFB" w14:textId="145A9662" w:rsidTr="00A25D83">
        <w:trPr>
          <w:trHeight w:val="300"/>
          <w:jc w:val="center"/>
        </w:trPr>
        <w:tc>
          <w:tcPr>
            <w:tcW w:w="838" w:type="dxa"/>
            <w:noWrap/>
            <w:vAlign w:val="bottom"/>
          </w:tcPr>
          <w:p w14:paraId="70709BB1" w14:textId="15585F04" w:rsidR="00B6630B" w:rsidRDefault="00B6630B" w:rsidP="00850C5A">
            <w:pPr>
              <w:rPr>
                <w:rFonts w:ascii="Calibri" w:hAnsi="Calibri" w:cs="Calibri"/>
                <w:color w:val="000000"/>
              </w:rPr>
            </w:pPr>
            <w:r>
              <w:rPr>
                <w:rFonts w:ascii="Calibri" w:hAnsi="Calibri" w:cs="Calibri"/>
                <w:color w:val="000000"/>
              </w:rPr>
              <w:t>2025</w:t>
            </w:r>
          </w:p>
        </w:tc>
        <w:tc>
          <w:tcPr>
            <w:tcW w:w="1709" w:type="dxa"/>
            <w:noWrap/>
            <w:vAlign w:val="bottom"/>
          </w:tcPr>
          <w:p w14:paraId="2B11D641" w14:textId="3570555C" w:rsidR="00B6630B" w:rsidRPr="00960992" w:rsidDel="00A922AA" w:rsidRDefault="00B6630B" w:rsidP="00850C5A">
            <w:r>
              <w:rPr>
                <w:rFonts w:ascii="Calibri" w:hAnsi="Calibri" w:cs="Calibri"/>
                <w:color w:val="000000"/>
              </w:rPr>
              <w:t>Banded Morwong</w:t>
            </w:r>
          </w:p>
        </w:tc>
        <w:tc>
          <w:tcPr>
            <w:tcW w:w="2268" w:type="dxa"/>
            <w:noWrap/>
            <w:vAlign w:val="bottom"/>
          </w:tcPr>
          <w:p w14:paraId="66554651" w14:textId="0B3EDE76" w:rsidR="00B6630B" w:rsidRPr="009E341D" w:rsidDel="00A922AA" w:rsidRDefault="00B6630B" w:rsidP="00850C5A">
            <w:pPr>
              <w:rPr>
                <w:i/>
                <w:iCs/>
              </w:rPr>
            </w:pPr>
            <w:proofErr w:type="spellStart"/>
            <w:r w:rsidRPr="00A25D83">
              <w:rPr>
                <w:rFonts w:ascii="Calibri" w:hAnsi="Calibri" w:cs="Calibri"/>
                <w:i/>
                <w:iCs/>
                <w:color w:val="000000"/>
              </w:rPr>
              <w:t>Cheilodactylus</w:t>
            </w:r>
            <w:proofErr w:type="spellEnd"/>
            <w:r w:rsidRPr="00A25D83">
              <w:rPr>
                <w:rFonts w:ascii="Calibri" w:hAnsi="Calibri" w:cs="Calibri"/>
                <w:i/>
                <w:iCs/>
                <w:color w:val="000000"/>
              </w:rPr>
              <w:t xml:space="preserve"> spectabilis</w:t>
            </w:r>
          </w:p>
        </w:tc>
        <w:tc>
          <w:tcPr>
            <w:tcW w:w="1417" w:type="dxa"/>
            <w:noWrap/>
            <w:vAlign w:val="bottom"/>
          </w:tcPr>
          <w:p w14:paraId="70776EEF" w14:textId="32CE964E" w:rsidR="00B6630B" w:rsidRPr="00960992" w:rsidDel="00A922AA" w:rsidRDefault="00B6630B" w:rsidP="00A25D83">
            <w:pPr>
              <w:jc w:val="center"/>
            </w:pPr>
            <w:r>
              <w:rPr>
                <w:rFonts w:ascii="Calibri" w:hAnsi="Calibri" w:cs="Calibri"/>
                <w:color w:val="000000"/>
              </w:rPr>
              <w:t>37377006</w:t>
            </w:r>
          </w:p>
        </w:tc>
        <w:tc>
          <w:tcPr>
            <w:tcW w:w="1276" w:type="dxa"/>
            <w:noWrap/>
            <w:vAlign w:val="center"/>
          </w:tcPr>
          <w:p w14:paraId="30E7BB0A" w14:textId="64A2F4B9" w:rsidR="00B6630B" w:rsidRPr="00960992" w:rsidDel="00A922AA" w:rsidRDefault="00B6630B" w:rsidP="00A25D83">
            <w:pPr>
              <w:jc w:val="center"/>
            </w:pPr>
            <w:r>
              <w:rPr>
                <w:rFonts w:ascii="Calibri" w:hAnsi="Calibri" w:cs="Calibri"/>
                <w:color w:val="000000"/>
              </w:rPr>
              <w:t>1</w:t>
            </w:r>
          </w:p>
        </w:tc>
        <w:tc>
          <w:tcPr>
            <w:tcW w:w="1276" w:type="dxa"/>
            <w:vAlign w:val="center"/>
          </w:tcPr>
          <w:p w14:paraId="7247F681" w14:textId="65D92D6F" w:rsidR="00B6630B" w:rsidRDefault="009E341D" w:rsidP="00A25D83">
            <w:pPr>
              <w:jc w:val="center"/>
              <w:rPr>
                <w:rFonts w:ascii="Calibri" w:hAnsi="Calibri" w:cs="Calibri"/>
                <w:color w:val="000000"/>
              </w:rPr>
            </w:pPr>
            <w:r>
              <w:rPr>
                <w:rFonts w:ascii="Calibri" w:hAnsi="Calibri" w:cs="Calibri"/>
                <w:color w:val="000000"/>
              </w:rPr>
              <w:t>1</w:t>
            </w:r>
          </w:p>
        </w:tc>
      </w:tr>
      <w:tr w:rsidR="004C073D" w:rsidRPr="00960992" w:rsidDel="00A922AA" w14:paraId="24E5A0DC" w14:textId="5C29DAFB" w:rsidTr="00A25D83">
        <w:trPr>
          <w:trHeight w:val="300"/>
          <w:jc w:val="center"/>
        </w:trPr>
        <w:tc>
          <w:tcPr>
            <w:tcW w:w="838" w:type="dxa"/>
            <w:noWrap/>
            <w:vAlign w:val="bottom"/>
          </w:tcPr>
          <w:p w14:paraId="75312699" w14:textId="7A41CBF4" w:rsidR="00B6630B" w:rsidRDefault="00B6630B" w:rsidP="00850C5A">
            <w:pPr>
              <w:rPr>
                <w:rFonts w:ascii="Calibri" w:hAnsi="Calibri" w:cs="Calibri"/>
                <w:color w:val="000000"/>
              </w:rPr>
            </w:pPr>
            <w:r>
              <w:rPr>
                <w:rFonts w:ascii="Calibri" w:hAnsi="Calibri" w:cs="Calibri"/>
                <w:color w:val="000000"/>
              </w:rPr>
              <w:t>2025</w:t>
            </w:r>
          </w:p>
        </w:tc>
        <w:tc>
          <w:tcPr>
            <w:tcW w:w="1709" w:type="dxa"/>
            <w:noWrap/>
            <w:vAlign w:val="bottom"/>
          </w:tcPr>
          <w:p w14:paraId="79A2BA95" w14:textId="31878DB4" w:rsidR="00B6630B" w:rsidRPr="00960992" w:rsidDel="00A922AA" w:rsidRDefault="00B6630B" w:rsidP="00850C5A">
            <w:r>
              <w:rPr>
                <w:rFonts w:ascii="Calibri" w:hAnsi="Calibri" w:cs="Calibri"/>
                <w:color w:val="000000"/>
              </w:rPr>
              <w:t>Barracouta</w:t>
            </w:r>
          </w:p>
        </w:tc>
        <w:tc>
          <w:tcPr>
            <w:tcW w:w="2268" w:type="dxa"/>
            <w:noWrap/>
            <w:vAlign w:val="bottom"/>
          </w:tcPr>
          <w:p w14:paraId="72DCE1D5" w14:textId="05E90EF1" w:rsidR="00B6630B" w:rsidRPr="009E341D" w:rsidDel="00A922AA" w:rsidRDefault="00B6630B" w:rsidP="00850C5A">
            <w:pPr>
              <w:rPr>
                <w:i/>
                <w:iCs/>
              </w:rPr>
            </w:pPr>
            <w:proofErr w:type="spellStart"/>
            <w:r w:rsidRPr="00A25D83">
              <w:rPr>
                <w:rFonts w:ascii="Calibri" w:hAnsi="Calibri" w:cs="Calibri"/>
                <w:i/>
                <w:iCs/>
                <w:color w:val="000000"/>
              </w:rPr>
              <w:t>Thyrsites</w:t>
            </w:r>
            <w:proofErr w:type="spellEnd"/>
            <w:r w:rsidRPr="00A25D83">
              <w:rPr>
                <w:rFonts w:ascii="Calibri" w:hAnsi="Calibri" w:cs="Calibri"/>
                <w:i/>
                <w:iCs/>
                <w:color w:val="000000"/>
              </w:rPr>
              <w:t xml:space="preserve"> </w:t>
            </w:r>
            <w:proofErr w:type="spellStart"/>
            <w:r w:rsidRPr="00A25D83">
              <w:rPr>
                <w:rFonts w:ascii="Calibri" w:hAnsi="Calibri" w:cs="Calibri"/>
                <w:i/>
                <w:iCs/>
                <w:color w:val="000000"/>
              </w:rPr>
              <w:t>atun</w:t>
            </w:r>
            <w:proofErr w:type="spellEnd"/>
          </w:p>
        </w:tc>
        <w:tc>
          <w:tcPr>
            <w:tcW w:w="1417" w:type="dxa"/>
            <w:noWrap/>
            <w:vAlign w:val="bottom"/>
          </w:tcPr>
          <w:p w14:paraId="1ED0A463" w14:textId="3A6900C2" w:rsidR="00B6630B" w:rsidRPr="00960992" w:rsidDel="00A922AA" w:rsidRDefault="00B6630B" w:rsidP="00A25D83">
            <w:pPr>
              <w:jc w:val="center"/>
            </w:pPr>
            <w:r>
              <w:rPr>
                <w:rFonts w:ascii="Calibri" w:hAnsi="Calibri" w:cs="Calibri"/>
                <w:color w:val="000000"/>
              </w:rPr>
              <w:t>37439001</w:t>
            </w:r>
          </w:p>
        </w:tc>
        <w:tc>
          <w:tcPr>
            <w:tcW w:w="1276" w:type="dxa"/>
            <w:noWrap/>
            <w:vAlign w:val="center"/>
          </w:tcPr>
          <w:p w14:paraId="453F351E" w14:textId="5A934EF2" w:rsidR="00B6630B" w:rsidRPr="00960992" w:rsidDel="00A922AA" w:rsidRDefault="00B6630B" w:rsidP="00A25D83">
            <w:pPr>
              <w:jc w:val="center"/>
            </w:pPr>
            <w:r>
              <w:rPr>
                <w:rFonts w:ascii="Calibri" w:hAnsi="Calibri" w:cs="Calibri"/>
                <w:color w:val="000000"/>
              </w:rPr>
              <w:t>20</w:t>
            </w:r>
          </w:p>
        </w:tc>
        <w:tc>
          <w:tcPr>
            <w:tcW w:w="1276" w:type="dxa"/>
            <w:vAlign w:val="center"/>
          </w:tcPr>
          <w:p w14:paraId="4CC2B78F" w14:textId="007F4ECC" w:rsidR="00B6630B" w:rsidRDefault="009E341D" w:rsidP="00A25D83">
            <w:pPr>
              <w:jc w:val="center"/>
              <w:rPr>
                <w:rFonts w:ascii="Calibri" w:hAnsi="Calibri" w:cs="Calibri"/>
                <w:color w:val="000000"/>
              </w:rPr>
            </w:pPr>
            <w:r>
              <w:rPr>
                <w:rFonts w:ascii="Calibri" w:hAnsi="Calibri" w:cs="Calibri"/>
                <w:color w:val="000000"/>
              </w:rPr>
              <w:t>32</w:t>
            </w:r>
          </w:p>
        </w:tc>
      </w:tr>
      <w:tr w:rsidR="004C073D" w:rsidRPr="00960992" w:rsidDel="00A922AA" w14:paraId="074BBCFE" w14:textId="01CE000F" w:rsidTr="00A25D83">
        <w:trPr>
          <w:trHeight w:val="300"/>
          <w:jc w:val="center"/>
        </w:trPr>
        <w:tc>
          <w:tcPr>
            <w:tcW w:w="838" w:type="dxa"/>
            <w:noWrap/>
            <w:vAlign w:val="bottom"/>
          </w:tcPr>
          <w:p w14:paraId="4B6168AB" w14:textId="493A55FD" w:rsidR="00B6630B" w:rsidRDefault="00B6630B" w:rsidP="00850C5A">
            <w:pPr>
              <w:rPr>
                <w:rFonts w:ascii="Calibri" w:hAnsi="Calibri" w:cs="Calibri"/>
                <w:color w:val="000000"/>
              </w:rPr>
            </w:pPr>
            <w:r>
              <w:rPr>
                <w:rFonts w:ascii="Calibri" w:hAnsi="Calibri" w:cs="Calibri"/>
                <w:color w:val="000000"/>
              </w:rPr>
              <w:t>2025</w:t>
            </w:r>
          </w:p>
        </w:tc>
        <w:tc>
          <w:tcPr>
            <w:tcW w:w="1709" w:type="dxa"/>
            <w:noWrap/>
            <w:vAlign w:val="bottom"/>
          </w:tcPr>
          <w:p w14:paraId="72F93991" w14:textId="3853FFB8" w:rsidR="00B6630B" w:rsidRPr="00960992" w:rsidDel="00A922AA" w:rsidRDefault="00B6630B" w:rsidP="00850C5A">
            <w:r>
              <w:rPr>
                <w:rFonts w:ascii="Calibri" w:hAnsi="Calibri" w:cs="Calibri"/>
                <w:color w:val="000000"/>
              </w:rPr>
              <w:t>Gould's Squid</w:t>
            </w:r>
          </w:p>
        </w:tc>
        <w:tc>
          <w:tcPr>
            <w:tcW w:w="2268" w:type="dxa"/>
            <w:noWrap/>
            <w:vAlign w:val="bottom"/>
          </w:tcPr>
          <w:p w14:paraId="5E225A86" w14:textId="58EEDE42" w:rsidR="00B6630B" w:rsidRPr="009E341D" w:rsidDel="00A922AA" w:rsidRDefault="00B6630B" w:rsidP="00850C5A">
            <w:pPr>
              <w:rPr>
                <w:i/>
                <w:iCs/>
              </w:rPr>
            </w:pPr>
            <w:proofErr w:type="spellStart"/>
            <w:r w:rsidRPr="00A25D83">
              <w:rPr>
                <w:rFonts w:ascii="Calibri" w:hAnsi="Calibri" w:cs="Calibri"/>
                <w:i/>
                <w:iCs/>
                <w:color w:val="000000"/>
              </w:rPr>
              <w:t>Nototodarus</w:t>
            </w:r>
            <w:proofErr w:type="spellEnd"/>
            <w:r w:rsidRPr="00A25D83">
              <w:rPr>
                <w:rFonts w:ascii="Calibri" w:hAnsi="Calibri" w:cs="Calibri"/>
                <w:i/>
                <w:iCs/>
                <w:color w:val="000000"/>
              </w:rPr>
              <w:t xml:space="preserve"> gouldi</w:t>
            </w:r>
          </w:p>
        </w:tc>
        <w:tc>
          <w:tcPr>
            <w:tcW w:w="1417" w:type="dxa"/>
            <w:noWrap/>
            <w:vAlign w:val="bottom"/>
          </w:tcPr>
          <w:p w14:paraId="66F7A16A" w14:textId="694EE4D2" w:rsidR="00B6630B" w:rsidRPr="00960992" w:rsidDel="00A922AA" w:rsidRDefault="00B6630B" w:rsidP="00A25D83">
            <w:pPr>
              <w:jc w:val="center"/>
            </w:pPr>
            <w:r>
              <w:rPr>
                <w:rFonts w:ascii="Calibri" w:hAnsi="Calibri" w:cs="Calibri"/>
                <w:color w:val="000000"/>
              </w:rPr>
              <w:t>23636004</w:t>
            </w:r>
          </w:p>
        </w:tc>
        <w:tc>
          <w:tcPr>
            <w:tcW w:w="1276" w:type="dxa"/>
            <w:noWrap/>
            <w:vAlign w:val="center"/>
          </w:tcPr>
          <w:p w14:paraId="44F85E70" w14:textId="77777777" w:rsidR="00B6630B" w:rsidRPr="00960992" w:rsidDel="00A922AA" w:rsidRDefault="00B6630B" w:rsidP="00A25D83">
            <w:pPr>
              <w:jc w:val="center"/>
            </w:pPr>
          </w:p>
        </w:tc>
        <w:tc>
          <w:tcPr>
            <w:tcW w:w="1276" w:type="dxa"/>
            <w:vAlign w:val="center"/>
          </w:tcPr>
          <w:p w14:paraId="56E4EC2E" w14:textId="77777777" w:rsidR="00B6630B" w:rsidRPr="00960992" w:rsidDel="00A922AA" w:rsidRDefault="00B6630B" w:rsidP="00A25D83">
            <w:pPr>
              <w:jc w:val="center"/>
            </w:pPr>
          </w:p>
        </w:tc>
      </w:tr>
      <w:tr w:rsidR="004C073D" w:rsidRPr="00960992" w:rsidDel="00A922AA" w14:paraId="6BBC0F50" w14:textId="77777777" w:rsidTr="00A25D83">
        <w:trPr>
          <w:trHeight w:val="300"/>
          <w:jc w:val="center"/>
        </w:trPr>
        <w:tc>
          <w:tcPr>
            <w:tcW w:w="838" w:type="dxa"/>
            <w:noWrap/>
            <w:vAlign w:val="bottom"/>
          </w:tcPr>
          <w:p w14:paraId="6451B703" w14:textId="5E01989C" w:rsidR="00B6630B" w:rsidRDefault="00B6630B" w:rsidP="00850C5A">
            <w:pPr>
              <w:rPr>
                <w:rFonts w:ascii="Calibri" w:hAnsi="Calibri" w:cs="Calibri"/>
                <w:color w:val="000000"/>
              </w:rPr>
            </w:pPr>
            <w:r>
              <w:rPr>
                <w:rFonts w:ascii="Calibri" w:hAnsi="Calibri" w:cs="Calibri"/>
                <w:color w:val="000000"/>
              </w:rPr>
              <w:t>2025</w:t>
            </w:r>
          </w:p>
        </w:tc>
        <w:tc>
          <w:tcPr>
            <w:tcW w:w="1709" w:type="dxa"/>
            <w:noWrap/>
            <w:vAlign w:val="bottom"/>
          </w:tcPr>
          <w:p w14:paraId="2DE6DF9C" w14:textId="0985FAB5" w:rsidR="00B6630B" w:rsidRPr="00960992" w:rsidDel="00A922AA" w:rsidRDefault="00B6630B" w:rsidP="00850C5A">
            <w:r>
              <w:rPr>
                <w:rFonts w:ascii="Calibri" w:hAnsi="Calibri" w:cs="Calibri"/>
                <w:color w:val="000000"/>
              </w:rPr>
              <w:t>Southern Bluefin Tuna</w:t>
            </w:r>
          </w:p>
        </w:tc>
        <w:tc>
          <w:tcPr>
            <w:tcW w:w="2268" w:type="dxa"/>
            <w:noWrap/>
            <w:vAlign w:val="bottom"/>
          </w:tcPr>
          <w:p w14:paraId="0D1D1E45" w14:textId="5ED17858" w:rsidR="00B6630B" w:rsidRPr="009E341D" w:rsidDel="00A922AA" w:rsidRDefault="00B6630B" w:rsidP="00850C5A">
            <w:pPr>
              <w:rPr>
                <w:i/>
                <w:iCs/>
              </w:rPr>
            </w:pPr>
            <w:r w:rsidRPr="00A25D83">
              <w:rPr>
                <w:rFonts w:ascii="Calibri" w:hAnsi="Calibri" w:cs="Calibri"/>
                <w:i/>
                <w:iCs/>
                <w:color w:val="000000"/>
              </w:rPr>
              <w:t xml:space="preserve">Thunnus </w:t>
            </w:r>
            <w:proofErr w:type="spellStart"/>
            <w:r w:rsidRPr="00A25D83">
              <w:rPr>
                <w:rFonts w:ascii="Calibri" w:hAnsi="Calibri" w:cs="Calibri"/>
                <w:i/>
                <w:iCs/>
                <w:color w:val="000000"/>
              </w:rPr>
              <w:t>maccoyii</w:t>
            </w:r>
            <w:proofErr w:type="spellEnd"/>
          </w:p>
        </w:tc>
        <w:tc>
          <w:tcPr>
            <w:tcW w:w="1417" w:type="dxa"/>
            <w:noWrap/>
            <w:vAlign w:val="bottom"/>
          </w:tcPr>
          <w:p w14:paraId="311EF231" w14:textId="12AD3E09" w:rsidR="00B6630B" w:rsidRPr="00960992" w:rsidDel="00A922AA" w:rsidRDefault="00B6630B" w:rsidP="00A25D83">
            <w:pPr>
              <w:jc w:val="center"/>
            </w:pPr>
            <w:r>
              <w:rPr>
                <w:rFonts w:ascii="Calibri" w:hAnsi="Calibri" w:cs="Calibri"/>
                <w:color w:val="000000"/>
              </w:rPr>
              <w:t>37441004</w:t>
            </w:r>
          </w:p>
        </w:tc>
        <w:tc>
          <w:tcPr>
            <w:tcW w:w="1276" w:type="dxa"/>
            <w:noWrap/>
            <w:vAlign w:val="center"/>
          </w:tcPr>
          <w:p w14:paraId="0B3E1354" w14:textId="77777777" w:rsidR="00B6630B" w:rsidRPr="00960992" w:rsidDel="00A922AA" w:rsidRDefault="00B6630B" w:rsidP="00A25D83">
            <w:pPr>
              <w:jc w:val="center"/>
            </w:pPr>
          </w:p>
        </w:tc>
        <w:tc>
          <w:tcPr>
            <w:tcW w:w="1276" w:type="dxa"/>
            <w:vAlign w:val="center"/>
          </w:tcPr>
          <w:p w14:paraId="25014269" w14:textId="77777777" w:rsidR="00B6630B" w:rsidRPr="00960992" w:rsidDel="00A922AA" w:rsidRDefault="00B6630B" w:rsidP="00A25D83">
            <w:pPr>
              <w:jc w:val="center"/>
            </w:pPr>
          </w:p>
        </w:tc>
      </w:tr>
    </w:tbl>
    <w:p w14:paraId="31AA5975" w14:textId="45D234DC" w:rsidR="005659EE" w:rsidRPr="00A25D83" w:rsidRDefault="005659EE" w:rsidP="003E1291">
      <w:pPr>
        <w:pStyle w:val="Heading2"/>
        <w:ind w:left="0"/>
        <w:rPr>
          <w:sz w:val="16"/>
          <w:szCs w:val="16"/>
        </w:rPr>
      </w:pPr>
      <w:bookmarkStart w:id="54" w:name="_Toc210975481"/>
      <w:r w:rsidRPr="00A25D83">
        <w:rPr>
          <w:sz w:val="16"/>
          <w:szCs w:val="16"/>
        </w:rPr>
        <w:t>*</w:t>
      </w:r>
      <w:r w:rsidR="00052F55" w:rsidRPr="00A25D83">
        <w:rPr>
          <w:sz w:val="16"/>
          <w:szCs w:val="16"/>
        </w:rPr>
        <w:t>Where no discarded weight o</w:t>
      </w:r>
      <w:r w:rsidR="00AF6AA1" w:rsidRPr="00A25D83">
        <w:rPr>
          <w:sz w:val="16"/>
          <w:szCs w:val="16"/>
        </w:rPr>
        <w:t>r</w:t>
      </w:r>
      <w:r w:rsidR="00052F55" w:rsidRPr="00A25D83">
        <w:rPr>
          <w:sz w:val="16"/>
          <w:szCs w:val="16"/>
        </w:rPr>
        <w:t xml:space="preserve"> no. of animals </w:t>
      </w:r>
      <w:r w:rsidR="00DC2810" w:rsidRPr="00A25D83">
        <w:rPr>
          <w:sz w:val="16"/>
          <w:szCs w:val="16"/>
        </w:rPr>
        <w:t xml:space="preserve">is recorded </w:t>
      </w:r>
      <w:r w:rsidR="00062340" w:rsidRPr="00A25D83">
        <w:rPr>
          <w:sz w:val="16"/>
          <w:szCs w:val="16"/>
        </w:rPr>
        <w:t xml:space="preserve">this </w:t>
      </w:r>
      <w:r w:rsidR="005878E4" w:rsidRPr="00A25D83">
        <w:rPr>
          <w:sz w:val="16"/>
          <w:szCs w:val="16"/>
        </w:rPr>
        <w:t xml:space="preserve">indicates </w:t>
      </w:r>
      <w:r w:rsidR="008610A2" w:rsidRPr="00A25D83">
        <w:rPr>
          <w:sz w:val="16"/>
          <w:szCs w:val="16"/>
        </w:rPr>
        <w:t xml:space="preserve">species caught but </w:t>
      </w:r>
      <w:r w:rsidR="00DC2810" w:rsidRPr="00A25D83">
        <w:rPr>
          <w:sz w:val="16"/>
          <w:szCs w:val="16"/>
        </w:rPr>
        <w:t>not landed in the vessel</w:t>
      </w:r>
      <w:bookmarkEnd w:id="54"/>
    </w:p>
    <w:p w14:paraId="313CEC12" w14:textId="30A65452" w:rsidR="00C41B8B" w:rsidRPr="00A25D83" w:rsidRDefault="001C1AB6" w:rsidP="003E1291">
      <w:pPr>
        <w:pStyle w:val="Heading2"/>
        <w:ind w:left="0"/>
        <w:rPr>
          <w:sz w:val="16"/>
          <w:szCs w:val="16"/>
        </w:rPr>
      </w:pPr>
      <w:bookmarkStart w:id="55" w:name="_Toc210975482"/>
      <w:r w:rsidRPr="00A25D83">
        <w:rPr>
          <w:sz w:val="16"/>
          <w:szCs w:val="16"/>
        </w:rPr>
        <w:t>*</w:t>
      </w:r>
      <w:r w:rsidR="005659EE" w:rsidRPr="00DD2A99">
        <w:rPr>
          <w:sz w:val="16"/>
          <w:szCs w:val="16"/>
        </w:rPr>
        <w:t>*</w:t>
      </w:r>
      <w:r w:rsidRPr="00DD2A99">
        <w:rPr>
          <w:kern w:val="2"/>
          <w:sz w:val="16"/>
          <w:szCs w:val="16"/>
          <w14:ligatures w14:val="standardContextual"/>
        </w:rPr>
        <w:t xml:space="preserve"> </w:t>
      </w:r>
      <w:r w:rsidRPr="00A25D83">
        <w:rPr>
          <w:sz w:val="16"/>
          <w:szCs w:val="16"/>
        </w:rPr>
        <w:t xml:space="preserve">Anecdotal information from Industry suggests that it is highly unlikely that commercial scallop could be caught on squid boats with computerised gear </w:t>
      </w:r>
      <w:r w:rsidR="00742574" w:rsidRPr="00A25D83">
        <w:rPr>
          <w:sz w:val="16"/>
          <w:szCs w:val="16"/>
        </w:rPr>
        <w:t>(which is majority of the fleet)</w:t>
      </w:r>
      <w:r w:rsidRPr="00A25D83">
        <w:rPr>
          <w:sz w:val="16"/>
          <w:szCs w:val="16"/>
        </w:rPr>
        <w:t xml:space="preserve"> as the computer stops the line/jigs before they touch the seabed floor.</w:t>
      </w:r>
      <w:bookmarkEnd w:id="55"/>
    </w:p>
    <w:p w14:paraId="11F1B533" w14:textId="77777777" w:rsidR="00C41B8B" w:rsidRDefault="00C41B8B">
      <w:pPr>
        <w:rPr>
          <w:rFonts w:asciiTheme="majorHAnsi" w:eastAsiaTheme="majorEastAsia" w:hAnsiTheme="majorHAnsi" w:cstheme="majorBidi"/>
          <w:b/>
          <w:color w:val="000000" w:themeColor="text1"/>
          <w:sz w:val="16"/>
          <w:szCs w:val="16"/>
          <w:highlight w:val="yellow"/>
        </w:rPr>
      </w:pPr>
      <w:r>
        <w:rPr>
          <w:sz w:val="16"/>
          <w:szCs w:val="16"/>
          <w:highlight w:val="yellow"/>
        </w:rPr>
        <w:br w:type="page"/>
      </w:r>
    </w:p>
    <w:p w14:paraId="53B8CCAC" w14:textId="77777777" w:rsidR="001C1AB6" w:rsidRDefault="001C1AB6" w:rsidP="00A25D83">
      <w:pPr>
        <w:pStyle w:val="Heading2"/>
        <w:ind w:left="0"/>
        <w:rPr>
          <w:sz w:val="16"/>
          <w:szCs w:val="16"/>
          <w:highlight w:val="yellow"/>
        </w:rPr>
      </w:pPr>
    </w:p>
    <w:p w14:paraId="39706847" w14:textId="023E785C" w:rsidR="000352CC" w:rsidRDefault="0027650A" w:rsidP="00642FA1">
      <w:pPr>
        <w:pStyle w:val="Heading2"/>
        <w:ind w:left="0"/>
      </w:pPr>
      <w:bookmarkStart w:id="56" w:name="_Toc210975483"/>
      <w:r>
        <w:t xml:space="preserve">APPENDIX 3 – </w:t>
      </w:r>
      <w:r w:rsidR="00695FC5">
        <w:t xml:space="preserve">Protected </w:t>
      </w:r>
      <w:r w:rsidR="00CB4E8B">
        <w:t>s</w:t>
      </w:r>
      <w:r w:rsidR="00695FC5">
        <w:t xml:space="preserve">pecies </w:t>
      </w:r>
      <w:r w:rsidR="00CB4E8B">
        <w:t>i</w:t>
      </w:r>
      <w:r w:rsidR="00AE5AE8">
        <w:t>nteraction</w:t>
      </w:r>
      <w:r w:rsidR="00695FC5">
        <w:t xml:space="preserve"> </w:t>
      </w:r>
      <w:r w:rsidR="00CB4E8B">
        <w:t>d</w:t>
      </w:r>
      <w:r w:rsidR="00AE5AE8">
        <w:t>ata</w:t>
      </w:r>
      <w:bookmarkEnd w:id="56"/>
    </w:p>
    <w:p w14:paraId="5ED0878A" w14:textId="5B8DBF9D" w:rsidR="00B45BEB" w:rsidRPr="00A25D83" w:rsidRDefault="000352CC" w:rsidP="00685ED0">
      <w:pPr>
        <w:rPr>
          <w:color w:val="7030A0"/>
        </w:rPr>
      </w:pPr>
      <w:r w:rsidRPr="00A25D83">
        <w:rPr>
          <w:color w:val="7030A0"/>
        </w:rPr>
        <w:t>Th</w:t>
      </w:r>
      <w:r w:rsidR="002A0643" w:rsidRPr="00A25D83">
        <w:rPr>
          <w:color w:val="7030A0"/>
        </w:rPr>
        <w:t xml:space="preserve">is includes </w:t>
      </w:r>
      <w:r w:rsidR="004E3085" w:rsidRPr="00A25D83">
        <w:rPr>
          <w:color w:val="7030A0"/>
        </w:rPr>
        <w:t>all species protected under Part 13 of the EPBC Act</w:t>
      </w:r>
      <w:r w:rsidR="00134926" w:rsidRPr="00A25D83">
        <w:rPr>
          <w:color w:val="7030A0"/>
        </w:rPr>
        <w:t xml:space="preserve">, including all Listed </w:t>
      </w:r>
      <w:r w:rsidR="002A0643" w:rsidRPr="00A25D83">
        <w:rPr>
          <w:color w:val="7030A0"/>
        </w:rPr>
        <w:t xml:space="preserve">Marine, Listed Migratory, </w:t>
      </w:r>
      <w:r w:rsidR="00D12C95" w:rsidRPr="00A25D83">
        <w:rPr>
          <w:color w:val="7030A0"/>
        </w:rPr>
        <w:t xml:space="preserve">Eligible </w:t>
      </w:r>
      <w:r w:rsidR="002A0643" w:rsidRPr="00A25D83">
        <w:rPr>
          <w:color w:val="7030A0"/>
        </w:rPr>
        <w:t xml:space="preserve">Listed </w:t>
      </w:r>
      <w:r w:rsidR="00D12C95" w:rsidRPr="00A25D83">
        <w:rPr>
          <w:color w:val="7030A0"/>
        </w:rPr>
        <w:t xml:space="preserve">Threatened Species, and whales and other cetaceans. </w:t>
      </w:r>
    </w:p>
    <w:p w14:paraId="21AF235E" w14:textId="53C9A0B6" w:rsidR="00B075E9" w:rsidRPr="00A25D83" w:rsidRDefault="004F3889" w:rsidP="00685ED0">
      <w:pPr>
        <w:rPr>
          <w:color w:val="7030A0"/>
        </w:rPr>
      </w:pPr>
      <w:r w:rsidRPr="00A25D83">
        <w:rPr>
          <w:color w:val="7030A0"/>
        </w:rPr>
        <w:t xml:space="preserve">Copies of </w:t>
      </w:r>
      <w:r w:rsidR="00F43655" w:rsidRPr="00A25D83">
        <w:rPr>
          <w:color w:val="7030A0"/>
        </w:rPr>
        <w:t>protected</w:t>
      </w:r>
      <w:r w:rsidRPr="00A25D83">
        <w:rPr>
          <w:color w:val="7030A0"/>
        </w:rPr>
        <w:t xml:space="preserve"> </w:t>
      </w:r>
      <w:r w:rsidR="00F43655" w:rsidRPr="00A25D83">
        <w:rPr>
          <w:color w:val="7030A0"/>
        </w:rPr>
        <w:t xml:space="preserve">species </w:t>
      </w:r>
      <w:r w:rsidRPr="00A25D83">
        <w:rPr>
          <w:color w:val="7030A0"/>
        </w:rPr>
        <w:t xml:space="preserve">lists are available </w:t>
      </w:r>
      <w:r w:rsidR="00EF0729" w:rsidRPr="00A25D83">
        <w:rPr>
          <w:color w:val="7030A0"/>
        </w:rPr>
        <w:t>at</w:t>
      </w:r>
      <w:r w:rsidR="00BF27B2" w:rsidRPr="00A25D83">
        <w:rPr>
          <w:color w:val="7030A0"/>
        </w:rPr>
        <w:t xml:space="preserve">: </w:t>
      </w:r>
      <w:hyperlink r:id="rId63" w:history="1">
        <w:r w:rsidR="00953B46" w:rsidRPr="00A25D83">
          <w:rPr>
            <w:rStyle w:val="Hyperlink"/>
            <w:color w:val="7030A0"/>
          </w:rPr>
          <w:t>https://www.dcceew.gov.au/environment/epbc/our-role/approved-lists</w:t>
        </w:r>
      </w:hyperlink>
      <w:r w:rsidR="00953B46" w:rsidRPr="00A25D83">
        <w:rPr>
          <w:color w:val="7030A0"/>
        </w:rPr>
        <w:t>.</w:t>
      </w:r>
    </w:p>
    <w:p w14:paraId="7344565D" w14:textId="7C5A9913" w:rsidR="00471E2E" w:rsidRPr="00A25D83" w:rsidRDefault="001413F7" w:rsidP="00685ED0">
      <w:pPr>
        <w:rPr>
          <w:color w:val="7030A0"/>
        </w:rPr>
      </w:pPr>
      <w:r w:rsidRPr="00A25D83">
        <w:rPr>
          <w:color w:val="7030A0"/>
        </w:rPr>
        <w:t>Note: T</w:t>
      </w:r>
      <w:r w:rsidR="00471E2E" w:rsidRPr="00A25D83">
        <w:rPr>
          <w:color w:val="7030A0"/>
        </w:rPr>
        <w:t xml:space="preserve">here is no list of </w:t>
      </w:r>
      <w:r w:rsidRPr="00A25D83">
        <w:rPr>
          <w:color w:val="7030A0"/>
        </w:rPr>
        <w:t xml:space="preserve">whales and cetaceans </w:t>
      </w:r>
      <w:r w:rsidR="00B45BEB" w:rsidRPr="00A25D83">
        <w:rPr>
          <w:color w:val="7030A0"/>
        </w:rPr>
        <w:t xml:space="preserve">- </w:t>
      </w:r>
      <w:r w:rsidRPr="00A25D83">
        <w:rPr>
          <w:color w:val="7030A0"/>
        </w:rPr>
        <w:t>all whales and cetaceans are protected under Part 13 of the EPBC Act.</w:t>
      </w:r>
    </w:p>
    <w:p w14:paraId="42C50FB8" w14:textId="36103AE2" w:rsidR="00695FC5" w:rsidRPr="00A25D83" w:rsidRDefault="00B45BEB" w:rsidP="00695FC5">
      <w:pPr>
        <w:rPr>
          <w:color w:val="7030A0"/>
        </w:rPr>
      </w:pPr>
      <w:r w:rsidRPr="00A25D83">
        <w:rPr>
          <w:color w:val="7030A0"/>
        </w:rPr>
        <w:t xml:space="preserve">An </w:t>
      </w:r>
      <w:r w:rsidR="00285A56" w:rsidRPr="00A25D83">
        <w:rPr>
          <w:color w:val="7030A0"/>
        </w:rPr>
        <w:t xml:space="preserve">interaction </w:t>
      </w:r>
      <w:r w:rsidRPr="00A25D83">
        <w:rPr>
          <w:color w:val="7030A0"/>
        </w:rPr>
        <w:t xml:space="preserve">is </w:t>
      </w:r>
      <w:r w:rsidR="00285A56" w:rsidRPr="00A25D83">
        <w:rPr>
          <w:color w:val="7030A0"/>
        </w:rPr>
        <w:t xml:space="preserve">any physical contact between a species and a fishing operation and includes all catch, and any discards or releases. Collisions (that is, an animal that </w:t>
      </w:r>
      <w:proofErr w:type="gramStart"/>
      <w:r w:rsidR="00285A56" w:rsidRPr="00A25D83">
        <w:rPr>
          <w:color w:val="7030A0"/>
        </w:rPr>
        <w:t>makes contact with</w:t>
      </w:r>
      <w:proofErr w:type="gramEnd"/>
      <w:r w:rsidR="00285A56" w:rsidRPr="00A25D83">
        <w:rPr>
          <w:color w:val="7030A0"/>
        </w:rPr>
        <w:t xml:space="preserve"> the fishing operation but is not caught) are also considered to be interactions. Interactions must be recorded and reported even if the animal does not require physical contact for release and regardless of whether any other catch is recorded.</w:t>
      </w:r>
    </w:p>
    <w:p w14:paraId="4B978708" w14:textId="56B29D67" w:rsidR="00B45BEB" w:rsidRPr="00A25D83" w:rsidRDefault="00B45BEB" w:rsidP="00B45BEB">
      <w:pPr>
        <w:rPr>
          <w:color w:val="7030A0"/>
        </w:rPr>
      </w:pPr>
      <w:r w:rsidRPr="00A25D83">
        <w:rPr>
          <w:color w:val="7030A0"/>
        </w:rPr>
        <w:t>Where possible report interactions by number of each species for each fishing method/gear type. Where information is available on whether the animal was injured, killed</w:t>
      </w:r>
      <w:r w:rsidR="007F39F9" w:rsidRPr="00A25D83">
        <w:rPr>
          <w:color w:val="7030A0"/>
        </w:rPr>
        <w:t>,</w:t>
      </w:r>
      <w:r w:rsidRPr="00A25D83">
        <w:rPr>
          <w:color w:val="7030A0"/>
        </w:rPr>
        <w:t xml:space="preserve"> or released alive, please include this for consideration.</w:t>
      </w:r>
    </w:p>
    <w:p w14:paraId="0F242D7A" w14:textId="08C2A334" w:rsidR="00B45BEB" w:rsidRPr="00A25D83" w:rsidRDefault="00B45BEB" w:rsidP="00B45BEB">
      <w:pPr>
        <w:rPr>
          <w:color w:val="7030A0"/>
        </w:rPr>
      </w:pPr>
      <w:r w:rsidRPr="00A25D83">
        <w:rPr>
          <w:color w:val="7030A0"/>
        </w:rPr>
        <w:t>Where interactions have not been identified to species-level, please provide advice in the relevant sections of the report on how impacts on individual species are monitored and managed.</w:t>
      </w:r>
    </w:p>
    <w:p w14:paraId="474FC8E3" w14:textId="147FB9F3" w:rsidR="00115B38" w:rsidRPr="00D14A90" w:rsidRDefault="00115B38" w:rsidP="00115B38">
      <w:pPr>
        <w:pStyle w:val="Default"/>
        <w:spacing w:after="120"/>
        <w:jc w:val="both"/>
        <w:rPr>
          <w:rFonts w:asciiTheme="minorHAnsi" w:hAnsiTheme="minorHAnsi" w:cstheme="minorHAnsi"/>
          <w:color w:val="FF0000"/>
          <w:sz w:val="22"/>
          <w:szCs w:val="22"/>
        </w:rPr>
      </w:pPr>
      <w:r w:rsidRPr="00D14A90">
        <w:rPr>
          <w:rFonts w:asciiTheme="minorHAnsi" w:hAnsiTheme="minorHAnsi" w:cstheme="minorHAnsi"/>
          <w:color w:val="auto"/>
          <w:sz w:val="22"/>
          <w:szCs w:val="22"/>
        </w:rPr>
        <w:t xml:space="preserve">There have been no reported interactions with </w:t>
      </w:r>
      <w:r w:rsidR="00670143">
        <w:rPr>
          <w:rFonts w:asciiTheme="minorHAnsi" w:hAnsiTheme="minorHAnsi" w:cstheme="minorHAnsi"/>
          <w:color w:val="auto"/>
          <w:sz w:val="22"/>
          <w:szCs w:val="22"/>
        </w:rPr>
        <w:t>ETP</w:t>
      </w:r>
      <w:r w:rsidRPr="00D14A90">
        <w:rPr>
          <w:rFonts w:asciiTheme="minorHAnsi" w:hAnsiTheme="minorHAnsi" w:cstheme="minorHAnsi"/>
          <w:color w:val="auto"/>
          <w:sz w:val="22"/>
          <w:szCs w:val="22"/>
        </w:rPr>
        <w:t xml:space="preserve"> species in the SSJF </w:t>
      </w:r>
      <w:r w:rsidR="009421BC">
        <w:rPr>
          <w:rFonts w:asciiTheme="minorHAnsi" w:hAnsiTheme="minorHAnsi" w:cstheme="minorHAnsi"/>
          <w:color w:val="auto"/>
          <w:sz w:val="22"/>
          <w:szCs w:val="22"/>
        </w:rPr>
        <w:t>in the last 10 years.</w:t>
      </w:r>
      <w:r w:rsidRPr="00D14A90">
        <w:rPr>
          <w:rFonts w:asciiTheme="minorHAnsi" w:hAnsiTheme="minorHAnsi" w:cstheme="minorHAnsi"/>
          <w:color w:val="auto"/>
          <w:sz w:val="22"/>
          <w:szCs w:val="22"/>
        </w:rPr>
        <w:t xml:space="preserve">  </w:t>
      </w:r>
    </w:p>
    <w:p w14:paraId="31D6F0B0" w14:textId="77777777" w:rsidR="00642FA1" w:rsidRDefault="00642FA1" w:rsidP="00C329F4">
      <w:pPr>
        <w:pStyle w:val="Heading2"/>
      </w:pPr>
    </w:p>
    <w:p w14:paraId="32AE0372" w14:textId="77777777" w:rsidR="00790108" w:rsidRDefault="00790108" w:rsidP="00790108"/>
    <w:p w14:paraId="4505E631" w14:textId="77777777" w:rsidR="00790108" w:rsidRDefault="00790108" w:rsidP="00790108"/>
    <w:p w14:paraId="1F8FC848" w14:textId="77777777" w:rsidR="00790108" w:rsidRDefault="00790108" w:rsidP="00790108"/>
    <w:p w14:paraId="138F2A82" w14:textId="77777777" w:rsidR="00790108" w:rsidRDefault="00790108" w:rsidP="00790108"/>
    <w:p w14:paraId="407E55C3" w14:textId="77777777" w:rsidR="00790108" w:rsidRDefault="00790108" w:rsidP="00790108"/>
    <w:p w14:paraId="6E444D5D" w14:textId="77777777" w:rsidR="00790108" w:rsidRDefault="00790108" w:rsidP="00790108"/>
    <w:p w14:paraId="7C8FDF83" w14:textId="77777777" w:rsidR="00790108" w:rsidRDefault="00790108" w:rsidP="00790108"/>
    <w:p w14:paraId="0F26CA3F" w14:textId="77777777" w:rsidR="00790108" w:rsidRDefault="00790108" w:rsidP="00790108"/>
    <w:p w14:paraId="1EB13D92" w14:textId="77777777" w:rsidR="00790108" w:rsidRDefault="00790108" w:rsidP="00790108"/>
    <w:p w14:paraId="5CB1489D" w14:textId="77777777" w:rsidR="00790108" w:rsidRDefault="00790108" w:rsidP="00790108"/>
    <w:p w14:paraId="0017480E" w14:textId="77777777" w:rsidR="00790108" w:rsidRDefault="00790108" w:rsidP="00790108"/>
    <w:p w14:paraId="22904343" w14:textId="77777777" w:rsidR="00790108" w:rsidRDefault="00790108" w:rsidP="00790108"/>
    <w:p w14:paraId="17430C39" w14:textId="77777777" w:rsidR="00790108" w:rsidRDefault="00790108" w:rsidP="00790108"/>
    <w:p w14:paraId="48767C94" w14:textId="77777777" w:rsidR="00790108" w:rsidRDefault="00790108" w:rsidP="00790108"/>
    <w:p w14:paraId="6D33199C" w14:textId="77777777" w:rsidR="00790108" w:rsidRPr="00790108" w:rsidRDefault="00790108" w:rsidP="00790108"/>
    <w:p w14:paraId="72E1E5B6" w14:textId="77777777" w:rsidR="00642FA1" w:rsidRDefault="00642FA1" w:rsidP="00C329F4">
      <w:pPr>
        <w:pStyle w:val="Heading2"/>
      </w:pPr>
    </w:p>
    <w:p w14:paraId="70E57C3B" w14:textId="12557122" w:rsidR="0027650A" w:rsidRDefault="0027650A" w:rsidP="00790108">
      <w:pPr>
        <w:pStyle w:val="Heading2"/>
        <w:ind w:left="0"/>
      </w:pPr>
      <w:bookmarkStart w:id="57" w:name="_Toc210975484"/>
      <w:r>
        <w:t>APPENDIX 4</w:t>
      </w:r>
      <w:r w:rsidR="006571DA">
        <w:t xml:space="preserve"> </w:t>
      </w:r>
      <w:r w:rsidR="00D020EB">
        <w:t>–</w:t>
      </w:r>
      <w:r w:rsidR="006571DA">
        <w:t xml:space="preserve"> </w:t>
      </w:r>
      <w:r w:rsidR="00D020EB">
        <w:t xml:space="preserve">Fishing </w:t>
      </w:r>
      <w:r w:rsidR="00CB4E8B">
        <w:t>e</w:t>
      </w:r>
      <w:r w:rsidR="00D020EB">
        <w:t>ffort</w:t>
      </w:r>
      <w:bookmarkEnd w:id="57"/>
    </w:p>
    <w:p w14:paraId="552086B3" w14:textId="30C07AF9" w:rsidR="004C05B5" w:rsidRPr="006A6A6F" w:rsidRDefault="004C05B5" w:rsidP="004C05B5">
      <w:pPr>
        <w:pStyle w:val="Caption"/>
        <w:rPr>
          <w:rFonts w:asciiTheme="minorHAnsi" w:hAnsiTheme="minorHAnsi" w:cstheme="minorHAnsi"/>
          <w:color w:val="auto"/>
        </w:rPr>
      </w:pPr>
      <w:r w:rsidRPr="006A6A6F">
        <w:rPr>
          <w:rFonts w:asciiTheme="minorHAnsi" w:hAnsiTheme="minorHAnsi" w:cstheme="minorHAnsi"/>
        </w:rPr>
        <w:t>Table</w:t>
      </w:r>
      <w:r>
        <w:rPr>
          <w:rFonts w:asciiTheme="minorHAnsi" w:hAnsiTheme="minorHAnsi" w:cstheme="minorHAnsi"/>
        </w:rPr>
        <w:t xml:space="preserve"> 1</w:t>
      </w:r>
      <w:r w:rsidR="00B64649">
        <w:rPr>
          <w:rFonts w:asciiTheme="minorHAnsi" w:hAnsiTheme="minorHAnsi" w:cstheme="minorHAnsi"/>
        </w:rPr>
        <w:t>0</w:t>
      </w:r>
      <w:r w:rsidRPr="006A6A6F">
        <w:rPr>
          <w:rFonts w:asciiTheme="minorHAnsi" w:hAnsiTheme="minorHAnsi" w:cstheme="minorHAnsi"/>
        </w:rPr>
        <w:t>.</w:t>
      </w:r>
      <w:r w:rsidRPr="006A6A6F">
        <w:rPr>
          <w:rFonts w:asciiTheme="minorHAnsi" w:hAnsiTheme="minorHAnsi" w:cstheme="minorHAnsi"/>
          <w:color w:val="auto"/>
        </w:rPr>
        <w:t xml:space="preserve"> Fishing effort </w:t>
      </w:r>
      <w:r w:rsidR="00A943CD">
        <w:rPr>
          <w:rFonts w:asciiTheme="minorHAnsi" w:hAnsiTheme="minorHAnsi" w:cstheme="minorHAnsi"/>
          <w:color w:val="auto"/>
        </w:rPr>
        <w:t>within the SSJF</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288"/>
        <w:gridCol w:w="1288"/>
        <w:gridCol w:w="1288"/>
        <w:gridCol w:w="1288"/>
        <w:gridCol w:w="1288"/>
        <w:gridCol w:w="1288"/>
        <w:gridCol w:w="1288"/>
      </w:tblGrid>
      <w:tr w:rsidR="006B358A" w14:paraId="7E39C46E" w14:textId="77777777" w:rsidTr="002357B4">
        <w:tc>
          <w:tcPr>
            <w:tcW w:w="1288" w:type="dxa"/>
            <w:shd w:val="clear" w:color="auto" w:fill="006C8B"/>
            <w:vAlign w:val="center"/>
          </w:tcPr>
          <w:p w14:paraId="40623033" w14:textId="11227B57" w:rsidR="006B358A" w:rsidRPr="006B358A" w:rsidRDefault="006B358A" w:rsidP="002357B4">
            <w:pPr>
              <w:jc w:val="center"/>
              <w:rPr>
                <w:color w:val="FFFFFF" w:themeColor="background1"/>
              </w:rPr>
            </w:pPr>
            <w:r w:rsidRPr="006B358A">
              <w:rPr>
                <w:rFonts w:cstheme="minorHAnsi"/>
                <w:color w:val="FFFFFF" w:themeColor="background1"/>
              </w:rPr>
              <w:t>Year</w:t>
            </w:r>
          </w:p>
        </w:tc>
        <w:tc>
          <w:tcPr>
            <w:tcW w:w="1288" w:type="dxa"/>
            <w:shd w:val="clear" w:color="auto" w:fill="006C8B"/>
            <w:vAlign w:val="center"/>
          </w:tcPr>
          <w:p w14:paraId="11DFF88F" w14:textId="72E2718C" w:rsidR="006B358A" w:rsidRPr="006B358A" w:rsidRDefault="006B358A" w:rsidP="002357B4">
            <w:pPr>
              <w:jc w:val="center"/>
              <w:rPr>
                <w:color w:val="FFFFFF" w:themeColor="background1"/>
              </w:rPr>
            </w:pPr>
            <w:r w:rsidRPr="006B358A">
              <w:rPr>
                <w:rFonts w:cstheme="minorHAnsi"/>
                <w:color w:val="FFFFFF" w:themeColor="background1"/>
              </w:rPr>
              <w:t>2020</w:t>
            </w:r>
          </w:p>
        </w:tc>
        <w:tc>
          <w:tcPr>
            <w:tcW w:w="1288" w:type="dxa"/>
            <w:shd w:val="clear" w:color="auto" w:fill="006C8B"/>
            <w:vAlign w:val="center"/>
          </w:tcPr>
          <w:p w14:paraId="584F4C3B" w14:textId="742B09DB" w:rsidR="006B358A" w:rsidRPr="006B358A" w:rsidRDefault="006B358A" w:rsidP="002357B4">
            <w:pPr>
              <w:jc w:val="center"/>
              <w:rPr>
                <w:color w:val="FFFFFF" w:themeColor="background1"/>
              </w:rPr>
            </w:pPr>
            <w:r w:rsidRPr="006B358A">
              <w:rPr>
                <w:rFonts w:cstheme="minorHAnsi"/>
                <w:color w:val="FFFFFF" w:themeColor="background1"/>
              </w:rPr>
              <w:t>2021</w:t>
            </w:r>
          </w:p>
        </w:tc>
        <w:tc>
          <w:tcPr>
            <w:tcW w:w="1288" w:type="dxa"/>
            <w:shd w:val="clear" w:color="auto" w:fill="006C8B"/>
            <w:vAlign w:val="center"/>
          </w:tcPr>
          <w:p w14:paraId="752C5BCE" w14:textId="32261C75" w:rsidR="006B358A" w:rsidRPr="006B358A" w:rsidRDefault="006B358A" w:rsidP="002357B4">
            <w:pPr>
              <w:jc w:val="center"/>
              <w:rPr>
                <w:color w:val="FFFFFF" w:themeColor="background1"/>
              </w:rPr>
            </w:pPr>
            <w:r w:rsidRPr="006B358A">
              <w:rPr>
                <w:rFonts w:cstheme="minorHAnsi"/>
                <w:color w:val="FFFFFF" w:themeColor="background1"/>
              </w:rPr>
              <w:t>2022</w:t>
            </w:r>
          </w:p>
        </w:tc>
        <w:tc>
          <w:tcPr>
            <w:tcW w:w="1288" w:type="dxa"/>
            <w:shd w:val="clear" w:color="auto" w:fill="006C8B"/>
            <w:vAlign w:val="center"/>
          </w:tcPr>
          <w:p w14:paraId="41CAEF03" w14:textId="7B1E7EC1" w:rsidR="006B358A" w:rsidRPr="006B358A" w:rsidRDefault="006B358A" w:rsidP="002357B4">
            <w:pPr>
              <w:jc w:val="center"/>
              <w:rPr>
                <w:color w:val="FFFFFF" w:themeColor="background1"/>
              </w:rPr>
            </w:pPr>
            <w:r w:rsidRPr="006B358A">
              <w:rPr>
                <w:rFonts w:cstheme="minorHAnsi"/>
                <w:color w:val="FFFFFF" w:themeColor="background1"/>
              </w:rPr>
              <w:t>2023</w:t>
            </w:r>
          </w:p>
        </w:tc>
        <w:tc>
          <w:tcPr>
            <w:tcW w:w="1288" w:type="dxa"/>
            <w:shd w:val="clear" w:color="auto" w:fill="006C8B"/>
            <w:vAlign w:val="center"/>
          </w:tcPr>
          <w:p w14:paraId="214025A0" w14:textId="5BF1B28A" w:rsidR="006B358A" w:rsidRPr="006B358A" w:rsidRDefault="006B358A" w:rsidP="002357B4">
            <w:pPr>
              <w:jc w:val="center"/>
              <w:rPr>
                <w:color w:val="FFFFFF" w:themeColor="background1"/>
              </w:rPr>
            </w:pPr>
            <w:r w:rsidRPr="006B358A">
              <w:rPr>
                <w:rFonts w:cstheme="minorHAnsi"/>
                <w:color w:val="FFFFFF" w:themeColor="background1"/>
              </w:rPr>
              <w:t>2024</w:t>
            </w:r>
          </w:p>
        </w:tc>
        <w:tc>
          <w:tcPr>
            <w:tcW w:w="1288" w:type="dxa"/>
            <w:shd w:val="clear" w:color="auto" w:fill="006C8B"/>
            <w:vAlign w:val="center"/>
          </w:tcPr>
          <w:p w14:paraId="34F0354E" w14:textId="47DC619A" w:rsidR="006B358A" w:rsidRPr="006B358A" w:rsidRDefault="006B358A" w:rsidP="002357B4">
            <w:pPr>
              <w:jc w:val="center"/>
              <w:rPr>
                <w:color w:val="FFFFFF" w:themeColor="background1"/>
              </w:rPr>
            </w:pPr>
            <w:r w:rsidRPr="006B358A">
              <w:rPr>
                <w:rFonts w:cstheme="minorHAnsi"/>
                <w:color w:val="FFFFFF" w:themeColor="background1"/>
              </w:rPr>
              <w:t>2025</w:t>
            </w:r>
            <w:r w:rsidR="001568E8">
              <w:rPr>
                <w:rFonts w:cstheme="minorHAnsi"/>
                <w:color w:val="FFFFFF" w:themeColor="background1"/>
              </w:rPr>
              <w:t>*</w:t>
            </w:r>
          </w:p>
        </w:tc>
      </w:tr>
      <w:tr w:rsidR="006B358A" w14:paraId="18CDB9EC" w14:textId="77777777" w:rsidTr="002357B4">
        <w:tc>
          <w:tcPr>
            <w:tcW w:w="1288" w:type="dxa"/>
            <w:vAlign w:val="center"/>
          </w:tcPr>
          <w:p w14:paraId="09319AAA" w14:textId="232B963A" w:rsidR="006B358A" w:rsidRDefault="006B358A" w:rsidP="002357B4">
            <w:pPr>
              <w:jc w:val="center"/>
            </w:pPr>
            <w:r w:rsidRPr="002A1245">
              <w:rPr>
                <w:rFonts w:cstheme="minorHAnsi"/>
                <w:b/>
                <w:bCs/>
              </w:rPr>
              <w:t>No. of active boats</w:t>
            </w:r>
          </w:p>
        </w:tc>
        <w:tc>
          <w:tcPr>
            <w:tcW w:w="1288" w:type="dxa"/>
            <w:vAlign w:val="center"/>
          </w:tcPr>
          <w:p w14:paraId="4F07120C" w14:textId="77106F5C" w:rsidR="006B358A" w:rsidRDefault="006B358A" w:rsidP="002357B4">
            <w:pPr>
              <w:jc w:val="center"/>
            </w:pPr>
            <w:r w:rsidRPr="002A1245">
              <w:rPr>
                <w:rFonts w:cstheme="minorHAnsi"/>
              </w:rPr>
              <w:t>5</w:t>
            </w:r>
          </w:p>
        </w:tc>
        <w:tc>
          <w:tcPr>
            <w:tcW w:w="1288" w:type="dxa"/>
            <w:vAlign w:val="center"/>
          </w:tcPr>
          <w:p w14:paraId="5D4C293B" w14:textId="4C8D10A3" w:rsidR="006B358A" w:rsidRDefault="006B358A" w:rsidP="002357B4">
            <w:pPr>
              <w:jc w:val="center"/>
            </w:pPr>
            <w:r w:rsidRPr="002A1245">
              <w:rPr>
                <w:rFonts w:cstheme="minorHAnsi"/>
              </w:rPr>
              <w:t>8</w:t>
            </w:r>
          </w:p>
        </w:tc>
        <w:tc>
          <w:tcPr>
            <w:tcW w:w="1288" w:type="dxa"/>
            <w:vAlign w:val="center"/>
          </w:tcPr>
          <w:p w14:paraId="79333EB4" w14:textId="77777777" w:rsidR="002357B4" w:rsidRDefault="002357B4" w:rsidP="006B358A">
            <w:pPr>
              <w:jc w:val="center"/>
              <w:rPr>
                <w:rFonts w:cstheme="minorHAnsi"/>
              </w:rPr>
            </w:pPr>
          </w:p>
          <w:p w14:paraId="5AC4237E" w14:textId="502010D9" w:rsidR="006B358A" w:rsidRPr="002A1245" w:rsidRDefault="006B358A" w:rsidP="006B358A">
            <w:pPr>
              <w:jc w:val="center"/>
              <w:rPr>
                <w:rFonts w:cstheme="minorHAnsi"/>
              </w:rPr>
            </w:pPr>
            <w:r w:rsidRPr="002A1245">
              <w:rPr>
                <w:rFonts w:cstheme="minorHAnsi"/>
              </w:rPr>
              <w:t>6</w:t>
            </w:r>
          </w:p>
          <w:p w14:paraId="4DD6923A" w14:textId="77777777" w:rsidR="006B358A" w:rsidRDefault="006B358A" w:rsidP="002357B4">
            <w:pPr>
              <w:jc w:val="center"/>
            </w:pPr>
          </w:p>
        </w:tc>
        <w:tc>
          <w:tcPr>
            <w:tcW w:w="1288" w:type="dxa"/>
            <w:vAlign w:val="center"/>
          </w:tcPr>
          <w:p w14:paraId="3BB49416" w14:textId="3192704A" w:rsidR="006B358A" w:rsidRDefault="006B358A" w:rsidP="002357B4">
            <w:pPr>
              <w:jc w:val="center"/>
            </w:pPr>
            <w:r>
              <w:rPr>
                <w:rFonts w:cstheme="minorHAnsi"/>
              </w:rPr>
              <w:t>8</w:t>
            </w:r>
          </w:p>
        </w:tc>
        <w:tc>
          <w:tcPr>
            <w:tcW w:w="1288" w:type="dxa"/>
            <w:vAlign w:val="center"/>
          </w:tcPr>
          <w:p w14:paraId="19A1E1BE" w14:textId="59EAA6B7" w:rsidR="006B358A" w:rsidRDefault="006B358A" w:rsidP="002357B4">
            <w:pPr>
              <w:jc w:val="center"/>
            </w:pPr>
            <w:r>
              <w:rPr>
                <w:rFonts w:cstheme="minorHAnsi"/>
              </w:rPr>
              <w:t>10</w:t>
            </w:r>
          </w:p>
        </w:tc>
        <w:tc>
          <w:tcPr>
            <w:tcW w:w="1288" w:type="dxa"/>
            <w:vAlign w:val="center"/>
          </w:tcPr>
          <w:p w14:paraId="725DF004" w14:textId="1A0AA089" w:rsidR="006B358A" w:rsidRDefault="006B358A" w:rsidP="002357B4">
            <w:pPr>
              <w:jc w:val="center"/>
            </w:pPr>
            <w:r>
              <w:rPr>
                <w:rFonts w:cstheme="minorHAnsi"/>
              </w:rPr>
              <w:t>7</w:t>
            </w:r>
          </w:p>
        </w:tc>
      </w:tr>
      <w:tr w:rsidR="006B358A" w14:paraId="6BDF8275" w14:textId="77777777" w:rsidTr="002357B4">
        <w:tc>
          <w:tcPr>
            <w:tcW w:w="1288" w:type="dxa"/>
            <w:vAlign w:val="center"/>
          </w:tcPr>
          <w:p w14:paraId="27625EF0" w14:textId="5A2F040A" w:rsidR="006B358A" w:rsidRDefault="006B358A" w:rsidP="002357B4">
            <w:pPr>
              <w:jc w:val="center"/>
            </w:pPr>
            <w:r w:rsidRPr="002A1245">
              <w:rPr>
                <w:rFonts w:cstheme="minorHAnsi"/>
                <w:b/>
                <w:bCs/>
              </w:rPr>
              <w:t>No. of boat days</w:t>
            </w:r>
          </w:p>
        </w:tc>
        <w:tc>
          <w:tcPr>
            <w:tcW w:w="1288" w:type="dxa"/>
            <w:vAlign w:val="center"/>
          </w:tcPr>
          <w:p w14:paraId="03E0EC9E" w14:textId="670137CE" w:rsidR="006B358A" w:rsidRDefault="006B358A" w:rsidP="002357B4">
            <w:pPr>
              <w:jc w:val="center"/>
            </w:pPr>
            <w:r w:rsidRPr="002A1245">
              <w:rPr>
                <w:rFonts w:cstheme="minorHAnsi"/>
              </w:rPr>
              <w:t>183</w:t>
            </w:r>
          </w:p>
        </w:tc>
        <w:tc>
          <w:tcPr>
            <w:tcW w:w="1288" w:type="dxa"/>
            <w:vAlign w:val="center"/>
          </w:tcPr>
          <w:p w14:paraId="66E20B30" w14:textId="2CF929D4" w:rsidR="006B358A" w:rsidRDefault="006B358A" w:rsidP="002357B4">
            <w:pPr>
              <w:jc w:val="center"/>
            </w:pPr>
            <w:r w:rsidRPr="002A1245">
              <w:rPr>
                <w:rFonts w:cstheme="minorHAnsi"/>
              </w:rPr>
              <w:t>3</w:t>
            </w:r>
            <w:r w:rsidR="00804B64">
              <w:rPr>
                <w:rFonts w:cstheme="minorHAnsi"/>
              </w:rPr>
              <w:t>25</w:t>
            </w:r>
          </w:p>
        </w:tc>
        <w:tc>
          <w:tcPr>
            <w:tcW w:w="1288" w:type="dxa"/>
            <w:vAlign w:val="center"/>
          </w:tcPr>
          <w:p w14:paraId="08D42D92" w14:textId="490121D3" w:rsidR="006B358A" w:rsidRDefault="006B358A" w:rsidP="002357B4">
            <w:pPr>
              <w:jc w:val="center"/>
            </w:pPr>
            <w:r w:rsidRPr="002A1245">
              <w:rPr>
                <w:rFonts w:cstheme="minorHAnsi"/>
              </w:rPr>
              <w:t>148</w:t>
            </w:r>
          </w:p>
        </w:tc>
        <w:tc>
          <w:tcPr>
            <w:tcW w:w="1288" w:type="dxa"/>
            <w:vAlign w:val="center"/>
          </w:tcPr>
          <w:p w14:paraId="4EE4FA8D" w14:textId="4B7B8287" w:rsidR="006B358A" w:rsidRDefault="006B358A" w:rsidP="002357B4">
            <w:pPr>
              <w:jc w:val="center"/>
            </w:pPr>
            <w:r w:rsidRPr="002A1245">
              <w:rPr>
                <w:rFonts w:cstheme="minorHAnsi"/>
              </w:rPr>
              <w:t>405</w:t>
            </w:r>
          </w:p>
        </w:tc>
        <w:tc>
          <w:tcPr>
            <w:tcW w:w="1288" w:type="dxa"/>
            <w:vAlign w:val="center"/>
          </w:tcPr>
          <w:p w14:paraId="416CDC1F" w14:textId="5C4B5DF1" w:rsidR="006B358A" w:rsidRDefault="006B358A" w:rsidP="002357B4">
            <w:pPr>
              <w:jc w:val="center"/>
            </w:pPr>
            <w:r w:rsidRPr="002A1245">
              <w:rPr>
                <w:rFonts w:cstheme="minorHAnsi"/>
              </w:rPr>
              <w:t>526</w:t>
            </w:r>
          </w:p>
        </w:tc>
        <w:tc>
          <w:tcPr>
            <w:tcW w:w="1288" w:type="dxa"/>
            <w:vAlign w:val="center"/>
          </w:tcPr>
          <w:p w14:paraId="0845767E" w14:textId="525FCBC7" w:rsidR="006B358A" w:rsidRDefault="006B358A" w:rsidP="002357B4">
            <w:pPr>
              <w:jc w:val="center"/>
            </w:pPr>
            <w:r w:rsidRPr="002A1245">
              <w:rPr>
                <w:rFonts w:cstheme="minorHAnsi"/>
              </w:rPr>
              <w:t>366</w:t>
            </w:r>
          </w:p>
        </w:tc>
      </w:tr>
    </w:tbl>
    <w:p w14:paraId="7470388F" w14:textId="02666578" w:rsidR="005C5D0F" w:rsidRDefault="005C5D0F" w:rsidP="005C5D0F">
      <w:pPr>
        <w:pStyle w:val="Instructiontext"/>
        <w:rPr>
          <w:color w:val="auto"/>
        </w:rPr>
      </w:pPr>
      <w:r>
        <w:rPr>
          <w:color w:val="auto"/>
        </w:rPr>
        <w:t>*</w:t>
      </w:r>
      <w:r w:rsidRPr="006212F4">
        <w:rPr>
          <w:rFonts w:asciiTheme="minorHAnsi" w:hAnsiTheme="minorHAnsi" w:cstheme="minorHAnsi"/>
          <w:color w:val="auto"/>
        </w:rPr>
        <w:t xml:space="preserve"> </w:t>
      </w:r>
      <w:r>
        <w:rPr>
          <w:rFonts w:asciiTheme="minorHAnsi" w:hAnsiTheme="minorHAnsi" w:cstheme="minorHAnsi"/>
          <w:color w:val="auto"/>
        </w:rPr>
        <w:t>Effort as of September 2025 (2025 fishing season is open from January to 31 December 2025).</w:t>
      </w:r>
    </w:p>
    <w:p w14:paraId="6FF39E32" w14:textId="77777777" w:rsidR="004C05B5" w:rsidRPr="0027650A" w:rsidRDefault="004C05B5" w:rsidP="00BF27B2"/>
    <w:sectPr w:rsidR="004C05B5" w:rsidRPr="0027650A" w:rsidSect="00741433">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C480" w14:textId="77777777" w:rsidR="002738B9" w:rsidRDefault="002738B9" w:rsidP="00B91365">
      <w:pPr>
        <w:spacing w:after="0" w:line="240" w:lineRule="auto"/>
      </w:pPr>
      <w:r>
        <w:separator/>
      </w:r>
    </w:p>
  </w:endnote>
  <w:endnote w:type="continuationSeparator" w:id="0">
    <w:p w14:paraId="78CDB8DD" w14:textId="77777777" w:rsidR="002738B9" w:rsidRDefault="002738B9" w:rsidP="00B9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BA44" w14:textId="280461B0" w:rsidR="00982F4E" w:rsidRDefault="00D51F00">
    <w:pPr>
      <w:pStyle w:val="Footer"/>
    </w:pPr>
    <w:r>
      <w:rPr>
        <w:noProof/>
      </w:rPr>
      <mc:AlternateContent>
        <mc:Choice Requires="wps">
          <w:drawing>
            <wp:anchor distT="0" distB="0" distL="0" distR="0" simplePos="0" relativeHeight="251658247" behindDoc="0" locked="0" layoutInCell="1" allowOverlap="1" wp14:anchorId="4B247175" wp14:editId="1249C618">
              <wp:simplePos x="635" y="635"/>
              <wp:positionH relativeFrom="page">
                <wp:align>center</wp:align>
              </wp:positionH>
              <wp:positionV relativeFrom="page">
                <wp:align>bottom</wp:align>
              </wp:positionV>
              <wp:extent cx="551815" cy="391160"/>
              <wp:effectExtent l="0" t="0" r="635" b="0"/>
              <wp:wrapNone/>
              <wp:docPr id="4468486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185BE2" w14:textId="1A89C718"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47175" id="_x0000_t202" coordsize="21600,21600" o:spt="202" path="m,l,21600r21600,l21600,xe">
              <v:stroke joinstyle="miter"/>
              <v:path gradientshapeok="t" o:connecttype="rect"/>
            </v:shapetype>
            <v:shape id="Text Box 8" o:spid="_x0000_s1028"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D185BE2" w14:textId="1A89C718"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F673" w14:textId="680F0596" w:rsidR="000E77BE" w:rsidRPr="000E77BE" w:rsidRDefault="00D51F00">
    <w:pPr>
      <w:pStyle w:val="Footer"/>
      <w:jc w:val="right"/>
      <w:rPr>
        <w:b/>
        <w:bCs/>
      </w:rPr>
    </w:pPr>
    <w:r>
      <w:rPr>
        <w:b/>
        <w:bCs/>
        <w:noProof/>
      </w:rPr>
      <mc:AlternateContent>
        <mc:Choice Requires="wps">
          <w:drawing>
            <wp:anchor distT="0" distB="0" distL="0" distR="0" simplePos="0" relativeHeight="251658248" behindDoc="0" locked="0" layoutInCell="1" allowOverlap="1" wp14:anchorId="2356294E" wp14:editId="09415C61">
              <wp:simplePos x="635" y="635"/>
              <wp:positionH relativeFrom="page">
                <wp:align>center</wp:align>
              </wp:positionH>
              <wp:positionV relativeFrom="page">
                <wp:align>bottom</wp:align>
              </wp:positionV>
              <wp:extent cx="551815" cy="391160"/>
              <wp:effectExtent l="0" t="0" r="635" b="0"/>
              <wp:wrapNone/>
              <wp:docPr id="1805427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0689D2" w14:textId="43E1F902"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6294E"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60689D2" w14:textId="43E1F902"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sdt>
    <w:sdtPr>
      <w:rPr>
        <w:b/>
        <w:bCs/>
      </w:rPr>
      <w:id w:val="765353814"/>
      <w:docPartObj>
        <w:docPartGallery w:val="Page Numbers (Bottom of Page)"/>
        <w:docPartUnique/>
      </w:docPartObj>
    </w:sdtPr>
    <w:sdtEndPr>
      <w:rPr>
        <w:noProof/>
      </w:rPr>
    </w:sdtEndPr>
    <w:sdtContent>
      <w:p w14:paraId="327B1EB2" w14:textId="77777777" w:rsidR="000E77BE" w:rsidRPr="000E77BE" w:rsidRDefault="000E77BE">
        <w:pPr>
          <w:pStyle w:val="Footer"/>
          <w:jc w:val="right"/>
          <w:rPr>
            <w:b/>
            <w:bCs/>
          </w:rPr>
        </w:pPr>
        <w:r w:rsidRPr="000E77BE">
          <w:rPr>
            <w:b/>
            <w:bCs/>
          </w:rPr>
          <w:fldChar w:fldCharType="begin"/>
        </w:r>
        <w:r w:rsidRPr="000E77BE">
          <w:rPr>
            <w:b/>
            <w:bCs/>
          </w:rPr>
          <w:instrText xml:space="preserve"> PAGE   \* MERGEFORMAT </w:instrText>
        </w:r>
        <w:r w:rsidRPr="000E77BE">
          <w:rPr>
            <w:b/>
            <w:bCs/>
          </w:rPr>
          <w:fldChar w:fldCharType="separate"/>
        </w:r>
        <w:r w:rsidRPr="000E77BE">
          <w:rPr>
            <w:b/>
            <w:bCs/>
            <w:noProof/>
          </w:rPr>
          <w:t>2</w:t>
        </w:r>
        <w:r w:rsidRPr="000E77BE">
          <w:rPr>
            <w:b/>
            <w:bCs/>
            <w:noProof/>
          </w:rPr>
          <w:fldChar w:fldCharType="end"/>
        </w:r>
      </w:p>
    </w:sdtContent>
  </w:sdt>
  <w:p w14:paraId="5CB03F1B" w14:textId="77777777" w:rsidR="000E77BE" w:rsidRDefault="000E7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4F6B" w14:textId="61C3EB59" w:rsidR="00B91365" w:rsidRPr="005B143B" w:rsidRDefault="00D51F00" w:rsidP="009824EB">
    <w:pPr>
      <w:pStyle w:val="Footer"/>
      <w:jc w:val="right"/>
    </w:pPr>
    <w:r>
      <w:rPr>
        <w:noProof/>
      </w:rPr>
      <mc:AlternateContent>
        <mc:Choice Requires="wps">
          <w:drawing>
            <wp:anchor distT="0" distB="0" distL="0" distR="0" simplePos="0" relativeHeight="251658246" behindDoc="0" locked="0" layoutInCell="1" allowOverlap="1" wp14:anchorId="3428A906" wp14:editId="3E95C11C">
              <wp:simplePos x="914400" y="10071100"/>
              <wp:positionH relativeFrom="page">
                <wp:align>center</wp:align>
              </wp:positionH>
              <wp:positionV relativeFrom="page">
                <wp:align>bottom</wp:align>
              </wp:positionV>
              <wp:extent cx="551815" cy="391160"/>
              <wp:effectExtent l="0" t="0" r="635" b="0"/>
              <wp:wrapNone/>
              <wp:docPr id="67453122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1926B4" w14:textId="0DEE7D6B"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8A906"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061926B4" w14:textId="0DEE7D6B"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242E" w14:textId="08A12915" w:rsidR="00982F4E" w:rsidRDefault="00D51F00">
    <w:pPr>
      <w:pStyle w:val="Footer"/>
    </w:pPr>
    <w:r>
      <w:rPr>
        <w:noProof/>
      </w:rPr>
      <mc:AlternateContent>
        <mc:Choice Requires="wps">
          <w:drawing>
            <wp:anchor distT="0" distB="0" distL="0" distR="0" simplePos="0" relativeHeight="251658250" behindDoc="0" locked="0" layoutInCell="1" allowOverlap="1" wp14:anchorId="29B1C141" wp14:editId="42ED65DB">
              <wp:simplePos x="635" y="635"/>
              <wp:positionH relativeFrom="page">
                <wp:align>center</wp:align>
              </wp:positionH>
              <wp:positionV relativeFrom="page">
                <wp:align>bottom</wp:align>
              </wp:positionV>
              <wp:extent cx="551815" cy="391160"/>
              <wp:effectExtent l="0" t="0" r="635" b="0"/>
              <wp:wrapNone/>
              <wp:docPr id="127523654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1F132A6" w14:textId="1D30B53E"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1C141" id="_x0000_t202" coordsize="21600,21600" o:spt="202" path="m,l,21600r21600,l21600,xe">
              <v:stroke joinstyle="miter"/>
              <v:path gradientshapeok="t" o:connecttype="rect"/>
            </v:shapetype>
            <v:shape id="Text Box 11" o:spid="_x0000_s1034"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01F132A6" w14:textId="1D30B53E"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01F7" w14:textId="6DAB7F7B" w:rsidR="00741433" w:rsidRDefault="00D51F00">
    <w:pPr>
      <w:pStyle w:val="Footer"/>
      <w:jc w:val="right"/>
    </w:pPr>
    <w:r>
      <w:rPr>
        <w:noProof/>
      </w:rPr>
      <mc:AlternateContent>
        <mc:Choice Requires="wps">
          <w:drawing>
            <wp:anchor distT="0" distB="0" distL="0" distR="0" simplePos="0" relativeHeight="251658251" behindDoc="0" locked="0" layoutInCell="1" allowOverlap="1" wp14:anchorId="674690D6" wp14:editId="1E855FB4">
              <wp:simplePos x="635" y="635"/>
              <wp:positionH relativeFrom="page">
                <wp:align>center</wp:align>
              </wp:positionH>
              <wp:positionV relativeFrom="page">
                <wp:align>bottom</wp:align>
              </wp:positionV>
              <wp:extent cx="551815" cy="391160"/>
              <wp:effectExtent l="0" t="0" r="635" b="0"/>
              <wp:wrapNone/>
              <wp:docPr id="68320696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BA7417" w14:textId="7204470E"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690D6"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1EBA7417" w14:textId="7204470E"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sdt>
      <w:sdtPr>
        <w:id w:val="2097201482"/>
        <w:docPartObj>
          <w:docPartGallery w:val="Page Numbers (Bottom of Page)"/>
          <w:docPartUnique/>
        </w:docPartObj>
      </w:sdtPr>
      <w:sdtEndPr>
        <w:rPr>
          <w:noProof/>
        </w:rPr>
      </w:sdtEndPr>
      <w:sdtContent>
        <w:r w:rsidR="00741433">
          <w:fldChar w:fldCharType="begin"/>
        </w:r>
        <w:r w:rsidR="00741433">
          <w:instrText xml:space="preserve"> PAGE   \* MERGEFORMAT </w:instrText>
        </w:r>
        <w:r w:rsidR="00741433">
          <w:fldChar w:fldCharType="separate"/>
        </w:r>
        <w:r w:rsidR="00741433">
          <w:rPr>
            <w:noProof/>
          </w:rPr>
          <w:t>2</w:t>
        </w:r>
        <w:r w:rsidR="00741433">
          <w:rPr>
            <w:noProof/>
          </w:rPr>
          <w:fldChar w:fldCharType="end"/>
        </w:r>
      </w:sdtContent>
    </w:sdt>
  </w:p>
  <w:p w14:paraId="1F1B7DA3" w14:textId="77777777" w:rsidR="00741433" w:rsidRDefault="007414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C192" w14:textId="2A574D74" w:rsidR="00982F4E" w:rsidRDefault="00D51F00">
    <w:pPr>
      <w:pStyle w:val="Footer"/>
    </w:pPr>
    <w:r>
      <w:rPr>
        <w:noProof/>
      </w:rPr>
      <mc:AlternateContent>
        <mc:Choice Requires="wps">
          <w:drawing>
            <wp:anchor distT="0" distB="0" distL="0" distR="0" simplePos="0" relativeHeight="251658249" behindDoc="0" locked="0" layoutInCell="1" allowOverlap="1" wp14:anchorId="724320AC" wp14:editId="750C222A">
              <wp:simplePos x="915035" y="10071735"/>
              <wp:positionH relativeFrom="page">
                <wp:align>center</wp:align>
              </wp:positionH>
              <wp:positionV relativeFrom="page">
                <wp:align>bottom</wp:align>
              </wp:positionV>
              <wp:extent cx="551815" cy="391160"/>
              <wp:effectExtent l="0" t="0" r="635" b="0"/>
              <wp:wrapNone/>
              <wp:docPr id="67490163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FC556D" w14:textId="0265F983"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320AC" id="_x0000_t202" coordsize="21600,21600" o:spt="202" path="m,l,21600r21600,l21600,xe">
              <v:stroke joinstyle="miter"/>
              <v:path gradientshapeok="t" o:connecttype="rect"/>
            </v:shapetype>
            <v:shape id="Text Box 10" o:spid="_x0000_s1037" type="#_x0000_t202" alt="OFFICIAL" style="position:absolute;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9JDg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5/A3UB9oK4Ui4d3LZUu+V8OFFIDFMi5Bq&#10;wzMd2kBfcThZnDWAP//lj/kEPEU560kxFbckac7Md0uERHGNBo7GJhnFbT7NKW533QOQDgt6Ek4m&#10;k7wYzGhqhO6N9LyIjSgkrKR2Fd+M5kM4Spfeg1SLRUoiHTkRVnbtZCwd8Ypgvg5vAt0J8UBUPcEo&#10;J1G+A/6YG296t9gFgj+xErE9AnmCnDSYyDq9lyjy3/9T1uVVz38B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6aR9JDgIAAB0E&#10;AAAOAAAAAAAAAAAAAAAAAC4CAABkcnMvZTJvRG9jLnhtbFBLAQItABQABgAIAAAAIQDLo44Q2gAA&#10;AAMBAAAPAAAAAAAAAAAAAAAAAGgEAABkcnMvZG93bnJldi54bWxQSwUGAAAAAAQABADzAAAAbwUA&#10;AAAA&#10;" filled="f" stroked="f">
              <v:textbox style="mso-fit-shape-to-text:t" inset="0,0,0,15pt">
                <w:txbxContent>
                  <w:p w14:paraId="03FC556D" w14:textId="0265F983"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AD0B" w14:textId="77777777" w:rsidR="002738B9" w:rsidRDefault="002738B9" w:rsidP="00B91365">
      <w:pPr>
        <w:spacing w:after="0" w:line="240" w:lineRule="auto"/>
      </w:pPr>
      <w:r>
        <w:separator/>
      </w:r>
    </w:p>
  </w:footnote>
  <w:footnote w:type="continuationSeparator" w:id="0">
    <w:p w14:paraId="5CCB4A66" w14:textId="77777777" w:rsidR="002738B9" w:rsidRDefault="002738B9" w:rsidP="00B91365">
      <w:pPr>
        <w:spacing w:after="0" w:line="240" w:lineRule="auto"/>
      </w:pPr>
      <w:r>
        <w:continuationSeparator/>
      </w:r>
    </w:p>
  </w:footnote>
  <w:footnote w:id="1">
    <w:p w14:paraId="2BA6B8AD" w14:textId="62B03451" w:rsidR="00B66AF1" w:rsidRPr="002224C4" w:rsidRDefault="00B66AF1" w:rsidP="00B66AF1">
      <w:pPr>
        <w:pStyle w:val="FootnoteText"/>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C3E2" w14:textId="12D55673" w:rsidR="00982F4E" w:rsidRDefault="00D51F00">
    <w:pPr>
      <w:pStyle w:val="Header"/>
    </w:pPr>
    <w:r>
      <w:rPr>
        <w:noProof/>
      </w:rPr>
      <mc:AlternateContent>
        <mc:Choice Requires="wps">
          <w:drawing>
            <wp:anchor distT="0" distB="0" distL="0" distR="0" simplePos="0" relativeHeight="251658241" behindDoc="0" locked="0" layoutInCell="1" allowOverlap="1" wp14:anchorId="1D6224DD" wp14:editId="7D4E902A">
              <wp:simplePos x="635" y="635"/>
              <wp:positionH relativeFrom="page">
                <wp:align>center</wp:align>
              </wp:positionH>
              <wp:positionV relativeFrom="page">
                <wp:align>top</wp:align>
              </wp:positionV>
              <wp:extent cx="551815" cy="391160"/>
              <wp:effectExtent l="0" t="0" r="635" b="8890"/>
              <wp:wrapNone/>
              <wp:docPr id="2120644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03BE28" w14:textId="03A2CF2A"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224D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D03BE28" w14:textId="03A2CF2A"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A671" w14:textId="21758D4A" w:rsidR="00982F4E" w:rsidRDefault="00D51F00">
    <w:pPr>
      <w:pStyle w:val="Header"/>
    </w:pPr>
    <w:r>
      <w:rPr>
        <w:noProof/>
      </w:rPr>
      <mc:AlternateContent>
        <mc:Choice Requires="wps">
          <w:drawing>
            <wp:anchor distT="0" distB="0" distL="0" distR="0" simplePos="0" relativeHeight="251658242" behindDoc="0" locked="0" layoutInCell="1" allowOverlap="1" wp14:anchorId="35BA0C6D" wp14:editId="74C83E1F">
              <wp:simplePos x="635" y="635"/>
              <wp:positionH relativeFrom="page">
                <wp:align>center</wp:align>
              </wp:positionH>
              <wp:positionV relativeFrom="page">
                <wp:align>top</wp:align>
              </wp:positionV>
              <wp:extent cx="551815" cy="391160"/>
              <wp:effectExtent l="0" t="0" r="635" b="8890"/>
              <wp:wrapNone/>
              <wp:docPr id="2205918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4828E1" w14:textId="595514EE"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A0C6D"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64828E1" w14:textId="595514EE"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B0CD" w14:textId="01008941" w:rsidR="00D51F00" w:rsidRDefault="00D51F00">
    <w:pPr>
      <w:pStyle w:val="Header"/>
    </w:pPr>
    <w:r>
      <w:rPr>
        <w:noProof/>
      </w:rPr>
      <mc:AlternateContent>
        <mc:Choice Requires="wps">
          <w:drawing>
            <wp:anchor distT="0" distB="0" distL="0" distR="0" simplePos="0" relativeHeight="251658240" behindDoc="0" locked="0" layoutInCell="1" allowOverlap="1" wp14:anchorId="0C9E4621" wp14:editId="065B1369">
              <wp:simplePos x="914400" y="450850"/>
              <wp:positionH relativeFrom="page">
                <wp:align>center</wp:align>
              </wp:positionH>
              <wp:positionV relativeFrom="page">
                <wp:align>top</wp:align>
              </wp:positionV>
              <wp:extent cx="551815" cy="391160"/>
              <wp:effectExtent l="0" t="0" r="635" b="8890"/>
              <wp:wrapNone/>
              <wp:docPr id="19073361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01900A" w14:textId="1BFF8998"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9E4621"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901900A" w14:textId="1BFF8998"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E743" w14:textId="5780B2F7" w:rsidR="00982F4E" w:rsidRDefault="00D51F00">
    <w:pPr>
      <w:pStyle w:val="Header"/>
    </w:pPr>
    <w:r>
      <w:rPr>
        <w:noProof/>
      </w:rPr>
      <mc:AlternateContent>
        <mc:Choice Requires="wps">
          <w:drawing>
            <wp:anchor distT="0" distB="0" distL="0" distR="0" simplePos="0" relativeHeight="251658244" behindDoc="0" locked="0" layoutInCell="1" allowOverlap="1" wp14:anchorId="7F5E88C4" wp14:editId="0C648437">
              <wp:simplePos x="635" y="635"/>
              <wp:positionH relativeFrom="page">
                <wp:align>center</wp:align>
              </wp:positionH>
              <wp:positionV relativeFrom="page">
                <wp:align>top</wp:align>
              </wp:positionV>
              <wp:extent cx="551815" cy="391160"/>
              <wp:effectExtent l="0" t="0" r="635" b="8890"/>
              <wp:wrapNone/>
              <wp:docPr id="11565814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10B46F" w14:textId="56E70494"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E88C4" id="_x0000_t202" coordsize="21600,21600" o:spt="202" path="m,l,21600r21600,l21600,xe">
              <v:stroke joinstyle="miter"/>
              <v:path gradientshapeok="t" o:connecttype="rect"/>
            </v:shapetype>
            <v:shape id="Text Box 5" o:spid="_x0000_s1032"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7710B46F" w14:textId="56E70494"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C6F0" w14:textId="7907F4DF" w:rsidR="00982F4E" w:rsidRDefault="00D51F00">
    <w:pPr>
      <w:pStyle w:val="Header"/>
    </w:pPr>
    <w:r>
      <w:rPr>
        <w:noProof/>
      </w:rPr>
      <mc:AlternateContent>
        <mc:Choice Requires="wps">
          <w:drawing>
            <wp:anchor distT="0" distB="0" distL="0" distR="0" simplePos="0" relativeHeight="251658245" behindDoc="0" locked="0" layoutInCell="1" allowOverlap="1" wp14:anchorId="414A10F0" wp14:editId="1771557D">
              <wp:simplePos x="635" y="635"/>
              <wp:positionH relativeFrom="page">
                <wp:align>center</wp:align>
              </wp:positionH>
              <wp:positionV relativeFrom="page">
                <wp:align>top</wp:align>
              </wp:positionV>
              <wp:extent cx="551815" cy="391160"/>
              <wp:effectExtent l="0" t="0" r="635" b="8890"/>
              <wp:wrapNone/>
              <wp:docPr id="112845750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3F881F" w14:textId="0355D57F"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A10F0" id="_x0000_t202" coordsize="21600,21600" o:spt="202" path="m,l,21600r21600,l21600,xe">
              <v:stroke joinstyle="miter"/>
              <v:path gradientshapeok="t" o:connecttype="rect"/>
            </v:shapetype>
            <v:shape id="Text Box 6" o:spid="_x0000_s1033"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3F3F881F" w14:textId="0355D57F"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9783" w14:textId="541BF2FB" w:rsidR="00982F4E" w:rsidRDefault="00D51F00">
    <w:pPr>
      <w:pStyle w:val="Header"/>
    </w:pPr>
    <w:r>
      <w:rPr>
        <w:noProof/>
      </w:rPr>
      <mc:AlternateContent>
        <mc:Choice Requires="wps">
          <w:drawing>
            <wp:anchor distT="0" distB="0" distL="0" distR="0" simplePos="0" relativeHeight="251658243" behindDoc="0" locked="0" layoutInCell="1" allowOverlap="1" wp14:anchorId="4F45763A" wp14:editId="0750B2DA">
              <wp:simplePos x="915035" y="450850"/>
              <wp:positionH relativeFrom="page">
                <wp:align>center</wp:align>
              </wp:positionH>
              <wp:positionV relativeFrom="page">
                <wp:align>top</wp:align>
              </wp:positionV>
              <wp:extent cx="551815" cy="391160"/>
              <wp:effectExtent l="0" t="0" r="635" b="8890"/>
              <wp:wrapNone/>
              <wp:docPr id="7811923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BA37A19" w14:textId="49900406"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5763A" id="_x0000_t202" coordsize="21600,21600" o:spt="202" path="m,l,21600r21600,l21600,xe">
              <v:stroke joinstyle="miter"/>
              <v:path gradientshapeok="t" o:connecttype="rect"/>
            </v:shapetype>
            <v:shape id="Text Box 4" o:spid="_x0000_s1036"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filled="f" stroked="f">
              <v:textbox style="mso-fit-shape-to-text:t" inset="0,15pt,0,0">
                <w:txbxContent>
                  <w:p w14:paraId="7BA37A19" w14:textId="49900406" w:rsidR="00D51F00" w:rsidRPr="00D51F00" w:rsidRDefault="00D51F00" w:rsidP="00D51F00">
                    <w:pPr>
                      <w:spacing w:after="0"/>
                      <w:rPr>
                        <w:rFonts w:ascii="Calibri" w:eastAsia="Calibri" w:hAnsi="Calibri" w:cs="Calibri"/>
                        <w:noProof/>
                        <w:color w:val="FF0000"/>
                        <w:sz w:val="24"/>
                        <w:szCs w:val="24"/>
                      </w:rPr>
                    </w:pPr>
                    <w:r w:rsidRPr="00D51F0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E69"/>
    <w:multiLevelType w:val="multilevel"/>
    <w:tmpl w:val="D38C3C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2F0660"/>
    <w:multiLevelType w:val="hybridMultilevel"/>
    <w:tmpl w:val="CEF66A7E"/>
    <w:lvl w:ilvl="0" w:tplc="BD7243D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6B0A75"/>
    <w:multiLevelType w:val="multilevel"/>
    <w:tmpl w:val="CE46E5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0471C2"/>
    <w:multiLevelType w:val="hybridMultilevel"/>
    <w:tmpl w:val="F26A52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79D48E6"/>
    <w:multiLevelType w:val="hybridMultilevel"/>
    <w:tmpl w:val="9E96705A"/>
    <w:lvl w:ilvl="0" w:tplc="7C9287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D4AD6"/>
    <w:multiLevelType w:val="hybridMultilevel"/>
    <w:tmpl w:val="576401DA"/>
    <w:lvl w:ilvl="0" w:tplc="A1BEA2BC">
      <w:start w:val="1"/>
      <w:numFmt w:val="decimal"/>
      <w:lvlText w:val="%1."/>
      <w:lvlJc w:val="left"/>
      <w:pPr>
        <w:tabs>
          <w:tab w:val="num" w:pos="360"/>
        </w:tabs>
        <w:ind w:left="360" w:hanging="360"/>
      </w:pPr>
      <w:rPr>
        <w:rFonts w:asciiTheme="minorHAnsi" w:hAnsiTheme="minorHAnsi" w:cstheme="minorHAnsi" w:hint="default"/>
        <w:b w:val="0"/>
        <w:i w:val="0"/>
        <w:sz w:val="22"/>
        <w:szCs w:val="24"/>
      </w:rPr>
    </w:lvl>
    <w:lvl w:ilvl="1" w:tplc="9AD67524">
      <w:start w:val="1"/>
      <w:numFmt w:val="bullet"/>
      <w:lvlText w:val=""/>
      <w:lvlJc w:val="left"/>
      <w:pPr>
        <w:tabs>
          <w:tab w:val="num" w:pos="1021"/>
        </w:tabs>
        <w:ind w:left="1021" w:hanging="567"/>
      </w:pPr>
      <w:rPr>
        <w:rFonts w:ascii="Symbol" w:hAnsi="Symbol" w:hint="default"/>
        <w:b w:val="0"/>
        <w:i w:val="0"/>
        <w:sz w:val="24"/>
      </w:rPr>
    </w:lvl>
    <w:lvl w:ilvl="2" w:tplc="7982D06C">
      <w:start w:val="1"/>
      <w:numFmt w:val="lowerRoman"/>
      <w:lvlText w:val="%3)"/>
      <w:lvlJc w:val="left"/>
      <w:pPr>
        <w:tabs>
          <w:tab w:val="num" w:pos="1588"/>
        </w:tabs>
        <w:ind w:left="1588" w:hanging="567"/>
      </w:pPr>
      <w:rPr>
        <w:rFonts w:hint="default"/>
      </w:rPr>
    </w:lvl>
    <w:lvl w:ilvl="3" w:tplc="62B89214">
      <w:start w:val="1"/>
      <w:numFmt w:val="decimal"/>
      <w:lvlText w:val="(%4)"/>
      <w:lvlJc w:val="left"/>
      <w:pPr>
        <w:tabs>
          <w:tab w:val="num" w:pos="2495"/>
        </w:tabs>
        <w:ind w:left="2495" w:hanging="907"/>
      </w:pPr>
      <w:rPr>
        <w:rFonts w:hint="default"/>
      </w:rPr>
    </w:lvl>
    <w:lvl w:ilvl="4" w:tplc="96FAA4AE">
      <w:start w:val="1"/>
      <w:numFmt w:val="lowerLetter"/>
      <w:lvlText w:val="(%5)"/>
      <w:lvlJc w:val="left"/>
      <w:pPr>
        <w:tabs>
          <w:tab w:val="num" w:pos="1800"/>
        </w:tabs>
        <w:ind w:left="1800" w:hanging="360"/>
      </w:pPr>
      <w:rPr>
        <w:rFonts w:hint="default"/>
      </w:rPr>
    </w:lvl>
    <w:lvl w:ilvl="5" w:tplc="552AA7C2">
      <w:start w:val="1"/>
      <w:numFmt w:val="lowerRoman"/>
      <w:lvlText w:val="(%6)"/>
      <w:lvlJc w:val="left"/>
      <w:pPr>
        <w:tabs>
          <w:tab w:val="num" w:pos="2160"/>
        </w:tabs>
        <w:ind w:left="2160" w:hanging="360"/>
      </w:pPr>
      <w:rPr>
        <w:rFonts w:hint="default"/>
      </w:rPr>
    </w:lvl>
    <w:lvl w:ilvl="6" w:tplc="57E2E60C">
      <w:start w:val="1"/>
      <w:numFmt w:val="decimal"/>
      <w:lvlText w:val="%7."/>
      <w:lvlJc w:val="left"/>
      <w:pPr>
        <w:tabs>
          <w:tab w:val="num" w:pos="2520"/>
        </w:tabs>
        <w:ind w:left="2520" w:hanging="360"/>
      </w:pPr>
      <w:rPr>
        <w:rFonts w:hint="default"/>
      </w:rPr>
    </w:lvl>
    <w:lvl w:ilvl="7" w:tplc="1C7AFEE0">
      <w:start w:val="1"/>
      <w:numFmt w:val="lowerLetter"/>
      <w:lvlText w:val="%8."/>
      <w:lvlJc w:val="left"/>
      <w:pPr>
        <w:tabs>
          <w:tab w:val="num" w:pos="2880"/>
        </w:tabs>
        <w:ind w:left="2880" w:hanging="360"/>
      </w:pPr>
      <w:rPr>
        <w:rFonts w:hint="default"/>
      </w:rPr>
    </w:lvl>
    <w:lvl w:ilvl="8" w:tplc="8DFCA2D8">
      <w:start w:val="1"/>
      <w:numFmt w:val="lowerRoman"/>
      <w:lvlText w:val="%9."/>
      <w:lvlJc w:val="left"/>
      <w:pPr>
        <w:tabs>
          <w:tab w:val="num" w:pos="3240"/>
        </w:tabs>
        <w:ind w:left="3240" w:hanging="360"/>
      </w:pPr>
      <w:rPr>
        <w:rFonts w:hint="default"/>
      </w:rPr>
    </w:lvl>
  </w:abstractNum>
  <w:abstractNum w:abstractNumId="6" w15:restartNumberingAfterBreak="0">
    <w:nsid w:val="0F736358"/>
    <w:multiLevelType w:val="multilevel"/>
    <w:tmpl w:val="F2B8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7750B"/>
    <w:multiLevelType w:val="hybridMultilevel"/>
    <w:tmpl w:val="DD6E825C"/>
    <w:lvl w:ilvl="0" w:tplc="FFFFFFFF">
      <w:start w:val="1"/>
      <w:numFmt w:val="decimal"/>
      <w:lvlText w:val="%1."/>
      <w:lvlJc w:val="left"/>
      <w:pPr>
        <w:ind w:left="720" w:hanging="360"/>
      </w:pPr>
    </w:lvl>
    <w:lvl w:ilvl="1" w:tplc="EB98D90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A5AFB"/>
    <w:multiLevelType w:val="hybridMultilevel"/>
    <w:tmpl w:val="33605244"/>
    <w:lvl w:ilvl="0" w:tplc="EB98D90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83F88"/>
    <w:multiLevelType w:val="hybridMultilevel"/>
    <w:tmpl w:val="09D69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3F676F"/>
    <w:multiLevelType w:val="hybridMultilevel"/>
    <w:tmpl w:val="BC2EB2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334B28"/>
    <w:multiLevelType w:val="hybridMultilevel"/>
    <w:tmpl w:val="B6904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C8257C"/>
    <w:multiLevelType w:val="hybridMultilevel"/>
    <w:tmpl w:val="E2709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3F0514"/>
    <w:multiLevelType w:val="hybridMultilevel"/>
    <w:tmpl w:val="E4A8BC84"/>
    <w:lvl w:ilvl="0" w:tplc="FFFFFFFF">
      <w:start w:val="1"/>
      <w:numFmt w:val="decimal"/>
      <w:lvlText w:val="%1."/>
      <w:lvlJc w:val="left"/>
      <w:pPr>
        <w:ind w:left="720" w:hanging="360"/>
      </w:pPr>
    </w:lvl>
    <w:lvl w:ilvl="1" w:tplc="EB98D90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3208C3"/>
    <w:multiLevelType w:val="multilevel"/>
    <w:tmpl w:val="897253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7E95BC9"/>
    <w:multiLevelType w:val="hybridMultilevel"/>
    <w:tmpl w:val="114A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1A6D03"/>
    <w:multiLevelType w:val="hybridMultilevel"/>
    <w:tmpl w:val="B106C8C0"/>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023536"/>
    <w:multiLevelType w:val="hybridMultilevel"/>
    <w:tmpl w:val="01EAE4C6"/>
    <w:lvl w:ilvl="0" w:tplc="153C07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5C23F4"/>
    <w:multiLevelType w:val="hybridMultilevel"/>
    <w:tmpl w:val="E3028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1D79FA"/>
    <w:multiLevelType w:val="hybridMultilevel"/>
    <w:tmpl w:val="689EC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D5CEA"/>
    <w:multiLevelType w:val="hybridMultilevel"/>
    <w:tmpl w:val="F07C705E"/>
    <w:lvl w:ilvl="0" w:tplc="B1EC2092">
      <w:start w:val="1"/>
      <w:numFmt w:val="decimal"/>
      <w:lvlText w:val="%1."/>
      <w:lvlJc w:val="left"/>
      <w:pPr>
        <w:ind w:left="720" w:hanging="360"/>
      </w:pPr>
      <w:rPr>
        <w:rFonts w:cs="Times New Roman" w:hint="default"/>
        <w:b/>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2B6107"/>
    <w:multiLevelType w:val="hybridMultilevel"/>
    <w:tmpl w:val="3EF6DF6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AB521A"/>
    <w:multiLevelType w:val="hybridMultilevel"/>
    <w:tmpl w:val="1DBE7AEA"/>
    <w:lvl w:ilvl="0" w:tplc="FFFFFFFF">
      <w:start w:val="1"/>
      <w:numFmt w:val="decimal"/>
      <w:lvlText w:val="%1."/>
      <w:lvlJc w:val="left"/>
      <w:pPr>
        <w:ind w:left="720" w:hanging="360"/>
      </w:pPr>
    </w:lvl>
    <w:lvl w:ilvl="1" w:tplc="EB98D90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CC48B8"/>
    <w:multiLevelType w:val="hybridMultilevel"/>
    <w:tmpl w:val="099C27A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802F6B"/>
    <w:multiLevelType w:val="hybridMultilevel"/>
    <w:tmpl w:val="B5F6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DB4429"/>
    <w:multiLevelType w:val="hybridMultilevel"/>
    <w:tmpl w:val="4EE40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7C546E"/>
    <w:multiLevelType w:val="hybridMultilevel"/>
    <w:tmpl w:val="A5D8C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AA360A"/>
    <w:multiLevelType w:val="hybridMultilevel"/>
    <w:tmpl w:val="83D88B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4B265C8"/>
    <w:multiLevelType w:val="hybridMultilevel"/>
    <w:tmpl w:val="0ED0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451106"/>
    <w:multiLevelType w:val="hybridMultilevel"/>
    <w:tmpl w:val="6C48A2B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5F051622"/>
    <w:multiLevelType w:val="hybridMultilevel"/>
    <w:tmpl w:val="B7441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2A3CBC"/>
    <w:multiLevelType w:val="hybridMultilevel"/>
    <w:tmpl w:val="597C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F774CD"/>
    <w:multiLevelType w:val="hybridMultilevel"/>
    <w:tmpl w:val="61824DD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B76C8"/>
    <w:multiLevelType w:val="hybridMultilevel"/>
    <w:tmpl w:val="48BCD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EE701B"/>
    <w:multiLevelType w:val="multilevel"/>
    <w:tmpl w:val="F3F0D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2476D2"/>
    <w:multiLevelType w:val="multilevel"/>
    <w:tmpl w:val="E50A3868"/>
    <w:lvl w:ilvl="0">
      <w:start w:val="1"/>
      <w:numFmt w:val="none"/>
      <w:lvlText w:val=""/>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Numbered"/>
      <w:lvlText w:val="%2.%3.%4.%5"/>
      <w:lvlJc w:val="left"/>
      <w:pPr>
        <w:ind w:left="1008" w:hanging="1008"/>
      </w:pPr>
      <w:rPr>
        <w:rFonts w:hint="default"/>
        <w:color w:val="093E52"/>
      </w:rPr>
    </w:lvl>
    <w:lvl w:ilvl="5">
      <w:start w:val="1"/>
      <w:numFmt w:val="decimal"/>
      <w:pStyle w:val="Heading6-Numbered"/>
      <w:lvlText w:val="%1%2.%3.%4.%5.%6"/>
      <w:lvlJc w:val="left"/>
      <w:pPr>
        <w:ind w:left="1152" w:hanging="1152"/>
      </w:pPr>
      <w:rPr>
        <w:rFonts w:hint="default"/>
      </w:rPr>
    </w:lvl>
    <w:lvl w:ilvl="6">
      <w:start w:val="1"/>
      <w:numFmt w:val="decimal"/>
      <w:pStyle w:val="Heading7-Numbered"/>
      <w:lvlText w:val="%1%2.%3.%4.%5.%6.%7"/>
      <w:lvlJc w:val="left"/>
      <w:pPr>
        <w:ind w:left="1296" w:hanging="1296"/>
      </w:pPr>
      <w:rPr>
        <w:rFonts w:hint="default"/>
      </w:rPr>
    </w:lvl>
    <w:lvl w:ilvl="7">
      <w:start w:val="1"/>
      <w:numFmt w:val="decimal"/>
      <w:pStyle w:val="Heading8-Numbered"/>
      <w:lvlText w:val="%1%2.%3.%4.%5.%6.%7.%8"/>
      <w:lvlJc w:val="left"/>
      <w:pPr>
        <w:ind w:left="1440" w:hanging="1440"/>
      </w:pPr>
      <w:rPr>
        <w:rFonts w:hint="default"/>
      </w:rPr>
    </w:lvl>
    <w:lvl w:ilvl="8">
      <w:start w:val="1"/>
      <w:numFmt w:val="decimal"/>
      <w:pStyle w:val="Heading9-Numbered"/>
      <w:lvlText w:val="%1%2.%3.%4.%5.%6.%7.%8.%9"/>
      <w:lvlJc w:val="left"/>
      <w:pPr>
        <w:ind w:left="1584" w:hanging="1584"/>
      </w:pPr>
      <w:rPr>
        <w:rFonts w:hint="default"/>
      </w:rPr>
    </w:lvl>
  </w:abstractNum>
  <w:abstractNum w:abstractNumId="36" w15:restartNumberingAfterBreak="0">
    <w:nsid w:val="64CD6B26"/>
    <w:multiLevelType w:val="hybridMultilevel"/>
    <w:tmpl w:val="E1260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1E627F"/>
    <w:multiLevelType w:val="multilevel"/>
    <w:tmpl w:val="0176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F47768"/>
    <w:multiLevelType w:val="hybridMultilevel"/>
    <w:tmpl w:val="56B01A4C"/>
    <w:lvl w:ilvl="0" w:tplc="47E6AF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6E50C8"/>
    <w:multiLevelType w:val="hybridMultilevel"/>
    <w:tmpl w:val="BEC07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5B2388"/>
    <w:multiLevelType w:val="hybridMultilevel"/>
    <w:tmpl w:val="89FAA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D44ECE"/>
    <w:multiLevelType w:val="hybridMultilevel"/>
    <w:tmpl w:val="D270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DA7C2A"/>
    <w:multiLevelType w:val="hybridMultilevel"/>
    <w:tmpl w:val="30D4B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4455FA"/>
    <w:multiLevelType w:val="hybridMultilevel"/>
    <w:tmpl w:val="B0A2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1975C0"/>
    <w:multiLevelType w:val="hybridMultilevel"/>
    <w:tmpl w:val="0EF0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F1111"/>
    <w:multiLevelType w:val="hybridMultilevel"/>
    <w:tmpl w:val="C804F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666149"/>
    <w:multiLevelType w:val="hybridMultilevel"/>
    <w:tmpl w:val="DA7A2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B82DF2"/>
    <w:multiLevelType w:val="hybridMultilevel"/>
    <w:tmpl w:val="BB60D6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1649870">
    <w:abstractNumId w:val="42"/>
  </w:num>
  <w:num w:numId="2" w16cid:durableId="2040156587">
    <w:abstractNumId w:val="20"/>
  </w:num>
  <w:num w:numId="3" w16cid:durableId="861744690">
    <w:abstractNumId w:val="45"/>
  </w:num>
  <w:num w:numId="4" w16cid:durableId="798301850">
    <w:abstractNumId w:val="19"/>
  </w:num>
  <w:num w:numId="5" w16cid:durableId="361633214">
    <w:abstractNumId w:val="1"/>
  </w:num>
  <w:num w:numId="6" w16cid:durableId="167672903">
    <w:abstractNumId w:val="3"/>
  </w:num>
  <w:num w:numId="7" w16cid:durableId="1494299569">
    <w:abstractNumId w:val="24"/>
  </w:num>
  <w:num w:numId="8" w16cid:durableId="297495264">
    <w:abstractNumId w:val="28"/>
  </w:num>
  <w:num w:numId="9" w16cid:durableId="432555774">
    <w:abstractNumId w:val="4"/>
  </w:num>
  <w:num w:numId="10" w16cid:durableId="709693853">
    <w:abstractNumId w:val="26"/>
  </w:num>
  <w:num w:numId="11" w16cid:durableId="1135832976">
    <w:abstractNumId w:val="15"/>
  </w:num>
  <w:num w:numId="12" w16cid:durableId="325977861">
    <w:abstractNumId w:val="8"/>
  </w:num>
  <w:num w:numId="13" w16cid:durableId="2047216683">
    <w:abstractNumId w:val="47"/>
  </w:num>
  <w:num w:numId="14" w16cid:durableId="749159233">
    <w:abstractNumId w:val="11"/>
  </w:num>
  <w:num w:numId="15" w16cid:durableId="2083135349">
    <w:abstractNumId w:val="22"/>
  </w:num>
  <w:num w:numId="16" w16cid:durableId="2075812339">
    <w:abstractNumId w:val="7"/>
  </w:num>
  <w:num w:numId="17" w16cid:durableId="180779462">
    <w:abstractNumId w:val="13"/>
  </w:num>
  <w:num w:numId="18" w16cid:durableId="1295912082">
    <w:abstractNumId w:val="34"/>
  </w:num>
  <w:num w:numId="19" w16cid:durableId="510069935">
    <w:abstractNumId w:val="18"/>
  </w:num>
  <w:num w:numId="20" w16cid:durableId="1723022315">
    <w:abstractNumId w:val="39"/>
  </w:num>
  <w:num w:numId="21" w16cid:durableId="45491669">
    <w:abstractNumId w:val="35"/>
  </w:num>
  <w:num w:numId="22" w16cid:durableId="1248684731">
    <w:abstractNumId w:val="31"/>
  </w:num>
  <w:num w:numId="23" w16cid:durableId="1008555146">
    <w:abstractNumId w:val="25"/>
  </w:num>
  <w:num w:numId="24" w16cid:durableId="608119779">
    <w:abstractNumId w:val="23"/>
  </w:num>
  <w:num w:numId="25" w16cid:durableId="365562678">
    <w:abstractNumId w:val="32"/>
  </w:num>
  <w:num w:numId="26" w16cid:durableId="1892039239">
    <w:abstractNumId w:val="21"/>
  </w:num>
  <w:num w:numId="27" w16cid:durableId="185683802">
    <w:abstractNumId w:val="35"/>
  </w:num>
  <w:num w:numId="28" w16cid:durableId="1051425222">
    <w:abstractNumId w:val="41"/>
  </w:num>
  <w:num w:numId="29" w16cid:durableId="1545018652">
    <w:abstractNumId w:val="30"/>
  </w:num>
  <w:num w:numId="30" w16cid:durableId="341782269">
    <w:abstractNumId w:val="9"/>
  </w:num>
  <w:num w:numId="31" w16cid:durableId="769620822">
    <w:abstractNumId w:val="43"/>
  </w:num>
  <w:num w:numId="32" w16cid:durableId="1398822309">
    <w:abstractNumId w:val="6"/>
  </w:num>
  <w:num w:numId="33" w16cid:durableId="345131731">
    <w:abstractNumId w:val="2"/>
    <w:lvlOverride w:ilvl="0">
      <w:startOverride w:val="1"/>
    </w:lvlOverride>
  </w:num>
  <w:num w:numId="34" w16cid:durableId="1033385948">
    <w:abstractNumId w:val="14"/>
    <w:lvlOverride w:ilvl="0">
      <w:startOverride w:val="3"/>
    </w:lvlOverride>
  </w:num>
  <w:num w:numId="35" w16cid:durableId="1308510726">
    <w:abstractNumId w:val="0"/>
    <w:lvlOverride w:ilvl="0">
      <w:startOverride w:val="6"/>
    </w:lvlOverride>
  </w:num>
  <w:num w:numId="36" w16cid:durableId="335965134">
    <w:abstractNumId w:val="16"/>
  </w:num>
  <w:num w:numId="37" w16cid:durableId="838886495">
    <w:abstractNumId w:val="29"/>
  </w:num>
  <w:num w:numId="38" w16cid:durableId="1674525421">
    <w:abstractNumId w:val="5"/>
  </w:num>
  <w:num w:numId="39" w16cid:durableId="838231196">
    <w:abstractNumId w:val="27"/>
  </w:num>
  <w:num w:numId="40" w16cid:durableId="986132872">
    <w:abstractNumId w:val="40"/>
  </w:num>
  <w:num w:numId="41" w16cid:durableId="386531349">
    <w:abstractNumId w:val="36"/>
  </w:num>
  <w:num w:numId="42" w16cid:durableId="1513958078">
    <w:abstractNumId w:val="38"/>
  </w:num>
  <w:num w:numId="43" w16cid:durableId="752430769">
    <w:abstractNumId w:val="46"/>
  </w:num>
  <w:num w:numId="44" w16cid:durableId="1506017345">
    <w:abstractNumId w:val="33"/>
  </w:num>
  <w:num w:numId="45" w16cid:durableId="1239900141">
    <w:abstractNumId w:val="44"/>
  </w:num>
  <w:num w:numId="46" w16cid:durableId="563681055">
    <w:abstractNumId w:val="17"/>
  </w:num>
  <w:num w:numId="47" w16cid:durableId="1357073455">
    <w:abstractNumId w:val="37"/>
  </w:num>
  <w:num w:numId="48" w16cid:durableId="1406025532">
    <w:abstractNumId w:val="10"/>
  </w:num>
  <w:num w:numId="49" w16cid:durableId="83815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FD"/>
    <w:rsid w:val="000004EE"/>
    <w:rsid w:val="00001AD9"/>
    <w:rsid w:val="0000233D"/>
    <w:rsid w:val="00002694"/>
    <w:rsid w:val="000038C3"/>
    <w:rsid w:val="000038F5"/>
    <w:rsid w:val="000039B3"/>
    <w:rsid w:val="0000478A"/>
    <w:rsid w:val="00004A03"/>
    <w:rsid w:val="00004C08"/>
    <w:rsid w:val="00004F23"/>
    <w:rsid w:val="000053D4"/>
    <w:rsid w:val="000054B5"/>
    <w:rsid w:val="000055AB"/>
    <w:rsid w:val="00005ECB"/>
    <w:rsid w:val="00006390"/>
    <w:rsid w:val="00007809"/>
    <w:rsid w:val="00007C61"/>
    <w:rsid w:val="0001041B"/>
    <w:rsid w:val="000107FF"/>
    <w:rsid w:val="00010B7B"/>
    <w:rsid w:val="00010FA5"/>
    <w:rsid w:val="00011DEE"/>
    <w:rsid w:val="0001201E"/>
    <w:rsid w:val="0001219A"/>
    <w:rsid w:val="0001256B"/>
    <w:rsid w:val="00012B28"/>
    <w:rsid w:val="000132C5"/>
    <w:rsid w:val="00013CFC"/>
    <w:rsid w:val="00015907"/>
    <w:rsid w:val="000159B7"/>
    <w:rsid w:val="00016D4B"/>
    <w:rsid w:val="00020924"/>
    <w:rsid w:val="00021989"/>
    <w:rsid w:val="00021D06"/>
    <w:rsid w:val="000229D0"/>
    <w:rsid w:val="00023634"/>
    <w:rsid w:val="000238C7"/>
    <w:rsid w:val="000244B1"/>
    <w:rsid w:val="00024605"/>
    <w:rsid w:val="00025CF0"/>
    <w:rsid w:val="00025E16"/>
    <w:rsid w:val="0002602F"/>
    <w:rsid w:val="000262DB"/>
    <w:rsid w:val="00026C2D"/>
    <w:rsid w:val="00026DE7"/>
    <w:rsid w:val="00030584"/>
    <w:rsid w:val="000305E9"/>
    <w:rsid w:val="000307A8"/>
    <w:rsid w:val="00030AF6"/>
    <w:rsid w:val="00031314"/>
    <w:rsid w:val="000314E0"/>
    <w:rsid w:val="00031659"/>
    <w:rsid w:val="00031DCD"/>
    <w:rsid w:val="00032086"/>
    <w:rsid w:val="00032681"/>
    <w:rsid w:val="000327C6"/>
    <w:rsid w:val="00033037"/>
    <w:rsid w:val="00034261"/>
    <w:rsid w:val="000345D5"/>
    <w:rsid w:val="00034EED"/>
    <w:rsid w:val="000352CC"/>
    <w:rsid w:val="0003551D"/>
    <w:rsid w:val="00035D43"/>
    <w:rsid w:val="000365D1"/>
    <w:rsid w:val="00037BD4"/>
    <w:rsid w:val="0004211B"/>
    <w:rsid w:val="000425D4"/>
    <w:rsid w:val="00044E09"/>
    <w:rsid w:val="00046754"/>
    <w:rsid w:val="00046E76"/>
    <w:rsid w:val="00047052"/>
    <w:rsid w:val="000470E8"/>
    <w:rsid w:val="00051010"/>
    <w:rsid w:val="00051963"/>
    <w:rsid w:val="00051E05"/>
    <w:rsid w:val="000524FD"/>
    <w:rsid w:val="00052F55"/>
    <w:rsid w:val="000531D0"/>
    <w:rsid w:val="00054C9F"/>
    <w:rsid w:val="00054D15"/>
    <w:rsid w:val="0005572C"/>
    <w:rsid w:val="00055D4A"/>
    <w:rsid w:val="00056818"/>
    <w:rsid w:val="00056B1E"/>
    <w:rsid w:val="00056C87"/>
    <w:rsid w:val="00056CCE"/>
    <w:rsid w:val="00060456"/>
    <w:rsid w:val="00061843"/>
    <w:rsid w:val="000622F6"/>
    <w:rsid w:val="00062340"/>
    <w:rsid w:val="00063A93"/>
    <w:rsid w:val="00063E62"/>
    <w:rsid w:val="00064568"/>
    <w:rsid w:val="00064F57"/>
    <w:rsid w:val="00065800"/>
    <w:rsid w:val="00065E34"/>
    <w:rsid w:val="00067889"/>
    <w:rsid w:val="000706E3"/>
    <w:rsid w:val="0007276F"/>
    <w:rsid w:val="000727C5"/>
    <w:rsid w:val="00072912"/>
    <w:rsid w:val="00072BC5"/>
    <w:rsid w:val="000735BA"/>
    <w:rsid w:val="00074494"/>
    <w:rsid w:val="00074901"/>
    <w:rsid w:val="00074E75"/>
    <w:rsid w:val="0007505A"/>
    <w:rsid w:val="00075FFB"/>
    <w:rsid w:val="000764FD"/>
    <w:rsid w:val="000766EE"/>
    <w:rsid w:val="00076C45"/>
    <w:rsid w:val="00077008"/>
    <w:rsid w:val="0008046D"/>
    <w:rsid w:val="000809C7"/>
    <w:rsid w:val="0008181E"/>
    <w:rsid w:val="00082091"/>
    <w:rsid w:val="00082C4A"/>
    <w:rsid w:val="00082D92"/>
    <w:rsid w:val="0008369B"/>
    <w:rsid w:val="00083A91"/>
    <w:rsid w:val="000846A8"/>
    <w:rsid w:val="00084EF3"/>
    <w:rsid w:val="000852B3"/>
    <w:rsid w:val="00085571"/>
    <w:rsid w:val="00085EB0"/>
    <w:rsid w:val="00090921"/>
    <w:rsid w:val="00091967"/>
    <w:rsid w:val="0009201F"/>
    <w:rsid w:val="00092373"/>
    <w:rsid w:val="000929D9"/>
    <w:rsid w:val="00092C81"/>
    <w:rsid w:val="00094B95"/>
    <w:rsid w:val="00097B19"/>
    <w:rsid w:val="000A0910"/>
    <w:rsid w:val="000A3698"/>
    <w:rsid w:val="000A39F1"/>
    <w:rsid w:val="000A406B"/>
    <w:rsid w:val="000A48A3"/>
    <w:rsid w:val="000A69AE"/>
    <w:rsid w:val="000A70CC"/>
    <w:rsid w:val="000A7703"/>
    <w:rsid w:val="000A7A41"/>
    <w:rsid w:val="000B0370"/>
    <w:rsid w:val="000B0496"/>
    <w:rsid w:val="000B0CC4"/>
    <w:rsid w:val="000B1254"/>
    <w:rsid w:val="000B1B9A"/>
    <w:rsid w:val="000B1E49"/>
    <w:rsid w:val="000B3180"/>
    <w:rsid w:val="000B3987"/>
    <w:rsid w:val="000B41A9"/>
    <w:rsid w:val="000B4477"/>
    <w:rsid w:val="000B4EDC"/>
    <w:rsid w:val="000B5B6D"/>
    <w:rsid w:val="000B600E"/>
    <w:rsid w:val="000B6A26"/>
    <w:rsid w:val="000B6C05"/>
    <w:rsid w:val="000B77EE"/>
    <w:rsid w:val="000C0CE3"/>
    <w:rsid w:val="000C186C"/>
    <w:rsid w:val="000C1ECF"/>
    <w:rsid w:val="000C2583"/>
    <w:rsid w:val="000C2691"/>
    <w:rsid w:val="000C467F"/>
    <w:rsid w:val="000C4C1E"/>
    <w:rsid w:val="000C50E9"/>
    <w:rsid w:val="000C5575"/>
    <w:rsid w:val="000C5A8F"/>
    <w:rsid w:val="000C7DE4"/>
    <w:rsid w:val="000D0DE8"/>
    <w:rsid w:val="000D24E4"/>
    <w:rsid w:val="000D2BC4"/>
    <w:rsid w:val="000D2D7D"/>
    <w:rsid w:val="000D3F96"/>
    <w:rsid w:val="000D419B"/>
    <w:rsid w:val="000D5180"/>
    <w:rsid w:val="000D6832"/>
    <w:rsid w:val="000E068F"/>
    <w:rsid w:val="000E0904"/>
    <w:rsid w:val="000E1B11"/>
    <w:rsid w:val="000E21A8"/>
    <w:rsid w:val="000E27E1"/>
    <w:rsid w:val="000E353C"/>
    <w:rsid w:val="000E417F"/>
    <w:rsid w:val="000E4B9E"/>
    <w:rsid w:val="000E5E77"/>
    <w:rsid w:val="000E654F"/>
    <w:rsid w:val="000E77BE"/>
    <w:rsid w:val="000E7DD8"/>
    <w:rsid w:val="000F0946"/>
    <w:rsid w:val="000F0D80"/>
    <w:rsid w:val="000F1034"/>
    <w:rsid w:val="000F1273"/>
    <w:rsid w:val="000F2783"/>
    <w:rsid w:val="000F36C7"/>
    <w:rsid w:val="000F3FD0"/>
    <w:rsid w:val="000F49F5"/>
    <w:rsid w:val="000F51B4"/>
    <w:rsid w:val="000F5590"/>
    <w:rsid w:val="000F5837"/>
    <w:rsid w:val="000F5DC9"/>
    <w:rsid w:val="000F61AB"/>
    <w:rsid w:val="000F63AC"/>
    <w:rsid w:val="000F6988"/>
    <w:rsid w:val="00100AF5"/>
    <w:rsid w:val="00101161"/>
    <w:rsid w:val="00101529"/>
    <w:rsid w:val="001017DE"/>
    <w:rsid w:val="00101925"/>
    <w:rsid w:val="001026F4"/>
    <w:rsid w:val="00103095"/>
    <w:rsid w:val="00103673"/>
    <w:rsid w:val="00103988"/>
    <w:rsid w:val="00104533"/>
    <w:rsid w:val="00104ED3"/>
    <w:rsid w:val="001051CF"/>
    <w:rsid w:val="0010590C"/>
    <w:rsid w:val="00105DC1"/>
    <w:rsid w:val="00107138"/>
    <w:rsid w:val="0010746D"/>
    <w:rsid w:val="0011267B"/>
    <w:rsid w:val="001130C6"/>
    <w:rsid w:val="00114691"/>
    <w:rsid w:val="00115B38"/>
    <w:rsid w:val="00116271"/>
    <w:rsid w:val="00116C41"/>
    <w:rsid w:val="00120704"/>
    <w:rsid w:val="00121980"/>
    <w:rsid w:val="00121F70"/>
    <w:rsid w:val="00122664"/>
    <w:rsid w:val="001226C6"/>
    <w:rsid w:val="001227B1"/>
    <w:rsid w:val="00123C64"/>
    <w:rsid w:val="00124016"/>
    <w:rsid w:val="00125CBE"/>
    <w:rsid w:val="001265CD"/>
    <w:rsid w:val="00131661"/>
    <w:rsid w:val="001321E0"/>
    <w:rsid w:val="00132F84"/>
    <w:rsid w:val="00133403"/>
    <w:rsid w:val="00133762"/>
    <w:rsid w:val="00133D68"/>
    <w:rsid w:val="00133EA9"/>
    <w:rsid w:val="00134926"/>
    <w:rsid w:val="001352DE"/>
    <w:rsid w:val="00135AB3"/>
    <w:rsid w:val="001363E8"/>
    <w:rsid w:val="00136E15"/>
    <w:rsid w:val="00140768"/>
    <w:rsid w:val="00140E9D"/>
    <w:rsid w:val="001413F7"/>
    <w:rsid w:val="0014164E"/>
    <w:rsid w:val="00141C6A"/>
    <w:rsid w:val="00141F92"/>
    <w:rsid w:val="00142873"/>
    <w:rsid w:val="00143183"/>
    <w:rsid w:val="0014673A"/>
    <w:rsid w:val="00146DE2"/>
    <w:rsid w:val="00150C9C"/>
    <w:rsid w:val="001521D7"/>
    <w:rsid w:val="00153756"/>
    <w:rsid w:val="001537F4"/>
    <w:rsid w:val="00153D6F"/>
    <w:rsid w:val="00154577"/>
    <w:rsid w:val="001546F5"/>
    <w:rsid w:val="001554F6"/>
    <w:rsid w:val="00156188"/>
    <w:rsid w:val="001562B7"/>
    <w:rsid w:val="001568E8"/>
    <w:rsid w:val="00157D36"/>
    <w:rsid w:val="001602D8"/>
    <w:rsid w:val="00161173"/>
    <w:rsid w:val="00161413"/>
    <w:rsid w:val="00161E5B"/>
    <w:rsid w:val="00161FEA"/>
    <w:rsid w:val="00162007"/>
    <w:rsid w:val="001624F9"/>
    <w:rsid w:val="00162D04"/>
    <w:rsid w:val="00162E32"/>
    <w:rsid w:val="00163D50"/>
    <w:rsid w:val="00164588"/>
    <w:rsid w:val="0016539D"/>
    <w:rsid w:val="00166819"/>
    <w:rsid w:val="00167996"/>
    <w:rsid w:val="00167D03"/>
    <w:rsid w:val="00170426"/>
    <w:rsid w:val="0017075B"/>
    <w:rsid w:val="00170BCC"/>
    <w:rsid w:val="00171F09"/>
    <w:rsid w:val="001720E2"/>
    <w:rsid w:val="0017359A"/>
    <w:rsid w:val="001741A3"/>
    <w:rsid w:val="00174954"/>
    <w:rsid w:val="0017606A"/>
    <w:rsid w:val="0017609E"/>
    <w:rsid w:val="00176580"/>
    <w:rsid w:val="00177F2E"/>
    <w:rsid w:val="00180359"/>
    <w:rsid w:val="001815AC"/>
    <w:rsid w:val="0018409A"/>
    <w:rsid w:val="0018451F"/>
    <w:rsid w:val="00185A07"/>
    <w:rsid w:val="00185D8F"/>
    <w:rsid w:val="001860E7"/>
    <w:rsid w:val="00186515"/>
    <w:rsid w:val="00187029"/>
    <w:rsid w:val="001874DE"/>
    <w:rsid w:val="001878BE"/>
    <w:rsid w:val="00187F5F"/>
    <w:rsid w:val="001902F3"/>
    <w:rsid w:val="00190D44"/>
    <w:rsid w:val="00190E35"/>
    <w:rsid w:val="00191075"/>
    <w:rsid w:val="0019298D"/>
    <w:rsid w:val="00192A13"/>
    <w:rsid w:val="00192C7B"/>
    <w:rsid w:val="0019315B"/>
    <w:rsid w:val="00194E75"/>
    <w:rsid w:val="00195CE5"/>
    <w:rsid w:val="00195F55"/>
    <w:rsid w:val="001966CB"/>
    <w:rsid w:val="001A225A"/>
    <w:rsid w:val="001A24C5"/>
    <w:rsid w:val="001A2C3B"/>
    <w:rsid w:val="001A2C46"/>
    <w:rsid w:val="001A3F45"/>
    <w:rsid w:val="001A4F07"/>
    <w:rsid w:val="001A5E65"/>
    <w:rsid w:val="001A776C"/>
    <w:rsid w:val="001A7F4A"/>
    <w:rsid w:val="001B107F"/>
    <w:rsid w:val="001B1511"/>
    <w:rsid w:val="001B223A"/>
    <w:rsid w:val="001B2FF8"/>
    <w:rsid w:val="001B335E"/>
    <w:rsid w:val="001B3563"/>
    <w:rsid w:val="001B387D"/>
    <w:rsid w:val="001B3E33"/>
    <w:rsid w:val="001B4494"/>
    <w:rsid w:val="001B4726"/>
    <w:rsid w:val="001B4C17"/>
    <w:rsid w:val="001B4F3E"/>
    <w:rsid w:val="001B5614"/>
    <w:rsid w:val="001B5979"/>
    <w:rsid w:val="001B61D9"/>
    <w:rsid w:val="001B6432"/>
    <w:rsid w:val="001B68C2"/>
    <w:rsid w:val="001C0E97"/>
    <w:rsid w:val="001C19AD"/>
    <w:rsid w:val="001C1AB6"/>
    <w:rsid w:val="001C20D6"/>
    <w:rsid w:val="001C22E9"/>
    <w:rsid w:val="001C4633"/>
    <w:rsid w:val="001C488E"/>
    <w:rsid w:val="001C4ED4"/>
    <w:rsid w:val="001C55B3"/>
    <w:rsid w:val="001C560F"/>
    <w:rsid w:val="001C58AC"/>
    <w:rsid w:val="001C5DFE"/>
    <w:rsid w:val="001C5F27"/>
    <w:rsid w:val="001C6394"/>
    <w:rsid w:val="001C6AB3"/>
    <w:rsid w:val="001C7189"/>
    <w:rsid w:val="001C7334"/>
    <w:rsid w:val="001C77EF"/>
    <w:rsid w:val="001D013C"/>
    <w:rsid w:val="001D0C11"/>
    <w:rsid w:val="001D1F26"/>
    <w:rsid w:val="001D2224"/>
    <w:rsid w:val="001D2491"/>
    <w:rsid w:val="001D2A54"/>
    <w:rsid w:val="001D2B97"/>
    <w:rsid w:val="001D2CBF"/>
    <w:rsid w:val="001D2FFD"/>
    <w:rsid w:val="001D33A1"/>
    <w:rsid w:val="001D3580"/>
    <w:rsid w:val="001D3902"/>
    <w:rsid w:val="001D47C4"/>
    <w:rsid w:val="001D483E"/>
    <w:rsid w:val="001D4A66"/>
    <w:rsid w:val="001D58CE"/>
    <w:rsid w:val="001D5998"/>
    <w:rsid w:val="001D5DAE"/>
    <w:rsid w:val="001D6E62"/>
    <w:rsid w:val="001D7784"/>
    <w:rsid w:val="001D7F7C"/>
    <w:rsid w:val="001E0064"/>
    <w:rsid w:val="001E0AE5"/>
    <w:rsid w:val="001E0FC2"/>
    <w:rsid w:val="001E2945"/>
    <w:rsid w:val="001E29BD"/>
    <w:rsid w:val="001E439D"/>
    <w:rsid w:val="001E5208"/>
    <w:rsid w:val="001E534C"/>
    <w:rsid w:val="001E5602"/>
    <w:rsid w:val="001E5B23"/>
    <w:rsid w:val="001E6585"/>
    <w:rsid w:val="001E6630"/>
    <w:rsid w:val="001E69E1"/>
    <w:rsid w:val="001E6EDD"/>
    <w:rsid w:val="001E6FA3"/>
    <w:rsid w:val="001E79A4"/>
    <w:rsid w:val="001E7F9E"/>
    <w:rsid w:val="001F04DC"/>
    <w:rsid w:val="001F0666"/>
    <w:rsid w:val="001F0C58"/>
    <w:rsid w:val="001F130A"/>
    <w:rsid w:val="001F13E1"/>
    <w:rsid w:val="001F1F87"/>
    <w:rsid w:val="001F2EAD"/>
    <w:rsid w:val="001F3023"/>
    <w:rsid w:val="001F35D5"/>
    <w:rsid w:val="001F430E"/>
    <w:rsid w:val="001F484D"/>
    <w:rsid w:val="001F48D9"/>
    <w:rsid w:val="001F49A8"/>
    <w:rsid w:val="001F5224"/>
    <w:rsid w:val="001F5B13"/>
    <w:rsid w:val="001F5F57"/>
    <w:rsid w:val="001F62F4"/>
    <w:rsid w:val="001F7743"/>
    <w:rsid w:val="002001EA"/>
    <w:rsid w:val="00200E94"/>
    <w:rsid w:val="002015A7"/>
    <w:rsid w:val="00201986"/>
    <w:rsid w:val="0020199F"/>
    <w:rsid w:val="00201A54"/>
    <w:rsid w:val="00201B34"/>
    <w:rsid w:val="00203227"/>
    <w:rsid w:val="002034F3"/>
    <w:rsid w:val="002034F4"/>
    <w:rsid w:val="00203801"/>
    <w:rsid w:val="002041B5"/>
    <w:rsid w:val="0020467C"/>
    <w:rsid w:val="00206374"/>
    <w:rsid w:val="002064A2"/>
    <w:rsid w:val="00206861"/>
    <w:rsid w:val="00206A4C"/>
    <w:rsid w:val="002105AA"/>
    <w:rsid w:val="0021061C"/>
    <w:rsid w:val="00210B7C"/>
    <w:rsid w:val="00210BE3"/>
    <w:rsid w:val="0021230A"/>
    <w:rsid w:val="00212C79"/>
    <w:rsid w:val="00212EC9"/>
    <w:rsid w:val="00213359"/>
    <w:rsid w:val="00214C11"/>
    <w:rsid w:val="00215489"/>
    <w:rsid w:val="00215B75"/>
    <w:rsid w:val="002205EC"/>
    <w:rsid w:val="00220C6B"/>
    <w:rsid w:val="00220F0C"/>
    <w:rsid w:val="00221CF4"/>
    <w:rsid w:val="002224D1"/>
    <w:rsid w:val="00222850"/>
    <w:rsid w:val="00222E97"/>
    <w:rsid w:val="0022364E"/>
    <w:rsid w:val="00223EFA"/>
    <w:rsid w:val="002243B7"/>
    <w:rsid w:val="002244EB"/>
    <w:rsid w:val="00224726"/>
    <w:rsid w:val="00224763"/>
    <w:rsid w:val="00226CF1"/>
    <w:rsid w:val="00227B84"/>
    <w:rsid w:val="00227D5F"/>
    <w:rsid w:val="00227F1D"/>
    <w:rsid w:val="00230448"/>
    <w:rsid w:val="00230C81"/>
    <w:rsid w:val="00231735"/>
    <w:rsid w:val="00231A06"/>
    <w:rsid w:val="0023282E"/>
    <w:rsid w:val="0023291D"/>
    <w:rsid w:val="00232FB2"/>
    <w:rsid w:val="00233230"/>
    <w:rsid w:val="00233F44"/>
    <w:rsid w:val="00234D78"/>
    <w:rsid w:val="00235446"/>
    <w:rsid w:val="002357B4"/>
    <w:rsid w:val="00235D38"/>
    <w:rsid w:val="002364B3"/>
    <w:rsid w:val="00236A2A"/>
    <w:rsid w:val="00236BE4"/>
    <w:rsid w:val="002377CD"/>
    <w:rsid w:val="002404AE"/>
    <w:rsid w:val="00241A0D"/>
    <w:rsid w:val="00241CF1"/>
    <w:rsid w:val="002424BA"/>
    <w:rsid w:val="00242791"/>
    <w:rsid w:val="0024352E"/>
    <w:rsid w:val="00243D26"/>
    <w:rsid w:val="00244A20"/>
    <w:rsid w:val="00244F6F"/>
    <w:rsid w:val="00246FA6"/>
    <w:rsid w:val="00247CA4"/>
    <w:rsid w:val="00252A29"/>
    <w:rsid w:val="00255334"/>
    <w:rsid w:val="00255530"/>
    <w:rsid w:val="00255A5E"/>
    <w:rsid w:val="00255FB2"/>
    <w:rsid w:val="002562C3"/>
    <w:rsid w:val="00256443"/>
    <w:rsid w:val="00257C1B"/>
    <w:rsid w:val="002601E0"/>
    <w:rsid w:val="0026139B"/>
    <w:rsid w:val="0026197D"/>
    <w:rsid w:val="002622D2"/>
    <w:rsid w:val="00262381"/>
    <w:rsid w:val="002627C0"/>
    <w:rsid w:val="00262B96"/>
    <w:rsid w:val="00262C28"/>
    <w:rsid w:val="00262F36"/>
    <w:rsid w:val="0026313B"/>
    <w:rsid w:val="002636F9"/>
    <w:rsid w:val="00263881"/>
    <w:rsid w:val="00263DA4"/>
    <w:rsid w:val="0026448C"/>
    <w:rsid w:val="002647FF"/>
    <w:rsid w:val="00264ABB"/>
    <w:rsid w:val="00270ABF"/>
    <w:rsid w:val="00272188"/>
    <w:rsid w:val="00272FBB"/>
    <w:rsid w:val="002738B9"/>
    <w:rsid w:val="002742CC"/>
    <w:rsid w:val="002748AC"/>
    <w:rsid w:val="00274F7E"/>
    <w:rsid w:val="0027650A"/>
    <w:rsid w:val="00277BEE"/>
    <w:rsid w:val="00277F99"/>
    <w:rsid w:val="002801BD"/>
    <w:rsid w:val="0028067E"/>
    <w:rsid w:val="0028074E"/>
    <w:rsid w:val="00280B33"/>
    <w:rsid w:val="00280D48"/>
    <w:rsid w:val="00281452"/>
    <w:rsid w:val="0028362B"/>
    <w:rsid w:val="00283DAA"/>
    <w:rsid w:val="00285A56"/>
    <w:rsid w:val="00286863"/>
    <w:rsid w:val="00286A4C"/>
    <w:rsid w:val="00286F9D"/>
    <w:rsid w:val="002907AF"/>
    <w:rsid w:val="002925B6"/>
    <w:rsid w:val="00292CC8"/>
    <w:rsid w:val="0029371B"/>
    <w:rsid w:val="00294599"/>
    <w:rsid w:val="00294AB2"/>
    <w:rsid w:val="002954A5"/>
    <w:rsid w:val="002979FB"/>
    <w:rsid w:val="00297BBD"/>
    <w:rsid w:val="002A03AC"/>
    <w:rsid w:val="002A0643"/>
    <w:rsid w:val="002A0AEE"/>
    <w:rsid w:val="002A1245"/>
    <w:rsid w:val="002A128C"/>
    <w:rsid w:val="002A13AC"/>
    <w:rsid w:val="002A1633"/>
    <w:rsid w:val="002A22B7"/>
    <w:rsid w:val="002A2EE7"/>
    <w:rsid w:val="002A368A"/>
    <w:rsid w:val="002A39E3"/>
    <w:rsid w:val="002A3CA5"/>
    <w:rsid w:val="002A3CAB"/>
    <w:rsid w:val="002A3EF5"/>
    <w:rsid w:val="002A40AB"/>
    <w:rsid w:val="002A4580"/>
    <w:rsid w:val="002A4614"/>
    <w:rsid w:val="002A5CE6"/>
    <w:rsid w:val="002A60A3"/>
    <w:rsid w:val="002A65A3"/>
    <w:rsid w:val="002A6603"/>
    <w:rsid w:val="002A696B"/>
    <w:rsid w:val="002A6FD6"/>
    <w:rsid w:val="002A78B1"/>
    <w:rsid w:val="002A7962"/>
    <w:rsid w:val="002A7B68"/>
    <w:rsid w:val="002B0F7B"/>
    <w:rsid w:val="002B1E0C"/>
    <w:rsid w:val="002B3494"/>
    <w:rsid w:val="002B42F1"/>
    <w:rsid w:val="002B44A6"/>
    <w:rsid w:val="002B46BB"/>
    <w:rsid w:val="002B4A47"/>
    <w:rsid w:val="002B4A82"/>
    <w:rsid w:val="002B4F14"/>
    <w:rsid w:val="002B54EF"/>
    <w:rsid w:val="002B64A9"/>
    <w:rsid w:val="002B69D8"/>
    <w:rsid w:val="002C0638"/>
    <w:rsid w:val="002C0A18"/>
    <w:rsid w:val="002C149C"/>
    <w:rsid w:val="002C18D3"/>
    <w:rsid w:val="002C3575"/>
    <w:rsid w:val="002C3F8F"/>
    <w:rsid w:val="002C435C"/>
    <w:rsid w:val="002C4BA8"/>
    <w:rsid w:val="002C5B60"/>
    <w:rsid w:val="002C676F"/>
    <w:rsid w:val="002C6BEE"/>
    <w:rsid w:val="002C7B1B"/>
    <w:rsid w:val="002D27FB"/>
    <w:rsid w:val="002D28D7"/>
    <w:rsid w:val="002D2FEC"/>
    <w:rsid w:val="002D3F2F"/>
    <w:rsid w:val="002D5420"/>
    <w:rsid w:val="002D6900"/>
    <w:rsid w:val="002D7242"/>
    <w:rsid w:val="002E0D75"/>
    <w:rsid w:val="002E0DC9"/>
    <w:rsid w:val="002E111C"/>
    <w:rsid w:val="002E1852"/>
    <w:rsid w:val="002E1CBC"/>
    <w:rsid w:val="002E1E79"/>
    <w:rsid w:val="002E210E"/>
    <w:rsid w:val="002E257E"/>
    <w:rsid w:val="002E37BD"/>
    <w:rsid w:val="002E3BCE"/>
    <w:rsid w:val="002E4BDD"/>
    <w:rsid w:val="002E4F91"/>
    <w:rsid w:val="002E55F5"/>
    <w:rsid w:val="002E6432"/>
    <w:rsid w:val="002E6830"/>
    <w:rsid w:val="002E684D"/>
    <w:rsid w:val="002E6A03"/>
    <w:rsid w:val="002E6E63"/>
    <w:rsid w:val="002F0A11"/>
    <w:rsid w:val="002F0AA5"/>
    <w:rsid w:val="002F1389"/>
    <w:rsid w:val="002F13B7"/>
    <w:rsid w:val="002F2CAC"/>
    <w:rsid w:val="002F31A3"/>
    <w:rsid w:val="002F32E6"/>
    <w:rsid w:val="003003A9"/>
    <w:rsid w:val="00301128"/>
    <w:rsid w:val="0030127B"/>
    <w:rsid w:val="00302B21"/>
    <w:rsid w:val="003038D3"/>
    <w:rsid w:val="00303A0B"/>
    <w:rsid w:val="00303B5E"/>
    <w:rsid w:val="00304416"/>
    <w:rsid w:val="003047BC"/>
    <w:rsid w:val="003055A6"/>
    <w:rsid w:val="0030594A"/>
    <w:rsid w:val="00307E1B"/>
    <w:rsid w:val="00307E2C"/>
    <w:rsid w:val="0031030E"/>
    <w:rsid w:val="0031055C"/>
    <w:rsid w:val="00310656"/>
    <w:rsid w:val="00310AFF"/>
    <w:rsid w:val="00310E18"/>
    <w:rsid w:val="003115E2"/>
    <w:rsid w:val="00313247"/>
    <w:rsid w:val="0031380D"/>
    <w:rsid w:val="00314F4F"/>
    <w:rsid w:val="00315782"/>
    <w:rsid w:val="00315D41"/>
    <w:rsid w:val="00315D5A"/>
    <w:rsid w:val="00316D00"/>
    <w:rsid w:val="00316F84"/>
    <w:rsid w:val="003174DC"/>
    <w:rsid w:val="00317C61"/>
    <w:rsid w:val="00317EC2"/>
    <w:rsid w:val="00317F14"/>
    <w:rsid w:val="00320608"/>
    <w:rsid w:val="0032070B"/>
    <w:rsid w:val="00320B05"/>
    <w:rsid w:val="00320BAD"/>
    <w:rsid w:val="00321D80"/>
    <w:rsid w:val="00322763"/>
    <w:rsid w:val="00323DB6"/>
    <w:rsid w:val="003248D1"/>
    <w:rsid w:val="00324B09"/>
    <w:rsid w:val="00324D9E"/>
    <w:rsid w:val="0032644A"/>
    <w:rsid w:val="003265A3"/>
    <w:rsid w:val="00326AB9"/>
    <w:rsid w:val="00326B91"/>
    <w:rsid w:val="0032754B"/>
    <w:rsid w:val="00330510"/>
    <w:rsid w:val="003305E7"/>
    <w:rsid w:val="00331398"/>
    <w:rsid w:val="003313D9"/>
    <w:rsid w:val="00331C28"/>
    <w:rsid w:val="00331F02"/>
    <w:rsid w:val="00333101"/>
    <w:rsid w:val="0033353D"/>
    <w:rsid w:val="00333832"/>
    <w:rsid w:val="00333A40"/>
    <w:rsid w:val="00334CC7"/>
    <w:rsid w:val="00334F9A"/>
    <w:rsid w:val="003352C5"/>
    <w:rsid w:val="0033591E"/>
    <w:rsid w:val="00337586"/>
    <w:rsid w:val="003378BC"/>
    <w:rsid w:val="003401E6"/>
    <w:rsid w:val="00342F10"/>
    <w:rsid w:val="0034327D"/>
    <w:rsid w:val="00344557"/>
    <w:rsid w:val="00346716"/>
    <w:rsid w:val="00347C33"/>
    <w:rsid w:val="00347E10"/>
    <w:rsid w:val="00350FCE"/>
    <w:rsid w:val="00351C1B"/>
    <w:rsid w:val="00352F2D"/>
    <w:rsid w:val="00353200"/>
    <w:rsid w:val="003535F6"/>
    <w:rsid w:val="0035373A"/>
    <w:rsid w:val="00354153"/>
    <w:rsid w:val="00354CC5"/>
    <w:rsid w:val="00355698"/>
    <w:rsid w:val="00355EBE"/>
    <w:rsid w:val="00355FB6"/>
    <w:rsid w:val="00356157"/>
    <w:rsid w:val="00356E9C"/>
    <w:rsid w:val="00357073"/>
    <w:rsid w:val="00357F4D"/>
    <w:rsid w:val="00360FFF"/>
    <w:rsid w:val="00361254"/>
    <w:rsid w:val="003621FC"/>
    <w:rsid w:val="003624EA"/>
    <w:rsid w:val="0036273F"/>
    <w:rsid w:val="00362AE6"/>
    <w:rsid w:val="00362E36"/>
    <w:rsid w:val="003632DE"/>
    <w:rsid w:val="00363799"/>
    <w:rsid w:val="0036440C"/>
    <w:rsid w:val="0036623A"/>
    <w:rsid w:val="003663F5"/>
    <w:rsid w:val="003666FF"/>
    <w:rsid w:val="003667B5"/>
    <w:rsid w:val="003719D0"/>
    <w:rsid w:val="00372DCE"/>
    <w:rsid w:val="003739F6"/>
    <w:rsid w:val="00374310"/>
    <w:rsid w:val="00374B27"/>
    <w:rsid w:val="00375D59"/>
    <w:rsid w:val="00376895"/>
    <w:rsid w:val="00376D1B"/>
    <w:rsid w:val="003777A0"/>
    <w:rsid w:val="00377FFD"/>
    <w:rsid w:val="003816B6"/>
    <w:rsid w:val="00381BC7"/>
    <w:rsid w:val="003820C2"/>
    <w:rsid w:val="00383945"/>
    <w:rsid w:val="00383AF2"/>
    <w:rsid w:val="00383DA7"/>
    <w:rsid w:val="00383EAA"/>
    <w:rsid w:val="0038476B"/>
    <w:rsid w:val="00385146"/>
    <w:rsid w:val="003868A3"/>
    <w:rsid w:val="003871A9"/>
    <w:rsid w:val="0038792E"/>
    <w:rsid w:val="00390A78"/>
    <w:rsid w:val="00390F27"/>
    <w:rsid w:val="00391032"/>
    <w:rsid w:val="003925A4"/>
    <w:rsid w:val="00392915"/>
    <w:rsid w:val="00394076"/>
    <w:rsid w:val="00394506"/>
    <w:rsid w:val="00394959"/>
    <w:rsid w:val="00395797"/>
    <w:rsid w:val="00396AFC"/>
    <w:rsid w:val="00396F38"/>
    <w:rsid w:val="0039722C"/>
    <w:rsid w:val="0039734C"/>
    <w:rsid w:val="00397D67"/>
    <w:rsid w:val="00397DE0"/>
    <w:rsid w:val="003A0F2C"/>
    <w:rsid w:val="003A1BE6"/>
    <w:rsid w:val="003A1E94"/>
    <w:rsid w:val="003A217F"/>
    <w:rsid w:val="003A34F6"/>
    <w:rsid w:val="003A465B"/>
    <w:rsid w:val="003A52FB"/>
    <w:rsid w:val="003A5465"/>
    <w:rsid w:val="003A54D2"/>
    <w:rsid w:val="003A553C"/>
    <w:rsid w:val="003A65DF"/>
    <w:rsid w:val="003A682C"/>
    <w:rsid w:val="003A6F02"/>
    <w:rsid w:val="003A7CD7"/>
    <w:rsid w:val="003B0337"/>
    <w:rsid w:val="003B0B22"/>
    <w:rsid w:val="003B251F"/>
    <w:rsid w:val="003B29EC"/>
    <w:rsid w:val="003B2F66"/>
    <w:rsid w:val="003B4371"/>
    <w:rsid w:val="003B4D1B"/>
    <w:rsid w:val="003B60FC"/>
    <w:rsid w:val="003B69D3"/>
    <w:rsid w:val="003B7CC6"/>
    <w:rsid w:val="003C027D"/>
    <w:rsid w:val="003C2CF6"/>
    <w:rsid w:val="003C40E4"/>
    <w:rsid w:val="003C4136"/>
    <w:rsid w:val="003C4996"/>
    <w:rsid w:val="003C4A88"/>
    <w:rsid w:val="003C5092"/>
    <w:rsid w:val="003C510C"/>
    <w:rsid w:val="003C62E8"/>
    <w:rsid w:val="003C641E"/>
    <w:rsid w:val="003C65C1"/>
    <w:rsid w:val="003C7C8A"/>
    <w:rsid w:val="003D0F5C"/>
    <w:rsid w:val="003D1236"/>
    <w:rsid w:val="003D1556"/>
    <w:rsid w:val="003D191F"/>
    <w:rsid w:val="003D1EC6"/>
    <w:rsid w:val="003D1F1C"/>
    <w:rsid w:val="003D26F9"/>
    <w:rsid w:val="003D27B0"/>
    <w:rsid w:val="003D4C0C"/>
    <w:rsid w:val="003D508B"/>
    <w:rsid w:val="003D5531"/>
    <w:rsid w:val="003D5B32"/>
    <w:rsid w:val="003D71CA"/>
    <w:rsid w:val="003D7364"/>
    <w:rsid w:val="003D7646"/>
    <w:rsid w:val="003D76E1"/>
    <w:rsid w:val="003E0591"/>
    <w:rsid w:val="003E09D1"/>
    <w:rsid w:val="003E1291"/>
    <w:rsid w:val="003E197A"/>
    <w:rsid w:val="003E24EF"/>
    <w:rsid w:val="003E2A86"/>
    <w:rsid w:val="003E6CEE"/>
    <w:rsid w:val="003E733B"/>
    <w:rsid w:val="003E7457"/>
    <w:rsid w:val="003E7872"/>
    <w:rsid w:val="003F051A"/>
    <w:rsid w:val="003F0867"/>
    <w:rsid w:val="003F0A70"/>
    <w:rsid w:val="003F106C"/>
    <w:rsid w:val="003F1B97"/>
    <w:rsid w:val="003F5994"/>
    <w:rsid w:val="003F638B"/>
    <w:rsid w:val="003F744D"/>
    <w:rsid w:val="00400240"/>
    <w:rsid w:val="0040127E"/>
    <w:rsid w:val="0040139B"/>
    <w:rsid w:val="00402BA9"/>
    <w:rsid w:val="00402E98"/>
    <w:rsid w:val="004033EE"/>
    <w:rsid w:val="00403BA2"/>
    <w:rsid w:val="004044CD"/>
    <w:rsid w:val="0040486C"/>
    <w:rsid w:val="00404CB8"/>
    <w:rsid w:val="00406C7E"/>
    <w:rsid w:val="00406DF1"/>
    <w:rsid w:val="00410C04"/>
    <w:rsid w:val="004113F5"/>
    <w:rsid w:val="004115F9"/>
    <w:rsid w:val="004118CA"/>
    <w:rsid w:val="00411BD5"/>
    <w:rsid w:val="00413A07"/>
    <w:rsid w:val="00414004"/>
    <w:rsid w:val="004150D4"/>
    <w:rsid w:val="004157E0"/>
    <w:rsid w:val="0041643B"/>
    <w:rsid w:val="00417FE3"/>
    <w:rsid w:val="004206E7"/>
    <w:rsid w:val="00421B46"/>
    <w:rsid w:val="00421BD8"/>
    <w:rsid w:val="00423421"/>
    <w:rsid w:val="0042395D"/>
    <w:rsid w:val="00424185"/>
    <w:rsid w:val="004251C5"/>
    <w:rsid w:val="004252A9"/>
    <w:rsid w:val="00425D56"/>
    <w:rsid w:val="00430712"/>
    <w:rsid w:val="00431587"/>
    <w:rsid w:val="004315BF"/>
    <w:rsid w:val="00431C97"/>
    <w:rsid w:val="00432203"/>
    <w:rsid w:val="00432BD1"/>
    <w:rsid w:val="00433964"/>
    <w:rsid w:val="00434368"/>
    <w:rsid w:val="00434A08"/>
    <w:rsid w:val="00434BBD"/>
    <w:rsid w:val="00435379"/>
    <w:rsid w:val="004356B5"/>
    <w:rsid w:val="00435723"/>
    <w:rsid w:val="0043593A"/>
    <w:rsid w:val="004366F6"/>
    <w:rsid w:val="004367F4"/>
    <w:rsid w:val="00437825"/>
    <w:rsid w:val="00440600"/>
    <w:rsid w:val="004415BA"/>
    <w:rsid w:val="00441948"/>
    <w:rsid w:val="004424E0"/>
    <w:rsid w:val="00443E69"/>
    <w:rsid w:val="00443F8E"/>
    <w:rsid w:val="004440CF"/>
    <w:rsid w:val="0044543A"/>
    <w:rsid w:val="00445DEF"/>
    <w:rsid w:val="00445F7B"/>
    <w:rsid w:val="00446C29"/>
    <w:rsid w:val="00446D44"/>
    <w:rsid w:val="00446EB7"/>
    <w:rsid w:val="004475F5"/>
    <w:rsid w:val="0044765E"/>
    <w:rsid w:val="0045012F"/>
    <w:rsid w:val="004514C5"/>
    <w:rsid w:val="004519BF"/>
    <w:rsid w:val="0045201C"/>
    <w:rsid w:val="004523DD"/>
    <w:rsid w:val="0045355B"/>
    <w:rsid w:val="00453C41"/>
    <w:rsid w:val="004549FD"/>
    <w:rsid w:val="00454E90"/>
    <w:rsid w:val="00455526"/>
    <w:rsid w:val="0045583F"/>
    <w:rsid w:val="00455E13"/>
    <w:rsid w:val="0045608E"/>
    <w:rsid w:val="004579A4"/>
    <w:rsid w:val="0046021D"/>
    <w:rsid w:val="004605E3"/>
    <w:rsid w:val="0046064A"/>
    <w:rsid w:val="0046073F"/>
    <w:rsid w:val="00460FEE"/>
    <w:rsid w:val="00461534"/>
    <w:rsid w:val="00461597"/>
    <w:rsid w:val="0046161D"/>
    <w:rsid w:val="00461BCE"/>
    <w:rsid w:val="00461E81"/>
    <w:rsid w:val="00462755"/>
    <w:rsid w:val="004640E2"/>
    <w:rsid w:val="004657F1"/>
    <w:rsid w:val="00466CA6"/>
    <w:rsid w:val="004707C3"/>
    <w:rsid w:val="00471596"/>
    <w:rsid w:val="00471DB3"/>
    <w:rsid w:val="00471E2E"/>
    <w:rsid w:val="0047324C"/>
    <w:rsid w:val="00475259"/>
    <w:rsid w:val="00476DD0"/>
    <w:rsid w:val="0047721E"/>
    <w:rsid w:val="004773C0"/>
    <w:rsid w:val="00477A0E"/>
    <w:rsid w:val="00477F7A"/>
    <w:rsid w:val="00481313"/>
    <w:rsid w:val="0048146D"/>
    <w:rsid w:val="00481C00"/>
    <w:rsid w:val="00481CE0"/>
    <w:rsid w:val="00482421"/>
    <w:rsid w:val="0048243D"/>
    <w:rsid w:val="00482479"/>
    <w:rsid w:val="00482AE1"/>
    <w:rsid w:val="00482E27"/>
    <w:rsid w:val="00483C8E"/>
    <w:rsid w:val="00484C7E"/>
    <w:rsid w:val="0048553B"/>
    <w:rsid w:val="0048570F"/>
    <w:rsid w:val="00485AD6"/>
    <w:rsid w:val="00486D86"/>
    <w:rsid w:val="00487503"/>
    <w:rsid w:val="00487563"/>
    <w:rsid w:val="00487BD3"/>
    <w:rsid w:val="00487E3F"/>
    <w:rsid w:val="0049174D"/>
    <w:rsid w:val="00492B4C"/>
    <w:rsid w:val="0049384C"/>
    <w:rsid w:val="00493C90"/>
    <w:rsid w:val="00493E1C"/>
    <w:rsid w:val="004944FD"/>
    <w:rsid w:val="004951A4"/>
    <w:rsid w:val="0049544B"/>
    <w:rsid w:val="0049555E"/>
    <w:rsid w:val="00496243"/>
    <w:rsid w:val="004962FD"/>
    <w:rsid w:val="00497C00"/>
    <w:rsid w:val="00497DB7"/>
    <w:rsid w:val="004A08FE"/>
    <w:rsid w:val="004A1452"/>
    <w:rsid w:val="004A1FC9"/>
    <w:rsid w:val="004A28D0"/>
    <w:rsid w:val="004A3A20"/>
    <w:rsid w:val="004A42BC"/>
    <w:rsid w:val="004A453A"/>
    <w:rsid w:val="004A48AB"/>
    <w:rsid w:val="004A51BD"/>
    <w:rsid w:val="004A5B7E"/>
    <w:rsid w:val="004A61D0"/>
    <w:rsid w:val="004A7078"/>
    <w:rsid w:val="004A7EC7"/>
    <w:rsid w:val="004B05AE"/>
    <w:rsid w:val="004B07E6"/>
    <w:rsid w:val="004B280A"/>
    <w:rsid w:val="004B41DB"/>
    <w:rsid w:val="004B4287"/>
    <w:rsid w:val="004B48A9"/>
    <w:rsid w:val="004B566D"/>
    <w:rsid w:val="004B6364"/>
    <w:rsid w:val="004B6367"/>
    <w:rsid w:val="004B6829"/>
    <w:rsid w:val="004B6865"/>
    <w:rsid w:val="004B68A4"/>
    <w:rsid w:val="004C05B5"/>
    <w:rsid w:val="004C073D"/>
    <w:rsid w:val="004C0B8B"/>
    <w:rsid w:val="004C100E"/>
    <w:rsid w:val="004C1B16"/>
    <w:rsid w:val="004C21C7"/>
    <w:rsid w:val="004C3CD8"/>
    <w:rsid w:val="004C4263"/>
    <w:rsid w:val="004C4547"/>
    <w:rsid w:val="004C4C72"/>
    <w:rsid w:val="004C5BB9"/>
    <w:rsid w:val="004C6021"/>
    <w:rsid w:val="004C6B02"/>
    <w:rsid w:val="004C7C0D"/>
    <w:rsid w:val="004D020D"/>
    <w:rsid w:val="004D16A7"/>
    <w:rsid w:val="004D2D84"/>
    <w:rsid w:val="004D2E6B"/>
    <w:rsid w:val="004D56ED"/>
    <w:rsid w:val="004D6B4A"/>
    <w:rsid w:val="004D6E18"/>
    <w:rsid w:val="004D7649"/>
    <w:rsid w:val="004D7A44"/>
    <w:rsid w:val="004E0693"/>
    <w:rsid w:val="004E18E2"/>
    <w:rsid w:val="004E1E25"/>
    <w:rsid w:val="004E20F5"/>
    <w:rsid w:val="004E2698"/>
    <w:rsid w:val="004E2F54"/>
    <w:rsid w:val="004E3085"/>
    <w:rsid w:val="004E3483"/>
    <w:rsid w:val="004E46D7"/>
    <w:rsid w:val="004E5C3A"/>
    <w:rsid w:val="004E6AF7"/>
    <w:rsid w:val="004E74E1"/>
    <w:rsid w:val="004E752A"/>
    <w:rsid w:val="004E7533"/>
    <w:rsid w:val="004E764B"/>
    <w:rsid w:val="004F0C3C"/>
    <w:rsid w:val="004F1B0F"/>
    <w:rsid w:val="004F2305"/>
    <w:rsid w:val="004F2334"/>
    <w:rsid w:val="004F2751"/>
    <w:rsid w:val="004F3387"/>
    <w:rsid w:val="004F33BD"/>
    <w:rsid w:val="004F3889"/>
    <w:rsid w:val="004F4F7E"/>
    <w:rsid w:val="004F5BB3"/>
    <w:rsid w:val="004F7661"/>
    <w:rsid w:val="004F771F"/>
    <w:rsid w:val="004F7AED"/>
    <w:rsid w:val="00503D9F"/>
    <w:rsid w:val="005044EE"/>
    <w:rsid w:val="00504824"/>
    <w:rsid w:val="00506476"/>
    <w:rsid w:val="005064CA"/>
    <w:rsid w:val="00506B8E"/>
    <w:rsid w:val="005072D8"/>
    <w:rsid w:val="005100CB"/>
    <w:rsid w:val="0051055D"/>
    <w:rsid w:val="005132CD"/>
    <w:rsid w:val="0051348C"/>
    <w:rsid w:val="00514185"/>
    <w:rsid w:val="00514188"/>
    <w:rsid w:val="00515AA6"/>
    <w:rsid w:val="00515E02"/>
    <w:rsid w:val="005165D0"/>
    <w:rsid w:val="005167BF"/>
    <w:rsid w:val="0051778A"/>
    <w:rsid w:val="00517F14"/>
    <w:rsid w:val="00520211"/>
    <w:rsid w:val="005203A1"/>
    <w:rsid w:val="00521795"/>
    <w:rsid w:val="0052315E"/>
    <w:rsid w:val="00524011"/>
    <w:rsid w:val="00524A8D"/>
    <w:rsid w:val="0052502A"/>
    <w:rsid w:val="005252A7"/>
    <w:rsid w:val="00525AA9"/>
    <w:rsid w:val="00527409"/>
    <w:rsid w:val="00527876"/>
    <w:rsid w:val="005278C8"/>
    <w:rsid w:val="00530528"/>
    <w:rsid w:val="00532167"/>
    <w:rsid w:val="005326C4"/>
    <w:rsid w:val="00532F53"/>
    <w:rsid w:val="00533966"/>
    <w:rsid w:val="0053644D"/>
    <w:rsid w:val="00536EB0"/>
    <w:rsid w:val="00537748"/>
    <w:rsid w:val="00537E0A"/>
    <w:rsid w:val="00540AF0"/>
    <w:rsid w:val="00540BD0"/>
    <w:rsid w:val="005410C1"/>
    <w:rsid w:val="005412F4"/>
    <w:rsid w:val="00541CE8"/>
    <w:rsid w:val="00542132"/>
    <w:rsid w:val="00542658"/>
    <w:rsid w:val="005426D4"/>
    <w:rsid w:val="00542713"/>
    <w:rsid w:val="00543AEB"/>
    <w:rsid w:val="0054400C"/>
    <w:rsid w:val="005451D5"/>
    <w:rsid w:val="00545A5C"/>
    <w:rsid w:val="005462E3"/>
    <w:rsid w:val="0054705A"/>
    <w:rsid w:val="00547C44"/>
    <w:rsid w:val="005515BB"/>
    <w:rsid w:val="00552C47"/>
    <w:rsid w:val="005531C3"/>
    <w:rsid w:val="00553BD9"/>
    <w:rsid w:val="0055419B"/>
    <w:rsid w:val="00554F3B"/>
    <w:rsid w:val="00555235"/>
    <w:rsid w:val="00555505"/>
    <w:rsid w:val="00557B9C"/>
    <w:rsid w:val="0056056A"/>
    <w:rsid w:val="00560C36"/>
    <w:rsid w:val="00561699"/>
    <w:rsid w:val="005624A7"/>
    <w:rsid w:val="00562735"/>
    <w:rsid w:val="00562B39"/>
    <w:rsid w:val="00562F7C"/>
    <w:rsid w:val="00563325"/>
    <w:rsid w:val="005637BC"/>
    <w:rsid w:val="00563E8B"/>
    <w:rsid w:val="00564639"/>
    <w:rsid w:val="005648A2"/>
    <w:rsid w:val="00564974"/>
    <w:rsid w:val="005653E7"/>
    <w:rsid w:val="005659EE"/>
    <w:rsid w:val="00565AD6"/>
    <w:rsid w:val="00565AED"/>
    <w:rsid w:val="00565B85"/>
    <w:rsid w:val="00566057"/>
    <w:rsid w:val="00566E75"/>
    <w:rsid w:val="0056788E"/>
    <w:rsid w:val="00570858"/>
    <w:rsid w:val="00571E89"/>
    <w:rsid w:val="00572404"/>
    <w:rsid w:val="00573B29"/>
    <w:rsid w:val="00573BF5"/>
    <w:rsid w:val="0057484A"/>
    <w:rsid w:val="00575D01"/>
    <w:rsid w:val="005769AD"/>
    <w:rsid w:val="00577825"/>
    <w:rsid w:val="00580CCB"/>
    <w:rsid w:val="00581BE2"/>
    <w:rsid w:val="005825A9"/>
    <w:rsid w:val="0058343C"/>
    <w:rsid w:val="00583C7B"/>
    <w:rsid w:val="00585407"/>
    <w:rsid w:val="00586420"/>
    <w:rsid w:val="005871E0"/>
    <w:rsid w:val="005878D0"/>
    <w:rsid w:val="005878E4"/>
    <w:rsid w:val="00590014"/>
    <w:rsid w:val="0059005A"/>
    <w:rsid w:val="00590C00"/>
    <w:rsid w:val="00591F60"/>
    <w:rsid w:val="0059398A"/>
    <w:rsid w:val="00593AD9"/>
    <w:rsid w:val="005959FE"/>
    <w:rsid w:val="005976B3"/>
    <w:rsid w:val="005A02EA"/>
    <w:rsid w:val="005A05E3"/>
    <w:rsid w:val="005A07DB"/>
    <w:rsid w:val="005A0A67"/>
    <w:rsid w:val="005A0EE1"/>
    <w:rsid w:val="005A127B"/>
    <w:rsid w:val="005A1723"/>
    <w:rsid w:val="005A176F"/>
    <w:rsid w:val="005A1911"/>
    <w:rsid w:val="005A2EA2"/>
    <w:rsid w:val="005A45E4"/>
    <w:rsid w:val="005A4B1A"/>
    <w:rsid w:val="005A4BE8"/>
    <w:rsid w:val="005A4DD5"/>
    <w:rsid w:val="005A4E21"/>
    <w:rsid w:val="005A51AA"/>
    <w:rsid w:val="005A56BC"/>
    <w:rsid w:val="005A5BA4"/>
    <w:rsid w:val="005A5F12"/>
    <w:rsid w:val="005A6BE1"/>
    <w:rsid w:val="005A746C"/>
    <w:rsid w:val="005A78B9"/>
    <w:rsid w:val="005B10E9"/>
    <w:rsid w:val="005B11D1"/>
    <w:rsid w:val="005B121E"/>
    <w:rsid w:val="005B132A"/>
    <w:rsid w:val="005B143B"/>
    <w:rsid w:val="005B20C6"/>
    <w:rsid w:val="005B2325"/>
    <w:rsid w:val="005B309D"/>
    <w:rsid w:val="005B316B"/>
    <w:rsid w:val="005B3AA6"/>
    <w:rsid w:val="005B7193"/>
    <w:rsid w:val="005C0660"/>
    <w:rsid w:val="005C1AC9"/>
    <w:rsid w:val="005C1BA9"/>
    <w:rsid w:val="005C1DAC"/>
    <w:rsid w:val="005C431E"/>
    <w:rsid w:val="005C5132"/>
    <w:rsid w:val="005C560C"/>
    <w:rsid w:val="005C57A0"/>
    <w:rsid w:val="005C5D0F"/>
    <w:rsid w:val="005C5DE6"/>
    <w:rsid w:val="005C6305"/>
    <w:rsid w:val="005C65BD"/>
    <w:rsid w:val="005C71F2"/>
    <w:rsid w:val="005C72D5"/>
    <w:rsid w:val="005D0B8B"/>
    <w:rsid w:val="005D0E57"/>
    <w:rsid w:val="005D2251"/>
    <w:rsid w:val="005D22FE"/>
    <w:rsid w:val="005D2552"/>
    <w:rsid w:val="005D2C78"/>
    <w:rsid w:val="005D4480"/>
    <w:rsid w:val="005D64E7"/>
    <w:rsid w:val="005D6FEC"/>
    <w:rsid w:val="005D770E"/>
    <w:rsid w:val="005D781B"/>
    <w:rsid w:val="005E1AE3"/>
    <w:rsid w:val="005E1EE1"/>
    <w:rsid w:val="005E246A"/>
    <w:rsid w:val="005E2529"/>
    <w:rsid w:val="005E311D"/>
    <w:rsid w:val="005E3124"/>
    <w:rsid w:val="005E40BE"/>
    <w:rsid w:val="005E4896"/>
    <w:rsid w:val="005E5E2D"/>
    <w:rsid w:val="005E6591"/>
    <w:rsid w:val="005E7537"/>
    <w:rsid w:val="005F01C4"/>
    <w:rsid w:val="005F11E4"/>
    <w:rsid w:val="005F3534"/>
    <w:rsid w:val="005F4C57"/>
    <w:rsid w:val="005F65C8"/>
    <w:rsid w:val="005F67D9"/>
    <w:rsid w:val="005F78F8"/>
    <w:rsid w:val="00600488"/>
    <w:rsid w:val="006004E3"/>
    <w:rsid w:val="00600CF2"/>
    <w:rsid w:val="0060199F"/>
    <w:rsid w:val="00601AA8"/>
    <w:rsid w:val="00601AF1"/>
    <w:rsid w:val="00602AA6"/>
    <w:rsid w:val="00603750"/>
    <w:rsid w:val="00604258"/>
    <w:rsid w:val="006043AA"/>
    <w:rsid w:val="00605582"/>
    <w:rsid w:val="006058E7"/>
    <w:rsid w:val="0060667C"/>
    <w:rsid w:val="00607044"/>
    <w:rsid w:val="00607795"/>
    <w:rsid w:val="00607C8C"/>
    <w:rsid w:val="00607CFF"/>
    <w:rsid w:val="00611079"/>
    <w:rsid w:val="006110CB"/>
    <w:rsid w:val="00611BA9"/>
    <w:rsid w:val="00612239"/>
    <w:rsid w:val="006128B8"/>
    <w:rsid w:val="006143BD"/>
    <w:rsid w:val="00614761"/>
    <w:rsid w:val="00614908"/>
    <w:rsid w:val="00614A69"/>
    <w:rsid w:val="00615589"/>
    <w:rsid w:val="006160C5"/>
    <w:rsid w:val="0061650D"/>
    <w:rsid w:val="00617916"/>
    <w:rsid w:val="0062018D"/>
    <w:rsid w:val="00621261"/>
    <w:rsid w:val="0062127A"/>
    <w:rsid w:val="00621FEC"/>
    <w:rsid w:val="00622153"/>
    <w:rsid w:val="00622EEA"/>
    <w:rsid w:val="0062391F"/>
    <w:rsid w:val="00623A42"/>
    <w:rsid w:val="0062410F"/>
    <w:rsid w:val="00624AC1"/>
    <w:rsid w:val="0062504F"/>
    <w:rsid w:val="006250E5"/>
    <w:rsid w:val="006255F2"/>
    <w:rsid w:val="0062799F"/>
    <w:rsid w:val="00630C6E"/>
    <w:rsid w:val="006317DF"/>
    <w:rsid w:val="00632E6B"/>
    <w:rsid w:val="00633EEF"/>
    <w:rsid w:val="00633FDE"/>
    <w:rsid w:val="00634724"/>
    <w:rsid w:val="006348B0"/>
    <w:rsid w:val="00636021"/>
    <w:rsid w:val="00636435"/>
    <w:rsid w:val="00637108"/>
    <w:rsid w:val="0064050D"/>
    <w:rsid w:val="006411D4"/>
    <w:rsid w:val="00641F4A"/>
    <w:rsid w:val="006423EB"/>
    <w:rsid w:val="00642884"/>
    <w:rsid w:val="00642FA1"/>
    <w:rsid w:val="006432FD"/>
    <w:rsid w:val="006439DF"/>
    <w:rsid w:val="0064551A"/>
    <w:rsid w:val="0064574F"/>
    <w:rsid w:val="00645ED7"/>
    <w:rsid w:val="00646C94"/>
    <w:rsid w:val="00647416"/>
    <w:rsid w:val="00647FF6"/>
    <w:rsid w:val="00650605"/>
    <w:rsid w:val="00650BB2"/>
    <w:rsid w:val="0065102F"/>
    <w:rsid w:val="00651AA0"/>
    <w:rsid w:val="00652ECA"/>
    <w:rsid w:val="00653B37"/>
    <w:rsid w:val="006548C4"/>
    <w:rsid w:val="00654AE2"/>
    <w:rsid w:val="00656165"/>
    <w:rsid w:val="006566C0"/>
    <w:rsid w:val="00656FB3"/>
    <w:rsid w:val="006571DA"/>
    <w:rsid w:val="00662DDB"/>
    <w:rsid w:val="0066309E"/>
    <w:rsid w:val="00663299"/>
    <w:rsid w:val="00664297"/>
    <w:rsid w:val="00664568"/>
    <w:rsid w:val="006652F3"/>
    <w:rsid w:val="0066543A"/>
    <w:rsid w:val="00666DA5"/>
    <w:rsid w:val="00666F37"/>
    <w:rsid w:val="00667DAC"/>
    <w:rsid w:val="00670143"/>
    <w:rsid w:val="00670388"/>
    <w:rsid w:val="00670615"/>
    <w:rsid w:val="00670AAB"/>
    <w:rsid w:val="00673122"/>
    <w:rsid w:val="0067724D"/>
    <w:rsid w:val="00677C6E"/>
    <w:rsid w:val="00680377"/>
    <w:rsid w:val="00681539"/>
    <w:rsid w:val="00681824"/>
    <w:rsid w:val="006820E0"/>
    <w:rsid w:val="00682B03"/>
    <w:rsid w:val="00683C36"/>
    <w:rsid w:val="006854F8"/>
    <w:rsid w:val="0068569B"/>
    <w:rsid w:val="00685B88"/>
    <w:rsid w:val="00685ED0"/>
    <w:rsid w:val="0068670F"/>
    <w:rsid w:val="00686788"/>
    <w:rsid w:val="006871FB"/>
    <w:rsid w:val="006874A1"/>
    <w:rsid w:val="00690AEE"/>
    <w:rsid w:val="00691B88"/>
    <w:rsid w:val="006921B6"/>
    <w:rsid w:val="00692219"/>
    <w:rsid w:val="0069314A"/>
    <w:rsid w:val="006932A3"/>
    <w:rsid w:val="00693BE8"/>
    <w:rsid w:val="006946FA"/>
    <w:rsid w:val="006949EA"/>
    <w:rsid w:val="00694AB5"/>
    <w:rsid w:val="006950C6"/>
    <w:rsid w:val="0069547F"/>
    <w:rsid w:val="00695FC5"/>
    <w:rsid w:val="0069701D"/>
    <w:rsid w:val="00697A0E"/>
    <w:rsid w:val="00697BCD"/>
    <w:rsid w:val="006A08C5"/>
    <w:rsid w:val="006A0B97"/>
    <w:rsid w:val="006A0E88"/>
    <w:rsid w:val="006A10CB"/>
    <w:rsid w:val="006A1159"/>
    <w:rsid w:val="006A20D9"/>
    <w:rsid w:val="006A2FAE"/>
    <w:rsid w:val="006A30E3"/>
    <w:rsid w:val="006A310D"/>
    <w:rsid w:val="006A5651"/>
    <w:rsid w:val="006A5766"/>
    <w:rsid w:val="006A5A3E"/>
    <w:rsid w:val="006A5F6F"/>
    <w:rsid w:val="006A6011"/>
    <w:rsid w:val="006B07DA"/>
    <w:rsid w:val="006B0B9D"/>
    <w:rsid w:val="006B20C8"/>
    <w:rsid w:val="006B21FC"/>
    <w:rsid w:val="006B2F3F"/>
    <w:rsid w:val="006B314D"/>
    <w:rsid w:val="006B358A"/>
    <w:rsid w:val="006B4F71"/>
    <w:rsid w:val="006B5080"/>
    <w:rsid w:val="006B5DE3"/>
    <w:rsid w:val="006B5F8C"/>
    <w:rsid w:val="006B6E9D"/>
    <w:rsid w:val="006B7161"/>
    <w:rsid w:val="006B723A"/>
    <w:rsid w:val="006B7EED"/>
    <w:rsid w:val="006C1173"/>
    <w:rsid w:val="006C1F73"/>
    <w:rsid w:val="006C3244"/>
    <w:rsid w:val="006C3F0B"/>
    <w:rsid w:val="006C43B9"/>
    <w:rsid w:val="006C4B20"/>
    <w:rsid w:val="006C5109"/>
    <w:rsid w:val="006C5478"/>
    <w:rsid w:val="006C60ED"/>
    <w:rsid w:val="006C69DC"/>
    <w:rsid w:val="006C734F"/>
    <w:rsid w:val="006C74DB"/>
    <w:rsid w:val="006C7826"/>
    <w:rsid w:val="006C78BA"/>
    <w:rsid w:val="006C79A2"/>
    <w:rsid w:val="006C7A23"/>
    <w:rsid w:val="006D0154"/>
    <w:rsid w:val="006D1778"/>
    <w:rsid w:val="006D218C"/>
    <w:rsid w:val="006D2645"/>
    <w:rsid w:val="006D31EC"/>
    <w:rsid w:val="006D32A9"/>
    <w:rsid w:val="006D3A08"/>
    <w:rsid w:val="006D4035"/>
    <w:rsid w:val="006D40C5"/>
    <w:rsid w:val="006D4B9F"/>
    <w:rsid w:val="006D4DE1"/>
    <w:rsid w:val="006D5F6F"/>
    <w:rsid w:val="006D6FC3"/>
    <w:rsid w:val="006E161B"/>
    <w:rsid w:val="006E1E1F"/>
    <w:rsid w:val="006E1FA5"/>
    <w:rsid w:val="006E2018"/>
    <w:rsid w:val="006E477D"/>
    <w:rsid w:val="006E4D9D"/>
    <w:rsid w:val="006E50C9"/>
    <w:rsid w:val="006E59E7"/>
    <w:rsid w:val="006E6C01"/>
    <w:rsid w:val="006E6CA3"/>
    <w:rsid w:val="006E7584"/>
    <w:rsid w:val="006E781B"/>
    <w:rsid w:val="006F25D6"/>
    <w:rsid w:val="006F3582"/>
    <w:rsid w:val="006F3C71"/>
    <w:rsid w:val="006F42E3"/>
    <w:rsid w:val="006F44E2"/>
    <w:rsid w:val="006F4624"/>
    <w:rsid w:val="006F4D3B"/>
    <w:rsid w:val="006F5125"/>
    <w:rsid w:val="006F54AE"/>
    <w:rsid w:val="006F66C9"/>
    <w:rsid w:val="006F67B5"/>
    <w:rsid w:val="006F71D0"/>
    <w:rsid w:val="006F751D"/>
    <w:rsid w:val="006F7B42"/>
    <w:rsid w:val="00700336"/>
    <w:rsid w:val="00703E2C"/>
    <w:rsid w:val="0070449F"/>
    <w:rsid w:val="00704B14"/>
    <w:rsid w:val="00704DBB"/>
    <w:rsid w:val="007061C8"/>
    <w:rsid w:val="00706949"/>
    <w:rsid w:val="00707A20"/>
    <w:rsid w:val="00710871"/>
    <w:rsid w:val="0071150E"/>
    <w:rsid w:val="00712FD1"/>
    <w:rsid w:val="00713093"/>
    <w:rsid w:val="0071309A"/>
    <w:rsid w:val="00713E2A"/>
    <w:rsid w:val="007141E8"/>
    <w:rsid w:val="00714233"/>
    <w:rsid w:val="00716148"/>
    <w:rsid w:val="00716639"/>
    <w:rsid w:val="00716666"/>
    <w:rsid w:val="00716C1F"/>
    <w:rsid w:val="00716F49"/>
    <w:rsid w:val="007177E8"/>
    <w:rsid w:val="007201AF"/>
    <w:rsid w:val="0072030C"/>
    <w:rsid w:val="00722B61"/>
    <w:rsid w:val="007235E8"/>
    <w:rsid w:val="00723A24"/>
    <w:rsid w:val="00723E49"/>
    <w:rsid w:val="0072489D"/>
    <w:rsid w:val="007248F5"/>
    <w:rsid w:val="007255AF"/>
    <w:rsid w:val="00726108"/>
    <w:rsid w:val="007274C3"/>
    <w:rsid w:val="007276AA"/>
    <w:rsid w:val="007300D6"/>
    <w:rsid w:val="007308FA"/>
    <w:rsid w:val="00730DF3"/>
    <w:rsid w:val="00731A1D"/>
    <w:rsid w:val="00731BA6"/>
    <w:rsid w:val="00732089"/>
    <w:rsid w:val="0073230F"/>
    <w:rsid w:val="007327F8"/>
    <w:rsid w:val="007339EC"/>
    <w:rsid w:val="007343C2"/>
    <w:rsid w:val="0073485E"/>
    <w:rsid w:val="00734B03"/>
    <w:rsid w:val="00735626"/>
    <w:rsid w:val="00735722"/>
    <w:rsid w:val="007357E5"/>
    <w:rsid w:val="00735C57"/>
    <w:rsid w:val="00735D94"/>
    <w:rsid w:val="0073612C"/>
    <w:rsid w:val="0073637C"/>
    <w:rsid w:val="00736443"/>
    <w:rsid w:val="00736C8B"/>
    <w:rsid w:val="00736EB6"/>
    <w:rsid w:val="007402D0"/>
    <w:rsid w:val="00740CAF"/>
    <w:rsid w:val="00740D80"/>
    <w:rsid w:val="00740F67"/>
    <w:rsid w:val="00741197"/>
    <w:rsid w:val="00741433"/>
    <w:rsid w:val="00741703"/>
    <w:rsid w:val="00742574"/>
    <w:rsid w:val="0074260E"/>
    <w:rsid w:val="00742BD8"/>
    <w:rsid w:val="007436E8"/>
    <w:rsid w:val="00745A50"/>
    <w:rsid w:val="00745F7F"/>
    <w:rsid w:val="00746F21"/>
    <w:rsid w:val="007470BF"/>
    <w:rsid w:val="007501C5"/>
    <w:rsid w:val="00750698"/>
    <w:rsid w:val="00750B82"/>
    <w:rsid w:val="0075117B"/>
    <w:rsid w:val="00751D6F"/>
    <w:rsid w:val="00752437"/>
    <w:rsid w:val="007524B8"/>
    <w:rsid w:val="00752848"/>
    <w:rsid w:val="00752AE0"/>
    <w:rsid w:val="00752D11"/>
    <w:rsid w:val="00754FD3"/>
    <w:rsid w:val="00756A29"/>
    <w:rsid w:val="00756C49"/>
    <w:rsid w:val="00756FE2"/>
    <w:rsid w:val="00757386"/>
    <w:rsid w:val="007575E7"/>
    <w:rsid w:val="00757889"/>
    <w:rsid w:val="00757A3D"/>
    <w:rsid w:val="007601B2"/>
    <w:rsid w:val="00760C8C"/>
    <w:rsid w:val="0076131B"/>
    <w:rsid w:val="00762BC0"/>
    <w:rsid w:val="00762D33"/>
    <w:rsid w:val="00763171"/>
    <w:rsid w:val="00764B74"/>
    <w:rsid w:val="00764E51"/>
    <w:rsid w:val="0076523D"/>
    <w:rsid w:val="007654CE"/>
    <w:rsid w:val="00765E1F"/>
    <w:rsid w:val="00765EC1"/>
    <w:rsid w:val="0076610D"/>
    <w:rsid w:val="007708B9"/>
    <w:rsid w:val="00770C38"/>
    <w:rsid w:val="007713AB"/>
    <w:rsid w:val="0077157C"/>
    <w:rsid w:val="00771A8E"/>
    <w:rsid w:val="00771DA3"/>
    <w:rsid w:val="00772874"/>
    <w:rsid w:val="00772F06"/>
    <w:rsid w:val="00773240"/>
    <w:rsid w:val="007732A5"/>
    <w:rsid w:val="007736FE"/>
    <w:rsid w:val="00773E3B"/>
    <w:rsid w:val="007740A8"/>
    <w:rsid w:val="00774E23"/>
    <w:rsid w:val="00776302"/>
    <w:rsid w:val="00776B90"/>
    <w:rsid w:val="007772D3"/>
    <w:rsid w:val="0077760A"/>
    <w:rsid w:val="00777C0E"/>
    <w:rsid w:val="007815EB"/>
    <w:rsid w:val="00784203"/>
    <w:rsid w:val="00784741"/>
    <w:rsid w:val="00785A14"/>
    <w:rsid w:val="0078662B"/>
    <w:rsid w:val="00787EDD"/>
    <w:rsid w:val="00790108"/>
    <w:rsid w:val="00790152"/>
    <w:rsid w:val="00791171"/>
    <w:rsid w:val="00791CEB"/>
    <w:rsid w:val="00791F75"/>
    <w:rsid w:val="00792756"/>
    <w:rsid w:val="00792882"/>
    <w:rsid w:val="00793198"/>
    <w:rsid w:val="00793848"/>
    <w:rsid w:val="007944B0"/>
    <w:rsid w:val="00794720"/>
    <w:rsid w:val="00794AC4"/>
    <w:rsid w:val="00794CEB"/>
    <w:rsid w:val="00794EEF"/>
    <w:rsid w:val="007973AA"/>
    <w:rsid w:val="00797D89"/>
    <w:rsid w:val="007A08CD"/>
    <w:rsid w:val="007A0E1D"/>
    <w:rsid w:val="007A2A5C"/>
    <w:rsid w:val="007A38E1"/>
    <w:rsid w:val="007A4A0E"/>
    <w:rsid w:val="007A52AC"/>
    <w:rsid w:val="007A5D00"/>
    <w:rsid w:val="007A60BA"/>
    <w:rsid w:val="007A6AF1"/>
    <w:rsid w:val="007A7322"/>
    <w:rsid w:val="007A7D29"/>
    <w:rsid w:val="007A7FD0"/>
    <w:rsid w:val="007B0569"/>
    <w:rsid w:val="007B079F"/>
    <w:rsid w:val="007B0A71"/>
    <w:rsid w:val="007B0BFE"/>
    <w:rsid w:val="007B0D43"/>
    <w:rsid w:val="007B0F37"/>
    <w:rsid w:val="007B14B6"/>
    <w:rsid w:val="007B2615"/>
    <w:rsid w:val="007B2A86"/>
    <w:rsid w:val="007B37BE"/>
    <w:rsid w:val="007B430E"/>
    <w:rsid w:val="007B570A"/>
    <w:rsid w:val="007B6387"/>
    <w:rsid w:val="007B673B"/>
    <w:rsid w:val="007B6CB2"/>
    <w:rsid w:val="007B704F"/>
    <w:rsid w:val="007B70DF"/>
    <w:rsid w:val="007B713E"/>
    <w:rsid w:val="007B77B6"/>
    <w:rsid w:val="007C0980"/>
    <w:rsid w:val="007C11D5"/>
    <w:rsid w:val="007C1411"/>
    <w:rsid w:val="007C1BEB"/>
    <w:rsid w:val="007C37F6"/>
    <w:rsid w:val="007C3845"/>
    <w:rsid w:val="007C3C2A"/>
    <w:rsid w:val="007C48AE"/>
    <w:rsid w:val="007C6BDD"/>
    <w:rsid w:val="007C7B7D"/>
    <w:rsid w:val="007D05E8"/>
    <w:rsid w:val="007D1784"/>
    <w:rsid w:val="007D2CAE"/>
    <w:rsid w:val="007D3F18"/>
    <w:rsid w:val="007D6832"/>
    <w:rsid w:val="007D689C"/>
    <w:rsid w:val="007D6BDC"/>
    <w:rsid w:val="007D701E"/>
    <w:rsid w:val="007D706C"/>
    <w:rsid w:val="007D7454"/>
    <w:rsid w:val="007D7575"/>
    <w:rsid w:val="007E069F"/>
    <w:rsid w:val="007E0DCE"/>
    <w:rsid w:val="007E19C0"/>
    <w:rsid w:val="007E1A93"/>
    <w:rsid w:val="007E1F86"/>
    <w:rsid w:val="007E2619"/>
    <w:rsid w:val="007E435C"/>
    <w:rsid w:val="007E4935"/>
    <w:rsid w:val="007E50DC"/>
    <w:rsid w:val="007E51CB"/>
    <w:rsid w:val="007E62B7"/>
    <w:rsid w:val="007E6F28"/>
    <w:rsid w:val="007E7D49"/>
    <w:rsid w:val="007E7E5F"/>
    <w:rsid w:val="007F0CFA"/>
    <w:rsid w:val="007F0D9F"/>
    <w:rsid w:val="007F3127"/>
    <w:rsid w:val="007F330C"/>
    <w:rsid w:val="007F39F9"/>
    <w:rsid w:val="007F3A12"/>
    <w:rsid w:val="007F45A3"/>
    <w:rsid w:val="007F4A97"/>
    <w:rsid w:val="007F4D33"/>
    <w:rsid w:val="007F5744"/>
    <w:rsid w:val="007F5988"/>
    <w:rsid w:val="007F5C88"/>
    <w:rsid w:val="007F7303"/>
    <w:rsid w:val="007F75F4"/>
    <w:rsid w:val="00800B1B"/>
    <w:rsid w:val="00801F69"/>
    <w:rsid w:val="00802C82"/>
    <w:rsid w:val="008036D2"/>
    <w:rsid w:val="00804296"/>
    <w:rsid w:val="00804790"/>
    <w:rsid w:val="00804B64"/>
    <w:rsid w:val="00804C41"/>
    <w:rsid w:val="0080588E"/>
    <w:rsid w:val="00805BDA"/>
    <w:rsid w:val="00806946"/>
    <w:rsid w:val="008069A7"/>
    <w:rsid w:val="008101BE"/>
    <w:rsid w:val="0081083B"/>
    <w:rsid w:val="00811672"/>
    <w:rsid w:val="00811968"/>
    <w:rsid w:val="0081196E"/>
    <w:rsid w:val="00811D4E"/>
    <w:rsid w:val="008128C9"/>
    <w:rsid w:val="008135BC"/>
    <w:rsid w:val="00813B2E"/>
    <w:rsid w:val="00814986"/>
    <w:rsid w:val="008161BF"/>
    <w:rsid w:val="008164E1"/>
    <w:rsid w:val="00816693"/>
    <w:rsid w:val="00816853"/>
    <w:rsid w:val="00817352"/>
    <w:rsid w:val="008178A3"/>
    <w:rsid w:val="00817DFE"/>
    <w:rsid w:val="008207DF"/>
    <w:rsid w:val="008208DF"/>
    <w:rsid w:val="00820B44"/>
    <w:rsid w:val="00821FE1"/>
    <w:rsid w:val="0082225A"/>
    <w:rsid w:val="00823E26"/>
    <w:rsid w:val="00823E39"/>
    <w:rsid w:val="00824533"/>
    <w:rsid w:val="00824CEB"/>
    <w:rsid w:val="008252A6"/>
    <w:rsid w:val="0082694D"/>
    <w:rsid w:val="00827B68"/>
    <w:rsid w:val="00831A30"/>
    <w:rsid w:val="00831E3F"/>
    <w:rsid w:val="00833DB2"/>
    <w:rsid w:val="008340E5"/>
    <w:rsid w:val="00834CCE"/>
    <w:rsid w:val="00834D63"/>
    <w:rsid w:val="00835523"/>
    <w:rsid w:val="00835B61"/>
    <w:rsid w:val="00835F5A"/>
    <w:rsid w:val="0083628A"/>
    <w:rsid w:val="0083648B"/>
    <w:rsid w:val="00836AF5"/>
    <w:rsid w:val="00840BFF"/>
    <w:rsid w:val="00840DA5"/>
    <w:rsid w:val="0084215E"/>
    <w:rsid w:val="00842528"/>
    <w:rsid w:val="0084290C"/>
    <w:rsid w:val="0084302A"/>
    <w:rsid w:val="0084325E"/>
    <w:rsid w:val="00843723"/>
    <w:rsid w:val="00843804"/>
    <w:rsid w:val="008448F2"/>
    <w:rsid w:val="00844BA1"/>
    <w:rsid w:val="0084535F"/>
    <w:rsid w:val="00846B4F"/>
    <w:rsid w:val="00847726"/>
    <w:rsid w:val="00850C49"/>
    <w:rsid w:val="00850C5A"/>
    <w:rsid w:val="00850FB3"/>
    <w:rsid w:val="0085185D"/>
    <w:rsid w:val="00851F7B"/>
    <w:rsid w:val="00851FD1"/>
    <w:rsid w:val="00854D47"/>
    <w:rsid w:val="00854E24"/>
    <w:rsid w:val="0085563B"/>
    <w:rsid w:val="008557A4"/>
    <w:rsid w:val="00855975"/>
    <w:rsid w:val="008562EA"/>
    <w:rsid w:val="00860A50"/>
    <w:rsid w:val="00860DB7"/>
    <w:rsid w:val="00860F56"/>
    <w:rsid w:val="008610A2"/>
    <w:rsid w:val="00861565"/>
    <w:rsid w:val="008617EF"/>
    <w:rsid w:val="00861AD8"/>
    <w:rsid w:val="00861F13"/>
    <w:rsid w:val="008623E7"/>
    <w:rsid w:val="00863769"/>
    <w:rsid w:val="00863FD5"/>
    <w:rsid w:val="00864487"/>
    <w:rsid w:val="00864E9C"/>
    <w:rsid w:val="008657B0"/>
    <w:rsid w:val="00865DA7"/>
    <w:rsid w:val="00866570"/>
    <w:rsid w:val="0086657F"/>
    <w:rsid w:val="008675AF"/>
    <w:rsid w:val="008724AA"/>
    <w:rsid w:val="008729EE"/>
    <w:rsid w:val="00872AB3"/>
    <w:rsid w:val="00872BB2"/>
    <w:rsid w:val="00872E77"/>
    <w:rsid w:val="00874F24"/>
    <w:rsid w:val="008750C9"/>
    <w:rsid w:val="008768F9"/>
    <w:rsid w:val="0088018D"/>
    <w:rsid w:val="00880C9E"/>
    <w:rsid w:val="00881639"/>
    <w:rsid w:val="008819AA"/>
    <w:rsid w:val="008829F8"/>
    <w:rsid w:val="00882BD8"/>
    <w:rsid w:val="00882DE8"/>
    <w:rsid w:val="00884B3C"/>
    <w:rsid w:val="00884D26"/>
    <w:rsid w:val="008855FF"/>
    <w:rsid w:val="008862A8"/>
    <w:rsid w:val="00886C26"/>
    <w:rsid w:val="00887345"/>
    <w:rsid w:val="00887C7D"/>
    <w:rsid w:val="00887DD6"/>
    <w:rsid w:val="00890D00"/>
    <w:rsid w:val="00891363"/>
    <w:rsid w:val="0089229F"/>
    <w:rsid w:val="00892570"/>
    <w:rsid w:val="008926C2"/>
    <w:rsid w:val="00892757"/>
    <w:rsid w:val="00892C25"/>
    <w:rsid w:val="008946F1"/>
    <w:rsid w:val="008950F6"/>
    <w:rsid w:val="008962D0"/>
    <w:rsid w:val="00896AE3"/>
    <w:rsid w:val="0089753D"/>
    <w:rsid w:val="008976D9"/>
    <w:rsid w:val="008A0A86"/>
    <w:rsid w:val="008A0BE9"/>
    <w:rsid w:val="008A0C06"/>
    <w:rsid w:val="008A0CDF"/>
    <w:rsid w:val="008A2014"/>
    <w:rsid w:val="008A2628"/>
    <w:rsid w:val="008A2857"/>
    <w:rsid w:val="008A2AD0"/>
    <w:rsid w:val="008A2CC9"/>
    <w:rsid w:val="008A2D1B"/>
    <w:rsid w:val="008A3D04"/>
    <w:rsid w:val="008A43B4"/>
    <w:rsid w:val="008A44AA"/>
    <w:rsid w:val="008A4A14"/>
    <w:rsid w:val="008A4DF4"/>
    <w:rsid w:val="008A51CA"/>
    <w:rsid w:val="008A5E48"/>
    <w:rsid w:val="008A6CEF"/>
    <w:rsid w:val="008A70F4"/>
    <w:rsid w:val="008A7700"/>
    <w:rsid w:val="008A7C36"/>
    <w:rsid w:val="008A7C46"/>
    <w:rsid w:val="008B0431"/>
    <w:rsid w:val="008B11CE"/>
    <w:rsid w:val="008B315B"/>
    <w:rsid w:val="008B3203"/>
    <w:rsid w:val="008B400F"/>
    <w:rsid w:val="008B404E"/>
    <w:rsid w:val="008B4531"/>
    <w:rsid w:val="008B4ADF"/>
    <w:rsid w:val="008B73E7"/>
    <w:rsid w:val="008B74CF"/>
    <w:rsid w:val="008C1A45"/>
    <w:rsid w:val="008C21E8"/>
    <w:rsid w:val="008C34D2"/>
    <w:rsid w:val="008C387C"/>
    <w:rsid w:val="008C4BAD"/>
    <w:rsid w:val="008C615C"/>
    <w:rsid w:val="008C7863"/>
    <w:rsid w:val="008C7FD8"/>
    <w:rsid w:val="008D065B"/>
    <w:rsid w:val="008D25CD"/>
    <w:rsid w:val="008D27FA"/>
    <w:rsid w:val="008D2875"/>
    <w:rsid w:val="008D2B81"/>
    <w:rsid w:val="008D30C3"/>
    <w:rsid w:val="008D3740"/>
    <w:rsid w:val="008D4DB0"/>
    <w:rsid w:val="008D5C3A"/>
    <w:rsid w:val="008D6D22"/>
    <w:rsid w:val="008D7B20"/>
    <w:rsid w:val="008D7EEC"/>
    <w:rsid w:val="008D7F6F"/>
    <w:rsid w:val="008E0491"/>
    <w:rsid w:val="008E0CB8"/>
    <w:rsid w:val="008E157D"/>
    <w:rsid w:val="008E187A"/>
    <w:rsid w:val="008E22F4"/>
    <w:rsid w:val="008E45B0"/>
    <w:rsid w:val="008E4779"/>
    <w:rsid w:val="008E483C"/>
    <w:rsid w:val="008E4D36"/>
    <w:rsid w:val="008E61CC"/>
    <w:rsid w:val="008E672F"/>
    <w:rsid w:val="008E6CFB"/>
    <w:rsid w:val="008F0123"/>
    <w:rsid w:val="008F0DB0"/>
    <w:rsid w:val="008F1FA7"/>
    <w:rsid w:val="008F2155"/>
    <w:rsid w:val="008F25D9"/>
    <w:rsid w:val="008F2961"/>
    <w:rsid w:val="008F2DA1"/>
    <w:rsid w:val="008F3045"/>
    <w:rsid w:val="008F3459"/>
    <w:rsid w:val="008F43CC"/>
    <w:rsid w:val="008F4CB0"/>
    <w:rsid w:val="008F51CE"/>
    <w:rsid w:val="008F6CB3"/>
    <w:rsid w:val="008F6CDC"/>
    <w:rsid w:val="008F6CE0"/>
    <w:rsid w:val="008F725F"/>
    <w:rsid w:val="008F7EA4"/>
    <w:rsid w:val="00900B95"/>
    <w:rsid w:val="009038F4"/>
    <w:rsid w:val="0090511D"/>
    <w:rsid w:val="009059AD"/>
    <w:rsid w:val="00905B91"/>
    <w:rsid w:val="00906715"/>
    <w:rsid w:val="00906F95"/>
    <w:rsid w:val="0090770C"/>
    <w:rsid w:val="00907BCC"/>
    <w:rsid w:val="00910499"/>
    <w:rsid w:val="00910CDE"/>
    <w:rsid w:val="00913083"/>
    <w:rsid w:val="0091329E"/>
    <w:rsid w:val="00913933"/>
    <w:rsid w:val="00913CFD"/>
    <w:rsid w:val="00913E0E"/>
    <w:rsid w:val="00913FBB"/>
    <w:rsid w:val="009146BE"/>
    <w:rsid w:val="00914831"/>
    <w:rsid w:val="0091533A"/>
    <w:rsid w:val="009169D1"/>
    <w:rsid w:val="00916CE1"/>
    <w:rsid w:val="009176B9"/>
    <w:rsid w:val="00917F7B"/>
    <w:rsid w:val="00917F8E"/>
    <w:rsid w:val="009209F7"/>
    <w:rsid w:val="00920EE8"/>
    <w:rsid w:val="00920EFB"/>
    <w:rsid w:val="009212E9"/>
    <w:rsid w:val="00922741"/>
    <w:rsid w:val="00922780"/>
    <w:rsid w:val="009235E8"/>
    <w:rsid w:val="0092447B"/>
    <w:rsid w:val="00924DBF"/>
    <w:rsid w:val="009262BA"/>
    <w:rsid w:val="00926642"/>
    <w:rsid w:val="00926C1F"/>
    <w:rsid w:val="00926E69"/>
    <w:rsid w:val="00926F59"/>
    <w:rsid w:val="00930C5D"/>
    <w:rsid w:val="00932213"/>
    <w:rsid w:val="00932689"/>
    <w:rsid w:val="00932F19"/>
    <w:rsid w:val="00933344"/>
    <w:rsid w:val="00934148"/>
    <w:rsid w:val="0093425D"/>
    <w:rsid w:val="009349CF"/>
    <w:rsid w:val="00934F54"/>
    <w:rsid w:val="00936F57"/>
    <w:rsid w:val="0093711A"/>
    <w:rsid w:val="009375BC"/>
    <w:rsid w:val="009377BC"/>
    <w:rsid w:val="0094016D"/>
    <w:rsid w:val="00940173"/>
    <w:rsid w:val="00940C8B"/>
    <w:rsid w:val="00940E90"/>
    <w:rsid w:val="00941289"/>
    <w:rsid w:val="00941778"/>
    <w:rsid w:val="0094197C"/>
    <w:rsid w:val="00941B80"/>
    <w:rsid w:val="009421BC"/>
    <w:rsid w:val="00943D30"/>
    <w:rsid w:val="00944844"/>
    <w:rsid w:val="009448DA"/>
    <w:rsid w:val="009449E1"/>
    <w:rsid w:val="00944F6C"/>
    <w:rsid w:val="009454AC"/>
    <w:rsid w:val="009467C8"/>
    <w:rsid w:val="00946C4B"/>
    <w:rsid w:val="009472F4"/>
    <w:rsid w:val="009474F9"/>
    <w:rsid w:val="00947A91"/>
    <w:rsid w:val="009521D5"/>
    <w:rsid w:val="0095250F"/>
    <w:rsid w:val="009529D4"/>
    <w:rsid w:val="00952E61"/>
    <w:rsid w:val="009538CB"/>
    <w:rsid w:val="00953A68"/>
    <w:rsid w:val="00953B46"/>
    <w:rsid w:val="00954245"/>
    <w:rsid w:val="00955F46"/>
    <w:rsid w:val="00956C87"/>
    <w:rsid w:val="009577FC"/>
    <w:rsid w:val="00960992"/>
    <w:rsid w:val="0096103A"/>
    <w:rsid w:val="00961986"/>
    <w:rsid w:val="00962308"/>
    <w:rsid w:val="00962771"/>
    <w:rsid w:val="00962BEC"/>
    <w:rsid w:val="009638C7"/>
    <w:rsid w:val="00964351"/>
    <w:rsid w:val="009643DF"/>
    <w:rsid w:val="00964426"/>
    <w:rsid w:val="009652DB"/>
    <w:rsid w:val="00965E30"/>
    <w:rsid w:val="00965E50"/>
    <w:rsid w:val="00966061"/>
    <w:rsid w:val="009664AB"/>
    <w:rsid w:val="00967210"/>
    <w:rsid w:val="00970A65"/>
    <w:rsid w:val="00970B8E"/>
    <w:rsid w:val="00970D15"/>
    <w:rsid w:val="00970FAA"/>
    <w:rsid w:val="009710C9"/>
    <w:rsid w:val="00971A90"/>
    <w:rsid w:val="00971DD8"/>
    <w:rsid w:val="0097263B"/>
    <w:rsid w:val="00972C10"/>
    <w:rsid w:val="00973658"/>
    <w:rsid w:val="00973814"/>
    <w:rsid w:val="00974D62"/>
    <w:rsid w:val="00974E26"/>
    <w:rsid w:val="00975513"/>
    <w:rsid w:val="009759AA"/>
    <w:rsid w:val="00976B9D"/>
    <w:rsid w:val="00976F09"/>
    <w:rsid w:val="00977E0C"/>
    <w:rsid w:val="00980755"/>
    <w:rsid w:val="00981CA7"/>
    <w:rsid w:val="00981D40"/>
    <w:rsid w:val="00981EAD"/>
    <w:rsid w:val="009824EB"/>
    <w:rsid w:val="00982F4E"/>
    <w:rsid w:val="00983226"/>
    <w:rsid w:val="00984806"/>
    <w:rsid w:val="00984861"/>
    <w:rsid w:val="00984AA9"/>
    <w:rsid w:val="00985DC7"/>
    <w:rsid w:val="0098670A"/>
    <w:rsid w:val="00987705"/>
    <w:rsid w:val="00990079"/>
    <w:rsid w:val="009902A2"/>
    <w:rsid w:val="0099103D"/>
    <w:rsid w:val="0099282F"/>
    <w:rsid w:val="00994F5A"/>
    <w:rsid w:val="00995376"/>
    <w:rsid w:val="0099714E"/>
    <w:rsid w:val="009972F4"/>
    <w:rsid w:val="00997D35"/>
    <w:rsid w:val="009A01D8"/>
    <w:rsid w:val="009A05A8"/>
    <w:rsid w:val="009A0670"/>
    <w:rsid w:val="009A0B5E"/>
    <w:rsid w:val="009A0D89"/>
    <w:rsid w:val="009A121B"/>
    <w:rsid w:val="009A1A1D"/>
    <w:rsid w:val="009A26C9"/>
    <w:rsid w:val="009A2AC4"/>
    <w:rsid w:val="009A3FE5"/>
    <w:rsid w:val="009A4824"/>
    <w:rsid w:val="009A5540"/>
    <w:rsid w:val="009A58CF"/>
    <w:rsid w:val="009A5A5E"/>
    <w:rsid w:val="009A5E98"/>
    <w:rsid w:val="009A60AD"/>
    <w:rsid w:val="009A7529"/>
    <w:rsid w:val="009B1DBB"/>
    <w:rsid w:val="009B2C7B"/>
    <w:rsid w:val="009B387F"/>
    <w:rsid w:val="009B43B1"/>
    <w:rsid w:val="009B4C5C"/>
    <w:rsid w:val="009B5352"/>
    <w:rsid w:val="009B78BC"/>
    <w:rsid w:val="009C050B"/>
    <w:rsid w:val="009C0724"/>
    <w:rsid w:val="009C0A31"/>
    <w:rsid w:val="009C14FE"/>
    <w:rsid w:val="009C1CEC"/>
    <w:rsid w:val="009C1FA0"/>
    <w:rsid w:val="009C29E3"/>
    <w:rsid w:val="009C2BB0"/>
    <w:rsid w:val="009C3676"/>
    <w:rsid w:val="009C40AE"/>
    <w:rsid w:val="009C58D2"/>
    <w:rsid w:val="009C5A52"/>
    <w:rsid w:val="009C6008"/>
    <w:rsid w:val="009C6ABA"/>
    <w:rsid w:val="009C6B06"/>
    <w:rsid w:val="009C7219"/>
    <w:rsid w:val="009D00E8"/>
    <w:rsid w:val="009D044C"/>
    <w:rsid w:val="009D0E13"/>
    <w:rsid w:val="009D19EB"/>
    <w:rsid w:val="009D1C40"/>
    <w:rsid w:val="009D1CF7"/>
    <w:rsid w:val="009D1FF6"/>
    <w:rsid w:val="009D2DD8"/>
    <w:rsid w:val="009D3093"/>
    <w:rsid w:val="009D3741"/>
    <w:rsid w:val="009D3936"/>
    <w:rsid w:val="009D4131"/>
    <w:rsid w:val="009D4C35"/>
    <w:rsid w:val="009D4FEC"/>
    <w:rsid w:val="009D5100"/>
    <w:rsid w:val="009D60D4"/>
    <w:rsid w:val="009D67C0"/>
    <w:rsid w:val="009D70F4"/>
    <w:rsid w:val="009D7C86"/>
    <w:rsid w:val="009E2610"/>
    <w:rsid w:val="009E2C43"/>
    <w:rsid w:val="009E341D"/>
    <w:rsid w:val="009E4205"/>
    <w:rsid w:val="009E4A86"/>
    <w:rsid w:val="009E5657"/>
    <w:rsid w:val="009E63ED"/>
    <w:rsid w:val="009E6517"/>
    <w:rsid w:val="009E654E"/>
    <w:rsid w:val="009E66A8"/>
    <w:rsid w:val="009E6999"/>
    <w:rsid w:val="009E7D7E"/>
    <w:rsid w:val="009E7D89"/>
    <w:rsid w:val="009F024B"/>
    <w:rsid w:val="009F033A"/>
    <w:rsid w:val="009F06C5"/>
    <w:rsid w:val="009F0C22"/>
    <w:rsid w:val="009F0DFE"/>
    <w:rsid w:val="009F12E9"/>
    <w:rsid w:val="009F214D"/>
    <w:rsid w:val="009F2738"/>
    <w:rsid w:val="009F3EE7"/>
    <w:rsid w:val="009F432B"/>
    <w:rsid w:val="009F439D"/>
    <w:rsid w:val="009F490E"/>
    <w:rsid w:val="009F7313"/>
    <w:rsid w:val="009F74B0"/>
    <w:rsid w:val="009F756A"/>
    <w:rsid w:val="00A004AE"/>
    <w:rsid w:val="00A00600"/>
    <w:rsid w:val="00A00F9C"/>
    <w:rsid w:val="00A017B1"/>
    <w:rsid w:val="00A0188A"/>
    <w:rsid w:val="00A01C0E"/>
    <w:rsid w:val="00A01F74"/>
    <w:rsid w:val="00A02776"/>
    <w:rsid w:val="00A031BF"/>
    <w:rsid w:val="00A033BB"/>
    <w:rsid w:val="00A034ED"/>
    <w:rsid w:val="00A059FE"/>
    <w:rsid w:val="00A06121"/>
    <w:rsid w:val="00A0644F"/>
    <w:rsid w:val="00A06953"/>
    <w:rsid w:val="00A071D7"/>
    <w:rsid w:val="00A0743C"/>
    <w:rsid w:val="00A10C9B"/>
    <w:rsid w:val="00A1287F"/>
    <w:rsid w:val="00A12D47"/>
    <w:rsid w:val="00A13807"/>
    <w:rsid w:val="00A15CFC"/>
    <w:rsid w:val="00A1725D"/>
    <w:rsid w:val="00A174C6"/>
    <w:rsid w:val="00A1775D"/>
    <w:rsid w:val="00A17F44"/>
    <w:rsid w:val="00A20150"/>
    <w:rsid w:val="00A20794"/>
    <w:rsid w:val="00A20A9C"/>
    <w:rsid w:val="00A2171B"/>
    <w:rsid w:val="00A21797"/>
    <w:rsid w:val="00A223FA"/>
    <w:rsid w:val="00A24068"/>
    <w:rsid w:val="00A241A6"/>
    <w:rsid w:val="00A24404"/>
    <w:rsid w:val="00A25D83"/>
    <w:rsid w:val="00A26059"/>
    <w:rsid w:val="00A26C7E"/>
    <w:rsid w:val="00A27019"/>
    <w:rsid w:val="00A27462"/>
    <w:rsid w:val="00A27AE2"/>
    <w:rsid w:val="00A27E0F"/>
    <w:rsid w:val="00A3097C"/>
    <w:rsid w:val="00A30C70"/>
    <w:rsid w:val="00A316D2"/>
    <w:rsid w:val="00A31C0E"/>
    <w:rsid w:val="00A31E94"/>
    <w:rsid w:val="00A33E3E"/>
    <w:rsid w:val="00A34B5D"/>
    <w:rsid w:val="00A36048"/>
    <w:rsid w:val="00A37003"/>
    <w:rsid w:val="00A371C3"/>
    <w:rsid w:val="00A374E1"/>
    <w:rsid w:val="00A375AF"/>
    <w:rsid w:val="00A37E64"/>
    <w:rsid w:val="00A40963"/>
    <w:rsid w:val="00A40F40"/>
    <w:rsid w:val="00A40F6D"/>
    <w:rsid w:val="00A4100C"/>
    <w:rsid w:val="00A415A8"/>
    <w:rsid w:val="00A41BFE"/>
    <w:rsid w:val="00A42034"/>
    <w:rsid w:val="00A44070"/>
    <w:rsid w:val="00A440EC"/>
    <w:rsid w:val="00A4632C"/>
    <w:rsid w:val="00A467D2"/>
    <w:rsid w:val="00A46ECC"/>
    <w:rsid w:val="00A47189"/>
    <w:rsid w:val="00A50318"/>
    <w:rsid w:val="00A505E5"/>
    <w:rsid w:val="00A517A0"/>
    <w:rsid w:val="00A52121"/>
    <w:rsid w:val="00A52691"/>
    <w:rsid w:val="00A527D5"/>
    <w:rsid w:val="00A53506"/>
    <w:rsid w:val="00A5375C"/>
    <w:rsid w:val="00A53A3B"/>
    <w:rsid w:val="00A54BC9"/>
    <w:rsid w:val="00A55E0B"/>
    <w:rsid w:val="00A564A7"/>
    <w:rsid w:val="00A56CEA"/>
    <w:rsid w:val="00A56ED6"/>
    <w:rsid w:val="00A570A5"/>
    <w:rsid w:val="00A605EE"/>
    <w:rsid w:val="00A606C9"/>
    <w:rsid w:val="00A61B01"/>
    <w:rsid w:val="00A62E2E"/>
    <w:rsid w:val="00A63CA8"/>
    <w:rsid w:val="00A64056"/>
    <w:rsid w:val="00A64288"/>
    <w:rsid w:val="00A664AF"/>
    <w:rsid w:val="00A675E9"/>
    <w:rsid w:val="00A706D2"/>
    <w:rsid w:val="00A72778"/>
    <w:rsid w:val="00A72BEE"/>
    <w:rsid w:val="00A72D46"/>
    <w:rsid w:val="00A72FAE"/>
    <w:rsid w:val="00A73A1D"/>
    <w:rsid w:val="00A73F21"/>
    <w:rsid w:val="00A7429B"/>
    <w:rsid w:val="00A74869"/>
    <w:rsid w:val="00A749D5"/>
    <w:rsid w:val="00A74BB5"/>
    <w:rsid w:val="00A75257"/>
    <w:rsid w:val="00A7564C"/>
    <w:rsid w:val="00A76463"/>
    <w:rsid w:val="00A76D11"/>
    <w:rsid w:val="00A775ED"/>
    <w:rsid w:val="00A77C0A"/>
    <w:rsid w:val="00A77EC9"/>
    <w:rsid w:val="00A80884"/>
    <w:rsid w:val="00A80D43"/>
    <w:rsid w:val="00A82096"/>
    <w:rsid w:val="00A82E07"/>
    <w:rsid w:val="00A83160"/>
    <w:rsid w:val="00A832D4"/>
    <w:rsid w:val="00A83BA8"/>
    <w:rsid w:val="00A83D39"/>
    <w:rsid w:val="00A845AF"/>
    <w:rsid w:val="00A84ECD"/>
    <w:rsid w:val="00A8605F"/>
    <w:rsid w:val="00A90D04"/>
    <w:rsid w:val="00A910FE"/>
    <w:rsid w:val="00A91A12"/>
    <w:rsid w:val="00A922AA"/>
    <w:rsid w:val="00A943CD"/>
    <w:rsid w:val="00A9573B"/>
    <w:rsid w:val="00A95DC8"/>
    <w:rsid w:val="00A95DF4"/>
    <w:rsid w:val="00A9639E"/>
    <w:rsid w:val="00A96680"/>
    <w:rsid w:val="00A96DCC"/>
    <w:rsid w:val="00AA0235"/>
    <w:rsid w:val="00AA04B5"/>
    <w:rsid w:val="00AA0C5D"/>
    <w:rsid w:val="00AA18BA"/>
    <w:rsid w:val="00AA1B06"/>
    <w:rsid w:val="00AA2891"/>
    <w:rsid w:val="00AA2A1F"/>
    <w:rsid w:val="00AA2F87"/>
    <w:rsid w:val="00AA31B0"/>
    <w:rsid w:val="00AA3B05"/>
    <w:rsid w:val="00AA3F45"/>
    <w:rsid w:val="00AA5B61"/>
    <w:rsid w:val="00AA62A2"/>
    <w:rsid w:val="00AA6496"/>
    <w:rsid w:val="00AA70CC"/>
    <w:rsid w:val="00AA74A4"/>
    <w:rsid w:val="00AA74EB"/>
    <w:rsid w:val="00AB0119"/>
    <w:rsid w:val="00AB09F6"/>
    <w:rsid w:val="00AB0BC1"/>
    <w:rsid w:val="00AB110F"/>
    <w:rsid w:val="00AB117C"/>
    <w:rsid w:val="00AB150E"/>
    <w:rsid w:val="00AB303B"/>
    <w:rsid w:val="00AB30B8"/>
    <w:rsid w:val="00AB34B8"/>
    <w:rsid w:val="00AB499A"/>
    <w:rsid w:val="00AB51B1"/>
    <w:rsid w:val="00AB5A78"/>
    <w:rsid w:val="00AB5DA9"/>
    <w:rsid w:val="00AB7DB7"/>
    <w:rsid w:val="00AB7E63"/>
    <w:rsid w:val="00AC0029"/>
    <w:rsid w:val="00AC0BA6"/>
    <w:rsid w:val="00AC0EC1"/>
    <w:rsid w:val="00AC3E19"/>
    <w:rsid w:val="00AC3FE4"/>
    <w:rsid w:val="00AC488F"/>
    <w:rsid w:val="00AC4B70"/>
    <w:rsid w:val="00AC4E35"/>
    <w:rsid w:val="00AC57C6"/>
    <w:rsid w:val="00AC5B3D"/>
    <w:rsid w:val="00AC5E77"/>
    <w:rsid w:val="00AC5F28"/>
    <w:rsid w:val="00AC649E"/>
    <w:rsid w:val="00AC6F02"/>
    <w:rsid w:val="00AC6F33"/>
    <w:rsid w:val="00AC6F72"/>
    <w:rsid w:val="00AD0362"/>
    <w:rsid w:val="00AD053D"/>
    <w:rsid w:val="00AD0D49"/>
    <w:rsid w:val="00AD1536"/>
    <w:rsid w:val="00AD16FD"/>
    <w:rsid w:val="00AD253D"/>
    <w:rsid w:val="00AD2564"/>
    <w:rsid w:val="00AD314B"/>
    <w:rsid w:val="00AD3F10"/>
    <w:rsid w:val="00AD44C0"/>
    <w:rsid w:val="00AD4657"/>
    <w:rsid w:val="00AD4EE4"/>
    <w:rsid w:val="00AD52F0"/>
    <w:rsid w:val="00AD5AE3"/>
    <w:rsid w:val="00AD5E6B"/>
    <w:rsid w:val="00AD6663"/>
    <w:rsid w:val="00AD6790"/>
    <w:rsid w:val="00AD67FC"/>
    <w:rsid w:val="00AD6AA9"/>
    <w:rsid w:val="00AD6C26"/>
    <w:rsid w:val="00AD7486"/>
    <w:rsid w:val="00AD779E"/>
    <w:rsid w:val="00AD7E6C"/>
    <w:rsid w:val="00AD7F83"/>
    <w:rsid w:val="00AE0165"/>
    <w:rsid w:val="00AE018D"/>
    <w:rsid w:val="00AE097F"/>
    <w:rsid w:val="00AE0D3B"/>
    <w:rsid w:val="00AE1CA4"/>
    <w:rsid w:val="00AE1EB4"/>
    <w:rsid w:val="00AE279D"/>
    <w:rsid w:val="00AE345B"/>
    <w:rsid w:val="00AE38F7"/>
    <w:rsid w:val="00AE3C8B"/>
    <w:rsid w:val="00AE4433"/>
    <w:rsid w:val="00AE44AC"/>
    <w:rsid w:val="00AE4A4A"/>
    <w:rsid w:val="00AE5AE8"/>
    <w:rsid w:val="00AE5CD4"/>
    <w:rsid w:val="00AE6040"/>
    <w:rsid w:val="00AE777E"/>
    <w:rsid w:val="00AF05E7"/>
    <w:rsid w:val="00AF1DD0"/>
    <w:rsid w:val="00AF3F79"/>
    <w:rsid w:val="00AF6AA1"/>
    <w:rsid w:val="00AF7C2E"/>
    <w:rsid w:val="00B01346"/>
    <w:rsid w:val="00B01B26"/>
    <w:rsid w:val="00B02C5C"/>
    <w:rsid w:val="00B037E1"/>
    <w:rsid w:val="00B046DE"/>
    <w:rsid w:val="00B064A9"/>
    <w:rsid w:val="00B06BDA"/>
    <w:rsid w:val="00B0746C"/>
    <w:rsid w:val="00B075E9"/>
    <w:rsid w:val="00B077E6"/>
    <w:rsid w:val="00B07F7B"/>
    <w:rsid w:val="00B1199C"/>
    <w:rsid w:val="00B126D7"/>
    <w:rsid w:val="00B1280D"/>
    <w:rsid w:val="00B13819"/>
    <w:rsid w:val="00B138AB"/>
    <w:rsid w:val="00B14AB7"/>
    <w:rsid w:val="00B15521"/>
    <w:rsid w:val="00B1702C"/>
    <w:rsid w:val="00B17334"/>
    <w:rsid w:val="00B20D96"/>
    <w:rsid w:val="00B2164F"/>
    <w:rsid w:val="00B21677"/>
    <w:rsid w:val="00B216C2"/>
    <w:rsid w:val="00B247F6"/>
    <w:rsid w:val="00B24BE5"/>
    <w:rsid w:val="00B25814"/>
    <w:rsid w:val="00B262E3"/>
    <w:rsid w:val="00B271A7"/>
    <w:rsid w:val="00B27277"/>
    <w:rsid w:val="00B275EC"/>
    <w:rsid w:val="00B30733"/>
    <w:rsid w:val="00B30DAA"/>
    <w:rsid w:val="00B31325"/>
    <w:rsid w:val="00B325F0"/>
    <w:rsid w:val="00B3287B"/>
    <w:rsid w:val="00B32915"/>
    <w:rsid w:val="00B33AF5"/>
    <w:rsid w:val="00B340A1"/>
    <w:rsid w:val="00B34B26"/>
    <w:rsid w:val="00B35672"/>
    <w:rsid w:val="00B356CE"/>
    <w:rsid w:val="00B36663"/>
    <w:rsid w:val="00B36732"/>
    <w:rsid w:val="00B36CBB"/>
    <w:rsid w:val="00B40E4A"/>
    <w:rsid w:val="00B40FB1"/>
    <w:rsid w:val="00B41B14"/>
    <w:rsid w:val="00B42752"/>
    <w:rsid w:val="00B42962"/>
    <w:rsid w:val="00B42C08"/>
    <w:rsid w:val="00B43885"/>
    <w:rsid w:val="00B4401A"/>
    <w:rsid w:val="00B45BEB"/>
    <w:rsid w:val="00B46C86"/>
    <w:rsid w:val="00B46DBC"/>
    <w:rsid w:val="00B47C9B"/>
    <w:rsid w:val="00B50034"/>
    <w:rsid w:val="00B511E3"/>
    <w:rsid w:val="00B5295D"/>
    <w:rsid w:val="00B551D0"/>
    <w:rsid w:val="00B56980"/>
    <w:rsid w:val="00B578AB"/>
    <w:rsid w:val="00B6030F"/>
    <w:rsid w:val="00B60BD6"/>
    <w:rsid w:val="00B61350"/>
    <w:rsid w:val="00B6139C"/>
    <w:rsid w:val="00B62807"/>
    <w:rsid w:val="00B62819"/>
    <w:rsid w:val="00B62D45"/>
    <w:rsid w:val="00B63AEE"/>
    <w:rsid w:val="00B63B90"/>
    <w:rsid w:val="00B64649"/>
    <w:rsid w:val="00B64B7B"/>
    <w:rsid w:val="00B65132"/>
    <w:rsid w:val="00B65C8F"/>
    <w:rsid w:val="00B65D96"/>
    <w:rsid w:val="00B6630B"/>
    <w:rsid w:val="00B664C9"/>
    <w:rsid w:val="00B66AF1"/>
    <w:rsid w:val="00B67429"/>
    <w:rsid w:val="00B675F2"/>
    <w:rsid w:val="00B67B97"/>
    <w:rsid w:val="00B67E5B"/>
    <w:rsid w:val="00B70D10"/>
    <w:rsid w:val="00B716E1"/>
    <w:rsid w:val="00B71AA1"/>
    <w:rsid w:val="00B72712"/>
    <w:rsid w:val="00B72A42"/>
    <w:rsid w:val="00B72CB8"/>
    <w:rsid w:val="00B72D84"/>
    <w:rsid w:val="00B7357C"/>
    <w:rsid w:val="00B73837"/>
    <w:rsid w:val="00B73969"/>
    <w:rsid w:val="00B7396B"/>
    <w:rsid w:val="00B73D6E"/>
    <w:rsid w:val="00B740B2"/>
    <w:rsid w:val="00B745C2"/>
    <w:rsid w:val="00B74E0F"/>
    <w:rsid w:val="00B74EF7"/>
    <w:rsid w:val="00B75771"/>
    <w:rsid w:val="00B76C8B"/>
    <w:rsid w:val="00B77929"/>
    <w:rsid w:val="00B77C6E"/>
    <w:rsid w:val="00B807E1"/>
    <w:rsid w:val="00B81A8B"/>
    <w:rsid w:val="00B81D54"/>
    <w:rsid w:val="00B821DE"/>
    <w:rsid w:val="00B82650"/>
    <w:rsid w:val="00B82C79"/>
    <w:rsid w:val="00B830EA"/>
    <w:rsid w:val="00B836CB"/>
    <w:rsid w:val="00B83DF4"/>
    <w:rsid w:val="00B84BE8"/>
    <w:rsid w:val="00B85126"/>
    <w:rsid w:val="00B85376"/>
    <w:rsid w:val="00B8573C"/>
    <w:rsid w:val="00B85867"/>
    <w:rsid w:val="00B85A27"/>
    <w:rsid w:val="00B8718A"/>
    <w:rsid w:val="00B8735F"/>
    <w:rsid w:val="00B87675"/>
    <w:rsid w:val="00B878BE"/>
    <w:rsid w:val="00B87A34"/>
    <w:rsid w:val="00B90944"/>
    <w:rsid w:val="00B9094A"/>
    <w:rsid w:val="00B91365"/>
    <w:rsid w:val="00B914B5"/>
    <w:rsid w:val="00B915B9"/>
    <w:rsid w:val="00B920D1"/>
    <w:rsid w:val="00B92640"/>
    <w:rsid w:val="00B92897"/>
    <w:rsid w:val="00B934E0"/>
    <w:rsid w:val="00B939E3"/>
    <w:rsid w:val="00B94711"/>
    <w:rsid w:val="00B94AF5"/>
    <w:rsid w:val="00B95422"/>
    <w:rsid w:val="00B95712"/>
    <w:rsid w:val="00B957D9"/>
    <w:rsid w:val="00B966A4"/>
    <w:rsid w:val="00B976E9"/>
    <w:rsid w:val="00B97F92"/>
    <w:rsid w:val="00BA0858"/>
    <w:rsid w:val="00BA0D96"/>
    <w:rsid w:val="00BA31B4"/>
    <w:rsid w:val="00BA342A"/>
    <w:rsid w:val="00BA3D08"/>
    <w:rsid w:val="00BA3D8D"/>
    <w:rsid w:val="00BA4516"/>
    <w:rsid w:val="00BA4FF5"/>
    <w:rsid w:val="00BA6630"/>
    <w:rsid w:val="00BA7809"/>
    <w:rsid w:val="00BA7E70"/>
    <w:rsid w:val="00BB1FE1"/>
    <w:rsid w:val="00BB37BD"/>
    <w:rsid w:val="00BB3F35"/>
    <w:rsid w:val="00BB4A4E"/>
    <w:rsid w:val="00BB521D"/>
    <w:rsid w:val="00BB613A"/>
    <w:rsid w:val="00BB6B08"/>
    <w:rsid w:val="00BB6C23"/>
    <w:rsid w:val="00BB7161"/>
    <w:rsid w:val="00BC07D0"/>
    <w:rsid w:val="00BC1C18"/>
    <w:rsid w:val="00BC2A15"/>
    <w:rsid w:val="00BC4699"/>
    <w:rsid w:val="00BC4856"/>
    <w:rsid w:val="00BC4D9D"/>
    <w:rsid w:val="00BC5446"/>
    <w:rsid w:val="00BC7F89"/>
    <w:rsid w:val="00BD0BC8"/>
    <w:rsid w:val="00BD2A5C"/>
    <w:rsid w:val="00BD317E"/>
    <w:rsid w:val="00BD3691"/>
    <w:rsid w:val="00BD3A93"/>
    <w:rsid w:val="00BD4CA7"/>
    <w:rsid w:val="00BD5372"/>
    <w:rsid w:val="00BD5A7B"/>
    <w:rsid w:val="00BD5AF1"/>
    <w:rsid w:val="00BD6373"/>
    <w:rsid w:val="00BD697F"/>
    <w:rsid w:val="00BD6A74"/>
    <w:rsid w:val="00BD70D4"/>
    <w:rsid w:val="00BD7A24"/>
    <w:rsid w:val="00BD7EEB"/>
    <w:rsid w:val="00BE191D"/>
    <w:rsid w:val="00BE298F"/>
    <w:rsid w:val="00BE39A2"/>
    <w:rsid w:val="00BE440E"/>
    <w:rsid w:val="00BE4CD2"/>
    <w:rsid w:val="00BE4EA8"/>
    <w:rsid w:val="00BE5479"/>
    <w:rsid w:val="00BE6296"/>
    <w:rsid w:val="00BE6B72"/>
    <w:rsid w:val="00BE6FDB"/>
    <w:rsid w:val="00BE726F"/>
    <w:rsid w:val="00BF04ED"/>
    <w:rsid w:val="00BF1C60"/>
    <w:rsid w:val="00BF27B2"/>
    <w:rsid w:val="00BF3199"/>
    <w:rsid w:val="00BF34E7"/>
    <w:rsid w:val="00BF3E2C"/>
    <w:rsid w:val="00BF4841"/>
    <w:rsid w:val="00BF5776"/>
    <w:rsid w:val="00BF5DD0"/>
    <w:rsid w:val="00BF5ED4"/>
    <w:rsid w:val="00BF6605"/>
    <w:rsid w:val="00BF662D"/>
    <w:rsid w:val="00BF72D9"/>
    <w:rsid w:val="00C022AD"/>
    <w:rsid w:val="00C02DCF"/>
    <w:rsid w:val="00C02EC0"/>
    <w:rsid w:val="00C038FB"/>
    <w:rsid w:val="00C0433A"/>
    <w:rsid w:val="00C050F3"/>
    <w:rsid w:val="00C06228"/>
    <w:rsid w:val="00C06F78"/>
    <w:rsid w:val="00C070F7"/>
    <w:rsid w:val="00C07363"/>
    <w:rsid w:val="00C10962"/>
    <w:rsid w:val="00C11D83"/>
    <w:rsid w:val="00C12BF3"/>
    <w:rsid w:val="00C12DA7"/>
    <w:rsid w:val="00C12DAF"/>
    <w:rsid w:val="00C13862"/>
    <w:rsid w:val="00C13EF1"/>
    <w:rsid w:val="00C14CD1"/>
    <w:rsid w:val="00C14CF8"/>
    <w:rsid w:val="00C15394"/>
    <w:rsid w:val="00C15BA9"/>
    <w:rsid w:val="00C1647C"/>
    <w:rsid w:val="00C16599"/>
    <w:rsid w:val="00C16C7E"/>
    <w:rsid w:val="00C17362"/>
    <w:rsid w:val="00C17ABC"/>
    <w:rsid w:val="00C20340"/>
    <w:rsid w:val="00C20F01"/>
    <w:rsid w:val="00C2127F"/>
    <w:rsid w:val="00C23405"/>
    <w:rsid w:val="00C24573"/>
    <w:rsid w:val="00C2539A"/>
    <w:rsid w:val="00C25C81"/>
    <w:rsid w:val="00C26500"/>
    <w:rsid w:val="00C27042"/>
    <w:rsid w:val="00C273FC"/>
    <w:rsid w:val="00C27E28"/>
    <w:rsid w:val="00C30ACA"/>
    <w:rsid w:val="00C31A68"/>
    <w:rsid w:val="00C329F4"/>
    <w:rsid w:val="00C338A7"/>
    <w:rsid w:val="00C34CDD"/>
    <w:rsid w:val="00C34E17"/>
    <w:rsid w:val="00C35074"/>
    <w:rsid w:val="00C352D0"/>
    <w:rsid w:val="00C3574F"/>
    <w:rsid w:val="00C358D7"/>
    <w:rsid w:val="00C36451"/>
    <w:rsid w:val="00C36687"/>
    <w:rsid w:val="00C36B45"/>
    <w:rsid w:val="00C376F0"/>
    <w:rsid w:val="00C40BDD"/>
    <w:rsid w:val="00C41389"/>
    <w:rsid w:val="00C4166C"/>
    <w:rsid w:val="00C41B8B"/>
    <w:rsid w:val="00C420E6"/>
    <w:rsid w:val="00C4237B"/>
    <w:rsid w:val="00C428EE"/>
    <w:rsid w:val="00C42D47"/>
    <w:rsid w:val="00C436A9"/>
    <w:rsid w:val="00C437D5"/>
    <w:rsid w:val="00C440C0"/>
    <w:rsid w:val="00C443CE"/>
    <w:rsid w:val="00C45197"/>
    <w:rsid w:val="00C453D8"/>
    <w:rsid w:val="00C4566B"/>
    <w:rsid w:val="00C45ADF"/>
    <w:rsid w:val="00C5134B"/>
    <w:rsid w:val="00C51C46"/>
    <w:rsid w:val="00C52318"/>
    <w:rsid w:val="00C52552"/>
    <w:rsid w:val="00C52F75"/>
    <w:rsid w:val="00C530FF"/>
    <w:rsid w:val="00C53533"/>
    <w:rsid w:val="00C53C05"/>
    <w:rsid w:val="00C5437D"/>
    <w:rsid w:val="00C546CC"/>
    <w:rsid w:val="00C546FA"/>
    <w:rsid w:val="00C549E5"/>
    <w:rsid w:val="00C55E8A"/>
    <w:rsid w:val="00C563CF"/>
    <w:rsid w:val="00C56ABE"/>
    <w:rsid w:val="00C57CB2"/>
    <w:rsid w:val="00C57E87"/>
    <w:rsid w:val="00C6027B"/>
    <w:rsid w:val="00C60B9B"/>
    <w:rsid w:val="00C60CAF"/>
    <w:rsid w:val="00C60DC5"/>
    <w:rsid w:val="00C610B9"/>
    <w:rsid w:val="00C61104"/>
    <w:rsid w:val="00C614AA"/>
    <w:rsid w:val="00C61C73"/>
    <w:rsid w:val="00C6261C"/>
    <w:rsid w:val="00C62D01"/>
    <w:rsid w:val="00C62E1C"/>
    <w:rsid w:val="00C63541"/>
    <w:rsid w:val="00C63B3A"/>
    <w:rsid w:val="00C64433"/>
    <w:rsid w:val="00C6459A"/>
    <w:rsid w:val="00C64B41"/>
    <w:rsid w:val="00C65926"/>
    <w:rsid w:val="00C66E6A"/>
    <w:rsid w:val="00C67E9A"/>
    <w:rsid w:val="00C701AF"/>
    <w:rsid w:val="00C707B2"/>
    <w:rsid w:val="00C70A57"/>
    <w:rsid w:val="00C70DEF"/>
    <w:rsid w:val="00C70FB0"/>
    <w:rsid w:val="00C71A3F"/>
    <w:rsid w:val="00C7204A"/>
    <w:rsid w:val="00C72A4D"/>
    <w:rsid w:val="00C758A0"/>
    <w:rsid w:val="00C7640B"/>
    <w:rsid w:val="00C80216"/>
    <w:rsid w:val="00C80DB7"/>
    <w:rsid w:val="00C80E8D"/>
    <w:rsid w:val="00C813A7"/>
    <w:rsid w:val="00C81950"/>
    <w:rsid w:val="00C81DCE"/>
    <w:rsid w:val="00C81DFB"/>
    <w:rsid w:val="00C825FF"/>
    <w:rsid w:val="00C828AA"/>
    <w:rsid w:val="00C82915"/>
    <w:rsid w:val="00C82CB6"/>
    <w:rsid w:val="00C82EE7"/>
    <w:rsid w:val="00C83994"/>
    <w:rsid w:val="00C8419B"/>
    <w:rsid w:val="00C841C8"/>
    <w:rsid w:val="00C84B89"/>
    <w:rsid w:val="00C84C15"/>
    <w:rsid w:val="00C852E8"/>
    <w:rsid w:val="00C871B6"/>
    <w:rsid w:val="00C8732A"/>
    <w:rsid w:val="00C87BA3"/>
    <w:rsid w:val="00C90AA8"/>
    <w:rsid w:val="00C9197E"/>
    <w:rsid w:val="00C91B07"/>
    <w:rsid w:val="00C93CEA"/>
    <w:rsid w:val="00C94A84"/>
    <w:rsid w:val="00C94C32"/>
    <w:rsid w:val="00C95869"/>
    <w:rsid w:val="00C958F8"/>
    <w:rsid w:val="00C97109"/>
    <w:rsid w:val="00C975AC"/>
    <w:rsid w:val="00C97E2F"/>
    <w:rsid w:val="00CA0618"/>
    <w:rsid w:val="00CA0A14"/>
    <w:rsid w:val="00CA16E6"/>
    <w:rsid w:val="00CA19CB"/>
    <w:rsid w:val="00CA1F6A"/>
    <w:rsid w:val="00CA23D0"/>
    <w:rsid w:val="00CA293D"/>
    <w:rsid w:val="00CA30DC"/>
    <w:rsid w:val="00CA41B8"/>
    <w:rsid w:val="00CA42BC"/>
    <w:rsid w:val="00CA4937"/>
    <w:rsid w:val="00CA4B6C"/>
    <w:rsid w:val="00CA57A3"/>
    <w:rsid w:val="00CA6695"/>
    <w:rsid w:val="00CA6887"/>
    <w:rsid w:val="00CA6D0C"/>
    <w:rsid w:val="00CA75CE"/>
    <w:rsid w:val="00CA7E8C"/>
    <w:rsid w:val="00CB1B72"/>
    <w:rsid w:val="00CB2A29"/>
    <w:rsid w:val="00CB2FF5"/>
    <w:rsid w:val="00CB3962"/>
    <w:rsid w:val="00CB452E"/>
    <w:rsid w:val="00CB4D31"/>
    <w:rsid w:val="00CB4E8B"/>
    <w:rsid w:val="00CB5488"/>
    <w:rsid w:val="00CB5724"/>
    <w:rsid w:val="00CB73E2"/>
    <w:rsid w:val="00CB798C"/>
    <w:rsid w:val="00CB7E92"/>
    <w:rsid w:val="00CB7F43"/>
    <w:rsid w:val="00CC01AD"/>
    <w:rsid w:val="00CC10D2"/>
    <w:rsid w:val="00CC1197"/>
    <w:rsid w:val="00CC1F9F"/>
    <w:rsid w:val="00CC2A13"/>
    <w:rsid w:val="00CC2B50"/>
    <w:rsid w:val="00CC36ED"/>
    <w:rsid w:val="00CC4D9F"/>
    <w:rsid w:val="00CC4E8D"/>
    <w:rsid w:val="00CC505F"/>
    <w:rsid w:val="00CC586E"/>
    <w:rsid w:val="00CC5FAE"/>
    <w:rsid w:val="00CC6F46"/>
    <w:rsid w:val="00CC73D6"/>
    <w:rsid w:val="00CC7C8C"/>
    <w:rsid w:val="00CD0A1E"/>
    <w:rsid w:val="00CD0A74"/>
    <w:rsid w:val="00CD0E50"/>
    <w:rsid w:val="00CD25D9"/>
    <w:rsid w:val="00CD384B"/>
    <w:rsid w:val="00CD54CE"/>
    <w:rsid w:val="00CD5FCB"/>
    <w:rsid w:val="00CD6457"/>
    <w:rsid w:val="00CD7E5E"/>
    <w:rsid w:val="00CD7FC4"/>
    <w:rsid w:val="00CE02A5"/>
    <w:rsid w:val="00CE0609"/>
    <w:rsid w:val="00CE0814"/>
    <w:rsid w:val="00CE082F"/>
    <w:rsid w:val="00CE0DE4"/>
    <w:rsid w:val="00CE1AF8"/>
    <w:rsid w:val="00CE1FB9"/>
    <w:rsid w:val="00CE244B"/>
    <w:rsid w:val="00CE2B1E"/>
    <w:rsid w:val="00CE3259"/>
    <w:rsid w:val="00CE3F01"/>
    <w:rsid w:val="00CE4603"/>
    <w:rsid w:val="00CE4A7E"/>
    <w:rsid w:val="00CE4E37"/>
    <w:rsid w:val="00CE538C"/>
    <w:rsid w:val="00CE6D33"/>
    <w:rsid w:val="00CE70F8"/>
    <w:rsid w:val="00CE77AB"/>
    <w:rsid w:val="00CF0ED9"/>
    <w:rsid w:val="00CF10DC"/>
    <w:rsid w:val="00CF12E0"/>
    <w:rsid w:val="00CF1EEF"/>
    <w:rsid w:val="00CF24D0"/>
    <w:rsid w:val="00CF3116"/>
    <w:rsid w:val="00CF4A75"/>
    <w:rsid w:val="00CF4F30"/>
    <w:rsid w:val="00CF53A6"/>
    <w:rsid w:val="00CF54BB"/>
    <w:rsid w:val="00CF5F59"/>
    <w:rsid w:val="00CF7FCD"/>
    <w:rsid w:val="00D0036A"/>
    <w:rsid w:val="00D00E8C"/>
    <w:rsid w:val="00D01062"/>
    <w:rsid w:val="00D01A8A"/>
    <w:rsid w:val="00D020EB"/>
    <w:rsid w:val="00D027F8"/>
    <w:rsid w:val="00D03D8A"/>
    <w:rsid w:val="00D0427C"/>
    <w:rsid w:val="00D04ACD"/>
    <w:rsid w:val="00D04F5E"/>
    <w:rsid w:val="00D05B41"/>
    <w:rsid w:val="00D060FE"/>
    <w:rsid w:val="00D06123"/>
    <w:rsid w:val="00D0619F"/>
    <w:rsid w:val="00D06C3F"/>
    <w:rsid w:val="00D073FF"/>
    <w:rsid w:val="00D07F6E"/>
    <w:rsid w:val="00D113F0"/>
    <w:rsid w:val="00D117E6"/>
    <w:rsid w:val="00D11C53"/>
    <w:rsid w:val="00D12329"/>
    <w:rsid w:val="00D12C95"/>
    <w:rsid w:val="00D14180"/>
    <w:rsid w:val="00D14595"/>
    <w:rsid w:val="00D14A90"/>
    <w:rsid w:val="00D16765"/>
    <w:rsid w:val="00D167CD"/>
    <w:rsid w:val="00D16C4B"/>
    <w:rsid w:val="00D20F47"/>
    <w:rsid w:val="00D22C42"/>
    <w:rsid w:val="00D24341"/>
    <w:rsid w:val="00D244E5"/>
    <w:rsid w:val="00D24B21"/>
    <w:rsid w:val="00D25F9A"/>
    <w:rsid w:val="00D264D5"/>
    <w:rsid w:val="00D301C0"/>
    <w:rsid w:val="00D31445"/>
    <w:rsid w:val="00D31C4E"/>
    <w:rsid w:val="00D31C99"/>
    <w:rsid w:val="00D33095"/>
    <w:rsid w:val="00D33B07"/>
    <w:rsid w:val="00D33EB9"/>
    <w:rsid w:val="00D34313"/>
    <w:rsid w:val="00D34EC9"/>
    <w:rsid w:val="00D35C69"/>
    <w:rsid w:val="00D35FE0"/>
    <w:rsid w:val="00D368E2"/>
    <w:rsid w:val="00D37831"/>
    <w:rsid w:val="00D37D03"/>
    <w:rsid w:val="00D426DA"/>
    <w:rsid w:val="00D431A5"/>
    <w:rsid w:val="00D4348D"/>
    <w:rsid w:val="00D44A40"/>
    <w:rsid w:val="00D471CC"/>
    <w:rsid w:val="00D47482"/>
    <w:rsid w:val="00D50D08"/>
    <w:rsid w:val="00D50E9C"/>
    <w:rsid w:val="00D50EBA"/>
    <w:rsid w:val="00D51DC7"/>
    <w:rsid w:val="00D51F00"/>
    <w:rsid w:val="00D52120"/>
    <w:rsid w:val="00D530AC"/>
    <w:rsid w:val="00D53543"/>
    <w:rsid w:val="00D53921"/>
    <w:rsid w:val="00D53B42"/>
    <w:rsid w:val="00D547EA"/>
    <w:rsid w:val="00D54C56"/>
    <w:rsid w:val="00D551B8"/>
    <w:rsid w:val="00D564C9"/>
    <w:rsid w:val="00D56AD5"/>
    <w:rsid w:val="00D57432"/>
    <w:rsid w:val="00D57C40"/>
    <w:rsid w:val="00D608DB"/>
    <w:rsid w:val="00D61006"/>
    <w:rsid w:val="00D631E3"/>
    <w:rsid w:val="00D632F5"/>
    <w:rsid w:val="00D63B7B"/>
    <w:rsid w:val="00D64176"/>
    <w:rsid w:val="00D6476D"/>
    <w:rsid w:val="00D661C7"/>
    <w:rsid w:val="00D703E4"/>
    <w:rsid w:val="00D70EAC"/>
    <w:rsid w:val="00D7343C"/>
    <w:rsid w:val="00D73599"/>
    <w:rsid w:val="00D749AA"/>
    <w:rsid w:val="00D771DB"/>
    <w:rsid w:val="00D77568"/>
    <w:rsid w:val="00D77686"/>
    <w:rsid w:val="00D77E2B"/>
    <w:rsid w:val="00D77FD4"/>
    <w:rsid w:val="00D80E78"/>
    <w:rsid w:val="00D8171D"/>
    <w:rsid w:val="00D81A71"/>
    <w:rsid w:val="00D81B82"/>
    <w:rsid w:val="00D8310C"/>
    <w:rsid w:val="00D85062"/>
    <w:rsid w:val="00D852DF"/>
    <w:rsid w:val="00D85633"/>
    <w:rsid w:val="00D85BE7"/>
    <w:rsid w:val="00D87550"/>
    <w:rsid w:val="00D87BAF"/>
    <w:rsid w:val="00D91341"/>
    <w:rsid w:val="00D92C48"/>
    <w:rsid w:val="00D92C4E"/>
    <w:rsid w:val="00D94B43"/>
    <w:rsid w:val="00D94D96"/>
    <w:rsid w:val="00D95FE6"/>
    <w:rsid w:val="00D96902"/>
    <w:rsid w:val="00D970E8"/>
    <w:rsid w:val="00D97215"/>
    <w:rsid w:val="00DA0674"/>
    <w:rsid w:val="00DA06D2"/>
    <w:rsid w:val="00DA1A9B"/>
    <w:rsid w:val="00DA2283"/>
    <w:rsid w:val="00DA2DAB"/>
    <w:rsid w:val="00DA4ADF"/>
    <w:rsid w:val="00DA67B6"/>
    <w:rsid w:val="00DA70DE"/>
    <w:rsid w:val="00DB09C3"/>
    <w:rsid w:val="00DB112B"/>
    <w:rsid w:val="00DB24AD"/>
    <w:rsid w:val="00DB327D"/>
    <w:rsid w:val="00DB39D5"/>
    <w:rsid w:val="00DB42E8"/>
    <w:rsid w:val="00DB4B52"/>
    <w:rsid w:val="00DB4E27"/>
    <w:rsid w:val="00DB5652"/>
    <w:rsid w:val="00DB7034"/>
    <w:rsid w:val="00DB7389"/>
    <w:rsid w:val="00DC0541"/>
    <w:rsid w:val="00DC0C24"/>
    <w:rsid w:val="00DC180A"/>
    <w:rsid w:val="00DC1CEE"/>
    <w:rsid w:val="00DC1E91"/>
    <w:rsid w:val="00DC2810"/>
    <w:rsid w:val="00DC3217"/>
    <w:rsid w:val="00DC3349"/>
    <w:rsid w:val="00DC3B02"/>
    <w:rsid w:val="00DC7253"/>
    <w:rsid w:val="00DC7925"/>
    <w:rsid w:val="00DD0FC3"/>
    <w:rsid w:val="00DD1679"/>
    <w:rsid w:val="00DD2A99"/>
    <w:rsid w:val="00DD2B3F"/>
    <w:rsid w:val="00DD2BE0"/>
    <w:rsid w:val="00DD367D"/>
    <w:rsid w:val="00DD46A9"/>
    <w:rsid w:val="00DD47E6"/>
    <w:rsid w:val="00DD4F6C"/>
    <w:rsid w:val="00DD54B5"/>
    <w:rsid w:val="00DD5CC1"/>
    <w:rsid w:val="00DD70E0"/>
    <w:rsid w:val="00DD7632"/>
    <w:rsid w:val="00DD7B3C"/>
    <w:rsid w:val="00DD7C89"/>
    <w:rsid w:val="00DE0193"/>
    <w:rsid w:val="00DE0A3A"/>
    <w:rsid w:val="00DE0C99"/>
    <w:rsid w:val="00DE0FD2"/>
    <w:rsid w:val="00DE18DD"/>
    <w:rsid w:val="00DE2780"/>
    <w:rsid w:val="00DE330A"/>
    <w:rsid w:val="00DE4163"/>
    <w:rsid w:val="00DE44B2"/>
    <w:rsid w:val="00DE529B"/>
    <w:rsid w:val="00DE5D25"/>
    <w:rsid w:val="00DE5FF9"/>
    <w:rsid w:val="00DE613B"/>
    <w:rsid w:val="00DE62C0"/>
    <w:rsid w:val="00DE6AD2"/>
    <w:rsid w:val="00DE7083"/>
    <w:rsid w:val="00DE780A"/>
    <w:rsid w:val="00DF0D8F"/>
    <w:rsid w:val="00DF0D97"/>
    <w:rsid w:val="00DF3357"/>
    <w:rsid w:val="00DF33CE"/>
    <w:rsid w:val="00DF37FD"/>
    <w:rsid w:val="00DF3ED7"/>
    <w:rsid w:val="00DF42ED"/>
    <w:rsid w:val="00DF5466"/>
    <w:rsid w:val="00DF58D2"/>
    <w:rsid w:val="00DF65C6"/>
    <w:rsid w:val="00DF68F9"/>
    <w:rsid w:val="00DF6F4E"/>
    <w:rsid w:val="00DF70EB"/>
    <w:rsid w:val="00DF799F"/>
    <w:rsid w:val="00DF7A90"/>
    <w:rsid w:val="00E0068D"/>
    <w:rsid w:val="00E00A47"/>
    <w:rsid w:val="00E01280"/>
    <w:rsid w:val="00E02BC2"/>
    <w:rsid w:val="00E02BE4"/>
    <w:rsid w:val="00E033A4"/>
    <w:rsid w:val="00E03FE0"/>
    <w:rsid w:val="00E05D36"/>
    <w:rsid w:val="00E060BD"/>
    <w:rsid w:val="00E06C51"/>
    <w:rsid w:val="00E06CC5"/>
    <w:rsid w:val="00E07AA2"/>
    <w:rsid w:val="00E10136"/>
    <w:rsid w:val="00E1017B"/>
    <w:rsid w:val="00E10691"/>
    <w:rsid w:val="00E1080B"/>
    <w:rsid w:val="00E11FF2"/>
    <w:rsid w:val="00E12AF6"/>
    <w:rsid w:val="00E12C6B"/>
    <w:rsid w:val="00E12CCE"/>
    <w:rsid w:val="00E12F2B"/>
    <w:rsid w:val="00E1395F"/>
    <w:rsid w:val="00E14812"/>
    <w:rsid w:val="00E14F46"/>
    <w:rsid w:val="00E158FA"/>
    <w:rsid w:val="00E15B04"/>
    <w:rsid w:val="00E15CA3"/>
    <w:rsid w:val="00E16123"/>
    <w:rsid w:val="00E16582"/>
    <w:rsid w:val="00E2053E"/>
    <w:rsid w:val="00E20F85"/>
    <w:rsid w:val="00E20FEF"/>
    <w:rsid w:val="00E2145D"/>
    <w:rsid w:val="00E215ED"/>
    <w:rsid w:val="00E2388F"/>
    <w:rsid w:val="00E23D1F"/>
    <w:rsid w:val="00E24C93"/>
    <w:rsid w:val="00E24D9E"/>
    <w:rsid w:val="00E2550E"/>
    <w:rsid w:val="00E25745"/>
    <w:rsid w:val="00E25D18"/>
    <w:rsid w:val="00E26AE7"/>
    <w:rsid w:val="00E27DF3"/>
    <w:rsid w:val="00E30231"/>
    <w:rsid w:val="00E31C4B"/>
    <w:rsid w:val="00E323A6"/>
    <w:rsid w:val="00E325C5"/>
    <w:rsid w:val="00E33E18"/>
    <w:rsid w:val="00E37280"/>
    <w:rsid w:val="00E377F8"/>
    <w:rsid w:val="00E407B4"/>
    <w:rsid w:val="00E4160F"/>
    <w:rsid w:val="00E41C5C"/>
    <w:rsid w:val="00E444A2"/>
    <w:rsid w:val="00E454EA"/>
    <w:rsid w:val="00E4634A"/>
    <w:rsid w:val="00E463AE"/>
    <w:rsid w:val="00E470A5"/>
    <w:rsid w:val="00E5032F"/>
    <w:rsid w:val="00E507D4"/>
    <w:rsid w:val="00E5100D"/>
    <w:rsid w:val="00E515A8"/>
    <w:rsid w:val="00E526E9"/>
    <w:rsid w:val="00E52A67"/>
    <w:rsid w:val="00E53AC1"/>
    <w:rsid w:val="00E54B60"/>
    <w:rsid w:val="00E560BA"/>
    <w:rsid w:val="00E5774D"/>
    <w:rsid w:val="00E5785E"/>
    <w:rsid w:val="00E57AA4"/>
    <w:rsid w:val="00E57B7A"/>
    <w:rsid w:val="00E60240"/>
    <w:rsid w:val="00E60614"/>
    <w:rsid w:val="00E60F79"/>
    <w:rsid w:val="00E625FC"/>
    <w:rsid w:val="00E62C67"/>
    <w:rsid w:val="00E639BF"/>
    <w:rsid w:val="00E649DE"/>
    <w:rsid w:val="00E6757D"/>
    <w:rsid w:val="00E67AFD"/>
    <w:rsid w:val="00E703E1"/>
    <w:rsid w:val="00E71691"/>
    <w:rsid w:val="00E71ED4"/>
    <w:rsid w:val="00E72E0B"/>
    <w:rsid w:val="00E73030"/>
    <w:rsid w:val="00E73456"/>
    <w:rsid w:val="00E74450"/>
    <w:rsid w:val="00E74720"/>
    <w:rsid w:val="00E75223"/>
    <w:rsid w:val="00E75410"/>
    <w:rsid w:val="00E76043"/>
    <w:rsid w:val="00E7606B"/>
    <w:rsid w:val="00E764F9"/>
    <w:rsid w:val="00E77045"/>
    <w:rsid w:val="00E77136"/>
    <w:rsid w:val="00E7723A"/>
    <w:rsid w:val="00E775C0"/>
    <w:rsid w:val="00E7783E"/>
    <w:rsid w:val="00E81853"/>
    <w:rsid w:val="00E8278F"/>
    <w:rsid w:val="00E82C27"/>
    <w:rsid w:val="00E83203"/>
    <w:rsid w:val="00E8372C"/>
    <w:rsid w:val="00E83960"/>
    <w:rsid w:val="00E83DCE"/>
    <w:rsid w:val="00E841CF"/>
    <w:rsid w:val="00E85685"/>
    <w:rsid w:val="00E856B8"/>
    <w:rsid w:val="00E85961"/>
    <w:rsid w:val="00E85A10"/>
    <w:rsid w:val="00E85EB9"/>
    <w:rsid w:val="00E86FED"/>
    <w:rsid w:val="00E92772"/>
    <w:rsid w:val="00E92C9F"/>
    <w:rsid w:val="00E92F30"/>
    <w:rsid w:val="00E931B1"/>
    <w:rsid w:val="00E9380E"/>
    <w:rsid w:val="00E941FB"/>
    <w:rsid w:val="00E94653"/>
    <w:rsid w:val="00E960F2"/>
    <w:rsid w:val="00E97988"/>
    <w:rsid w:val="00E97C3E"/>
    <w:rsid w:val="00EA1F3E"/>
    <w:rsid w:val="00EA1F77"/>
    <w:rsid w:val="00EA2611"/>
    <w:rsid w:val="00EA28FC"/>
    <w:rsid w:val="00EA2EFD"/>
    <w:rsid w:val="00EA496A"/>
    <w:rsid w:val="00EA4E98"/>
    <w:rsid w:val="00EA522A"/>
    <w:rsid w:val="00EA5568"/>
    <w:rsid w:val="00EA58AC"/>
    <w:rsid w:val="00EA5A5E"/>
    <w:rsid w:val="00EA7997"/>
    <w:rsid w:val="00EB0DA0"/>
    <w:rsid w:val="00EB181A"/>
    <w:rsid w:val="00EB1935"/>
    <w:rsid w:val="00EB1D31"/>
    <w:rsid w:val="00EB204B"/>
    <w:rsid w:val="00EB25D8"/>
    <w:rsid w:val="00EB28CE"/>
    <w:rsid w:val="00EB2CA9"/>
    <w:rsid w:val="00EB3196"/>
    <w:rsid w:val="00EB67C9"/>
    <w:rsid w:val="00EB720C"/>
    <w:rsid w:val="00EC04B7"/>
    <w:rsid w:val="00EC05BE"/>
    <w:rsid w:val="00EC0CF4"/>
    <w:rsid w:val="00EC3007"/>
    <w:rsid w:val="00EC385B"/>
    <w:rsid w:val="00EC39F7"/>
    <w:rsid w:val="00EC3A2F"/>
    <w:rsid w:val="00EC4520"/>
    <w:rsid w:val="00EC4A40"/>
    <w:rsid w:val="00EC4E1E"/>
    <w:rsid w:val="00EC53B2"/>
    <w:rsid w:val="00EC5F01"/>
    <w:rsid w:val="00EC6AF1"/>
    <w:rsid w:val="00EC781E"/>
    <w:rsid w:val="00ED0486"/>
    <w:rsid w:val="00ED0AC7"/>
    <w:rsid w:val="00ED1748"/>
    <w:rsid w:val="00ED1ACC"/>
    <w:rsid w:val="00ED3207"/>
    <w:rsid w:val="00ED32F9"/>
    <w:rsid w:val="00ED3B8F"/>
    <w:rsid w:val="00ED3E6A"/>
    <w:rsid w:val="00ED4525"/>
    <w:rsid w:val="00ED4DDD"/>
    <w:rsid w:val="00ED5654"/>
    <w:rsid w:val="00ED76BA"/>
    <w:rsid w:val="00ED7A27"/>
    <w:rsid w:val="00ED7A6F"/>
    <w:rsid w:val="00ED7E2A"/>
    <w:rsid w:val="00EE14E1"/>
    <w:rsid w:val="00EE22BD"/>
    <w:rsid w:val="00EE512D"/>
    <w:rsid w:val="00EE5417"/>
    <w:rsid w:val="00EE62D5"/>
    <w:rsid w:val="00EE645F"/>
    <w:rsid w:val="00EF0729"/>
    <w:rsid w:val="00EF0F2C"/>
    <w:rsid w:val="00EF1857"/>
    <w:rsid w:val="00EF1A78"/>
    <w:rsid w:val="00EF1B61"/>
    <w:rsid w:val="00EF1C79"/>
    <w:rsid w:val="00EF272A"/>
    <w:rsid w:val="00EF35EC"/>
    <w:rsid w:val="00EF4191"/>
    <w:rsid w:val="00EF4287"/>
    <w:rsid w:val="00EF45F0"/>
    <w:rsid w:val="00EF483E"/>
    <w:rsid w:val="00EF4C17"/>
    <w:rsid w:val="00EF60A8"/>
    <w:rsid w:val="00EF6555"/>
    <w:rsid w:val="00EF71A4"/>
    <w:rsid w:val="00EF7AF2"/>
    <w:rsid w:val="00F0141E"/>
    <w:rsid w:val="00F014E4"/>
    <w:rsid w:val="00F016D3"/>
    <w:rsid w:val="00F017F5"/>
    <w:rsid w:val="00F022F8"/>
    <w:rsid w:val="00F03CF2"/>
    <w:rsid w:val="00F03F72"/>
    <w:rsid w:val="00F04B38"/>
    <w:rsid w:val="00F04B9E"/>
    <w:rsid w:val="00F04C97"/>
    <w:rsid w:val="00F04D4E"/>
    <w:rsid w:val="00F04DFD"/>
    <w:rsid w:val="00F055F6"/>
    <w:rsid w:val="00F06421"/>
    <w:rsid w:val="00F0742E"/>
    <w:rsid w:val="00F07932"/>
    <w:rsid w:val="00F102FB"/>
    <w:rsid w:val="00F107BF"/>
    <w:rsid w:val="00F10855"/>
    <w:rsid w:val="00F10E3C"/>
    <w:rsid w:val="00F11794"/>
    <w:rsid w:val="00F11D80"/>
    <w:rsid w:val="00F12AFA"/>
    <w:rsid w:val="00F12F4E"/>
    <w:rsid w:val="00F130C6"/>
    <w:rsid w:val="00F13304"/>
    <w:rsid w:val="00F1487F"/>
    <w:rsid w:val="00F1782D"/>
    <w:rsid w:val="00F17E57"/>
    <w:rsid w:val="00F20FF7"/>
    <w:rsid w:val="00F2119C"/>
    <w:rsid w:val="00F212BD"/>
    <w:rsid w:val="00F21D5E"/>
    <w:rsid w:val="00F22E94"/>
    <w:rsid w:val="00F238F9"/>
    <w:rsid w:val="00F23D76"/>
    <w:rsid w:val="00F23F9F"/>
    <w:rsid w:val="00F24AD2"/>
    <w:rsid w:val="00F24D58"/>
    <w:rsid w:val="00F256AF"/>
    <w:rsid w:val="00F26555"/>
    <w:rsid w:val="00F268C6"/>
    <w:rsid w:val="00F26EB5"/>
    <w:rsid w:val="00F27315"/>
    <w:rsid w:val="00F27966"/>
    <w:rsid w:val="00F279C9"/>
    <w:rsid w:val="00F27E97"/>
    <w:rsid w:val="00F303AF"/>
    <w:rsid w:val="00F3051B"/>
    <w:rsid w:val="00F30FD6"/>
    <w:rsid w:val="00F312E6"/>
    <w:rsid w:val="00F319C6"/>
    <w:rsid w:val="00F32293"/>
    <w:rsid w:val="00F32753"/>
    <w:rsid w:val="00F32CA6"/>
    <w:rsid w:val="00F3308D"/>
    <w:rsid w:val="00F337DB"/>
    <w:rsid w:val="00F33F83"/>
    <w:rsid w:val="00F3481E"/>
    <w:rsid w:val="00F350CC"/>
    <w:rsid w:val="00F3518E"/>
    <w:rsid w:val="00F35C16"/>
    <w:rsid w:val="00F35FC9"/>
    <w:rsid w:val="00F3640F"/>
    <w:rsid w:val="00F368F9"/>
    <w:rsid w:val="00F40F1A"/>
    <w:rsid w:val="00F418F1"/>
    <w:rsid w:val="00F421B8"/>
    <w:rsid w:val="00F4279C"/>
    <w:rsid w:val="00F42BDC"/>
    <w:rsid w:val="00F4332F"/>
    <w:rsid w:val="00F43655"/>
    <w:rsid w:val="00F43B13"/>
    <w:rsid w:val="00F43BCA"/>
    <w:rsid w:val="00F43DAC"/>
    <w:rsid w:val="00F43EBB"/>
    <w:rsid w:val="00F44B84"/>
    <w:rsid w:val="00F44BA4"/>
    <w:rsid w:val="00F455B6"/>
    <w:rsid w:val="00F456A9"/>
    <w:rsid w:val="00F45E06"/>
    <w:rsid w:val="00F471A4"/>
    <w:rsid w:val="00F513F7"/>
    <w:rsid w:val="00F51B50"/>
    <w:rsid w:val="00F5219C"/>
    <w:rsid w:val="00F523F9"/>
    <w:rsid w:val="00F52B9F"/>
    <w:rsid w:val="00F52C3A"/>
    <w:rsid w:val="00F52D03"/>
    <w:rsid w:val="00F52F00"/>
    <w:rsid w:val="00F5304E"/>
    <w:rsid w:val="00F53BC6"/>
    <w:rsid w:val="00F5413D"/>
    <w:rsid w:val="00F542C3"/>
    <w:rsid w:val="00F5485B"/>
    <w:rsid w:val="00F55C4B"/>
    <w:rsid w:val="00F55CF6"/>
    <w:rsid w:val="00F57560"/>
    <w:rsid w:val="00F576E2"/>
    <w:rsid w:val="00F57786"/>
    <w:rsid w:val="00F6026D"/>
    <w:rsid w:val="00F603CD"/>
    <w:rsid w:val="00F628B1"/>
    <w:rsid w:val="00F62C4C"/>
    <w:rsid w:val="00F63239"/>
    <w:rsid w:val="00F63C0F"/>
    <w:rsid w:val="00F63CCE"/>
    <w:rsid w:val="00F65A8D"/>
    <w:rsid w:val="00F65AB4"/>
    <w:rsid w:val="00F65D6F"/>
    <w:rsid w:val="00F670C5"/>
    <w:rsid w:val="00F674F9"/>
    <w:rsid w:val="00F67A37"/>
    <w:rsid w:val="00F71DAD"/>
    <w:rsid w:val="00F7248F"/>
    <w:rsid w:val="00F72513"/>
    <w:rsid w:val="00F72E4B"/>
    <w:rsid w:val="00F737D7"/>
    <w:rsid w:val="00F74503"/>
    <w:rsid w:val="00F74B74"/>
    <w:rsid w:val="00F75AB7"/>
    <w:rsid w:val="00F75B89"/>
    <w:rsid w:val="00F763CA"/>
    <w:rsid w:val="00F77A3C"/>
    <w:rsid w:val="00F813B9"/>
    <w:rsid w:val="00F81E76"/>
    <w:rsid w:val="00F8306A"/>
    <w:rsid w:val="00F846DD"/>
    <w:rsid w:val="00F8492F"/>
    <w:rsid w:val="00F84A15"/>
    <w:rsid w:val="00F84F4C"/>
    <w:rsid w:val="00F86491"/>
    <w:rsid w:val="00F86672"/>
    <w:rsid w:val="00F86C63"/>
    <w:rsid w:val="00F86E22"/>
    <w:rsid w:val="00F86EF0"/>
    <w:rsid w:val="00F87675"/>
    <w:rsid w:val="00F87B6D"/>
    <w:rsid w:val="00F87F7D"/>
    <w:rsid w:val="00F90BBD"/>
    <w:rsid w:val="00F90F31"/>
    <w:rsid w:val="00F92841"/>
    <w:rsid w:val="00F92981"/>
    <w:rsid w:val="00F93593"/>
    <w:rsid w:val="00F93B00"/>
    <w:rsid w:val="00F93B78"/>
    <w:rsid w:val="00F96D8E"/>
    <w:rsid w:val="00F96F1D"/>
    <w:rsid w:val="00FA08E9"/>
    <w:rsid w:val="00FA0D06"/>
    <w:rsid w:val="00FA103F"/>
    <w:rsid w:val="00FA1366"/>
    <w:rsid w:val="00FA171B"/>
    <w:rsid w:val="00FA1895"/>
    <w:rsid w:val="00FA2BB4"/>
    <w:rsid w:val="00FA46B2"/>
    <w:rsid w:val="00FA4E12"/>
    <w:rsid w:val="00FA6207"/>
    <w:rsid w:val="00FA7192"/>
    <w:rsid w:val="00FA79D1"/>
    <w:rsid w:val="00FB03C3"/>
    <w:rsid w:val="00FB0558"/>
    <w:rsid w:val="00FB1262"/>
    <w:rsid w:val="00FB1C3F"/>
    <w:rsid w:val="00FB1F74"/>
    <w:rsid w:val="00FB2FC7"/>
    <w:rsid w:val="00FB3414"/>
    <w:rsid w:val="00FB4FC4"/>
    <w:rsid w:val="00FB574E"/>
    <w:rsid w:val="00FB5BDE"/>
    <w:rsid w:val="00FB646A"/>
    <w:rsid w:val="00FB73AF"/>
    <w:rsid w:val="00FB77C5"/>
    <w:rsid w:val="00FC0FCF"/>
    <w:rsid w:val="00FC12C2"/>
    <w:rsid w:val="00FC1AB9"/>
    <w:rsid w:val="00FC1CF3"/>
    <w:rsid w:val="00FC2B64"/>
    <w:rsid w:val="00FC2C2E"/>
    <w:rsid w:val="00FC39FE"/>
    <w:rsid w:val="00FC3A9A"/>
    <w:rsid w:val="00FC3D12"/>
    <w:rsid w:val="00FC40D6"/>
    <w:rsid w:val="00FC46A4"/>
    <w:rsid w:val="00FC46EC"/>
    <w:rsid w:val="00FC6032"/>
    <w:rsid w:val="00FC63BE"/>
    <w:rsid w:val="00FC6FB1"/>
    <w:rsid w:val="00FD05CB"/>
    <w:rsid w:val="00FD0D40"/>
    <w:rsid w:val="00FD0F20"/>
    <w:rsid w:val="00FD0F44"/>
    <w:rsid w:val="00FD1006"/>
    <w:rsid w:val="00FD24DF"/>
    <w:rsid w:val="00FD265F"/>
    <w:rsid w:val="00FD2967"/>
    <w:rsid w:val="00FD2CAB"/>
    <w:rsid w:val="00FD4875"/>
    <w:rsid w:val="00FD545C"/>
    <w:rsid w:val="00FD5ECD"/>
    <w:rsid w:val="00FE0602"/>
    <w:rsid w:val="00FE0892"/>
    <w:rsid w:val="00FE15F7"/>
    <w:rsid w:val="00FE1CDC"/>
    <w:rsid w:val="00FE294B"/>
    <w:rsid w:val="00FE29BF"/>
    <w:rsid w:val="00FE2F10"/>
    <w:rsid w:val="00FE441B"/>
    <w:rsid w:val="00FE54B5"/>
    <w:rsid w:val="00FE638B"/>
    <w:rsid w:val="00FE71C5"/>
    <w:rsid w:val="00FE7228"/>
    <w:rsid w:val="00FF06FA"/>
    <w:rsid w:val="00FF0D04"/>
    <w:rsid w:val="00FF2067"/>
    <w:rsid w:val="00FF255B"/>
    <w:rsid w:val="00FF2A91"/>
    <w:rsid w:val="00FF3FBB"/>
    <w:rsid w:val="00FF3FF6"/>
    <w:rsid w:val="00FF4331"/>
    <w:rsid w:val="00FF4A78"/>
    <w:rsid w:val="00FF5A16"/>
    <w:rsid w:val="00FF7309"/>
    <w:rsid w:val="00FF7629"/>
    <w:rsid w:val="00FF7707"/>
    <w:rsid w:val="00FF7916"/>
    <w:rsid w:val="00FF7A4B"/>
    <w:rsid w:val="0405A5F3"/>
    <w:rsid w:val="07CD8AC9"/>
    <w:rsid w:val="1044C1B3"/>
    <w:rsid w:val="31D0E19C"/>
    <w:rsid w:val="3CE6C6FD"/>
    <w:rsid w:val="4A9C4569"/>
    <w:rsid w:val="55EDADF7"/>
    <w:rsid w:val="5EBA24C9"/>
    <w:rsid w:val="6CED2B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0557"/>
  <w15:chartTrackingRefBased/>
  <w15:docId w15:val="{91161958-99A7-4D06-8863-F6A4FE61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CC6"/>
    <w:pPr>
      <w:keepNext/>
      <w:keepLines/>
      <w:pBdr>
        <w:bottom w:val="single" w:sz="4" w:space="1" w:color="auto"/>
      </w:pBdr>
      <w:spacing w:before="240" w:after="12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3B7CC6"/>
    <w:pPr>
      <w:keepNext/>
      <w:keepLines/>
      <w:spacing w:before="240" w:after="120"/>
      <w:ind w:left="17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3D1E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D74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745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D745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745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74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1A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NFP GP Bulleted List,List Paragraph2,FooterText,numbered,Paragraphe de liste1,Bulletr List Paragraph,列出段落,列出段落1,List Paragraph21,Listeafsnit1,Parágrafo da Lista1,Párrafo de lista1,リスト段落1,L,列"/>
    <w:basedOn w:val="Normal"/>
    <w:link w:val="ListParagraphChar"/>
    <w:uiPriority w:val="34"/>
    <w:qFormat/>
    <w:rsid w:val="00DF37FD"/>
    <w:pPr>
      <w:ind w:left="720"/>
      <w:contextualSpacing/>
    </w:pPr>
  </w:style>
  <w:style w:type="character" w:customStyle="1" w:styleId="Heading1Char">
    <w:name w:val="Heading 1 Char"/>
    <w:basedOn w:val="DefaultParagraphFont"/>
    <w:link w:val="Heading1"/>
    <w:uiPriority w:val="9"/>
    <w:rsid w:val="003B7CC6"/>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973658"/>
    <w:pPr>
      <w:outlineLvl w:val="9"/>
    </w:pPr>
    <w:rPr>
      <w:lang w:val="en-US"/>
    </w:rPr>
  </w:style>
  <w:style w:type="paragraph" w:styleId="TOC2">
    <w:name w:val="toc 2"/>
    <w:basedOn w:val="Normal"/>
    <w:next w:val="Normal"/>
    <w:autoRedefine/>
    <w:uiPriority w:val="39"/>
    <w:unhideWhenUsed/>
    <w:rsid w:val="009449E1"/>
    <w:pPr>
      <w:spacing w:after="0"/>
      <w:ind w:left="220"/>
    </w:pPr>
    <w:rPr>
      <w:rFonts w:cstheme="minorHAnsi"/>
      <w:smallCaps/>
      <w:sz w:val="20"/>
      <w:szCs w:val="24"/>
    </w:rPr>
  </w:style>
  <w:style w:type="paragraph" w:styleId="TOC1">
    <w:name w:val="toc 1"/>
    <w:basedOn w:val="Normal"/>
    <w:next w:val="Normal"/>
    <w:autoRedefine/>
    <w:uiPriority w:val="39"/>
    <w:unhideWhenUsed/>
    <w:rsid w:val="00487503"/>
    <w:pPr>
      <w:tabs>
        <w:tab w:val="right" w:leader="dot" w:pos="9016"/>
      </w:tabs>
      <w:spacing w:before="60" w:after="60"/>
    </w:pPr>
    <w:rPr>
      <w:rFonts w:cstheme="minorHAnsi"/>
      <w:b/>
      <w:bCs/>
      <w:caps/>
      <w:sz w:val="20"/>
      <w:szCs w:val="24"/>
    </w:rPr>
  </w:style>
  <w:style w:type="paragraph" w:styleId="TOC3">
    <w:name w:val="toc 3"/>
    <w:basedOn w:val="Normal"/>
    <w:next w:val="Normal"/>
    <w:autoRedefine/>
    <w:uiPriority w:val="39"/>
    <w:unhideWhenUsed/>
    <w:rsid w:val="00973658"/>
    <w:pPr>
      <w:spacing w:after="0"/>
      <w:ind w:left="440"/>
    </w:pPr>
    <w:rPr>
      <w:rFonts w:cstheme="minorHAnsi"/>
      <w:i/>
      <w:iCs/>
      <w:sz w:val="20"/>
      <w:szCs w:val="24"/>
    </w:rPr>
  </w:style>
  <w:style w:type="character" w:styleId="Hyperlink">
    <w:name w:val="Hyperlink"/>
    <w:basedOn w:val="DefaultParagraphFont"/>
    <w:uiPriority w:val="99"/>
    <w:unhideWhenUsed/>
    <w:rsid w:val="003D1EC6"/>
    <w:rPr>
      <w:color w:val="0563C1" w:themeColor="hyperlink"/>
      <w:u w:val="single"/>
    </w:rPr>
  </w:style>
  <w:style w:type="character" w:customStyle="1" w:styleId="Heading2Char">
    <w:name w:val="Heading 2 Char"/>
    <w:basedOn w:val="DefaultParagraphFont"/>
    <w:link w:val="Heading2"/>
    <w:uiPriority w:val="9"/>
    <w:rsid w:val="003B7CC6"/>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3D1EC6"/>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97215"/>
    <w:rPr>
      <w:color w:val="605E5C"/>
      <w:shd w:val="clear" w:color="auto" w:fill="E1DFDD"/>
    </w:rPr>
  </w:style>
  <w:style w:type="paragraph" w:styleId="NoSpacing">
    <w:name w:val="No Spacing"/>
    <w:link w:val="NoSpacingChar"/>
    <w:uiPriority w:val="1"/>
    <w:qFormat/>
    <w:rsid w:val="00BF31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F3199"/>
    <w:rPr>
      <w:rFonts w:eastAsiaTheme="minorEastAsia"/>
      <w:lang w:val="en-US"/>
    </w:rPr>
  </w:style>
  <w:style w:type="paragraph" w:styleId="Revision">
    <w:name w:val="Revision"/>
    <w:hidden/>
    <w:uiPriority w:val="99"/>
    <w:semiHidden/>
    <w:rsid w:val="00E12C6B"/>
    <w:pPr>
      <w:spacing w:after="0" w:line="240" w:lineRule="auto"/>
    </w:pPr>
  </w:style>
  <w:style w:type="paragraph" w:styleId="BodyText">
    <w:name w:val="Body Text"/>
    <w:basedOn w:val="Normal"/>
    <w:link w:val="BodyTextChar"/>
    <w:uiPriority w:val="99"/>
    <w:rsid w:val="006D5F6F"/>
    <w:pPr>
      <w:framePr w:w="2196" w:h="223" w:wrap="auto" w:vAnchor="page" w:hAnchor="page" w:x="1701" w:y="9634"/>
      <w:widowControl w:val="0"/>
      <w:autoSpaceDE w:val="0"/>
      <w:autoSpaceDN w:val="0"/>
      <w:adjustRightInd w:val="0"/>
      <w:spacing w:after="0" w:line="240" w:lineRule="auto"/>
    </w:pPr>
    <w:rPr>
      <w:rFonts w:ascii="Arial" w:eastAsia="Times New Roman" w:hAnsi="Arial" w:cs="Arial"/>
      <w:color w:val="000000"/>
      <w:sz w:val="19"/>
      <w:szCs w:val="19"/>
    </w:rPr>
  </w:style>
  <w:style w:type="character" w:customStyle="1" w:styleId="BodyTextChar">
    <w:name w:val="Body Text Char"/>
    <w:basedOn w:val="DefaultParagraphFont"/>
    <w:link w:val="BodyText"/>
    <w:uiPriority w:val="99"/>
    <w:rsid w:val="006D5F6F"/>
    <w:rPr>
      <w:rFonts w:ascii="Arial" w:eastAsia="Times New Roman" w:hAnsi="Arial" w:cs="Arial"/>
      <w:color w:val="000000"/>
      <w:sz w:val="19"/>
      <w:szCs w:val="19"/>
    </w:rPr>
  </w:style>
  <w:style w:type="character" w:customStyle="1" w:styleId="Heading9Char">
    <w:name w:val="Heading 9 Char"/>
    <w:basedOn w:val="DefaultParagraphFont"/>
    <w:link w:val="Heading9"/>
    <w:uiPriority w:val="9"/>
    <w:semiHidden/>
    <w:rsid w:val="00ED1ACC"/>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BB6C23"/>
    <w:rPr>
      <w:color w:val="954F72" w:themeColor="followedHyperlink"/>
      <w:u w:val="single"/>
    </w:rPr>
  </w:style>
  <w:style w:type="paragraph" w:styleId="Title">
    <w:name w:val="Title"/>
    <w:basedOn w:val="Normal"/>
    <w:next w:val="Normal"/>
    <w:link w:val="TitleChar"/>
    <w:uiPriority w:val="10"/>
    <w:qFormat/>
    <w:rsid w:val="000706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6E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01AA8"/>
    <w:rPr>
      <w:sz w:val="16"/>
      <w:szCs w:val="16"/>
    </w:rPr>
  </w:style>
  <w:style w:type="paragraph" w:styleId="CommentText">
    <w:name w:val="annotation text"/>
    <w:basedOn w:val="Normal"/>
    <w:link w:val="CommentTextChar"/>
    <w:uiPriority w:val="99"/>
    <w:unhideWhenUsed/>
    <w:rsid w:val="00601AA8"/>
    <w:pPr>
      <w:spacing w:line="240" w:lineRule="auto"/>
    </w:pPr>
    <w:rPr>
      <w:sz w:val="20"/>
      <w:szCs w:val="20"/>
    </w:rPr>
  </w:style>
  <w:style w:type="character" w:customStyle="1" w:styleId="CommentTextChar">
    <w:name w:val="Comment Text Char"/>
    <w:basedOn w:val="DefaultParagraphFont"/>
    <w:link w:val="CommentText"/>
    <w:uiPriority w:val="99"/>
    <w:rsid w:val="00601AA8"/>
    <w:rPr>
      <w:sz w:val="20"/>
      <w:szCs w:val="20"/>
    </w:rPr>
  </w:style>
  <w:style w:type="paragraph" w:styleId="CommentSubject">
    <w:name w:val="annotation subject"/>
    <w:basedOn w:val="CommentText"/>
    <w:next w:val="CommentText"/>
    <w:link w:val="CommentSubjectChar"/>
    <w:uiPriority w:val="99"/>
    <w:semiHidden/>
    <w:unhideWhenUsed/>
    <w:rsid w:val="00601AA8"/>
    <w:rPr>
      <w:b/>
      <w:bCs/>
    </w:rPr>
  </w:style>
  <w:style w:type="character" w:customStyle="1" w:styleId="CommentSubjectChar">
    <w:name w:val="Comment Subject Char"/>
    <w:basedOn w:val="CommentTextChar"/>
    <w:link w:val="CommentSubject"/>
    <w:uiPriority w:val="99"/>
    <w:semiHidden/>
    <w:rsid w:val="00601AA8"/>
    <w:rPr>
      <w:b/>
      <w:bCs/>
      <w:sz w:val="20"/>
      <w:szCs w:val="20"/>
    </w:rPr>
  </w:style>
  <w:style w:type="paragraph" w:customStyle="1" w:styleId="Default">
    <w:name w:val="Default"/>
    <w:uiPriority w:val="99"/>
    <w:rsid w:val="00A3097C"/>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9E2C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E2C43"/>
    <w:rPr>
      <w:rFonts w:ascii="Segoe UI" w:hAnsi="Segoe UI" w:cs="Segoe UI" w:hint="default"/>
      <w:b/>
      <w:bCs/>
      <w:sz w:val="18"/>
      <w:szCs w:val="18"/>
    </w:rPr>
  </w:style>
  <w:style w:type="character" w:customStyle="1" w:styleId="cf21">
    <w:name w:val="cf21"/>
    <w:basedOn w:val="DefaultParagraphFont"/>
    <w:rsid w:val="009E2C43"/>
    <w:rPr>
      <w:rFonts w:ascii="Segoe UI" w:hAnsi="Segoe UI" w:cs="Segoe UI" w:hint="default"/>
      <w:sz w:val="18"/>
      <w:szCs w:val="18"/>
    </w:rPr>
  </w:style>
  <w:style w:type="character" w:customStyle="1" w:styleId="cf31">
    <w:name w:val="cf31"/>
    <w:basedOn w:val="DefaultParagraphFont"/>
    <w:rsid w:val="009E2C43"/>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B9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365"/>
    <w:rPr>
      <w:sz w:val="20"/>
      <w:szCs w:val="20"/>
    </w:rPr>
  </w:style>
  <w:style w:type="character" w:styleId="FootnoteReference">
    <w:name w:val="footnote reference"/>
    <w:basedOn w:val="DefaultParagraphFont"/>
    <w:uiPriority w:val="99"/>
    <w:semiHidden/>
    <w:unhideWhenUsed/>
    <w:rsid w:val="00B91365"/>
    <w:rPr>
      <w:vertAlign w:val="superscript"/>
    </w:rPr>
  </w:style>
  <w:style w:type="paragraph" w:styleId="Header">
    <w:name w:val="header"/>
    <w:basedOn w:val="Normal"/>
    <w:link w:val="HeaderChar"/>
    <w:uiPriority w:val="99"/>
    <w:unhideWhenUsed/>
    <w:rsid w:val="00B91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365"/>
  </w:style>
  <w:style w:type="paragraph" w:styleId="Footer">
    <w:name w:val="footer"/>
    <w:basedOn w:val="Normal"/>
    <w:link w:val="FooterChar"/>
    <w:uiPriority w:val="99"/>
    <w:unhideWhenUsed/>
    <w:rsid w:val="00B91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65"/>
  </w:style>
  <w:style w:type="paragraph" w:styleId="TOC4">
    <w:name w:val="toc 4"/>
    <w:basedOn w:val="Normal"/>
    <w:next w:val="Normal"/>
    <w:autoRedefine/>
    <w:uiPriority w:val="39"/>
    <w:unhideWhenUsed/>
    <w:rsid w:val="000E77BE"/>
    <w:pPr>
      <w:spacing w:after="0"/>
      <w:ind w:left="660"/>
    </w:pPr>
    <w:rPr>
      <w:rFonts w:cstheme="minorHAnsi"/>
      <w:sz w:val="18"/>
      <w:szCs w:val="21"/>
    </w:rPr>
  </w:style>
  <w:style w:type="paragraph" w:styleId="TOC5">
    <w:name w:val="toc 5"/>
    <w:basedOn w:val="Normal"/>
    <w:next w:val="Normal"/>
    <w:autoRedefine/>
    <w:uiPriority w:val="39"/>
    <w:unhideWhenUsed/>
    <w:rsid w:val="000E77BE"/>
    <w:pPr>
      <w:spacing w:after="0"/>
      <w:ind w:left="880"/>
    </w:pPr>
    <w:rPr>
      <w:rFonts w:cstheme="minorHAnsi"/>
      <w:sz w:val="18"/>
      <w:szCs w:val="21"/>
    </w:rPr>
  </w:style>
  <w:style w:type="paragraph" w:styleId="TOC6">
    <w:name w:val="toc 6"/>
    <w:basedOn w:val="Normal"/>
    <w:next w:val="Normal"/>
    <w:autoRedefine/>
    <w:uiPriority w:val="39"/>
    <w:unhideWhenUsed/>
    <w:rsid w:val="000E77BE"/>
    <w:pPr>
      <w:spacing w:after="0"/>
      <w:ind w:left="1100"/>
    </w:pPr>
    <w:rPr>
      <w:rFonts w:cstheme="minorHAnsi"/>
      <w:sz w:val="18"/>
      <w:szCs w:val="21"/>
    </w:rPr>
  </w:style>
  <w:style w:type="paragraph" w:styleId="TOC7">
    <w:name w:val="toc 7"/>
    <w:basedOn w:val="Normal"/>
    <w:next w:val="Normal"/>
    <w:autoRedefine/>
    <w:uiPriority w:val="39"/>
    <w:unhideWhenUsed/>
    <w:rsid w:val="000E77BE"/>
    <w:pPr>
      <w:spacing w:after="0"/>
      <w:ind w:left="1320"/>
    </w:pPr>
    <w:rPr>
      <w:rFonts w:cstheme="minorHAnsi"/>
      <w:sz w:val="18"/>
      <w:szCs w:val="21"/>
    </w:rPr>
  </w:style>
  <w:style w:type="paragraph" w:styleId="TOC8">
    <w:name w:val="toc 8"/>
    <w:basedOn w:val="Normal"/>
    <w:next w:val="Normal"/>
    <w:autoRedefine/>
    <w:uiPriority w:val="39"/>
    <w:unhideWhenUsed/>
    <w:rsid w:val="000E77BE"/>
    <w:pPr>
      <w:spacing w:after="0"/>
      <w:ind w:left="1540"/>
    </w:pPr>
    <w:rPr>
      <w:rFonts w:cstheme="minorHAnsi"/>
      <w:sz w:val="18"/>
      <w:szCs w:val="21"/>
    </w:rPr>
  </w:style>
  <w:style w:type="paragraph" w:styleId="TOC9">
    <w:name w:val="toc 9"/>
    <w:basedOn w:val="Normal"/>
    <w:next w:val="Normal"/>
    <w:autoRedefine/>
    <w:uiPriority w:val="39"/>
    <w:unhideWhenUsed/>
    <w:rsid w:val="000E77BE"/>
    <w:pPr>
      <w:spacing w:after="0"/>
      <w:ind w:left="1760"/>
    </w:pPr>
    <w:rPr>
      <w:rFonts w:cstheme="minorHAnsi"/>
      <w:sz w:val="18"/>
      <w:szCs w:val="21"/>
    </w:rPr>
  </w:style>
  <w:style w:type="table" w:styleId="TableGrid">
    <w:name w:val="Table Grid"/>
    <w:basedOn w:val="TableNormal"/>
    <w:uiPriority w:val="39"/>
    <w:rsid w:val="00AE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E70F8"/>
    <w:pPr>
      <w:spacing w:after="0" w:line="240" w:lineRule="auto"/>
      <w:ind w:left="720"/>
    </w:pPr>
    <w:rPr>
      <w:rFonts w:ascii="Calibri" w:hAnsi="Calibri" w:cs="Calibri"/>
      <w:lang w:eastAsia="en-AU"/>
    </w:rPr>
  </w:style>
  <w:style w:type="paragraph" w:customStyle="1" w:styleId="FigureTableNoteSource">
    <w:name w:val="Figure/Table Note/Source"/>
    <w:basedOn w:val="Normal"/>
    <w:next w:val="Normal"/>
    <w:uiPriority w:val="16"/>
    <w:qFormat/>
    <w:rsid w:val="009D7C86"/>
    <w:pPr>
      <w:spacing w:before="120" w:after="200" w:line="264" w:lineRule="auto"/>
      <w:contextualSpacing/>
    </w:pPr>
    <w:rPr>
      <w:rFonts w:ascii="Calibri" w:hAnsi="Calibri"/>
      <w:sz w:val="18"/>
    </w:rPr>
  </w:style>
  <w:style w:type="character" w:styleId="Strong">
    <w:name w:val="Strong"/>
    <w:basedOn w:val="DefaultParagraphFont"/>
    <w:uiPriority w:val="22"/>
    <w:qFormat/>
    <w:rsid w:val="009D7C86"/>
    <w:rPr>
      <w:b/>
      <w:bCs/>
    </w:rPr>
  </w:style>
  <w:style w:type="character" w:customStyle="1" w:styleId="ListParagraphChar">
    <w:name w:val="List Paragraph Char"/>
    <w:aliases w:val="List Paragraph1 Char,Recommendation Char,List Paragraph11 Char,NFP GP Bulleted List Char,List Paragraph2 Char,FooterText Char,numbered Char,Paragraphe de liste1 Char,Bulletr List Paragraph Char,列出段落 Char,列出段落1 Char,Listeafsnit1 Char"/>
    <w:basedOn w:val="DefaultParagraphFont"/>
    <w:link w:val="ListParagraph"/>
    <w:uiPriority w:val="34"/>
    <w:qFormat/>
    <w:locked/>
    <w:rsid w:val="008976D9"/>
  </w:style>
  <w:style w:type="table" w:customStyle="1" w:styleId="AFMA-default">
    <w:name w:val="AFMA - default"/>
    <w:basedOn w:val="TableNormal"/>
    <w:uiPriority w:val="99"/>
    <w:rsid w:val="006B7EED"/>
    <w:pPr>
      <w:spacing w:before="60" w:after="60" w:line="240" w:lineRule="auto"/>
    </w:pPr>
    <w:rPr>
      <w:rFonts w:ascii="Arial Narrow" w:hAnsi="Arial Narrow"/>
      <w:color w:val="333333"/>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sz w:val="24"/>
      </w:rPr>
      <w:tblPr/>
      <w:trPr>
        <w:cantSplit/>
        <w:tblHeader/>
      </w:trPr>
      <w:tcPr>
        <w:shd w:val="clear" w:color="auto" w:fill="006C8B"/>
      </w:tcPr>
    </w:tblStylePr>
    <w:tblStylePr w:type="band2Horz">
      <w:tblPr/>
      <w:tcPr>
        <w:shd w:val="clear" w:color="auto" w:fill="F2F2F2" w:themeFill="background1" w:themeFillShade="F2"/>
      </w:tcPr>
    </w:tblStylePr>
  </w:style>
  <w:style w:type="paragraph" w:styleId="Caption">
    <w:name w:val="caption"/>
    <w:basedOn w:val="Normal"/>
    <w:next w:val="Normal"/>
    <w:link w:val="CaptionChar"/>
    <w:uiPriority w:val="35"/>
    <w:unhideWhenUsed/>
    <w:qFormat/>
    <w:rsid w:val="006B7EED"/>
    <w:pPr>
      <w:keepNext/>
      <w:suppressAutoHyphens/>
      <w:spacing w:before="240" w:after="180" w:line="240" w:lineRule="atLeast"/>
    </w:pPr>
    <w:rPr>
      <w:rFonts w:ascii="Arial" w:hAnsi="Arial"/>
      <w:b/>
      <w:iCs/>
      <w:color w:val="333333"/>
      <w:spacing w:val="-4"/>
      <w:sz w:val="20"/>
      <w:szCs w:val="18"/>
    </w:rPr>
  </w:style>
  <w:style w:type="paragraph" w:customStyle="1" w:styleId="Heading2-Numbered">
    <w:name w:val="Heading 2 - Numbered"/>
    <w:basedOn w:val="Heading2"/>
    <w:next w:val="Normal"/>
    <w:qFormat/>
    <w:rsid w:val="007D7454"/>
    <w:pPr>
      <w:numPr>
        <w:ilvl w:val="1"/>
        <w:numId w:val="21"/>
      </w:numPr>
      <w:pBdr>
        <w:bottom w:val="single" w:sz="12" w:space="1" w:color="093E52"/>
      </w:pBdr>
      <w:suppressAutoHyphens/>
      <w:spacing w:before="360" w:line="300" w:lineRule="atLeast"/>
      <w:contextualSpacing/>
    </w:pPr>
    <w:rPr>
      <w:rFonts w:ascii="Arial" w:hAnsi="Arial" w:cstheme="majorHAnsi"/>
      <w:bCs/>
      <w:color w:val="093E52"/>
      <w:spacing w:val="-4"/>
      <w:sz w:val="34"/>
      <w:szCs w:val="32"/>
    </w:rPr>
  </w:style>
  <w:style w:type="paragraph" w:customStyle="1" w:styleId="Heading3-Numbered">
    <w:name w:val="Heading 3  - Numbered"/>
    <w:basedOn w:val="Heading3"/>
    <w:next w:val="Normal"/>
    <w:qFormat/>
    <w:rsid w:val="007D7454"/>
    <w:pPr>
      <w:numPr>
        <w:ilvl w:val="2"/>
        <w:numId w:val="21"/>
      </w:numPr>
      <w:suppressAutoHyphens/>
      <w:spacing w:before="180" w:after="60" w:line="280" w:lineRule="atLeast"/>
      <w:contextualSpacing/>
    </w:pPr>
    <w:rPr>
      <w:rFonts w:ascii="Arial" w:hAnsi="Arial"/>
      <w:b/>
      <w:bCs/>
      <w:color w:val="093E52"/>
      <w:spacing w:val="-4"/>
      <w:sz w:val="30"/>
      <w:szCs w:val="28"/>
    </w:rPr>
  </w:style>
  <w:style w:type="paragraph" w:customStyle="1" w:styleId="Heading4-Numbered">
    <w:name w:val="Heading 4 - Numbered"/>
    <w:basedOn w:val="Heading4"/>
    <w:next w:val="Normal"/>
    <w:qFormat/>
    <w:rsid w:val="007D7454"/>
    <w:pPr>
      <w:numPr>
        <w:ilvl w:val="3"/>
        <w:numId w:val="21"/>
      </w:numPr>
      <w:suppressAutoHyphens/>
      <w:spacing w:before="180" w:after="60" w:line="280" w:lineRule="atLeast"/>
    </w:pPr>
    <w:rPr>
      <w:rFonts w:ascii="Arial" w:hAnsi="Arial"/>
      <w:b/>
      <w:i w:val="0"/>
      <w:color w:val="093E52"/>
      <w:spacing w:val="-4"/>
      <w:sz w:val="26"/>
      <w:szCs w:val="26"/>
    </w:rPr>
  </w:style>
  <w:style w:type="paragraph" w:customStyle="1" w:styleId="Heading5-Numbered">
    <w:name w:val="Heading 5 - Numbered"/>
    <w:basedOn w:val="Heading5"/>
    <w:next w:val="Normal"/>
    <w:qFormat/>
    <w:rsid w:val="007D7454"/>
    <w:pPr>
      <w:numPr>
        <w:ilvl w:val="4"/>
        <w:numId w:val="21"/>
      </w:numPr>
      <w:suppressAutoHyphens/>
      <w:spacing w:before="240" w:line="280" w:lineRule="atLeast"/>
      <w:ind w:left="3600" w:hanging="360"/>
    </w:pPr>
    <w:rPr>
      <w:rFonts w:ascii="Arial" w:hAnsi="Arial"/>
      <w:b/>
      <w:color w:val="093E52"/>
      <w:spacing w:val="-4"/>
      <w:sz w:val="24"/>
      <w:szCs w:val="24"/>
    </w:rPr>
  </w:style>
  <w:style w:type="paragraph" w:customStyle="1" w:styleId="Heading6-Numbered">
    <w:name w:val="Heading 6 - Numbered"/>
    <w:basedOn w:val="Heading6"/>
    <w:next w:val="Normal"/>
    <w:qFormat/>
    <w:rsid w:val="007D7454"/>
    <w:pPr>
      <w:numPr>
        <w:ilvl w:val="5"/>
        <w:numId w:val="21"/>
      </w:numPr>
      <w:suppressAutoHyphens/>
      <w:spacing w:before="200" w:line="280" w:lineRule="atLeast"/>
      <w:ind w:left="4320" w:hanging="360"/>
    </w:pPr>
    <w:rPr>
      <w:rFonts w:ascii="Arial" w:hAnsi="Arial"/>
      <w:b/>
      <w:i/>
      <w:iCs/>
      <w:color w:val="093E52"/>
      <w:spacing w:val="-4"/>
      <w:sz w:val="24"/>
    </w:rPr>
  </w:style>
  <w:style w:type="paragraph" w:customStyle="1" w:styleId="Heading7-Numbered">
    <w:name w:val="Heading 7 - Numbered"/>
    <w:basedOn w:val="Heading7"/>
    <w:next w:val="Normal"/>
    <w:qFormat/>
    <w:rsid w:val="007D7454"/>
    <w:pPr>
      <w:numPr>
        <w:ilvl w:val="6"/>
        <w:numId w:val="21"/>
      </w:numPr>
      <w:suppressAutoHyphens/>
      <w:spacing w:before="200" w:line="280" w:lineRule="atLeast"/>
      <w:ind w:left="5040" w:hanging="360"/>
    </w:pPr>
    <w:rPr>
      <w:rFonts w:ascii="Arial" w:hAnsi="Arial"/>
      <w:color w:val="093E52"/>
      <w:spacing w:val="-4"/>
      <w:sz w:val="24"/>
    </w:rPr>
  </w:style>
  <w:style w:type="paragraph" w:customStyle="1" w:styleId="Heading8-Numbered">
    <w:name w:val="Heading 8 - Numbered"/>
    <w:basedOn w:val="Heading8"/>
    <w:next w:val="Normal"/>
    <w:qFormat/>
    <w:rsid w:val="007D7454"/>
    <w:pPr>
      <w:numPr>
        <w:ilvl w:val="7"/>
        <w:numId w:val="21"/>
      </w:numPr>
      <w:suppressAutoHyphens/>
      <w:spacing w:before="200" w:line="280" w:lineRule="atLeast"/>
      <w:ind w:left="5760" w:hanging="360"/>
    </w:pPr>
    <w:rPr>
      <w:rFonts w:ascii="Arial" w:hAnsi="Arial"/>
      <w:color w:val="093E52"/>
      <w:spacing w:val="-4"/>
      <w:sz w:val="24"/>
      <w:szCs w:val="20"/>
    </w:rPr>
  </w:style>
  <w:style w:type="paragraph" w:customStyle="1" w:styleId="Heading9-Numbered">
    <w:name w:val="Heading 9 - Numbered"/>
    <w:basedOn w:val="Heading9"/>
    <w:next w:val="Normal"/>
    <w:qFormat/>
    <w:rsid w:val="007D7454"/>
    <w:pPr>
      <w:numPr>
        <w:ilvl w:val="8"/>
        <w:numId w:val="21"/>
      </w:numPr>
      <w:suppressAutoHyphens/>
      <w:spacing w:before="200" w:line="280" w:lineRule="atLeast"/>
    </w:pPr>
    <w:rPr>
      <w:rFonts w:ascii="Arial" w:hAnsi="Arial"/>
      <w:color w:val="093E52"/>
      <w:spacing w:val="-4"/>
      <w:sz w:val="20"/>
      <w:szCs w:val="20"/>
    </w:rPr>
  </w:style>
  <w:style w:type="character" w:customStyle="1" w:styleId="Heading4Char">
    <w:name w:val="Heading 4 Char"/>
    <w:basedOn w:val="DefaultParagraphFont"/>
    <w:link w:val="Heading4"/>
    <w:uiPriority w:val="9"/>
    <w:semiHidden/>
    <w:rsid w:val="007D745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D745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D745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D745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D7454"/>
    <w:rPr>
      <w:rFonts w:asciiTheme="majorHAnsi" w:eastAsiaTheme="majorEastAsia" w:hAnsiTheme="majorHAnsi" w:cstheme="majorBidi"/>
      <w:color w:val="272727" w:themeColor="text1" w:themeTint="D8"/>
      <w:sz w:val="21"/>
      <w:szCs w:val="21"/>
    </w:rPr>
  </w:style>
  <w:style w:type="character" w:customStyle="1" w:styleId="CaptionChar">
    <w:name w:val="Caption Char"/>
    <w:basedOn w:val="DefaultParagraphFont"/>
    <w:link w:val="Caption"/>
    <w:uiPriority w:val="35"/>
    <w:rsid w:val="00ED5654"/>
    <w:rPr>
      <w:rFonts w:ascii="Arial" w:hAnsi="Arial"/>
      <w:b/>
      <w:iCs/>
      <w:color w:val="333333"/>
      <w:spacing w:val="-4"/>
      <w:sz w:val="20"/>
      <w:szCs w:val="18"/>
    </w:rPr>
  </w:style>
  <w:style w:type="table" w:styleId="PlainTable1">
    <w:name w:val="Plain Table 1"/>
    <w:basedOn w:val="TableNormal"/>
    <w:uiPriority w:val="41"/>
    <w:rsid w:val="00016D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7B0F37"/>
    <w:rPr>
      <w:color w:val="2B579A"/>
      <w:shd w:val="clear" w:color="auto" w:fill="E1DFDD"/>
    </w:rPr>
  </w:style>
  <w:style w:type="paragraph" w:customStyle="1" w:styleId="Instructiontext">
    <w:name w:val="Instruction text"/>
    <w:basedOn w:val="CommentText"/>
    <w:qFormat/>
    <w:rsid w:val="00716C1F"/>
    <w:pPr>
      <w:spacing w:before="120" w:after="120"/>
    </w:pPr>
    <w:rPr>
      <w:rFonts w:ascii="Calibri" w:eastAsia="Calibri" w:hAnsi="Calibri" w:cs="Arial"/>
      <w:color w:val="44546A" w:themeColor="text2"/>
      <w:sz w:val="22"/>
      <w:szCs w:val="22"/>
    </w:rPr>
  </w:style>
  <w:style w:type="character" w:styleId="SubtleReference">
    <w:name w:val="Subtle Reference"/>
    <w:basedOn w:val="DefaultParagraphFont"/>
    <w:uiPriority w:val="31"/>
    <w:qFormat/>
    <w:rsid w:val="00A910FE"/>
    <w:rPr>
      <w:smallCaps/>
      <w:color w:val="5A5A5A" w:themeColor="text1" w:themeTint="A5"/>
    </w:rPr>
  </w:style>
  <w:style w:type="paragraph" w:styleId="NormalWeb">
    <w:name w:val="Normal (Web)"/>
    <w:basedOn w:val="Normal"/>
    <w:uiPriority w:val="99"/>
    <w:semiHidden/>
    <w:unhideWhenUsed/>
    <w:rsid w:val="00D01062"/>
    <w:rPr>
      <w:rFonts w:ascii="Times New Roman" w:hAnsi="Times New Roman" w:cs="Times New Roman"/>
      <w:sz w:val="24"/>
      <w:szCs w:val="24"/>
    </w:rPr>
  </w:style>
  <w:style w:type="table" w:customStyle="1" w:styleId="TableGrid4">
    <w:name w:val="Table Grid4"/>
    <w:basedOn w:val="TableNormal"/>
    <w:next w:val="TableGrid"/>
    <w:uiPriority w:val="59"/>
    <w:rsid w:val="00B66A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8054">
      <w:bodyDiv w:val="1"/>
      <w:marLeft w:val="0"/>
      <w:marRight w:val="0"/>
      <w:marTop w:val="0"/>
      <w:marBottom w:val="0"/>
      <w:divBdr>
        <w:top w:val="none" w:sz="0" w:space="0" w:color="auto"/>
        <w:left w:val="none" w:sz="0" w:space="0" w:color="auto"/>
        <w:bottom w:val="none" w:sz="0" w:space="0" w:color="auto"/>
        <w:right w:val="none" w:sz="0" w:space="0" w:color="auto"/>
      </w:divBdr>
    </w:div>
    <w:div w:id="261376320">
      <w:bodyDiv w:val="1"/>
      <w:marLeft w:val="0"/>
      <w:marRight w:val="0"/>
      <w:marTop w:val="0"/>
      <w:marBottom w:val="0"/>
      <w:divBdr>
        <w:top w:val="none" w:sz="0" w:space="0" w:color="auto"/>
        <w:left w:val="none" w:sz="0" w:space="0" w:color="auto"/>
        <w:bottom w:val="none" w:sz="0" w:space="0" w:color="auto"/>
        <w:right w:val="none" w:sz="0" w:space="0" w:color="auto"/>
      </w:divBdr>
    </w:div>
    <w:div w:id="423498443">
      <w:bodyDiv w:val="1"/>
      <w:marLeft w:val="0"/>
      <w:marRight w:val="0"/>
      <w:marTop w:val="0"/>
      <w:marBottom w:val="0"/>
      <w:divBdr>
        <w:top w:val="none" w:sz="0" w:space="0" w:color="auto"/>
        <w:left w:val="none" w:sz="0" w:space="0" w:color="auto"/>
        <w:bottom w:val="none" w:sz="0" w:space="0" w:color="auto"/>
        <w:right w:val="none" w:sz="0" w:space="0" w:color="auto"/>
      </w:divBdr>
    </w:div>
    <w:div w:id="501705629">
      <w:bodyDiv w:val="1"/>
      <w:marLeft w:val="0"/>
      <w:marRight w:val="0"/>
      <w:marTop w:val="0"/>
      <w:marBottom w:val="0"/>
      <w:divBdr>
        <w:top w:val="none" w:sz="0" w:space="0" w:color="auto"/>
        <w:left w:val="none" w:sz="0" w:space="0" w:color="auto"/>
        <w:bottom w:val="none" w:sz="0" w:space="0" w:color="auto"/>
        <w:right w:val="none" w:sz="0" w:space="0" w:color="auto"/>
      </w:divBdr>
    </w:div>
    <w:div w:id="594437378">
      <w:bodyDiv w:val="1"/>
      <w:marLeft w:val="0"/>
      <w:marRight w:val="0"/>
      <w:marTop w:val="0"/>
      <w:marBottom w:val="0"/>
      <w:divBdr>
        <w:top w:val="none" w:sz="0" w:space="0" w:color="auto"/>
        <w:left w:val="none" w:sz="0" w:space="0" w:color="auto"/>
        <w:bottom w:val="none" w:sz="0" w:space="0" w:color="auto"/>
        <w:right w:val="none" w:sz="0" w:space="0" w:color="auto"/>
      </w:divBdr>
    </w:div>
    <w:div w:id="684480746">
      <w:bodyDiv w:val="1"/>
      <w:marLeft w:val="0"/>
      <w:marRight w:val="0"/>
      <w:marTop w:val="0"/>
      <w:marBottom w:val="0"/>
      <w:divBdr>
        <w:top w:val="none" w:sz="0" w:space="0" w:color="auto"/>
        <w:left w:val="none" w:sz="0" w:space="0" w:color="auto"/>
        <w:bottom w:val="none" w:sz="0" w:space="0" w:color="auto"/>
        <w:right w:val="none" w:sz="0" w:space="0" w:color="auto"/>
      </w:divBdr>
    </w:div>
    <w:div w:id="719207964">
      <w:bodyDiv w:val="1"/>
      <w:marLeft w:val="0"/>
      <w:marRight w:val="0"/>
      <w:marTop w:val="0"/>
      <w:marBottom w:val="0"/>
      <w:divBdr>
        <w:top w:val="none" w:sz="0" w:space="0" w:color="auto"/>
        <w:left w:val="none" w:sz="0" w:space="0" w:color="auto"/>
        <w:bottom w:val="none" w:sz="0" w:space="0" w:color="auto"/>
        <w:right w:val="none" w:sz="0" w:space="0" w:color="auto"/>
      </w:divBdr>
    </w:div>
    <w:div w:id="769088777">
      <w:bodyDiv w:val="1"/>
      <w:marLeft w:val="0"/>
      <w:marRight w:val="0"/>
      <w:marTop w:val="0"/>
      <w:marBottom w:val="0"/>
      <w:divBdr>
        <w:top w:val="none" w:sz="0" w:space="0" w:color="auto"/>
        <w:left w:val="none" w:sz="0" w:space="0" w:color="auto"/>
        <w:bottom w:val="none" w:sz="0" w:space="0" w:color="auto"/>
        <w:right w:val="none" w:sz="0" w:space="0" w:color="auto"/>
      </w:divBdr>
    </w:div>
    <w:div w:id="870263993">
      <w:bodyDiv w:val="1"/>
      <w:marLeft w:val="0"/>
      <w:marRight w:val="0"/>
      <w:marTop w:val="0"/>
      <w:marBottom w:val="0"/>
      <w:divBdr>
        <w:top w:val="none" w:sz="0" w:space="0" w:color="auto"/>
        <w:left w:val="none" w:sz="0" w:space="0" w:color="auto"/>
        <w:bottom w:val="none" w:sz="0" w:space="0" w:color="auto"/>
        <w:right w:val="none" w:sz="0" w:space="0" w:color="auto"/>
      </w:divBdr>
    </w:div>
    <w:div w:id="929196111">
      <w:bodyDiv w:val="1"/>
      <w:marLeft w:val="0"/>
      <w:marRight w:val="0"/>
      <w:marTop w:val="0"/>
      <w:marBottom w:val="0"/>
      <w:divBdr>
        <w:top w:val="none" w:sz="0" w:space="0" w:color="auto"/>
        <w:left w:val="none" w:sz="0" w:space="0" w:color="auto"/>
        <w:bottom w:val="none" w:sz="0" w:space="0" w:color="auto"/>
        <w:right w:val="none" w:sz="0" w:space="0" w:color="auto"/>
      </w:divBdr>
    </w:div>
    <w:div w:id="984434532">
      <w:bodyDiv w:val="1"/>
      <w:marLeft w:val="0"/>
      <w:marRight w:val="0"/>
      <w:marTop w:val="0"/>
      <w:marBottom w:val="0"/>
      <w:divBdr>
        <w:top w:val="none" w:sz="0" w:space="0" w:color="auto"/>
        <w:left w:val="none" w:sz="0" w:space="0" w:color="auto"/>
        <w:bottom w:val="none" w:sz="0" w:space="0" w:color="auto"/>
        <w:right w:val="none" w:sz="0" w:space="0" w:color="auto"/>
      </w:divBdr>
    </w:div>
    <w:div w:id="1007102835">
      <w:bodyDiv w:val="1"/>
      <w:marLeft w:val="0"/>
      <w:marRight w:val="0"/>
      <w:marTop w:val="0"/>
      <w:marBottom w:val="0"/>
      <w:divBdr>
        <w:top w:val="none" w:sz="0" w:space="0" w:color="auto"/>
        <w:left w:val="none" w:sz="0" w:space="0" w:color="auto"/>
        <w:bottom w:val="none" w:sz="0" w:space="0" w:color="auto"/>
        <w:right w:val="none" w:sz="0" w:space="0" w:color="auto"/>
      </w:divBdr>
    </w:div>
    <w:div w:id="1009792650">
      <w:bodyDiv w:val="1"/>
      <w:marLeft w:val="0"/>
      <w:marRight w:val="0"/>
      <w:marTop w:val="0"/>
      <w:marBottom w:val="0"/>
      <w:divBdr>
        <w:top w:val="none" w:sz="0" w:space="0" w:color="auto"/>
        <w:left w:val="none" w:sz="0" w:space="0" w:color="auto"/>
        <w:bottom w:val="none" w:sz="0" w:space="0" w:color="auto"/>
        <w:right w:val="none" w:sz="0" w:space="0" w:color="auto"/>
      </w:divBdr>
    </w:div>
    <w:div w:id="1134253324">
      <w:bodyDiv w:val="1"/>
      <w:marLeft w:val="0"/>
      <w:marRight w:val="0"/>
      <w:marTop w:val="0"/>
      <w:marBottom w:val="0"/>
      <w:divBdr>
        <w:top w:val="none" w:sz="0" w:space="0" w:color="auto"/>
        <w:left w:val="none" w:sz="0" w:space="0" w:color="auto"/>
        <w:bottom w:val="none" w:sz="0" w:space="0" w:color="auto"/>
        <w:right w:val="none" w:sz="0" w:space="0" w:color="auto"/>
      </w:divBdr>
    </w:div>
    <w:div w:id="1214852051">
      <w:bodyDiv w:val="1"/>
      <w:marLeft w:val="0"/>
      <w:marRight w:val="0"/>
      <w:marTop w:val="0"/>
      <w:marBottom w:val="0"/>
      <w:divBdr>
        <w:top w:val="none" w:sz="0" w:space="0" w:color="auto"/>
        <w:left w:val="none" w:sz="0" w:space="0" w:color="auto"/>
        <w:bottom w:val="none" w:sz="0" w:space="0" w:color="auto"/>
        <w:right w:val="none" w:sz="0" w:space="0" w:color="auto"/>
      </w:divBdr>
    </w:div>
    <w:div w:id="1338070118">
      <w:bodyDiv w:val="1"/>
      <w:marLeft w:val="0"/>
      <w:marRight w:val="0"/>
      <w:marTop w:val="0"/>
      <w:marBottom w:val="0"/>
      <w:divBdr>
        <w:top w:val="none" w:sz="0" w:space="0" w:color="auto"/>
        <w:left w:val="none" w:sz="0" w:space="0" w:color="auto"/>
        <w:bottom w:val="none" w:sz="0" w:space="0" w:color="auto"/>
        <w:right w:val="none" w:sz="0" w:space="0" w:color="auto"/>
      </w:divBdr>
    </w:div>
    <w:div w:id="1368339179">
      <w:bodyDiv w:val="1"/>
      <w:marLeft w:val="0"/>
      <w:marRight w:val="0"/>
      <w:marTop w:val="0"/>
      <w:marBottom w:val="0"/>
      <w:divBdr>
        <w:top w:val="none" w:sz="0" w:space="0" w:color="auto"/>
        <w:left w:val="none" w:sz="0" w:space="0" w:color="auto"/>
        <w:bottom w:val="none" w:sz="0" w:space="0" w:color="auto"/>
        <w:right w:val="none" w:sz="0" w:space="0" w:color="auto"/>
      </w:divBdr>
    </w:div>
    <w:div w:id="1391810641">
      <w:bodyDiv w:val="1"/>
      <w:marLeft w:val="0"/>
      <w:marRight w:val="0"/>
      <w:marTop w:val="0"/>
      <w:marBottom w:val="0"/>
      <w:divBdr>
        <w:top w:val="none" w:sz="0" w:space="0" w:color="auto"/>
        <w:left w:val="none" w:sz="0" w:space="0" w:color="auto"/>
        <w:bottom w:val="none" w:sz="0" w:space="0" w:color="auto"/>
        <w:right w:val="none" w:sz="0" w:space="0" w:color="auto"/>
      </w:divBdr>
    </w:div>
    <w:div w:id="1402170375">
      <w:bodyDiv w:val="1"/>
      <w:marLeft w:val="0"/>
      <w:marRight w:val="0"/>
      <w:marTop w:val="0"/>
      <w:marBottom w:val="0"/>
      <w:divBdr>
        <w:top w:val="none" w:sz="0" w:space="0" w:color="auto"/>
        <w:left w:val="none" w:sz="0" w:space="0" w:color="auto"/>
        <w:bottom w:val="none" w:sz="0" w:space="0" w:color="auto"/>
        <w:right w:val="none" w:sz="0" w:space="0" w:color="auto"/>
      </w:divBdr>
    </w:div>
    <w:div w:id="1446080776">
      <w:bodyDiv w:val="1"/>
      <w:marLeft w:val="0"/>
      <w:marRight w:val="0"/>
      <w:marTop w:val="0"/>
      <w:marBottom w:val="0"/>
      <w:divBdr>
        <w:top w:val="none" w:sz="0" w:space="0" w:color="auto"/>
        <w:left w:val="none" w:sz="0" w:space="0" w:color="auto"/>
        <w:bottom w:val="none" w:sz="0" w:space="0" w:color="auto"/>
        <w:right w:val="none" w:sz="0" w:space="0" w:color="auto"/>
      </w:divBdr>
    </w:div>
    <w:div w:id="1528984697">
      <w:bodyDiv w:val="1"/>
      <w:marLeft w:val="0"/>
      <w:marRight w:val="0"/>
      <w:marTop w:val="0"/>
      <w:marBottom w:val="0"/>
      <w:divBdr>
        <w:top w:val="none" w:sz="0" w:space="0" w:color="auto"/>
        <w:left w:val="none" w:sz="0" w:space="0" w:color="auto"/>
        <w:bottom w:val="none" w:sz="0" w:space="0" w:color="auto"/>
        <w:right w:val="none" w:sz="0" w:space="0" w:color="auto"/>
      </w:divBdr>
    </w:div>
    <w:div w:id="1558668250">
      <w:bodyDiv w:val="1"/>
      <w:marLeft w:val="0"/>
      <w:marRight w:val="0"/>
      <w:marTop w:val="0"/>
      <w:marBottom w:val="0"/>
      <w:divBdr>
        <w:top w:val="none" w:sz="0" w:space="0" w:color="auto"/>
        <w:left w:val="none" w:sz="0" w:space="0" w:color="auto"/>
        <w:bottom w:val="none" w:sz="0" w:space="0" w:color="auto"/>
        <w:right w:val="none" w:sz="0" w:space="0" w:color="auto"/>
      </w:divBdr>
    </w:div>
    <w:div w:id="1621717067">
      <w:bodyDiv w:val="1"/>
      <w:marLeft w:val="0"/>
      <w:marRight w:val="0"/>
      <w:marTop w:val="0"/>
      <w:marBottom w:val="0"/>
      <w:divBdr>
        <w:top w:val="none" w:sz="0" w:space="0" w:color="auto"/>
        <w:left w:val="none" w:sz="0" w:space="0" w:color="auto"/>
        <w:bottom w:val="none" w:sz="0" w:space="0" w:color="auto"/>
        <w:right w:val="none" w:sz="0" w:space="0" w:color="auto"/>
      </w:divBdr>
    </w:div>
    <w:div w:id="1669291024">
      <w:bodyDiv w:val="1"/>
      <w:marLeft w:val="0"/>
      <w:marRight w:val="0"/>
      <w:marTop w:val="0"/>
      <w:marBottom w:val="0"/>
      <w:divBdr>
        <w:top w:val="none" w:sz="0" w:space="0" w:color="auto"/>
        <w:left w:val="none" w:sz="0" w:space="0" w:color="auto"/>
        <w:bottom w:val="none" w:sz="0" w:space="0" w:color="auto"/>
        <w:right w:val="none" w:sz="0" w:space="0" w:color="auto"/>
      </w:divBdr>
    </w:div>
    <w:div w:id="1672951307">
      <w:bodyDiv w:val="1"/>
      <w:marLeft w:val="0"/>
      <w:marRight w:val="0"/>
      <w:marTop w:val="0"/>
      <w:marBottom w:val="0"/>
      <w:divBdr>
        <w:top w:val="none" w:sz="0" w:space="0" w:color="auto"/>
        <w:left w:val="none" w:sz="0" w:space="0" w:color="auto"/>
        <w:bottom w:val="none" w:sz="0" w:space="0" w:color="auto"/>
        <w:right w:val="none" w:sz="0" w:space="0" w:color="auto"/>
      </w:divBdr>
    </w:div>
    <w:div w:id="1798992279">
      <w:bodyDiv w:val="1"/>
      <w:marLeft w:val="0"/>
      <w:marRight w:val="0"/>
      <w:marTop w:val="0"/>
      <w:marBottom w:val="0"/>
      <w:divBdr>
        <w:top w:val="none" w:sz="0" w:space="0" w:color="auto"/>
        <w:left w:val="none" w:sz="0" w:space="0" w:color="auto"/>
        <w:bottom w:val="none" w:sz="0" w:space="0" w:color="auto"/>
        <w:right w:val="none" w:sz="0" w:space="0" w:color="auto"/>
      </w:divBdr>
    </w:div>
    <w:div w:id="1902016808">
      <w:bodyDiv w:val="1"/>
      <w:marLeft w:val="0"/>
      <w:marRight w:val="0"/>
      <w:marTop w:val="0"/>
      <w:marBottom w:val="0"/>
      <w:divBdr>
        <w:top w:val="none" w:sz="0" w:space="0" w:color="auto"/>
        <w:left w:val="none" w:sz="0" w:space="0" w:color="auto"/>
        <w:bottom w:val="none" w:sz="0" w:space="0" w:color="auto"/>
        <w:right w:val="none" w:sz="0" w:space="0" w:color="auto"/>
      </w:divBdr>
    </w:div>
    <w:div w:id="1935089284">
      <w:bodyDiv w:val="1"/>
      <w:marLeft w:val="0"/>
      <w:marRight w:val="0"/>
      <w:marTop w:val="0"/>
      <w:marBottom w:val="0"/>
      <w:divBdr>
        <w:top w:val="none" w:sz="0" w:space="0" w:color="auto"/>
        <w:left w:val="none" w:sz="0" w:space="0" w:color="auto"/>
        <w:bottom w:val="none" w:sz="0" w:space="0" w:color="auto"/>
        <w:right w:val="none" w:sz="0" w:space="0" w:color="auto"/>
      </w:divBdr>
    </w:div>
    <w:div w:id="1981572359">
      <w:bodyDiv w:val="1"/>
      <w:marLeft w:val="0"/>
      <w:marRight w:val="0"/>
      <w:marTop w:val="0"/>
      <w:marBottom w:val="0"/>
      <w:divBdr>
        <w:top w:val="none" w:sz="0" w:space="0" w:color="auto"/>
        <w:left w:val="none" w:sz="0" w:space="0" w:color="auto"/>
        <w:bottom w:val="none" w:sz="0" w:space="0" w:color="auto"/>
        <w:right w:val="none" w:sz="0" w:space="0" w:color="auto"/>
      </w:divBdr>
    </w:div>
    <w:div w:id="21305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fma.gov.au/fisheries-services/concession-holders-conditions" TargetMode="External"/><Relationship Id="rId21" Type="http://schemas.openxmlformats.org/officeDocument/2006/relationships/image" Target="media/image4.png"/><Relationship Id="rId42" Type="http://schemas.openxmlformats.org/officeDocument/2006/relationships/hyperlink" Target="https://www.agriculture.gov.au/sites/default/files/sitecollectiondocuments/fisheries/domestic/hsp.pdf" TargetMode="External"/><Relationship Id="rId47" Type="http://schemas.openxmlformats.org/officeDocument/2006/relationships/hyperlink" Target="https://www.afma.gov.au/fisheries/southern-squid-jig-fishery" TargetMode="External"/><Relationship Id="rId63" Type="http://schemas.openxmlformats.org/officeDocument/2006/relationships/hyperlink" Target="https://www.dcceew.gov.au/environment/epbc/our-role/approved-lists" TargetMode="External"/><Relationship Id="rId68"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afma.gov.au/fisheries-management/fisheries-committees" TargetMode="External"/><Relationship Id="rId11" Type="http://schemas.openxmlformats.org/officeDocument/2006/relationships/image" Target="media/image1.jpeg"/><Relationship Id="rId24" Type="http://schemas.openxmlformats.org/officeDocument/2006/relationships/hyperlink" Target="https://www.legislation.gov.au/F2005L00964/latest/text" TargetMode="External"/><Relationship Id="rId32" Type="http://schemas.openxmlformats.org/officeDocument/2006/relationships/hyperlink" Target="https://www.afma.gov.au/corporate-and-reports" TargetMode="External"/><Relationship Id="rId37" Type="http://schemas.openxmlformats.org/officeDocument/2006/relationships/hyperlink" Target="https://www.afma.gov.au/fisheries-management/compliance/report-illegal-fishing" TargetMode="External"/><Relationship Id="rId40" Type="http://schemas.openxmlformats.org/officeDocument/2006/relationships/hyperlink" Target="https://www.afma.gov.au/fisheries-management/management-tools/ecological-risk-management-strategies" TargetMode="External"/><Relationship Id="rId45" Type="http://schemas.openxmlformats.org/officeDocument/2006/relationships/hyperlink" Target="https://www.legislation.gov.au/Details/C2019C00275" TargetMode="External"/><Relationship Id="rId53" Type="http://schemas.openxmlformats.org/officeDocument/2006/relationships/hyperlink" Target="http://www.agriculture.gov.au/abares/publications/display?url=http://143.188.17.20/anrdl/DAFFService/display.php?fid=pb_fsr15d9abm_20151030.xml" TargetMode="External"/><Relationship Id="rId58" Type="http://schemas.openxmlformats.org/officeDocument/2006/relationships/hyperlink" Target="https://daff.ent.sirsidynix.net.au/client/en_AU/search/asset/1035801/0" TargetMode="External"/><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www.deakin.edu.au/dro/list/year/2003/" TargetMode="External"/><Relationship Id="rId1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hyperlink" Target="https://www.agriculture.gov.au/abares/research-topics/fisheries/fishery-status" TargetMode="External"/><Relationship Id="rId27" Type="http://schemas.openxmlformats.org/officeDocument/2006/relationships/hyperlink" Target="https://www.afma.gov.au/commercial-fishers/resources/concession-holders-and-sfr-conditions" TargetMode="External"/><Relationship Id="rId30" Type="http://schemas.openxmlformats.org/officeDocument/2006/relationships/hyperlink" Target="https://www.legislation.gov.au/F2005L00964/latest/text" TargetMode="External"/><Relationship Id="rId35" Type="http://schemas.openxmlformats.org/officeDocument/2006/relationships/hyperlink" Target="https://www.afma.gov.au/sites/default/files/2023-08/2023-25-National-Compliance-and-Enforcement-Program-FINAL.pdf" TargetMode="External"/><Relationship Id="rId43" Type="http://schemas.openxmlformats.org/officeDocument/2006/relationships/hyperlink" Target="https://www.dcceew.gov.au/sites/default/files/documents/tap-marine-debris-2018.pdf" TargetMode="External"/><Relationship Id="rId48" Type="http://schemas.openxmlformats.org/officeDocument/2006/relationships/hyperlink" Target="https://www.agriculture.gov.au/abares/research-topics/fisheries/fisheries-research-analyses-to-support-the-review-of-the-southern-squid-jig-fishery-harvest-strategy" TargetMode="External"/><Relationship Id="rId56" Type="http://schemas.openxmlformats.org/officeDocument/2006/relationships/hyperlink" Target="http://www.afma.gov.au/sustainability-environment/protected-species-management/protected-species-interaction-reports/" TargetMode="External"/><Relationship Id="rId64" Type="http://schemas.openxmlformats.org/officeDocument/2006/relationships/header" Target="header4.xml"/><Relationship Id="rId69"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afma.gov.au/sites/default/files/2024-09/Squid-Jigging-Daily-Fishing-Log.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fma.gov.au/fisheries-management/management-tools/harvest-strategies" TargetMode="External"/><Relationship Id="rId33" Type="http://schemas.openxmlformats.org/officeDocument/2006/relationships/hyperlink" Target="https://www.agriculture.gov.au/abares/research-topics/fisheries/fishery-status" TargetMode="External"/><Relationship Id="rId38" Type="http://schemas.openxmlformats.org/officeDocument/2006/relationships/hyperlink" Target="https://www.afma.gov.au/sites/default/files/2025-08/National-Compliance-and-Enforcement%20Policy-2025.pdf" TargetMode="External"/><Relationship Id="rId46" Type="http://schemas.openxmlformats.org/officeDocument/2006/relationships/hyperlink" Target="https://www.agriculture.gov.au/abares/research-topics/fisheries/fisheries-research-analyses-to-support-the-review-of-the-southern-squid-jig-fishery-harvest-strategy" TargetMode="External"/><Relationship Id="rId59" Type="http://schemas.openxmlformats.org/officeDocument/2006/relationships/hyperlink" Target="http://www.deakin.edu.au/dro/list/author/Trinder%2C+D.M./" TargetMode="External"/><Relationship Id="rId67" Type="http://schemas.openxmlformats.org/officeDocument/2006/relationships/footer" Target="footer5.xml"/><Relationship Id="rId20" Type="http://schemas.openxmlformats.org/officeDocument/2006/relationships/hyperlink" Target="https://www.afma.gov.au/methods-and-gear/squid-jig" TargetMode="External"/><Relationship Id="rId41" Type="http://schemas.openxmlformats.org/officeDocument/2006/relationships/hyperlink" Target="https://www.agriculture.gov.au/sites/default/files/sitecollectiondocuments/fisheries/environment/bycatch/bycatch.pdf" TargetMode="External"/><Relationship Id="rId54" Type="http://schemas.openxmlformats.org/officeDocument/2006/relationships/hyperlink" Target="https://www.afma.gov.au/protected-species/reducing-bycatch/bycatch-and-discarding-workplans" TargetMode="External"/><Relationship Id="rId62" Type="http://schemas.openxmlformats.org/officeDocument/2006/relationships/hyperlink" Target="http://www.deakin.edu.au/dro/view/DU:30015953"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legislation.gov.au/C2004A04237/latest/text" TargetMode="External"/><Relationship Id="rId28" Type="http://schemas.openxmlformats.org/officeDocument/2006/relationships/hyperlink" Target="http://www.comlaw.gov.au/Details/F2012C00161" TargetMode="External"/><Relationship Id="rId36" Type="http://schemas.openxmlformats.org/officeDocument/2006/relationships/hyperlink" Target="https://www.afma.gov.au/sites/default/files/2023-08/2023-25-National-Compliance-and-Enforcement-Program-FINAL.pdf" TargetMode="External"/><Relationship Id="rId49" Type="http://schemas.openxmlformats.org/officeDocument/2006/relationships/hyperlink" Target="https://www.afma.gov.au/sites/default/files/2024-08/240821_AFMAClimateRiskFramework.pdf" TargetMode="External"/><Relationship Id="rId57" Type="http://schemas.openxmlformats.org/officeDocument/2006/relationships/hyperlink" Target="https://www.frdc.com.au/project/2021-118" TargetMode="External"/><Relationship Id="rId10" Type="http://schemas.openxmlformats.org/officeDocument/2006/relationships/endnotes" Target="endnotes.xml"/><Relationship Id="rId31" Type="http://schemas.openxmlformats.org/officeDocument/2006/relationships/hyperlink" Target="https://www.afma.gov.au/commercial-fishers/management-arrangements/management-booklets" TargetMode="External"/><Relationship Id="rId44" Type="http://schemas.openxmlformats.org/officeDocument/2006/relationships/hyperlink" Target="https://www.agriculture.gov.au/agriculture-land/fisheries/environment/bycatch/nat_by_policy_1999" TargetMode="External"/><Relationship Id="rId52" Type="http://schemas.openxmlformats.org/officeDocument/2006/relationships/hyperlink" Target="https://www.afma.gov.au/fisheries-management/monitoring-tools/catch-disposal-records" TargetMode="External"/><Relationship Id="rId60" Type="http://schemas.openxmlformats.org/officeDocument/2006/relationships/hyperlink" Target="http://www.deakin.edu.au/dro/list/author/McKinley%2C+C.P./"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image" Target="media/image5.png"/><Relationship Id="rId34" Type="http://schemas.openxmlformats.org/officeDocument/2006/relationships/hyperlink" Target="https://www.afma.gov.au/fisheries-management/management-tools/harvest-strategies" TargetMode="External"/><Relationship Id="rId50" Type="http://schemas.openxmlformats.org/officeDocument/2006/relationships/hyperlink" Target="https://www.afma.gov.au/sites/default/files/2025-02/sthrnsquidjf-ce-report-september-2023.pdf" TargetMode="External"/><Relationship Id="rId55" Type="http://schemas.openxmlformats.org/officeDocument/2006/relationships/hyperlink" Target="https://www.afma.gov.au/protected-species/endangered-and-threatened-species-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88C9CF63CF48B254D9A087535962" ma:contentTypeVersion="14" ma:contentTypeDescription="Create a new document." ma:contentTypeScope="" ma:versionID="f0aa7756955ada14887baf476b1a4322">
  <xsd:schema xmlns:xsd="http://www.w3.org/2001/XMLSchema" xmlns:xs="http://www.w3.org/2001/XMLSchema" xmlns:p="http://schemas.microsoft.com/office/2006/metadata/properties" xmlns:ns1="http://schemas.microsoft.com/sharepoint/v3" xmlns:ns2="ad4e79a7-2397-4f70-9bda-8276d2b14cac" targetNamespace="http://schemas.microsoft.com/office/2006/metadata/properties" ma:root="true" ma:fieldsID="f6dffda4df3d5487ec8c386e293bf9f7" ns1:_="" ns2:_="">
    <xsd:import namespace="http://schemas.microsoft.com/sharepoint/v3"/>
    <xsd:import namespace="ad4e79a7-2397-4f70-9bda-8276d2b14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FINALREVIEW"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e79a7-2397-4f70-9bda-8276d2b1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FINALREVIEW" ma:index="20" nillable="true" ma:displayName="FINAL REVIEW" ma:description="Y/N" ma:format="Dropdown" ma:internalName="FINALREVIEW">
      <xsd:simpleType>
        <xsd:restriction base="dms:Text">
          <xsd:maxLength value="255"/>
        </xsd:restriction>
      </xsd:simpleType>
    </xsd:element>
    <xsd:element name="Comments" ma:index="21" nillable="true" ma:displayName="Comments" ma:description="The performance review document sent via email - see email in this doc set "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e79a7-2397-4f70-9bda-8276d2b14cac">
      <Terms xmlns="http://schemas.microsoft.com/office/infopath/2007/PartnerControls"/>
    </lcf76f155ced4ddcb4097134ff3c332f>
    <_ip_UnifiedCompliancePolicyUIAction xmlns="http://schemas.microsoft.com/sharepoint/v3" xsi:nil="true"/>
    <FINALREVIEW xmlns="ad4e79a7-2397-4f70-9bda-8276d2b14cac" xsi:nil="true"/>
    <_ip_UnifiedCompliancePolicyProperties xmlns="http://schemas.microsoft.com/sharepoint/v3" xsi:nil="true"/>
    <Comments xmlns="ad4e79a7-2397-4f70-9bda-8276d2b14c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BBA3-5259-4DC2-8B39-5630158C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4e79a7-2397-4f70-9bda-8276d2b14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5E230-A5C7-4996-80FF-C1E747A33056}">
  <ds:schemaRefs>
    <ds:schemaRef ds:uri="http://schemas.microsoft.com/office/2006/metadata/properties"/>
    <ds:schemaRef ds:uri="http://schemas.microsoft.com/office/infopath/2007/PartnerControls"/>
    <ds:schemaRef ds:uri="99314b40-14d6-47ed-8780-63ae4b3d5dbc"/>
    <ds:schemaRef ds:uri="25c56c87-200f-42b8-bfaa-f628246074ac"/>
    <ds:schemaRef ds:uri="ad4e79a7-2397-4f70-9bda-8276d2b14cac"/>
    <ds:schemaRef ds:uri="http://schemas.microsoft.com/sharepoint/v3"/>
  </ds:schemaRefs>
</ds:datastoreItem>
</file>

<file path=customXml/itemProps3.xml><?xml version="1.0" encoding="utf-8"?>
<ds:datastoreItem xmlns:ds="http://schemas.openxmlformats.org/officeDocument/2006/customXml" ds:itemID="{11CC0AF7-A2CA-40E3-A157-32EC41638476}">
  <ds:schemaRefs>
    <ds:schemaRef ds:uri="http://schemas.microsoft.com/sharepoint/v3/contenttype/forms"/>
  </ds:schemaRefs>
</ds:datastoreItem>
</file>

<file path=customXml/itemProps4.xml><?xml version="1.0" encoding="utf-8"?>
<ds:datastoreItem xmlns:ds="http://schemas.openxmlformats.org/officeDocument/2006/customXml" ds:itemID="{9757B8C2-1633-4A26-902D-F2AC8B7C0AE6}">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4417</TotalTime>
  <Pages>28</Pages>
  <Words>10005</Words>
  <Characters>56731</Characters>
  <Application>Microsoft Office Word</Application>
  <DocSecurity>0</DocSecurity>
  <Lines>1418</Lines>
  <Paragraphs>813</Paragraphs>
  <ScaleCrop>false</ScaleCrop>
  <Company/>
  <LinksUpToDate>false</LinksUpToDate>
  <CharactersWithSpaces>65923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ROBINSON</cp:lastModifiedBy>
  <cp:revision>1711</cp:revision>
  <cp:lastPrinted>2025-09-17T23:55:00Z</cp:lastPrinted>
  <dcterms:created xsi:type="dcterms:W3CDTF">2025-08-11T13:11:00Z</dcterms:created>
  <dcterms:modified xsi:type="dcterms:W3CDTF">2025-10-09T21:57:00Z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0x010100032B88C9CF63CF48B254D9A087535962</vt:lpwstr>
  </property>
  <property fmtid="{D5CDD505-2E9C-101B-9397-08002B2CF9AE}" pid="3" name="_dlc_DocIdItemGuid">
    <vt:lpwstr>1bde5f63-d099-4c67-afa6-2efbfd799438</vt:lpwstr>
  </property>
  <property fmtid="{D5CDD505-2E9C-101B-9397-08002B2CF9AE}" pid="4" name="ClassificationContentMarkingHeaderShapeIds">
    <vt:lpwstr>71afa3bf,7e667647,d25f6c3,2e900ca7,44f00837,4342e524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28348799,1aa25e61,1137c82,283a2e83,4c0290c5,28b8e935</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8f1be5f8-d90c-4486-b7e4-6014f769bcca_Enabled">
    <vt:lpwstr>true</vt:lpwstr>
  </property>
  <property fmtid="{D5CDD505-2E9C-101B-9397-08002B2CF9AE}" pid="11" name="MSIP_Label_8f1be5f8-d90c-4486-b7e4-6014f769bcca_SetDate">
    <vt:lpwstr>2025-08-12T23:10:37Z</vt:lpwstr>
  </property>
  <property fmtid="{D5CDD505-2E9C-101B-9397-08002B2CF9AE}" pid="12" name="MSIP_Label_8f1be5f8-d90c-4486-b7e4-6014f769bcca_Method">
    <vt:lpwstr>Privileged</vt:lpwstr>
  </property>
  <property fmtid="{D5CDD505-2E9C-101B-9397-08002B2CF9AE}" pid="13" name="MSIP_Label_8f1be5f8-d90c-4486-b7e4-6014f769bcca_Name">
    <vt:lpwstr>OFFICIAL</vt:lpwstr>
  </property>
  <property fmtid="{D5CDD505-2E9C-101B-9397-08002B2CF9AE}" pid="14" name="MSIP_Label_8f1be5f8-d90c-4486-b7e4-6014f769bcca_SiteId">
    <vt:lpwstr>d176b593-7d9c-41ed-a769-f0f622e3b073</vt:lpwstr>
  </property>
  <property fmtid="{D5CDD505-2E9C-101B-9397-08002B2CF9AE}" pid="15" name="MSIP_Label_8f1be5f8-d90c-4486-b7e4-6014f769bcca_ActionId">
    <vt:lpwstr>7d4a2c82-6df2-4700-bad8-60c886e2d4e9</vt:lpwstr>
  </property>
  <property fmtid="{D5CDD505-2E9C-101B-9397-08002B2CF9AE}" pid="16" name="MSIP_Label_8f1be5f8-d90c-4486-b7e4-6014f769bcca_ContentBits">
    <vt:lpwstr>3</vt:lpwstr>
  </property>
  <property fmtid="{D5CDD505-2E9C-101B-9397-08002B2CF9AE}" pid="17" name="MSIP_Label_8f1be5f8-d90c-4486-b7e4-6014f769bcca_Tag">
    <vt:lpwstr>10, 0, 1, 1</vt:lpwstr>
  </property>
  <property fmtid="{D5CDD505-2E9C-101B-9397-08002B2CF9AE}" pid="18" name="MediaServiceImageTags">
    <vt:lpwstr/>
  </property>
</Properties>
</file>